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22" w:rsidRDefault="0017386B" w:rsidP="0017386B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Информация о рассмотрении Протокола заочного заседания Общественного совета при Министерстве финансов Российской Федерации </w:t>
      </w:r>
      <w:r w:rsidR="00905013">
        <w:rPr>
          <w:rFonts w:ascii="Times New Roman" w:hAnsi="Times New Roman" w:cs="Times New Roman"/>
          <w:b/>
          <w:sz w:val="28"/>
          <w:szCs w:val="24"/>
        </w:rPr>
        <w:t>от 10-</w:t>
      </w:r>
      <w:r w:rsidR="000B3D98">
        <w:rPr>
          <w:rFonts w:ascii="Times New Roman" w:hAnsi="Times New Roman" w:cs="Times New Roman"/>
          <w:b/>
          <w:sz w:val="28"/>
          <w:szCs w:val="24"/>
        </w:rPr>
        <w:t>17</w:t>
      </w:r>
      <w:r w:rsidR="00905013">
        <w:rPr>
          <w:rFonts w:ascii="Times New Roman" w:hAnsi="Times New Roman" w:cs="Times New Roman"/>
          <w:b/>
          <w:sz w:val="28"/>
          <w:szCs w:val="24"/>
        </w:rPr>
        <w:t xml:space="preserve"> ноября 2020 г. № 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="00ED075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330A3" w:rsidRDefault="00ED0758" w:rsidP="0017386B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(особое мнение члена Общественного совета В.С.</w:t>
      </w:r>
      <w:r w:rsidR="0068152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Лисина)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13"/>
        <w:gridCol w:w="6758"/>
        <w:gridCol w:w="8364"/>
      </w:tblGrid>
      <w:tr w:rsidR="006808C7" w:rsidRPr="00182AA9" w:rsidTr="00EE06D8">
        <w:trPr>
          <w:trHeight w:val="554"/>
        </w:trPr>
        <w:tc>
          <w:tcPr>
            <w:tcW w:w="613" w:type="dxa"/>
            <w:vAlign w:val="center"/>
          </w:tcPr>
          <w:p w:rsidR="006808C7" w:rsidRPr="009D74E5" w:rsidRDefault="006808C7" w:rsidP="00ED0758">
            <w:pPr>
              <w:jc w:val="center"/>
              <w:rPr>
                <w:sz w:val="24"/>
                <w:szCs w:val="24"/>
              </w:rPr>
            </w:pPr>
            <w:r w:rsidRPr="009D74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58" w:type="dxa"/>
            <w:vAlign w:val="center"/>
          </w:tcPr>
          <w:p w:rsidR="006808C7" w:rsidRPr="009D74E5" w:rsidRDefault="006808C7" w:rsidP="00ED0758">
            <w:pPr>
              <w:jc w:val="center"/>
              <w:rPr>
                <w:sz w:val="24"/>
                <w:szCs w:val="24"/>
              </w:rPr>
            </w:pPr>
            <w:r w:rsidRPr="009D74E5">
              <w:rPr>
                <w:rFonts w:ascii="Times New Roman" w:hAnsi="Times New Roman" w:cs="Times New Roman"/>
                <w:b/>
                <w:sz w:val="24"/>
                <w:szCs w:val="24"/>
              </w:rPr>
              <w:t>Особое мнение члена Общественного совета</w:t>
            </w:r>
          </w:p>
        </w:tc>
        <w:tc>
          <w:tcPr>
            <w:tcW w:w="8364" w:type="dxa"/>
            <w:vAlign w:val="center"/>
          </w:tcPr>
          <w:p w:rsidR="006808C7" w:rsidRPr="009D74E5" w:rsidRDefault="006808C7" w:rsidP="00ED0758">
            <w:pPr>
              <w:jc w:val="center"/>
              <w:rPr>
                <w:sz w:val="24"/>
                <w:szCs w:val="24"/>
              </w:rPr>
            </w:pPr>
            <w:r w:rsidRPr="009D74E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учету замечаний</w:t>
            </w:r>
          </w:p>
        </w:tc>
      </w:tr>
      <w:tr w:rsidR="006808C7" w:rsidRPr="00182AA9" w:rsidTr="00EE06D8">
        <w:trPr>
          <w:trHeight w:val="758"/>
        </w:trPr>
        <w:tc>
          <w:tcPr>
            <w:tcW w:w="613" w:type="dxa"/>
          </w:tcPr>
          <w:p w:rsidR="006808C7" w:rsidRPr="009D74E5" w:rsidRDefault="006808C7" w:rsidP="00ED0758">
            <w:pPr>
              <w:jc w:val="center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58" w:type="dxa"/>
          </w:tcPr>
          <w:p w:rsidR="006808C7" w:rsidRPr="00086191" w:rsidRDefault="006808C7" w:rsidP="000C7922">
            <w:pPr>
              <w:ind w:firstLine="430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t>Хотя Минфин России отмечает это как достижение, мы не можем оценить целесообразность замены старого показателя «Индекс собираемости налогов» на новый показатель «Индекс собираемости основных налогов, таможенных платежей и страховых взносов» (п. 3 приложения 1), т.к. отсутствуют его целевые значения и методология расчета.</w:t>
            </w:r>
          </w:p>
        </w:tc>
        <w:tc>
          <w:tcPr>
            <w:tcW w:w="8364" w:type="dxa"/>
          </w:tcPr>
          <w:p w:rsidR="006808C7" w:rsidRPr="000C7922" w:rsidRDefault="006808C7" w:rsidP="000C7922">
            <w:pPr>
              <w:ind w:firstLine="430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Целевые значения и методология расчета показателя «Индекс собираемости основных налогов, таможенных платежей и страховых взносов» добавлены </w:t>
            </w:r>
            <w:r w:rsidR="00F37731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br/>
            </w: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в проект постановления «О внесении изменений в государственную программу Российской Федерации «Управление государственными финансами </w:t>
            </w:r>
            <w:r w:rsidR="00F37731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br/>
            </w: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и регулирование финансовых рынков» (далее соответственно – проект постановления, госпрограмма № 39).</w:t>
            </w:r>
          </w:p>
          <w:p w:rsidR="006808C7" w:rsidRPr="000C7922" w:rsidRDefault="006808C7" w:rsidP="000C7922">
            <w:pPr>
              <w:ind w:firstLine="430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Использовавшийся ранее показатель «Собираемость налогов и сборов», рассчитывался по данным налоговой отчетности как соотношение уплаченных и начисленных налогов и по сути не являлся показателем «собираемости» налогов в его экономическом смысле, поскольку не позволял определить, происходит ли сокращение теневого сектора экономики и вовлечение соответствующих экономических агентов в налоговую систему, влияние внешних макроэкономических условий на поступления, изменение законодательства, а также факторы, на которые не оказывает влияние работа Минфина России и главных администраторов доходов, и соответственно </w:t>
            </w:r>
            <w:r w:rsidR="009C0BA2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br/>
            </w: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не позволял определить связь между реализацией госпрограммы № 39 </w:t>
            </w:r>
            <w:r w:rsidR="00F37731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br/>
            </w: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и изменениями показателя. Кроме того, показатель не охватывал работу </w:t>
            </w:r>
            <w:r w:rsidR="009C0BA2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br/>
            </w: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ФТС России по администрированию таможенных платежей, составляющих существенную долю в доходах бюджета. </w:t>
            </w:r>
          </w:p>
          <w:p w:rsidR="00861002" w:rsidRPr="000C7922" w:rsidRDefault="006808C7" w:rsidP="00861002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В связи с этим Минфином России разработан новый показатель «Индекс собираемости основных налогов, таможенных платежей и страховых взносов», который позволит количественно оценить изменение собираемости (в экономическом смысле) основных доходов бюджета </w:t>
            </w:r>
            <w:r w:rsidR="00F37731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br/>
            </w: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(в сравнении с базовым периодом), будет очищен от влияния динамики макроэкономических показателей, изменений установленных размеров платежей, системы льгот и преференций, что обеспечит объективную оценку вклада работы Минфина России и главных администраторов в поступление доходов бюджета и «обеление» экономики.</w:t>
            </w:r>
          </w:p>
        </w:tc>
      </w:tr>
      <w:tr w:rsidR="006808C7" w:rsidRPr="00182AA9" w:rsidTr="00861002">
        <w:trPr>
          <w:trHeight w:val="4174"/>
        </w:trPr>
        <w:tc>
          <w:tcPr>
            <w:tcW w:w="613" w:type="dxa"/>
          </w:tcPr>
          <w:p w:rsidR="006808C7" w:rsidRPr="009D74E5" w:rsidRDefault="006808C7" w:rsidP="00ED0758">
            <w:pPr>
              <w:jc w:val="center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58" w:type="dxa"/>
          </w:tcPr>
          <w:p w:rsidR="006808C7" w:rsidRPr="009D74E5" w:rsidRDefault="006808C7" w:rsidP="00086191">
            <w:pPr>
              <w:ind w:firstLine="430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t>Установленные в настоящий момент целевые индикаторы и показатели новой подпрограммы «Управление федеральным имуществом» не приведут к максимизации доходов: например, показатель 6.3 «Доля проданных объектов имущества государственной казны Российской Федерации, подлежащих продаже в соответствии с прогнозным планом (программой) приватизации» показывает, что было продано много объектов, но, основываясь на данном показателе, невозможно установить, насколько эффективной была продажа. В связи с этим предлагается скорректировать целевые показатели подпрограммы с целью установить достижение цели в части максимизации доходов от использования имущества.</w:t>
            </w:r>
          </w:p>
          <w:p w:rsidR="006808C7" w:rsidRPr="009D74E5" w:rsidRDefault="006808C7" w:rsidP="00086191">
            <w:pPr>
              <w:ind w:firstLine="430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6808C7" w:rsidRPr="000C7922" w:rsidRDefault="006808C7" w:rsidP="000C7922">
            <w:pPr>
              <w:ind w:firstLine="430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Целью подпрограммы «Управление федеральным имуществом» (далее – подпрограмма 6) в редакции проекта постановления является повышение качества управления федеральным имуществом и максимизация доходов </w:t>
            </w:r>
            <w:r w:rsidR="00F37731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br/>
            </w: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от использования федерального имущества.</w:t>
            </w:r>
          </w:p>
          <w:p w:rsidR="006808C7" w:rsidRPr="000C7922" w:rsidRDefault="006808C7" w:rsidP="00865C69">
            <w:pPr>
              <w:ind w:firstLine="430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Реализация подпрограммы 6 характеризуется следующими показателями:</w:t>
            </w:r>
          </w:p>
          <w:p w:rsidR="006808C7" w:rsidRPr="000C7922" w:rsidRDefault="006808C7" w:rsidP="009D74E5">
            <w:pPr>
              <w:ind w:firstLine="430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показатель 6 «Доля хозяйственных обществ, права акционера (участника)</w:t>
            </w:r>
            <w:r w:rsidR="00F37731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br/>
            </w: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в которых осуществляет </w:t>
            </w:r>
            <w:proofErr w:type="spellStart"/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Росимущество</w:t>
            </w:r>
            <w:proofErr w:type="spellEnd"/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, обеспечивших перечисление дивидендных выплат (распределение прибыли между участниками) в </w:t>
            </w:r>
            <w:r w:rsidR="00086191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размере не менее 50% </w:t>
            </w: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чистой прибыли, в общем количестве таких хозяйственных обществ» (далее – показатель 6);</w:t>
            </w:r>
          </w:p>
          <w:p w:rsidR="006808C7" w:rsidRPr="000C7922" w:rsidRDefault="006808C7" w:rsidP="00865C69">
            <w:pPr>
              <w:widowControl w:val="0"/>
              <w:autoSpaceDE w:val="0"/>
              <w:autoSpaceDN w:val="0"/>
              <w:ind w:firstLine="430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показатель 6.1 «Совпадение сведений реестра федерального имущества </w:t>
            </w:r>
            <w:r w:rsidR="00F37731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br/>
            </w: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и иных государственных информационных систем, содержащих сведения </w:t>
            </w:r>
            <w:r w:rsidR="00F37731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br/>
            </w: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об объектах федерального имущества»;</w:t>
            </w:r>
          </w:p>
          <w:p w:rsidR="006808C7" w:rsidRPr="000C7922" w:rsidRDefault="006808C7" w:rsidP="00865C69">
            <w:pPr>
              <w:widowControl w:val="0"/>
              <w:autoSpaceDE w:val="0"/>
              <w:autoSpaceDN w:val="0"/>
              <w:ind w:hanging="35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показатель 6.2 «Доля объектов имущества государственной казны Российской Федерации, вовлеченных в хозяйственный оборот, от общего количества объектов имущества государственной казны Российской Федерации на конец отчетного года»; </w:t>
            </w:r>
          </w:p>
          <w:p w:rsidR="006808C7" w:rsidRPr="000C7922" w:rsidRDefault="006808C7" w:rsidP="00865C69">
            <w:pPr>
              <w:widowControl w:val="0"/>
              <w:autoSpaceDE w:val="0"/>
              <w:autoSpaceDN w:val="0"/>
              <w:ind w:firstLine="430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показатель 6.3 «Доля проданных объектов имущества государственной казны Российской Федерации, подлежащих продаже в соответствии </w:t>
            </w:r>
            <w:r w:rsidR="00F37731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br/>
            </w: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с прогнозным планом (программой) приватизации»;</w:t>
            </w:r>
          </w:p>
          <w:p w:rsidR="006808C7" w:rsidRPr="000C7922" w:rsidRDefault="006808C7" w:rsidP="00865C69">
            <w:pPr>
              <w:widowControl w:val="0"/>
              <w:autoSpaceDE w:val="0"/>
              <w:autoSpaceDN w:val="0"/>
              <w:ind w:firstLine="430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показатель 6.4 «Площадь земельных участков, находящихся в федеральной собственности, в отношении которых сформированы и уточнены границы, </w:t>
            </w:r>
            <w:r w:rsidR="00F37731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br/>
            </w: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а также внесены сведения в Единый государственный реестр недвижимости»;</w:t>
            </w:r>
          </w:p>
          <w:p w:rsidR="006808C7" w:rsidRPr="000C7922" w:rsidRDefault="006808C7" w:rsidP="00865C69">
            <w:pPr>
              <w:widowControl w:val="0"/>
              <w:autoSpaceDE w:val="0"/>
              <w:autoSpaceDN w:val="0"/>
              <w:ind w:firstLine="430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показатель 6.5 «Количество предоставленных в аренду земельных участков, распоряжение которыми осуществляет </w:t>
            </w:r>
            <w:proofErr w:type="spellStart"/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Росимущество</w:t>
            </w:r>
            <w:proofErr w:type="spellEnd"/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»;</w:t>
            </w:r>
          </w:p>
          <w:p w:rsidR="006808C7" w:rsidRPr="000C7922" w:rsidRDefault="006808C7" w:rsidP="00865C69">
            <w:pPr>
              <w:widowControl w:val="0"/>
              <w:autoSpaceDE w:val="0"/>
              <w:autoSpaceDN w:val="0"/>
              <w:ind w:firstLine="430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показатель 6.6 «Количество хозяйственных обществ с участием Российской Федерации и федеральных государственных унитарных предприятий»;</w:t>
            </w:r>
          </w:p>
          <w:p w:rsidR="006808C7" w:rsidRPr="000C7922" w:rsidRDefault="006808C7" w:rsidP="00865C69">
            <w:pPr>
              <w:widowControl w:val="0"/>
              <w:autoSpaceDE w:val="0"/>
              <w:autoSpaceDN w:val="0"/>
              <w:ind w:firstLine="288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показатель 6.7 «Доля проданных пакетов акций акционерных обществ </w:t>
            </w:r>
            <w:r w:rsidR="00F37731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br/>
            </w: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и долей участия в хозяйственных обществах, подлежащих продаже </w:t>
            </w:r>
            <w:r w:rsidR="00F37731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br/>
            </w: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в соответствии с прогнозным планом (программой) приватизации»;</w:t>
            </w:r>
          </w:p>
          <w:p w:rsidR="006808C7" w:rsidRPr="000C7922" w:rsidRDefault="006808C7" w:rsidP="009D74E5">
            <w:pPr>
              <w:ind w:firstLine="288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показатель 6.8 «Доля хозяйственных обществ, права акционера (участника) в которых осуществляет </w:t>
            </w:r>
            <w:proofErr w:type="spellStart"/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Росимущество</w:t>
            </w:r>
            <w:proofErr w:type="spellEnd"/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, федеральных государственных унитарных предприятий, уровень рентабельности активов которых составляет </w:t>
            </w:r>
            <w:r w:rsidR="00086191">
              <w:rPr>
                <w:rStyle w:val="CharStyle3Exact"/>
                <w:rFonts w:ascii="Times New Roman" w:hAnsi="Times New Roman"/>
                <w:sz w:val="24"/>
                <w:szCs w:val="24"/>
              </w:rPr>
              <w:lastRenderedPageBreak/>
              <w:t xml:space="preserve">не менее 85% </w:t>
            </w: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от среднеотраслевого уровня, в общем количестве таких хозяйственных обществ и предприятий» (далее – показатель 6.8).</w:t>
            </w:r>
          </w:p>
          <w:p w:rsidR="006808C7" w:rsidRPr="000C7922" w:rsidRDefault="006808C7" w:rsidP="00865C69">
            <w:pPr>
              <w:ind w:firstLine="288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Представленные показатели полностью соответствуют цели </w:t>
            </w:r>
            <w:r w:rsidR="00F37731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br/>
            </w: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подпрограммы 6.</w:t>
            </w:r>
          </w:p>
          <w:p w:rsidR="006808C7" w:rsidRPr="000C7922" w:rsidRDefault="006808C7" w:rsidP="009C0BA2">
            <w:pPr>
              <w:ind w:firstLine="288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Кроме того, отмечаем, что показатель 6.8 характеризует рост стоимости активов государственных компаний, показатель 6 </w:t>
            </w:r>
            <w:r w:rsidR="009C0BA2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–</w:t>
            </w: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 рост доходов от управления государственными компаниями в части дивидендных выплат. Достижение пороговых значений данных показателей направлено на максимизацию доходов федерального бюджета от использования имущества.</w:t>
            </w:r>
          </w:p>
          <w:p w:rsidR="006808C7" w:rsidRPr="000C7922" w:rsidRDefault="006808C7" w:rsidP="00865C69">
            <w:pPr>
              <w:ind w:firstLine="288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Дополнительно отмечаем, что в структуре доходов федерального бюджета, администрируемых </w:t>
            </w:r>
            <w:proofErr w:type="spellStart"/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Росимуществом</w:t>
            </w:r>
            <w:proofErr w:type="spellEnd"/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, дивидендные выплаты составляют более 90%. </w:t>
            </w:r>
          </w:p>
          <w:p w:rsidR="006808C7" w:rsidRPr="000C7922" w:rsidRDefault="006808C7" w:rsidP="0079572D">
            <w:pPr>
              <w:ind w:firstLine="288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Учитывая изложенное, корректировка показателей, характеризующих реализацию подпрограммы 6, не требуется.</w:t>
            </w:r>
          </w:p>
        </w:tc>
      </w:tr>
      <w:tr w:rsidR="006808C7" w:rsidRPr="00182AA9" w:rsidTr="00861002">
        <w:trPr>
          <w:trHeight w:val="4316"/>
        </w:trPr>
        <w:tc>
          <w:tcPr>
            <w:tcW w:w="613" w:type="dxa"/>
          </w:tcPr>
          <w:p w:rsidR="006808C7" w:rsidRPr="009D74E5" w:rsidRDefault="006808C7" w:rsidP="00ED0758">
            <w:pPr>
              <w:jc w:val="center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58" w:type="dxa"/>
          </w:tcPr>
          <w:p w:rsidR="006808C7" w:rsidRPr="009D74E5" w:rsidRDefault="006808C7" w:rsidP="00086191">
            <w:pPr>
              <w:ind w:firstLine="430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t>Подпунктом Ж, пункта 1 Проекта ожидаемые результаты реализации программы скорректированы с «либерализация условий по обязательным видам страхования, прежде всего по обязательному страхованию гражданской ответственности владельцев транспортных средств, с учетом индивидуальных особенностей каждого страхователя» на «актуализация условий для эффективного развития страховой отрасли». В связи с тем, что данные изменения в корне меняют ожидаемый результат по данному пункту, необходимо уточнить основания для такого изменения, при том, что ни в тексте Проекта, ни в пояснительной записке указанные основания не приводятся.</w:t>
            </w:r>
          </w:p>
        </w:tc>
        <w:tc>
          <w:tcPr>
            <w:tcW w:w="8364" w:type="dxa"/>
          </w:tcPr>
          <w:p w:rsidR="006808C7" w:rsidRPr="000C7922" w:rsidRDefault="00582F55" w:rsidP="000C7922">
            <w:pPr>
              <w:ind w:firstLine="430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На достижение ожидаемого результата </w:t>
            </w:r>
            <w:r w:rsidR="00E03714" w:rsidRPr="00E03714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«либерализация условий по обязательным видам страхования, прежде всего по обязательному страхованию гражданской ответственности владельцев транспортных средств, с учетом индивидуальных особенностей каждого страхователя» подпрограммы 5 «Развитие законодательства Российской Федерации в сфере финансовых рынков, валютного регулирования и валютного контроля, драгоценных металлов и драгоценных камней» (далее – подпрограмма 5) </w:t>
            </w: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="006808C7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контрольное событие 5.1.1.1 детального плана-графика реализации госпрограммы № 39</w:t>
            </w:r>
            <w:r w:rsidR="006808C7" w:rsidRPr="00E03714">
              <w:rPr>
                <w:rStyle w:val="CharStyle3Exact"/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="006808C7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 «Принят Государственной Думой Федерального Собрания Российской Федерации во втором чтении проект федерального закона, предусматривающий внесение изменений в Федеральный закон от 25 апреля 2002 г. № 40-ФЗ «Об обязательном страховании гражданской ответственности владельцев транспортных средств» (в части либерализации тарификации обязательного страхования гражданской ответственности владельцев транспортных средств)» (далее – контрольное событие 5.1.1.1), которое исполнено </w:t>
            </w:r>
            <w:r w:rsidR="00115862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="006808C7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(принят Федеральный закон от 25 мая 2020 г. № 161-ФЗ </w:t>
            </w:r>
            <w:r w:rsidR="006808C7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lastRenderedPageBreak/>
              <w:t xml:space="preserve">«О внесении изменений в Федеральный закон «Об обязательном страховании гражданской ответственности владельцев транспортных средств» </w:t>
            </w:r>
            <w:r w:rsidR="00F37731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br/>
            </w:r>
            <w:r w:rsidR="006808C7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и приостановлении действия отдельных положений Федерального закона </w:t>
            </w:r>
            <w:r w:rsidR="00F37731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br/>
            </w:r>
            <w:r w:rsidR="006808C7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«Об обязательном страховании гражданской ответственности владельцев транспортных средств»).</w:t>
            </w:r>
            <w:r w:rsidR="00115862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8C7" w:rsidRPr="00E03714" w:rsidRDefault="00E03714" w:rsidP="00E03714">
            <w:pPr>
              <w:ind w:firstLine="430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E03714">
              <w:rPr>
                <w:rStyle w:val="CharStyle3Exact"/>
                <w:rFonts w:ascii="Times New Roman" w:hAnsi="Times New Roman"/>
                <w:sz w:val="24"/>
                <w:szCs w:val="24"/>
              </w:rPr>
              <w:t>Таким образом, указанный ожидаемый результат подлежит исключению из подпрограммы 5 в связи с его достижением в рамках выполнения контрольного события</w:t>
            </w:r>
            <w:r w:rsidR="006808C7" w:rsidRPr="00E03714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 5.1.1.1</w:t>
            </w:r>
            <w:r w:rsidRPr="00E03714">
              <w:rPr>
                <w:rStyle w:val="CharStyle3Exact"/>
                <w:rFonts w:ascii="Times New Roman" w:hAnsi="Times New Roman"/>
                <w:sz w:val="24"/>
                <w:szCs w:val="24"/>
              </w:rPr>
              <w:t>.</w:t>
            </w:r>
            <w:r w:rsidR="006808C7" w:rsidRPr="00E03714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8C7" w:rsidRPr="000C7922" w:rsidRDefault="00086191" w:rsidP="000C7922">
            <w:pPr>
              <w:ind w:firstLine="430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>
              <w:rPr>
                <w:rStyle w:val="CharStyle3Exact"/>
                <w:rFonts w:ascii="Times New Roman" w:hAnsi="Times New Roman"/>
                <w:sz w:val="24"/>
                <w:szCs w:val="24"/>
              </w:rPr>
              <w:t>Вместе с тем</w:t>
            </w:r>
            <w:r w:rsidR="006808C7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 в связи с фактическим </w:t>
            </w:r>
            <w:r w:rsidR="00471C74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прекращением реализации </w:t>
            </w:r>
            <w:r w:rsidR="006808C7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в 2020 году Стратегии развития страховой деятельности в Российской Федерации </w:t>
            </w:r>
            <w:r w:rsidR="00F37731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br/>
            </w:r>
            <w:r w:rsidR="006808C7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до 2020 года</w:t>
            </w:r>
            <w:r w:rsidR="00B22D6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B22D6D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808C7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и исполнением предусмотренных Планом ее реализации мероприятий в настоящее время ведется работа над документом стратегического планирования, который будет определять приоритетные направления в страховой отрасли на очередной период. </w:t>
            </w:r>
          </w:p>
          <w:p w:rsidR="006808C7" w:rsidRDefault="006808C7" w:rsidP="0079572D">
            <w:pPr>
              <w:ind w:firstLine="430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В этой связи </w:t>
            </w:r>
            <w:r w:rsidR="00471C74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ожидаемым результатом реализации </w:t>
            </w: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подпрограмм</w:t>
            </w:r>
            <w:r w:rsidR="00471C74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ы</w:t>
            </w: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 5 госпрограммы № 39 в сфере страховой деятельности </w:t>
            </w:r>
            <w:r w:rsidR="00791175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является «</w:t>
            </w: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актуализация условий для эффективного развития страховой отрасли</w:t>
            </w:r>
            <w:r w:rsidR="00791175"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»</w:t>
            </w:r>
            <w:r w:rsidRPr="000C7922">
              <w:rPr>
                <w:rStyle w:val="CharStyle3Exact"/>
                <w:rFonts w:ascii="Times New Roman" w:hAnsi="Times New Roman"/>
                <w:sz w:val="24"/>
                <w:szCs w:val="24"/>
              </w:rPr>
              <w:t>.</w:t>
            </w:r>
          </w:p>
          <w:p w:rsidR="00861002" w:rsidRPr="000C7922" w:rsidRDefault="00861002" w:rsidP="0079572D">
            <w:pPr>
              <w:ind w:firstLine="430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</w:p>
        </w:tc>
      </w:tr>
      <w:tr w:rsidR="006808C7" w:rsidRPr="00182AA9" w:rsidTr="006808C7">
        <w:trPr>
          <w:trHeight w:val="840"/>
        </w:trPr>
        <w:tc>
          <w:tcPr>
            <w:tcW w:w="613" w:type="dxa"/>
          </w:tcPr>
          <w:p w:rsidR="006808C7" w:rsidRPr="009D74E5" w:rsidRDefault="006808C7" w:rsidP="00ED0758">
            <w:pPr>
              <w:jc w:val="center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58" w:type="dxa"/>
          </w:tcPr>
          <w:p w:rsidR="006808C7" w:rsidRPr="009D74E5" w:rsidRDefault="006808C7" w:rsidP="00086191">
            <w:pPr>
              <w:ind w:firstLine="430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t>Проектом предусмотрены ряд изменений, касающихся объема бюджетных ассигнований (</w:t>
            </w:r>
            <w:proofErr w:type="spellStart"/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. Д, </w:t>
            </w:r>
            <w:proofErr w:type="spellStart"/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. Е п. 1; </w:t>
            </w:r>
            <w:proofErr w:type="spellStart"/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. В, п. 2; </w:t>
            </w:r>
            <w:proofErr w:type="spellStart"/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t>. В, п. 3 и т.д.). Для данных изменений ни в тексте Проекта, ни в пояснительной записке такие основания не приводятся, в связи с чем возникают сомнения в их целесообразности.</w:t>
            </w:r>
          </w:p>
        </w:tc>
        <w:tc>
          <w:tcPr>
            <w:tcW w:w="8364" w:type="dxa"/>
          </w:tcPr>
          <w:p w:rsidR="0079572D" w:rsidRDefault="006808C7" w:rsidP="0079572D">
            <w:pPr>
              <w:ind w:firstLine="430"/>
              <w:jc w:val="both"/>
              <w:rPr>
                <w:rStyle w:val="CharStyle3Exact"/>
                <w:rFonts w:ascii="Times New Roman" w:hAnsi="Times New Roman"/>
                <w:sz w:val="24"/>
                <w:szCs w:val="24"/>
              </w:rPr>
            </w:pPr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Изменения в госпрограмму </w:t>
            </w:r>
            <w:r w:rsidR="00086191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№ 39 </w:t>
            </w:r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вносятся в целях ее приведения </w:t>
            </w:r>
            <w:r w:rsidR="00086191">
              <w:rPr>
                <w:rStyle w:val="CharStyle3Exact"/>
                <w:rFonts w:ascii="Times New Roman" w:hAnsi="Times New Roman"/>
                <w:sz w:val="24"/>
                <w:szCs w:val="24"/>
              </w:rPr>
              <w:br/>
            </w:r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в соответствие с </w:t>
            </w:r>
            <w:r w:rsidR="0079572D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Федеральным законом от 8 декабря 2020 г. № 385-ФЗ </w:t>
            </w:r>
            <w:r w:rsidR="00086191">
              <w:rPr>
                <w:rStyle w:val="CharStyle3Exact"/>
                <w:rFonts w:ascii="Times New Roman" w:hAnsi="Times New Roman"/>
                <w:sz w:val="24"/>
                <w:szCs w:val="24"/>
              </w:rPr>
              <w:br/>
            </w:r>
            <w:r w:rsidR="0079572D">
              <w:rPr>
                <w:rStyle w:val="CharStyle3Exact"/>
                <w:rFonts w:ascii="Times New Roman" w:hAnsi="Times New Roman"/>
                <w:sz w:val="24"/>
                <w:szCs w:val="24"/>
              </w:rPr>
              <w:t>«</w:t>
            </w:r>
            <w:r w:rsidR="0079572D" w:rsidRPr="0079572D">
              <w:rPr>
                <w:rStyle w:val="CharStyle3Exact"/>
                <w:rFonts w:ascii="Times New Roman" w:hAnsi="Times New Roman"/>
                <w:sz w:val="24"/>
                <w:szCs w:val="24"/>
              </w:rPr>
              <w:t>О федеральном бюджете на 2021 год и на пл</w:t>
            </w:r>
            <w:r w:rsidR="0079572D">
              <w:rPr>
                <w:rStyle w:val="CharStyle3Exact"/>
                <w:rFonts w:ascii="Times New Roman" w:hAnsi="Times New Roman"/>
                <w:sz w:val="24"/>
                <w:szCs w:val="24"/>
              </w:rPr>
              <w:t>ановый период 2022 и 2023 годов»</w:t>
            </w:r>
            <w:r w:rsidR="0079572D" w:rsidRPr="0079572D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 </w:t>
            </w:r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t>(далее –</w:t>
            </w:r>
            <w:r w:rsidR="0079572D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 Закон</w:t>
            </w:r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 о бюджете) во исполнение требований абзаца четвертого пункта 2 статьи 179 Бюджетного кодекса Российской Федерации. Объемы бюджетных ассигнований на реализацию </w:t>
            </w:r>
            <w:r w:rsidR="00086191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госпрограммы № 39 </w:t>
            </w:r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указаны </w:t>
            </w:r>
            <w:r w:rsidR="00086191">
              <w:rPr>
                <w:rStyle w:val="CharStyle3Exact"/>
                <w:rFonts w:ascii="Times New Roman" w:hAnsi="Times New Roman"/>
                <w:sz w:val="24"/>
                <w:szCs w:val="24"/>
              </w:rPr>
              <w:br/>
            </w:r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t xml:space="preserve">в соответствии с положениями </w:t>
            </w:r>
            <w:r w:rsidR="0079572D">
              <w:rPr>
                <w:rStyle w:val="CharStyle3Exact"/>
                <w:rFonts w:ascii="Times New Roman" w:hAnsi="Times New Roman"/>
                <w:sz w:val="24"/>
                <w:szCs w:val="24"/>
              </w:rPr>
              <w:t>З</w:t>
            </w:r>
            <w:r w:rsidRPr="009D74E5">
              <w:rPr>
                <w:rStyle w:val="CharStyle3Exact"/>
                <w:rFonts w:ascii="Times New Roman" w:hAnsi="Times New Roman"/>
                <w:sz w:val="24"/>
                <w:szCs w:val="24"/>
              </w:rPr>
              <w:t>акона о бюджете.</w:t>
            </w:r>
          </w:p>
          <w:p w:rsidR="00861002" w:rsidRPr="009D74E5" w:rsidRDefault="00861002" w:rsidP="0079572D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E01" w:rsidRDefault="00E93E01" w:rsidP="0017386B">
      <w:pPr>
        <w:jc w:val="center"/>
      </w:pPr>
    </w:p>
    <w:sectPr w:rsidR="00E93E01" w:rsidSect="006808C7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3B" w:rsidRDefault="00DD643B" w:rsidP="001220B0">
      <w:pPr>
        <w:spacing w:after="0" w:line="240" w:lineRule="auto"/>
      </w:pPr>
      <w:r>
        <w:separator/>
      </w:r>
    </w:p>
  </w:endnote>
  <w:endnote w:type="continuationSeparator" w:id="0">
    <w:p w:rsidR="00DD643B" w:rsidRDefault="00DD643B" w:rsidP="0012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3B" w:rsidRDefault="00DD643B" w:rsidP="001220B0">
      <w:pPr>
        <w:spacing w:after="0" w:line="240" w:lineRule="auto"/>
      </w:pPr>
      <w:r>
        <w:separator/>
      </w:r>
    </w:p>
  </w:footnote>
  <w:footnote w:type="continuationSeparator" w:id="0">
    <w:p w:rsidR="00DD643B" w:rsidRDefault="00DD643B" w:rsidP="001220B0">
      <w:pPr>
        <w:spacing w:after="0" w:line="240" w:lineRule="auto"/>
      </w:pPr>
      <w:r>
        <w:continuationSeparator/>
      </w:r>
    </w:p>
  </w:footnote>
  <w:footnote w:id="1">
    <w:p w:rsidR="006808C7" w:rsidRPr="006808C7" w:rsidRDefault="006808C7">
      <w:pPr>
        <w:pStyle w:val="a4"/>
        <w:rPr>
          <w:rFonts w:ascii="Times New Roman" w:hAnsi="Times New Roman" w:cs="Times New Roman"/>
        </w:rPr>
      </w:pPr>
      <w:r w:rsidRPr="006808C7">
        <w:rPr>
          <w:rStyle w:val="a6"/>
          <w:rFonts w:ascii="Times New Roman" w:hAnsi="Times New Roman" w:cs="Times New Roman"/>
        </w:rPr>
        <w:footnoteRef/>
      </w:r>
      <w:r w:rsidRPr="006808C7">
        <w:rPr>
          <w:rFonts w:ascii="Times New Roman" w:hAnsi="Times New Roman" w:cs="Times New Roman"/>
        </w:rPr>
        <w:t xml:space="preserve"> Утвержден приказом Минфина России от 17.04.2020 № 154 «Об утверждении детального плана-графика реализации государственной программы Российской Федерации «Управление государственными финансами и регулирование финансовых рынков» на 2020 год и на плановый период 2021 и 2022 годов»</w:t>
      </w:r>
    </w:p>
  </w:footnote>
  <w:footnote w:id="2">
    <w:p w:rsidR="00B22D6D" w:rsidRDefault="00B22D6D">
      <w:pPr>
        <w:pStyle w:val="a4"/>
      </w:pPr>
      <w:r w:rsidRPr="00B22D6D">
        <w:rPr>
          <w:rStyle w:val="a6"/>
          <w:rFonts w:ascii="Times New Roman" w:hAnsi="Times New Roman" w:cs="Times New Roman"/>
        </w:rPr>
        <w:footnoteRef/>
      </w:r>
      <w:r w:rsidRPr="00B22D6D">
        <w:rPr>
          <w:rStyle w:val="a6"/>
          <w:rFonts w:ascii="Times New Roman" w:hAnsi="Times New Roman" w:cs="Times New Roman"/>
        </w:rPr>
        <w:t xml:space="preserve"> </w:t>
      </w:r>
      <w:r w:rsidRPr="00B22D6D">
        <w:rPr>
          <w:rFonts w:ascii="Times New Roman" w:hAnsi="Times New Roman" w:cs="Times New Roman"/>
        </w:rPr>
        <w:t>Утверждена распоряжением Правительства Российской Федерации от 22 июля 2013 г. № 1293-р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5928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08C7" w:rsidRPr="00894E24" w:rsidRDefault="006808C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4E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4E2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4E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2D6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94E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08C7" w:rsidRPr="006808C7" w:rsidRDefault="006808C7">
    <w:pPr>
      <w:pStyle w:val="a7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4D"/>
    <w:rsid w:val="00045273"/>
    <w:rsid w:val="00086191"/>
    <w:rsid w:val="000B3D98"/>
    <w:rsid w:val="000C7922"/>
    <w:rsid w:val="000F2277"/>
    <w:rsid w:val="00115862"/>
    <w:rsid w:val="00116B36"/>
    <w:rsid w:val="001220B0"/>
    <w:rsid w:val="0017386B"/>
    <w:rsid w:val="00176554"/>
    <w:rsid w:val="00182AA9"/>
    <w:rsid w:val="002404F6"/>
    <w:rsid w:val="00250B36"/>
    <w:rsid w:val="002648BA"/>
    <w:rsid w:val="00295CA9"/>
    <w:rsid w:val="002B2E75"/>
    <w:rsid w:val="002C29FF"/>
    <w:rsid w:val="0038556D"/>
    <w:rsid w:val="00424C1C"/>
    <w:rsid w:val="00471C74"/>
    <w:rsid w:val="004740B5"/>
    <w:rsid w:val="004A0416"/>
    <w:rsid w:val="00582F55"/>
    <w:rsid w:val="005C01F0"/>
    <w:rsid w:val="005F2B72"/>
    <w:rsid w:val="00646917"/>
    <w:rsid w:val="006808C7"/>
    <w:rsid w:val="0068152B"/>
    <w:rsid w:val="006C4098"/>
    <w:rsid w:val="007353CE"/>
    <w:rsid w:val="00791175"/>
    <w:rsid w:val="0079572D"/>
    <w:rsid w:val="007C0BBD"/>
    <w:rsid w:val="007F6C8D"/>
    <w:rsid w:val="00820F49"/>
    <w:rsid w:val="00845D4D"/>
    <w:rsid w:val="00861002"/>
    <w:rsid w:val="00865C69"/>
    <w:rsid w:val="00894E24"/>
    <w:rsid w:val="008D23A3"/>
    <w:rsid w:val="00905013"/>
    <w:rsid w:val="009535CF"/>
    <w:rsid w:val="009B274A"/>
    <w:rsid w:val="009C0BA2"/>
    <w:rsid w:val="009D74E5"/>
    <w:rsid w:val="00A92EEC"/>
    <w:rsid w:val="00AA479B"/>
    <w:rsid w:val="00AE58C4"/>
    <w:rsid w:val="00AF64AA"/>
    <w:rsid w:val="00B22D6D"/>
    <w:rsid w:val="00B330A3"/>
    <w:rsid w:val="00B766FD"/>
    <w:rsid w:val="00C70D4C"/>
    <w:rsid w:val="00DD643B"/>
    <w:rsid w:val="00E03714"/>
    <w:rsid w:val="00E3751B"/>
    <w:rsid w:val="00E93E01"/>
    <w:rsid w:val="00E97301"/>
    <w:rsid w:val="00ED0758"/>
    <w:rsid w:val="00EE06D8"/>
    <w:rsid w:val="00F37731"/>
    <w:rsid w:val="00F9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3B456"/>
  <w15:chartTrackingRefBased/>
  <w15:docId w15:val="{537EF53E-CA49-4A23-ABF0-B9ACAD1A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Exact">
    <w:name w:val="Char Style 3 Exact"/>
    <w:basedOn w:val="a0"/>
    <w:uiPriority w:val="99"/>
    <w:rsid w:val="007F6C8D"/>
    <w:rPr>
      <w:rFonts w:cs="Times New Roman"/>
      <w:sz w:val="26"/>
      <w:szCs w:val="26"/>
      <w:u w:val="none"/>
    </w:rPr>
  </w:style>
  <w:style w:type="character" w:customStyle="1" w:styleId="CharStyle11">
    <w:name w:val="Char Style 11"/>
    <w:basedOn w:val="a0"/>
    <w:link w:val="Style2"/>
    <w:uiPriority w:val="99"/>
    <w:locked/>
    <w:rsid w:val="007F6C8D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1"/>
    <w:uiPriority w:val="99"/>
    <w:rsid w:val="007F6C8D"/>
    <w:pPr>
      <w:widowControl w:val="0"/>
      <w:shd w:val="clear" w:color="auto" w:fill="FFFFFF"/>
      <w:spacing w:before="240" w:after="1080" w:line="240" w:lineRule="atLeast"/>
      <w:ind w:hanging="360"/>
      <w:jc w:val="both"/>
    </w:pPr>
    <w:rPr>
      <w:rFonts w:cs="Times New Roman"/>
      <w:sz w:val="26"/>
      <w:szCs w:val="26"/>
    </w:rPr>
  </w:style>
  <w:style w:type="paragraph" w:styleId="a4">
    <w:name w:val="footnote text"/>
    <w:basedOn w:val="a"/>
    <w:link w:val="a5"/>
    <w:uiPriority w:val="99"/>
    <w:unhideWhenUsed/>
    <w:rsid w:val="001220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220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220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0B0"/>
  </w:style>
  <w:style w:type="paragraph" w:styleId="a9">
    <w:name w:val="footer"/>
    <w:basedOn w:val="a"/>
    <w:link w:val="aa"/>
    <w:uiPriority w:val="99"/>
    <w:unhideWhenUsed/>
    <w:rsid w:val="0012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0B0"/>
  </w:style>
  <w:style w:type="paragraph" w:styleId="ab">
    <w:name w:val="Balloon Text"/>
    <w:basedOn w:val="a"/>
    <w:link w:val="ac"/>
    <w:uiPriority w:val="99"/>
    <w:semiHidden/>
    <w:unhideWhenUsed/>
    <w:rsid w:val="009C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0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EFAC8-F313-47AF-943C-71B1A743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ДАРЬЯ АЛЕКСАНДРОВНА</dc:creator>
  <cp:keywords/>
  <dc:description/>
  <cp:lastModifiedBy>ДОРОХИНА ДАРЬЯ АЛЕКСАНДРОВНА</cp:lastModifiedBy>
  <cp:revision>32</cp:revision>
  <cp:lastPrinted>2020-12-11T12:09:00Z</cp:lastPrinted>
  <dcterms:created xsi:type="dcterms:W3CDTF">2020-12-03T12:41:00Z</dcterms:created>
  <dcterms:modified xsi:type="dcterms:W3CDTF">2020-12-14T09:46:00Z</dcterms:modified>
</cp:coreProperties>
</file>