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F7" w:rsidRDefault="00C63369" w:rsidP="00C63369">
      <w:pPr>
        <w:spacing w:after="0" w:line="276" w:lineRule="auto"/>
        <w:jc w:val="center"/>
        <w:rPr>
          <w:rFonts w:ascii="Times New Roman" w:eastAsia="Times New Roman" w:hAnsi="Times New Roman" w:cs="Times New Roman"/>
          <w:b/>
          <w:color w:val="000000"/>
          <w:sz w:val="28"/>
          <w:szCs w:val="28"/>
          <w:lang w:eastAsia="ru-RU"/>
        </w:rPr>
      </w:pPr>
      <w:r w:rsidRPr="00E30AD2">
        <w:rPr>
          <w:rFonts w:ascii="Times New Roman" w:eastAsia="Times New Roman" w:hAnsi="Times New Roman" w:cs="Times New Roman"/>
          <w:b/>
          <w:color w:val="000000"/>
          <w:sz w:val="28"/>
          <w:szCs w:val="28"/>
          <w:lang w:eastAsia="ru-RU"/>
        </w:rPr>
        <w:t>АНАЛИЗ</w:t>
      </w:r>
      <w:r>
        <w:rPr>
          <w:rFonts w:ascii="Times New Roman" w:eastAsia="Times New Roman" w:hAnsi="Times New Roman" w:cs="Times New Roman"/>
          <w:b/>
          <w:color w:val="000000"/>
          <w:sz w:val="28"/>
          <w:szCs w:val="28"/>
          <w:lang w:eastAsia="ru-RU"/>
        </w:rPr>
        <w:t xml:space="preserve"> </w:t>
      </w:r>
      <w:r w:rsidRPr="00E30AD2">
        <w:rPr>
          <w:rFonts w:ascii="Times New Roman" w:eastAsia="Times New Roman" w:hAnsi="Times New Roman" w:cs="Times New Roman"/>
          <w:b/>
          <w:color w:val="000000"/>
          <w:sz w:val="28"/>
          <w:szCs w:val="28"/>
          <w:lang w:eastAsia="ru-RU"/>
        </w:rPr>
        <w:t>ДЕЙСТВУЮЩЕЙ</w:t>
      </w:r>
      <w:r>
        <w:rPr>
          <w:rFonts w:ascii="Times New Roman" w:eastAsia="Times New Roman" w:hAnsi="Times New Roman" w:cs="Times New Roman"/>
          <w:b/>
          <w:color w:val="000000"/>
          <w:sz w:val="28"/>
          <w:szCs w:val="28"/>
          <w:lang w:eastAsia="ru-RU"/>
        </w:rPr>
        <w:t xml:space="preserve"> </w:t>
      </w:r>
      <w:r w:rsidRPr="00E30AD2">
        <w:rPr>
          <w:rFonts w:ascii="Times New Roman" w:eastAsia="Times New Roman" w:hAnsi="Times New Roman" w:cs="Times New Roman"/>
          <w:b/>
          <w:color w:val="000000"/>
          <w:sz w:val="28"/>
          <w:szCs w:val="28"/>
          <w:lang w:eastAsia="ru-RU"/>
        </w:rPr>
        <w:t>ПРАКТИКИ</w:t>
      </w:r>
      <w:r>
        <w:rPr>
          <w:rFonts w:ascii="Times New Roman" w:eastAsia="Times New Roman" w:hAnsi="Times New Roman" w:cs="Times New Roman"/>
          <w:b/>
          <w:color w:val="000000"/>
          <w:sz w:val="28"/>
          <w:szCs w:val="28"/>
          <w:lang w:eastAsia="ru-RU"/>
        </w:rPr>
        <w:t xml:space="preserve"> </w:t>
      </w:r>
      <w:r w:rsidRPr="00E30AD2">
        <w:rPr>
          <w:rFonts w:ascii="Times New Roman" w:eastAsia="Times New Roman" w:hAnsi="Times New Roman" w:cs="Times New Roman"/>
          <w:b/>
          <w:color w:val="000000"/>
          <w:sz w:val="28"/>
          <w:szCs w:val="28"/>
          <w:lang w:eastAsia="ru-RU"/>
        </w:rPr>
        <w:t>ФОРМИРОВАНИЯ</w:t>
      </w:r>
    </w:p>
    <w:p w:rsidR="002E2F20" w:rsidRPr="00E30AD2" w:rsidRDefault="00C63369" w:rsidP="00C63369">
      <w:pPr>
        <w:spacing w:after="0" w:line="276" w:lineRule="auto"/>
        <w:jc w:val="center"/>
        <w:rPr>
          <w:rFonts w:ascii="Times New Roman" w:eastAsia="Times New Roman" w:hAnsi="Times New Roman" w:cs="Times New Roman"/>
          <w:b/>
          <w:color w:val="000000"/>
          <w:sz w:val="28"/>
          <w:szCs w:val="28"/>
          <w:lang w:eastAsia="ru-RU"/>
        </w:rPr>
      </w:pPr>
      <w:r w:rsidRPr="00E30AD2">
        <w:rPr>
          <w:rFonts w:ascii="Times New Roman" w:eastAsia="Times New Roman" w:hAnsi="Times New Roman" w:cs="Times New Roman"/>
          <w:b/>
          <w:color w:val="000000"/>
          <w:sz w:val="28"/>
          <w:szCs w:val="28"/>
          <w:lang w:eastAsia="ru-RU"/>
        </w:rPr>
        <w:t>БЮДЖЕТНЫХ</w:t>
      </w:r>
      <w:r>
        <w:rPr>
          <w:rFonts w:ascii="Times New Roman" w:eastAsia="Times New Roman" w:hAnsi="Times New Roman" w:cs="Times New Roman"/>
          <w:b/>
          <w:color w:val="000000"/>
          <w:sz w:val="28"/>
          <w:szCs w:val="28"/>
          <w:lang w:eastAsia="ru-RU"/>
        </w:rPr>
        <w:t xml:space="preserve"> </w:t>
      </w:r>
      <w:r w:rsidRPr="00E30AD2">
        <w:rPr>
          <w:rFonts w:ascii="Times New Roman" w:eastAsia="Times New Roman" w:hAnsi="Times New Roman" w:cs="Times New Roman"/>
          <w:b/>
          <w:color w:val="000000"/>
          <w:sz w:val="28"/>
          <w:szCs w:val="28"/>
          <w:lang w:eastAsia="ru-RU"/>
        </w:rPr>
        <w:t>ПРОГНОЗОВ</w:t>
      </w:r>
      <w:r>
        <w:rPr>
          <w:rFonts w:ascii="Times New Roman" w:eastAsia="Times New Roman" w:hAnsi="Times New Roman" w:cs="Times New Roman"/>
          <w:b/>
          <w:color w:val="000000"/>
          <w:sz w:val="28"/>
          <w:szCs w:val="28"/>
          <w:lang w:eastAsia="ru-RU"/>
        </w:rPr>
        <w:t xml:space="preserve"> </w:t>
      </w:r>
      <w:r w:rsidRPr="00E30AD2">
        <w:rPr>
          <w:rFonts w:ascii="Times New Roman" w:eastAsia="Times New Roman" w:hAnsi="Times New Roman" w:cs="Times New Roman"/>
          <w:b/>
          <w:color w:val="000000"/>
          <w:sz w:val="28"/>
          <w:szCs w:val="28"/>
          <w:lang w:eastAsia="ru-RU"/>
        </w:rPr>
        <w:t>СУБЪЕКТОВ</w:t>
      </w:r>
      <w:r>
        <w:rPr>
          <w:rFonts w:ascii="Times New Roman" w:eastAsia="Times New Roman" w:hAnsi="Times New Roman" w:cs="Times New Roman"/>
          <w:b/>
          <w:color w:val="000000"/>
          <w:sz w:val="28"/>
          <w:szCs w:val="28"/>
          <w:lang w:eastAsia="ru-RU"/>
        </w:rPr>
        <w:t xml:space="preserve"> РФ</w:t>
      </w:r>
    </w:p>
    <w:p w:rsidR="002E2F20" w:rsidRPr="00E30AD2" w:rsidRDefault="002E2F20" w:rsidP="001B59EF">
      <w:pPr>
        <w:spacing w:before="120" w:after="120" w:line="276" w:lineRule="auto"/>
        <w:jc w:val="center"/>
        <w:rPr>
          <w:rFonts w:ascii="Times New Roman" w:eastAsia="Times New Roman" w:hAnsi="Times New Roman" w:cs="Times New Roman"/>
          <w:b/>
          <w:color w:val="000000"/>
          <w:sz w:val="28"/>
          <w:szCs w:val="28"/>
          <w:lang w:eastAsia="ru-RU"/>
        </w:rPr>
      </w:pPr>
    </w:p>
    <w:p w:rsidR="002E2F20" w:rsidRPr="00452A1D" w:rsidRDefault="002E2F20" w:rsidP="00C63369">
      <w:pPr>
        <w:spacing w:after="120" w:line="276" w:lineRule="auto"/>
        <w:jc w:val="both"/>
        <w:rPr>
          <w:rFonts w:ascii="Times New Roman" w:eastAsia="Times New Roman" w:hAnsi="Times New Roman" w:cs="Times New Roman"/>
          <w:b/>
          <w:color w:val="000000"/>
          <w:sz w:val="28"/>
          <w:szCs w:val="28"/>
          <w:lang w:eastAsia="ru-RU"/>
        </w:rPr>
      </w:pPr>
      <w:r w:rsidRPr="00452A1D">
        <w:rPr>
          <w:rFonts w:ascii="Times New Roman" w:eastAsia="Times New Roman" w:hAnsi="Times New Roman" w:cs="Times New Roman"/>
          <w:b/>
          <w:color w:val="000000"/>
          <w:sz w:val="28"/>
          <w:szCs w:val="28"/>
          <w:lang w:eastAsia="ru-RU"/>
        </w:rPr>
        <w:t>Введение</w:t>
      </w:r>
    </w:p>
    <w:p w:rsidR="003326BF" w:rsidRDefault="002E2F20" w:rsidP="00C63369">
      <w:pPr>
        <w:pStyle w:val="af6"/>
        <w:spacing w:before="0" w:beforeAutospacing="0" w:after="0" w:afterAutospacing="0" w:line="276" w:lineRule="auto"/>
        <w:jc w:val="both"/>
        <w:rPr>
          <w:color w:val="000000"/>
          <w:sz w:val="28"/>
          <w:szCs w:val="28"/>
        </w:rPr>
      </w:pPr>
      <w:r>
        <w:rPr>
          <w:color w:val="000000"/>
          <w:sz w:val="28"/>
          <w:szCs w:val="28"/>
        </w:rPr>
        <w:t xml:space="preserve">Задачами </w:t>
      </w:r>
      <w:r w:rsidRPr="00452A1D">
        <w:rPr>
          <w:color w:val="000000"/>
          <w:sz w:val="28"/>
          <w:szCs w:val="28"/>
        </w:rPr>
        <w:t>долгосрочного</w:t>
      </w:r>
      <w:r>
        <w:rPr>
          <w:color w:val="000000"/>
          <w:sz w:val="28"/>
          <w:szCs w:val="28"/>
        </w:rPr>
        <w:t xml:space="preserve"> </w:t>
      </w:r>
      <w:r w:rsidRPr="00452A1D">
        <w:rPr>
          <w:color w:val="000000"/>
          <w:sz w:val="28"/>
          <w:szCs w:val="28"/>
        </w:rPr>
        <w:t>бюджетного</w:t>
      </w:r>
      <w:r>
        <w:rPr>
          <w:color w:val="000000"/>
          <w:sz w:val="28"/>
          <w:szCs w:val="28"/>
        </w:rPr>
        <w:t xml:space="preserve"> </w:t>
      </w:r>
      <w:r w:rsidRPr="00452A1D">
        <w:rPr>
          <w:color w:val="000000"/>
          <w:sz w:val="28"/>
          <w:szCs w:val="28"/>
        </w:rPr>
        <w:t>планирования</w:t>
      </w:r>
      <w:r>
        <w:rPr>
          <w:color w:val="000000"/>
          <w:sz w:val="28"/>
          <w:szCs w:val="28"/>
        </w:rPr>
        <w:t xml:space="preserve"> </w:t>
      </w:r>
      <w:r w:rsidRPr="00452A1D">
        <w:rPr>
          <w:color w:val="000000"/>
          <w:sz w:val="28"/>
          <w:szCs w:val="28"/>
        </w:rPr>
        <w:t>явля</w:t>
      </w:r>
      <w:r>
        <w:rPr>
          <w:color w:val="000000"/>
          <w:sz w:val="28"/>
          <w:szCs w:val="28"/>
        </w:rPr>
        <w:t>ю</w:t>
      </w:r>
      <w:r w:rsidRPr="00452A1D">
        <w:rPr>
          <w:color w:val="000000"/>
          <w:sz w:val="28"/>
          <w:szCs w:val="28"/>
        </w:rPr>
        <w:t>тся</w:t>
      </w:r>
      <w:r>
        <w:rPr>
          <w:color w:val="000000"/>
          <w:sz w:val="28"/>
          <w:szCs w:val="28"/>
        </w:rPr>
        <w:t xml:space="preserve"> </w:t>
      </w:r>
      <w:r w:rsidRPr="00452A1D">
        <w:rPr>
          <w:color w:val="000000"/>
          <w:sz w:val="28"/>
          <w:szCs w:val="28"/>
        </w:rPr>
        <w:t>обеспечение</w:t>
      </w:r>
      <w:r>
        <w:rPr>
          <w:color w:val="000000"/>
          <w:sz w:val="28"/>
          <w:szCs w:val="28"/>
        </w:rPr>
        <w:t xml:space="preserve"> </w:t>
      </w:r>
      <w:r w:rsidRPr="00452A1D">
        <w:rPr>
          <w:color w:val="000000"/>
          <w:sz w:val="28"/>
          <w:szCs w:val="28"/>
        </w:rPr>
        <w:t>предсказуемости</w:t>
      </w:r>
      <w:r>
        <w:rPr>
          <w:color w:val="000000"/>
          <w:sz w:val="28"/>
          <w:szCs w:val="28"/>
        </w:rPr>
        <w:t xml:space="preserve"> </w:t>
      </w:r>
      <w:r w:rsidRPr="00452A1D">
        <w:rPr>
          <w:color w:val="000000"/>
          <w:sz w:val="28"/>
          <w:szCs w:val="28"/>
        </w:rPr>
        <w:t>развития</w:t>
      </w:r>
      <w:r>
        <w:rPr>
          <w:color w:val="000000"/>
          <w:sz w:val="28"/>
          <w:szCs w:val="28"/>
        </w:rPr>
        <w:t xml:space="preserve"> </w:t>
      </w:r>
      <w:r w:rsidRPr="00452A1D">
        <w:rPr>
          <w:color w:val="000000"/>
          <w:sz w:val="28"/>
          <w:szCs w:val="28"/>
        </w:rPr>
        <w:t>бюджетов</w:t>
      </w:r>
      <w:r>
        <w:rPr>
          <w:color w:val="000000"/>
          <w:sz w:val="28"/>
          <w:szCs w:val="28"/>
        </w:rPr>
        <w:t xml:space="preserve"> </w:t>
      </w:r>
      <w:r w:rsidRPr="00452A1D">
        <w:rPr>
          <w:color w:val="000000"/>
          <w:sz w:val="28"/>
          <w:szCs w:val="28"/>
        </w:rPr>
        <w:t>бюджетной</w:t>
      </w:r>
      <w:r>
        <w:rPr>
          <w:color w:val="000000"/>
          <w:sz w:val="28"/>
          <w:szCs w:val="28"/>
        </w:rPr>
        <w:t xml:space="preserve"> </w:t>
      </w:r>
      <w:r w:rsidRPr="00452A1D">
        <w:rPr>
          <w:color w:val="000000"/>
          <w:sz w:val="28"/>
          <w:szCs w:val="28"/>
        </w:rPr>
        <w:t>системы</w:t>
      </w:r>
      <w:r>
        <w:rPr>
          <w:color w:val="000000"/>
          <w:sz w:val="28"/>
          <w:szCs w:val="28"/>
        </w:rPr>
        <w:t xml:space="preserve"> </w:t>
      </w:r>
      <w:r w:rsidR="00BD337E">
        <w:rPr>
          <w:color w:val="000000"/>
          <w:sz w:val="28"/>
          <w:szCs w:val="28"/>
        </w:rPr>
        <w:t>РФ</w:t>
      </w:r>
      <w:r w:rsidRPr="00452A1D">
        <w:rPr>
          <w:color w:val="000000"/>
          <w:sz w:val="28"/>
          <w:szCs w:val="28"/>
        </w:rPr>
        <w:t>,</w:t>
      </w:r>
      <w:r>
        <w:rPr>
          <w:color w:val="000000"/>
          <w:sz w:val="28"/>
          <w:szCs w:val="28"/>
        </w:rPr>
        <w:t xml:space="preserve"> </w:t>
      </w:r>
      <w:r w:rsidR="003326BF">
        <w:rPr>
          <w:color w:val="000000"/>
          <w:sz w:val="28"/>
          <w:szCs w:val="28"/>
        </w:rPr>
        <w:t xml:space="preserve">а также </w:t>
      </w:r>
      <w:r w:rsidRPr="00E30AD2">
        <w:rPr>
          <w:color w:val="000000"/>
          <w:sz w:val="28"/>
          <w:szCs w:val="28"/>
        </w:rPr>
        <w:t>повышение</w:t>
      </w:r>
      <w:r>
        <w:rPr>
          <w:color w:val="000000"/>
          <w:sz w:val="28"/>
          <w:szCs w:val="28"/>
        </w:rPr>
        <w:t xml:space="preserve"> </w:t>
      </w:r>
      <w:r w:rsidRPr="00E30AD2">
        <w:rPr>
          <w:color w:val="000000"/>
          <w:sz w:val="28"/>
          <w:szCs w:val="28"/>
        </w:rPr>
        <w:t>их</w:t>
      </w:r>
      <w:r>
        <w:rPr>
          <w:color w:val="000000"/>
          <w:sz w:val="28"/>
          <w:szCs w:val="28"/>
        </w:rPr>
        <w:t xml:space="preserve"> </w:t>
      </w:r>
      <w:r w:rsidRPr="00E30AD2">
        <w:rPr>
          <w:color w:val="000000"/>
          <w:sz w:val="28"/>
          <w:szCs w:val="28"/>
        </w:rPr>
        <w:t>финансовой</w:t>
      </w:r>
      <w:r>
        <w:rPr>
          <w:color w:val="000000"/>
          <w:sz w:val="28"/>
          <w:szCs w:val="28"/>
        </w:rPr>
        <w:t xml:space="preserve"> </w:t>
      </w:r>
      <w:r w:rsidRPr="00E30AD2">
        <w:rPr>
          <w:color w:val="000000"/>
          <w:sz w:val="28"/>
          <w:szCs w:val="28"/>
        </w:rPr>
        <w:t>устойчивости</w:t>
      </w:r>
      <w:r>
        <w:rPr>
          <w:color w:val="000000"/>
          <w:sz w:val="28"/>
          <w:szCs w:val="28"/>
        </w:rPr>
        <w:t xml:space="preserve"> </w:t>
      </w:r>
      <w:r w:rsidRPr="00E30AD2">
        <w:rPr>
          <w:color w:val="000000"/>
          <w:sz w:val="28"/>
          <w:szCs w:val="28"/>
        </w:rPr>
        <w:t>в</w:t>
      </w:r>
      <w:r>
        <w:rPr>
          <w:color w:val="000000"/>
          <w:sz w:val="28"/>
          <w:szCs w:val="28"/>
        </w:rPr>
        <w:t xml:space="preserve"> </w:t>
      </w:r>
      <w:r w:rsidRPr="00E30AD2">
        <w:rPr>
          <w:color w:val="000000"/>
          <w:sz w:val="28"/>
          <w:szCs w:val="28"/>
        </w:rPr>
        <w:t>долгосрочном</w:t>
      </w:r>
      <w:r>
        <w:rPr>
          <w:color w:val="000000"/>
          <w:sz w:val="28"/>
          <w:szCs w:val="28"/>
        </w:rPr>
        <w:t xml:space="preserve"> </w:t>
      </w:r>
      <w:r w:rsidRPr="00E30AD2">
        <w:rPr>
          <w:color w:val="000000"/>
          <w:sz w:val="28"/>
          <w:szCs w:val="28"/>
        </w:rPr>
        <w:t>периоде.</w:t>
      </w:r>
    </w:p>
    <w:p w:rsidR="002E2F20" w:rsidRPr="00E30AD2" w:rsidRDefault="002E2F20" w:rsidP="00C63369">
      <w:pPr>
        <w:pStyle w:val="af6"/>
        <w:spacing w:before="0" w:beforeAutospacing="0" w:after="0" w:afterAutospacing="0" w:line="276" w:lineRule="auto"/>
        <w:jc w:val="both"/>
        <w:rPr>
          <w:color w:val="000000"/>
          <w:sz w:val="28"/>
          <w:szCs w:val="28"/>
        </w:rPr>
      </w:pPr>
      <w:r w:rsidRPr="00E30AD2">
        <w:rPr>
          <w:color w:val="000000"/>
          <w:sz w:val="28"/>
          <w:szCs w:val="28"/>
        </w:rPr>
        <w:t>Бюджетный</w:t>
      </w:r>
      <w:r>
        <w:rPr>
          <w:color w:val="000000"/>
          <w:sz w:val="28"/>
          <w:szCs w:val="28"/>
        </w:rPr>
        <w:t xml:space="preserve"> </w:t>
      </w:r>
      <w:r w:rsidRPr="00E30AD2">
        <w:rPr>
          <w:color w:val="000000"/>
          <w:sz w:val="28"/>
          <w:szCs w:val="28"/>
        </w:rPr>
        <w:t>прогноз</w:t>
      </w:r>
      <w:r>
        <w:rPr>
          <w:color w:val="000000"/>
          <w:sz w:val="28"/>
          <w:szCs w:val="28"/>
        </w:rPr>
        <w:t xml:space="preserve"> </w:t>
      </w:r>
      <w:r w:rsidRPr="00E30AD2">
        <w:rPr>
          <w:color w:val="000000"/>
          <w:sz w:val="28"/>
          <w:szCs w:val="28"/>
        </w:rPr>
        <w:t>на</w:t>
      </w:r>
      <w:r>
        <w:rPr>
          <w:color w:val="000000"/>
          <w:sz w:val="28"/>
          <w:szCs w:val="28"/>
        </w:rPr>
        <w:t xml:space="preserve"> </w:t>
      </w:r>
      <w:r w:rsidRPr="00E30AD2">
        <w:rPr>
          <w:color w:val="000000"/>
          <w:sz w:val="28"/>
          <w:szCs w:val="28"/>
        </w:rPr>
        <w:t>долгосрочный</w:t>
      </w:r>
      <w:r>
        <w:rPr>
          <w:color w:val="000000"/>
          <w:sz w:val="28"/>
          <w:szCs w:val="28"/>
        </w:rPr>
        <w:t xml:space="preserve"> </w:t>
      </w:r>
      <w:r w:rsidRPr="00E30AD2">
        <w:rPr>
          <w:color w:val="000000"/>
          <w:sz w:val="28"/>
          <w:szCs w:val="28"/>
        </w:rPr>
        <w:t>период</w:t>
      </w:r>
      <w:r>
        <w:rPr>
          <w:color w:val="000000"/>
          <w:sz w:val="28"/>
          <w:szCs w:val="28"/>
        </w:rPr>
        <w:t xml:space="preserve"> </w:t>
      </w:r>
      <w:r w:rsidRPr="00452A1D">
        <w:rPr>
          <w:color w:val="000000"/>
          <w:sz w:val="28"/>
          <w:szCs w:val="28"/>
        </w:rPr>
        <w:t>позволяет</w:t>
      </w:r>
      <w:r>
        <w:rPr>
          <w:color w:val="000000"/>
          <w:sz w:val="28"/>
          <w:szCs w:val="28"/>
        </w:rPr>
        <w:t xml:space="preserve"> </w:t>
      </w:r>
      <w:r w:rsidRPr="00452A1D">
        <w:rPr>
          <w:color w:val="000000"/>
          <w:sz w:val="28"/>
          <w:szCs w:val="28"/>
        </w:rPr>
        <w:t>оценивать</w:t>
      </w:r>
      <w:r>
        <w:rPr>
          <w:color w:val="000000"/>
          <w:sz w:val="28"/>
          <w:szCs w:val="28"/>
        </w:rPr>
        <w:t xml:space="preserve"> </w:t>
      </w:r>
      <w:r w:rsidRPr="00452A1D">
        <w:rPr>
          <w:color w:val="000000"/>
          <w:sz w:val="28"/>
          <w:szCs w:val="28"/>
        </w:rPr>
        <w:t>на</w:t>
      </w:r>
      <w:r>
        <w:rPr>
          <w:color w:val="000000"/>
          <w:sz w:val="28"/>
          <w:szCs w:val="28"/>
        </w:rPr>
        <w:t xml:space="preserve"> </w:t>
      </w:r>
      <w:r w:rsidRPr="00452A1D">
        <w:rPr>
          <w:color w:val="000000"/>
          <w:sz w:val="28"/>
          <w:szCs w:val="28"/>
        </w:rPr>
        <w:t>вариантной</w:t>
      </w:r>
      <w:r>
        <w:rPr>
          <w:color w:val="000000"/>
          <w:sz w:val="28"/>
          <w:szCs w:val="28"/>
        </w:rPr>
        <w:t xml:space="preserve"> </w:t>
      </w:r>
      <w:r w:rsidRPr="00452A1D">
        <w:rPr>
          <w:color w:val="000000"/>
          <w:sz w:val="28"/>
          <w:szCs w:val="28"/>
        </w:rPr>
        <w:t>основе</w:t>
      </w:r>
      <w:r>
        <w:rPr>
          <w:color w:val="000000"/>
          <w:sz w:val="28"/>
          <w:szCs w:val="28"/>
        </w:rPr>
        <w:t xml:space="preserve"> </w:t>
      </w:r>
      <w:r w:rsidRPr="00452A1D">
        <w:rPr>
          <w:color w:val="000000"/>
          <w:sz w:val="28"/>
          <w:szCs w:val="28"/>
        </w:rPr>
        <w:t>тенденции</w:t>
      </w:r>
      <w:r>
        <w:rPr>
          <w:color w:val="000000"/>
          <w:sz w:val="28"/>
          <w:szCs w:val="28"/>
        </w:rPr>
        <w:t xml:space="preserve"> </w:t>
      </w:r>
      <w:r w:rsidRPr="00452A1D">
        <w:rPr>
          <w:color w:val="000000"/>
          <w:sz w:val="28"/>
          <w:szCs w:val="28"/>
        </w:rPr>
        <w:t>изменений</w:t>
      </w:r>
      <w:r>
        <w:rPr>
          <w:color w:val="000000"/>
          <w:sz w:val="28"/>
          <w:szCs w:val="28"/>
        </w:rPr>
        <w:t xml:space="preserve"> </w:t>
      </w:r>
      <w:r w:rsidRPr="00452A1D">
        <w:rPr>
          <w:color w:val="000000"/>
          <w:sz w:val="28"/>
          <w:szCs w:val="28"/>
        </w:rPr>
        <w:t>объема</w:t>
      </w:r>
      <w:r>
        <w:rPr>
          <w:color w:val="000000"/>
          <w:sz w:val="28"/>
          <w:szCs w:val="28"/>
        </w:rPr>
        <w:t xml:space="preserve"> </w:t>
      </w:r>
      <w:r w:rsidRPr="00452A1D">
        <w:rPr>
          <w:color w:val="000000"/>
          <w:sz w:val="28"/>
          <w:szCs w:val="28"/>
        </w:rPr>
        <w:t>и</w:t>
      </w:r>
      <w:r>
        <w:rPr>
          <w:color w:val="000000"/>
          <w:sz w:val="28"/>
          <w:szCs w:val="28"/>
        </w:rPr>
        <w:t xml:space="preserve"> </w:t>
      </w:r>
      <w:r w:rsidRPr="00452A1D">
        <w:rPr>
          <w:color w:val="000000"/>
          <w:sz w:val="28"/>
          <w:szCs w:val="28"/>
        </w:rPr>
        <w:t>структуры</w:t>
      </w:r>
      <w:r>
        <w:rPr>
          <w:color w:val="000000"/>
          <w:sz w:val="28"/>
          <w:szCs w:val="28"/>
        </w:rPr>
        <w:t xml:space="preserve"> </w:t>
      </w:r>
      <w:r w:rsidRPr="00452A1D">
        <w:rPr>
          <w:color w:val="000000"/>
          <w:sz w:val="28"/>
          <w:szCs w:val="28"/>
        </w:rPr>
        <w:t>доходов</w:t>
      </w:r>
      <w:r>
        <w:rPr>
          <w:color w:val="000000"/>
          <w:sz w:val="28"/>
          <w:szCs w:val="28"/>
        </w:rPr>
        <w:t xml:space="preserve"> </w:t>
      </w:r>
      <w:r w:rsidRPr="00452A1D">
        <w:rPr>
          <w:color w:val="000000"/>
          <w:sz w:val="28"/>
          <w:szCs w:val="28"/>
        </w:rPr>
        <w:t>и</w:t>
      </w:r>
      <w:r>
        <w:rPr>
          <w:color w:val="000000"/>
          <w:sz w:val="28"/>
          <w:szCs w:val="28"/>
        </w:rPr>
        <w:t xml:space="preserve"> </w:t>
      </w:r>
      <w:r w:rsidRPr="00452A1D">
        <w:rPr>
          <w:color w:val="000000"/>
          <w:sz w:val="28"/>
          <w:szCs w:val="28"/>
        </w:rPr>
        <w:t>расходов</w:t>
      </w:r>
      <w:r>
        <w:rPr>
          <w:color w:val="000000"/>
          <w:sz w:val="28"/>
          <w:szCs w:val="28"/>
        </w:rPr>
        <w:t xml:space="preserve"> </w:t>
      </w:r>
      <w:r w:rsidRPr="00452A1D">
        <w:rPr>
          <w:color w:val="000000"/>
          <w:sz w:val="28"/>
          <w:szCs w:val="28"/>
        </w:rPr>
        <w:t>бюджетов,</w:t>
      </w:r>
      <w:r>
        <w:rPr>
          <w:color w:val="000000"/>
          <w:sz w:val="28"/>
          <w:szCs w:val="28"/>
        </w:rPr>
        <w:t xml:space="preserve"> </w:t>
      </w:r>
      <w:r w:rsidRPr="00452A1D">
        <w:rPr>
          <w:color w:val="000000"/>
          <w:sz w:val="28"/>
          <w:szCs w:val="28"/>
        </w:rPr>
        <w:t>структуры</w:t>
      </w:r>
      <w:r>
        <w:rPr>
          <w:color w:val="000000"/>
          <w:sz w:val="28"/>
          <w:szCs w:val="28"/>
        </w:rPr>
        <w:t xml:space="preserve"> </w:t>
      </w:r>
      <w:r w:rsidRPr="00452A1D">
        <w:rPr>
          <w:color w:val="000000"/>
          <w:sz w:val="28"/>
          <w:szCs w:val="28"/>
        </w:rPr>
        <w:t>и</w:t>
      </w:r>
      <w:r>
        <w:rPr>
          <w:color w:val="000000"/>
          <w:sz w:val="28"/>
          <w:szCs w:val="28"/>
        </w:rPr>
        <w:t xml:space="preserve"> </w:t>
      </w:r>
      <w:r w:rsidRPr="00452A1D">
        <w:rPr>
          <w:color w:val="000000"/>
          <w:sz w:val="28"/>
          <w:szCs w:val="28"/>
        </w:rPr>
        <w:t>условий</w:t>
      </w:r>
      <w:r>
        <w:rPr>
          <w:color w:val="000000"/>
          <w:sz w:val="28"/>
          <w:szCs w:val="28"/>
        </w:rPr>
        <w:t xml:space="preserve"> </w:t>
      </w:r>
      <w:r w:rsidRPr="00452A1D">
        <w:rPr>
          <w:color w:val="000000"/>
          <w:sz w:val="28"/>
          <w:szCs w:val="28"/>
        </w:rPr>
        <w:t>привлечения</w:t>
      </w:r>
      <w:r>
        <w:rPr>
          <w:color w:val="000000"/>
          <w:sz w:val="28"/>
          <w:szCs w:val="28"/>
        </w:rPr>
        <w:t xml:space="preserve"> </w:t>
      </w:r>
      <w:r w:rsidRPr="00452A1D">
        <w:rPr>
          <w:color w:val="000000"/>
          <w:sz w:val="28"/>
          <w:szCs w:val="28"/>
        </w:rPr>
        <w:t>и</w:t>
      </w:r>
      <w:r>
        <w:rPr>
          <w:color w:val="000000"/>
          <w:sz w:val="28"/>
          <w:szCs w:val="28"/>
        </w:rPr>
        <w:t xml:space="preserve"> </w:t>
      </w:r>
      <w:r w:rsidRPr="00452A1D">
        <w:rPr>
          <w:color w:val="000000"/>
          <w:sz w:val="28"/>
          <w:szCs w:val="28"/>
        </w:rPr>
        <w:t>обслуживания</w:t>
      </w:r>
      <w:r>
        <w:rPr>
          <w:color w:val="000000"/>
          <w:sz w:val="28"/>
          <w:szCs w:val="28"/>
        </w:rPr>
        <w:t xml:space="preserve"> </w:t>
      </w:r>
      <w:r w:rsidRPr="00452A1D">
        <w:rPr>
          <w:color w:val="000000"/>
          <w:sz w:val="28"/>
          <w:szCs w:val="28"/>
        </w:rPr>
        <w:t>заимствований,</w:t>
      </w:r>
      <w:r>
        <w:rPr>
          <w:color w:val="000000"/>
          <w:sz w:val="28"/>
          <w:szCs w:val="28"/>
        </w:rPr>
        <w:t xml:space="preserve"> </w:t>
      </w:r>
      <w:r w:rsidRPr="00452A1D">
        <w:rPr>
          <w:color w:val="000000"/>
          <w:sz w:val="28"/>
          <w:szCs w:val="28"/>
        </w:rPr>
        <w:t>межбюджетного</w:t>
      </w:r>
      <w:r>
        <w:rPr>
          <w:color w:val="000000"/>
          <w:sz w:val="28"/>
          <w:szCs w:val="28"/>
        </w:rPr>
        <w:t xml:space="preserve"> </w:t>
      </w:r>
      <w:r w:rsidRPr="00452A1D">
        <w:rPr>
          <w:color w:val="000000"/>
          <w:sz w:val="28"/>
          <w:szCs w:val="28"/>
        </w:rPr>
        <w:t>регулирования,</w:t>
      </w:r>
      <w:r>
        <w:rPr>
          <w:color w:val="000000"/>
          <w:sz w:val="28"/>
          <w:szCs w:val="28"/>
        </w:rPr>
        <w:t xml:space="preserve"> </w:t>
      </w:r>
      <w:r w:rsidRPr="00452A1D">
        <w:rPr>
          <w:color w:val="000000"/>
          <w:sz w:val="28"/>
          <w:szCs w:val="28"/>
        </w:rPr>
        <w:t>а</w:t>
      </w:r>
      <w:r>
        <w:rPr>
          <w:color w:val="000000"/>
          <w:sz w:val="28"/>
          <w:szCs w:val="28"/>
        </w:rPr>
        <w:t xml:space="preserve"> </w:t>
      </w:r>
      <w:r w:rsidRPr="00452A1D">
        <w:rPr>
          <w:color w:val="000000"/>
          <w:sz w:val="28"/>
          <w:szCs w:val="28"/>
        </w:rPr>
        <w:t>также</w:t>
      </w:r>
      <w:r>
        <w:rPr>
          <w:color w:val="000000"/>
          <w:sz w:val="28"/>
          <w:szCs w:val="28"/>
        </w:rPr>
        <w:t xml:space="preserve"> </w:t>
      </w:r>
      <w:r w:rsidRPr="00452A1D">
        <w:rPr>
          <w:color w:val="000000"/>
          <w:sz w:val="28"/>
          <w:szCs w:val="28"/>
        </w:rPr>
        <w:t>выработать</w:t>
      </w:r>
      <w:r>
        <w:rPr>
          <w:color w:val="000000"/>
          <w:sz w:val="28"/>
          <w:szCs w:val="28"/>
        </w:rPr>
        <w:t xml:space="preserve"> </w:t>
      </w:r>
      <w:r w:rsidRPr="00452A1D">
        <w:rPr>
          <w:color w:val="000000"/>
          <w:sz w:val="28"/>
          <w:szCs w:val="28"/>
        </w:rPr>
        <w:t>на</w:t>
      </w:r>
      <w:r>
        <w:rPr>
          <w:color w:val="000000"/>
          <w:sz w:val="28"/>
          <w:szCs w:val="28"/>
        </w:rPr>
        <w:t xml:space="preserve"> </w:t>
      </w:r>
      <w:r w:rsidRPr="00452A1D">
        <w:rPr>
          <w:color w:val="000000"/>
          <w:sz w:val="28"/>
          <w:szCs w:val="28"/>
        </w:rPr>
        <w:t>их</w:t>
      </w:r>
      <w:r>
        <w:rPr>
          <w:color w:val="000000"/>
          <w:sz w:val="28"/>
          <w:szCs w:val="28"/>
        </w:rPr>
        <w:t xml:space="preserve"> </w:t>
      </w:r>
      <w:r w:rsidRPr="00452A1D">
        <w:rPr>
          <w:color w:val="000000"/>
          <w:sz w:val="28"/>
          <w:szCs w:val="28"/>
        </w:rPr>
        <w:t>основе</w:t>
      </w:r>
      <w:r>
        <w:rPr>
          <w:color w:val="000000"/>
          <w:sz w:val="28"/>
          <w:szCs w:val="28"/>
        </w:rPr>
        <w:t xml:space="preserve"> </w:t>
      </w:r>
      <w:r w:rsidRPr="00452A1D">
        <w:rPr>
          <w:color w:val="000000"/>
          <w:sz w:val="28"/>
          <w:szCs w:val="28"/>
        </w:rPr>
        <w:t>соответствующие</w:t>
      </w:r>
      <w:r>
        <w:rPr>
          <w:color w:val="000000"/>
          <w:sz w:val="28"/>
          <w:szCs w:val="28"/>
        </w:rPr>
        <w:t xml:space="preserve"> </w:t>
      </w:r>
      <w:r w:rsidRPr="00452A1D">
        <w:rPr>
          <w:color w:val="000000"/>
          <w:sz w:val="28"/>
          <w:szCs w:val="28"/>
        </w:rPr>
        <w:t>меры,</w:t>
      </w:r>
      <w:r>
        <w:rPr>
          <w:color w:val="000000"/>
          <w:sz w:val="28"/>
          <w:szCs w:val="28"/>
        </w:rPr>
        <w:t xml:space="preserve"> </w:t>
      </w:r>
      <w:r w:rsidRPr="00452A1D">
        <w:rPr>
          <w:color w:val="000000"/>
          <w:sz w:val="28"/>
          <w:szCs w:val="28"/>
        </w:rPr>
        <w:t>направле</w:t>
      </w:r>
      <w:r>
        <w:rPr>
          <w:color w:val="000000"/>
          <w:sz w:val="28"/>
          <w:szCs w:val="28"/>
        </w:rPr>
        <w:t xml:space="preserve">нные на повышение эффективности </w:t>
      </w:r>
      <w:r w:rsidRPr="00452A1D">
        <w:rPr>
          <w:color w:val="000000"/>
          <w:sz w:val="28"/>
          <w:szCs w:val="28"/>
        </w:rPr>
        <w:t>функционирования</w:t>
      </w:r>
      <w:r>
        <w:rPr>
          <w:color w:val="000000"/>
          <w:sz w:val="28"/>
          <w:szCs w:val="28"/>
        </w:rPr>
        <w:t xml:space="preserve"> </w:t>
      </w:r>
      <w:r w:rsidRPr="00452A1D">
        <w:rPr>
          <w:color w:val="000000"/>
          <w:sz w:val="28"/>
          <w:szCs w:val="28"/>
        </w:rPr>
        <w:t>бюджетной</w:t>
      </w:r>
      <w:r>
        <w:rPr>
          <w:color w:val="000000"/>
          <w:sz w:val="28"/>
          <w:szCs w:val="28"/>
        </w:rPr>
        <w:t xml:space="preserve"> </w:t>
      </w:r>
      <w:r w:rsidRPr="00452A1D">
        <w:rPr>
          <w:color w:val="000000"/>
          <w:sz w:val="28"/>
          <w:szCs w:val="28"/>
        </w:rPr>
        <w:t>системы,</w:t>
      </w:r>
      <w:r>
        <w:rPr>
          <w:color w:val="000000"/>
          <w:sz w:val="28"/>
          <w:szCs w:val="28"/>
        </w:rPr>
        <w:t xml:space="preserve"> </w:t>
      </w:r>
      <w:r w:rsidRPr="00452A1D">
        <w:rPr>
          <w:color w:val="000000"/>
          <w:sz w:val="28"/>
          <w:szCs w:val="28"/>
        </w:rPr>
        <w:t>ее</w:t>
      </w:r>
      <w:r>
        <w:rPr>
          <w:color w:val="000000"/>
          <w:sz w:val="28"/>
          <w:szCs w:val="28"/>
        </w:rPr>
        <w:t xml:space="preserve"> </w:t>
      </w:r>
      <w:r w:rsidRPr="00452A1D">
        <w:rPr>
          <w:color w:val="000000"/>
          <w:sz w:val="28"/>
          <w:szCs w:val="28"/>
        </w:rPr>
        <w:t>роли</w:t>
      </w:r>
      <w:r>
        <w:rPr>
          <w:color w:val="000000"/>
          <w:sz w:val="28"/>
          <w:szCs w:val="28"/>
        </w:rPr>
        <w:t xml:space="preserve"> </w:t>
      </w:r>
      <w:r w:rsidRPr="00452A1D">
        <w:rPr>
          <w:color w:val="000000"/>
          <w:sz w:val="28"/>
          <w:szCs w:val="28"/>
        </w:rPr>
        <w:t>в</w:t>
      </w:r>
      <w:r>
        <w:rPr>
          <w:color w:val="000000"/>
          <w:sz w:val="28"/>
          <w:szCs w:val="28"/>
        </w:rPr>
        <w:t xml:space="preserve"> </w:t>
      </w:r>
      <w:r w:rsidRPr="00452A1D">
        <w:rPr>
          <w:color w:val="000000"/>
          <w:sz w:val="28"/>
          <w:szCs w:val="28"/>
        </w:rPr>
        <w:t>стимулировании</w:t>
      </w:r>
      <w:r>
        <w:rPr>
          <w:color w:val="000000"/>
          <w:sz w:val="28"/>
          <w:szCs w:val="28"/>
        </w:rPr>
        <w:t xml:space="preserve"> </w:t>
      </w:r>
      <w:r w:rsidRPr="00452A1D">
        <w:rPr>
          <w:color w:val="000000"/>
          <w:sz w:val="28"/>
          <w:szCs w:val="28"/>
        </w:rPr>
        <w:t>соц</w:t>
      </w:r>
      <w:r>
        <w:rPr>
          <w:color w:val="000000"/>
          <w:sz w:val="28"/>
          <w:szCs w:val="28"/>
        </w:rPr>
        <w:t xml:space="preserve">иально-экономического развития, </w:t>
      </w:r>
      <w:r w:rsidRPr="00452A1D">
        <w:rPr>
          <w:color w:val="000000"/>
          <w:sz w:val="28"/>
          <w:szCs w:val="28"/>
        </w:rPr>
        <w:t>решени</w:t>
      </w:r>
      <w:r>
        <w:rPr>
          <w:color w:val="000000"/>
          <w:sz w:val="28"/>
          <w:szCs w:val="28"/>
        </w:rPr>
        <w:t xml:space="preserve">и </w:t>
      </w:r>
      <w:r w:rsidRPr="00452A1D">
        <w:rPr>
          <w:color w:val="000000"/>
          <w:sz w:val="28"/>
          <w:szCs w:val="28"/>
        </w:rPr>
        <w:t>стратегических</w:t>
      </w:r>
      <w:r>
        <w:rPr>
          <w:color w:val="000000"/>
          <w:sz w:val="28"/>
          <w:szCs w:val="28"/>
        </w:rPr>
        <w:t xml:space="preserve"> </w:t>
      </w:r>
      <w:r w:rsidRPr="00452A1D">
        <w:rPr>
          <w:color w:val="000000"/>
          <w:sz w:val="28"/>
          <w:szCs w:val="28"/>
        </w:rPr>
        <w:t>задач</w:t>
      </w:r>
      <w:r>
        <w:rPr>
          <w:color w:val="000000"/>
          <w:sz w:val="28"/>
          <w:szCs w:val="28"/>
        </w:rPr>
        <w:t xml:space="preserve"> </w:t>
      </w:r>
      <w:r w:rsidRPr="00E30AD2">
        <w:rPr>
          <w:color w:val="000000"/>
          <w:sz w:val="28"/>
          <w:szCs w:val="28"/>
        </w:rPr>
        <w:t>региона</w:t>
      </w:r>
      <w:r w:rsidRPr="00452A1D">
        <w:rPr>
          <w:color w:val="000000"/>
          <w:sz w:val="28"/>
          <w:szCs w:val="28"/>
        </w:rPr>
        <w:t>.</w:t>
      </w:r>
    </w:p>
    <w:p w:rsidR="002E2F20" w:rsidRPr="00E30AD2" w:rsidRDefault="002E2F20" w:rsidP="00C63369">
      <w:pPr>
        <w:pStyle w:val="af6"/>
        <w:spacing w:before="0" w:beforeAutospacing="0" w:after="0" w:afterAutospacing="0" w:line="276" w:lineRule="auto"/>
        <w:jc w:val="both"/>
        <w:rPr>
          <w:color w:val="000000"/>
          <w:sz w:val="28"/>
          <w:szCs w:val="28"/>
        </w:rPr>
      </w:pPr>
      <w:r w:rsidRPr="00E30AD2">
        <w:rPr>
          <w:color w:val="000000"/>
          <w:sz w:val="28"/>
          <w:szCs w:val="28"/>
        </w:rPr>
        <w:t>Основным</w:t>
      </w:r>
      <w:r>
        <w:rPr>
          <w:color w:val="000000"/>
          <w:sz w:val="28"/>
          <w:szCs w:val="28"/>
        </w:rPr>
        <w:t xml:space="preserve"> </w:t>
      </w:r>
      <w:r w:rsidRPr="00E30AD2">
        <w:rPr>
          <w:color w:val="000000"/>
          <w:sz w:val="28"/>
          <w:szCs w:val="28"/>
        </w:rPr>
        <w:t>направлением</w:t>
      </w:r>
      <w:r>
        <w:rPr>
          <w:color w:val="000000"/>
          <w:sz w:val="28"/>
          <w:szCs w:val="28"/>
        </w:rPr>
        <w:t xml:space="preserve"> </w:t>
      </w:r>
      <w:r w:rsidRPr="00E30AD2">
        <w:rPr>
          <w:color w:val="000000"/>
          <w:sz w:val="28"/>
          <w:szCs w:val="28"/>
        </w:rPr>
        <w:t>настоящего</w:t>
      </w:r>
      <w:r>
        <w:rPr>
          <w:color w:val="000000"/>
          <w:sz w:val="28"/>
          <w:szCs w:val="28"/>
        </w:rPr>
        <w:t xml:space="preserve"> </w:t>
      </w:r>
      <w:r w:rsidRPr="00E30AD2">
        <w:rPr>
          <w:color w:val="000000"/>
          <w:sz w:val="28"/>
          <w:szCs w:val="28"/>
        </w:rPr>
        <w:t>анализа</w:t>
      </w:r>
      <w:r>
        <w:rPr>
          <w:color w:val="000000"/>
          <w:sz w:val="28"/>
          <w:szCs w:val="28"/>
        </w:rPr>
        <w:t xml:space="preserve"> </w:t>
      </w:r>
      <w:r w:rsidRPr="00E30AD2">
        <w:rPr>
          <w:color w:val="000000"/>
          <w:sz w:val="28"/>
          <w:szCs w:val="28"/>
        </w:rPr>
        <w:t>является</w:t>
      </w:r>
      <w:r>
        <w:rPr>
          <w:color w:val="000000"/>
          <w:sz w:val="28"/>
          <w:szCs w:val="28"/>
        </w:rPr>
        <w:t xml:space="preserve"> </w:t>
      </w:r>
      <w:r w:rsidRPr="00E30AD2">
        <w:rPr>
          <w:color w:val="000000"/>
          <w:sz w:val="28"/>
          <w:szCs w:val="28"/>
        </w:rPr>
        <w:t>изучение</w:t>
      </w:r>
      <w:r w:rsidRPr="00205D37">
        <w:rPr>
          <w:color w:val="000000"/>
          <w:sz w:val="28"/>
          <w:szCs w:val="28"/>
        </w:rPr>
        <w:t xml:space="preserve"> </w:t>
      </w:r>
      <w:r w:rsidRPr="00E30AD2">
        <w:rPr>
          <w:color w:val="000000"/>
          <w:sz w:val="28"/>
          <w:szCs w:val="28"/>
        </w:rPr>
        <w:t>выполнения</w:t>
      </w:r>
      <w:r>
        <w:rPr>
          <w:color w:val="000000"/>
          <w:sz w:val="28"/>
          <w:szCs w:val="28"/>
        </w:rPr>
        <w:t xml:space="preserve"> </w:t>
      </w:r>
      <w:r w:rsidRPr="00E30AD2">
        <w:rPr>
          <w:color w:val="000000"/>
          <w:sz w:val="28"/>
          <w:szCs w:val="28"/>
        </w:rPr>
        <w:t>субъектами</w:t>
      </w:r>
      <w:r>
        <w:rPr>
          <w:color w:val="000000"/>
          <w:sz w:val="28"/>
          <w:szCs w:val="28"/>
        </w:rPr>
        <w:t xml:space="preserve"> </w:t>
      </w:r>
      <w:r w:rsidR="00BD337E">
        <w:rPr>
          <w:color w:val="000000"/>
          <w:sz w:val="28"/>
          <w:szCs w:val="28"/>
        </w:rPr>
        <w:t>РФ</w:t>
      </w:r>
      <w:r>
        <w:rPr>
          <w:color w:val="000000"/>
          <w:sz w:val="28"/>
          <w:szCs w:val="28"/>
        </w:rPr>
        <w:t xml:space="preserve"> </w:t>
      </w:r>
      <w:r w:rsidRPr="00E30AD2">
        <w:rPr>
          <w:color w:val="000000"/>
          <w:sz w:val="28"/>
          <w:szCs w:val="28"/>
        </w:rPr>
        <w:t>данн</w:t>
      </w:r>
      <w:r>
        <w:rPr>
          <w:color w:val="000000"/>
          <w:sz w:val="28"/>
          <w:szCs w:val="28"/>
        </w:rPr>
        <w:t>ых задач</w:t>
      </w:r>
      <w:r w:rsidRPr="00E30AD2">
        <w:rPr>
          <w:color w:val="000000"/>
          <w:sz w:val="28"/>
          <w:szCs w:val="28"/>
        </w:rPr>
        <w:t>.</w:t>
      </w:r>
      <w:r>
        <w:rPr>
          <w:color w:val="000000"/>
          <w:sz w:val="28"/>
          <w:szCs w:val="28"/>
        </w:rPr>
        <w:t xml:space="preserve"> </w:t>
      </w:r>
      <w:r w:rsidRPr="00E30AD2">
        <w:rPr>
          <w:color w:val="000000"/>
          <w:sz w:val="28"/>
          <w:szCs w:val="28"/>
        </w:rPr>
        <w:t>Для</w:t>
      </w:r>
      <w:r>
        <w:rPr>
          <w:color w:val="000000"/>
          <w:sz w:val="28"/>
          <w:szCs w:val="28"/>
        </w:rPr>
        <w:t xml:space="preserve"> </w:t>
      </w:r>
      <w:r w:rsidRPr="00E30AD2">
        <w:rPr>
          <w:color w:val="000000"/>
          <w:sz w:val="28"/>
          <w:szCs w:val="28"/>
        </w:rPr>
        <w:t>этого</w:t>
      </w:r>
      <w:r>
        <w:rPr>
          <w:color w:val="000000"/>
          <w:sz w:val="28"/>
          <w:szCs w:val="28"/>
        </w:rPr>
        <w:t xml:space="preserve"> </w:t>
      </w:r>
      <w:r w:rsidRPr="00E30AD2">
        <w:rPr>
          <w:color w:val="000000"/>
          <w:sz w:val="28"/>
          <w:szCs w:val="28"/>
        </w:rPr>
        <w:t>были</w:t>
      </w:r>
      <w:r>
        <w:rPr>
          <w:color w:val="000000"/>
          <w:sz w:val="28"/>
          <w:szCs w:val="28"/>
        </w:rPr>
        <w:t xml:space="preserve"> </w:t>
      </w:r>
      <w:r w:rsidRPr="00E30AD2">
        <w:rPr>
          <w:color w:val="000000"/>
          <w:sz w:val="28"/>
          <w:szCs w:val="28"/>
        </w:rPr>
        <w:t>проанализированы</w:t>
      </w:r>
      <w:r>
        <w:rPr>
          <w:color w:val="000000"/>
          <w:sz w:val="28"/>
          <w:szCs w:val="28"/>
        </w:rPr>
        <w:t xml:space="preserve"> </w:t>
      </w:r>
      <w:r w:rsidRPr="00E30AD2">
        <w:rPr>
          <w:color w:val="000000"/>
          <w:sz w:val="28"/>
          <w:szCs w:val="28"/>
        </w:rPr>
        <w:t>следующие</w:t>
      </w:r>
      <w:r>
        <w:rPr>
          <w:color w:val="000000"/>
          <w:sz w:val="28"/>
          <w:szCs w:val="28"/>
        </w:rPr>
        <w:t xml:space="preserve"> </w:t>
      </w:r>
      <w:r w:rsidRPr="00E30AD2">
        <w:rPr>
          <w:color w:val="000000"/>
          <w:sz w:val="28"/>
          <w:szCs w:val="28"/>
        </w:rPr>
        <w:t>аспекты</w:t>
      </w:r>
      <w:r>
        <w:rPr>
          <w:color w:val="000000"/>
          <w:sz w:val="28"/>
          <w:szCs w:val="28"/>
        </w:rPr>
        <w:t xml:space="preserve"> </w:t>
      </w:r>
      <w:r w:rsidRPr="00E30AD2">
        <w:rPr>
          <w:color w:val="000000"/>
          <w:sz w:val="28"/>
          <w:szCs w:val="28"/>
        </w:rPr>
        <w:t>долгосрочного</w:t>
      </w:r>
      <w:r>
        <w:rPr>
          <w:color w:val="000000"/>
          <w:sz w:val="28"/>
          <w:szCs w:val="28"/>
        </w:rPr>
        <w:t xml:space="preserve"> </w:t>
      </w:r>
      <w:r w:rsidRPr="00E30AD2">
        <w:rPr>
          <w:color w:val="000000"/>
          <w:sz w:val="28"/>
          <w:szCs w:val="28"/>
        </w:rPr>
        <w:t>бюджетного</w:t>
      </w:r>
      <w:r>
        <w:rPr>
          <w:color w:val="000000"/>
          <w:sz w:val="28"/>
          <w:szCs w:val="28"/>
        </w:rPr>
        <w:t xml:space="preserve"> </w:t>
      </w:r>
      <w:r w:rsidRPr="00E30AD2">
        <w:rPr>
          <w:color w:val="000000"/>
          <w:sz w:val="28"/>
          <w:szCs w:val="28"/>
        </w:rPr>
        <w:t>планирования</w:t>
      </w:r>
      <w:r>
        <w:rPr>
          <w:color w:val="000000"/>
          <w:sz w:val="28"/>
          <w:szCs w:val="28"/>
        </w:rPr>
        <w:t xml:space="preserve"> </w:t>
      </w:r>
      <w:r w:rsidRPr="00E30AD2">
        <w:rPr>
          <w:color w:val="000000"/>
          <w:sz w:val="28"/>
          <w:szCs w:val="28"/>
        </w:rPr>
        <w:t>на</w:t>
      </w:r>
      <w:r>
        <w:rPr>
          <w:color w:val="000000"/>
          <w:sz w:val="28"/>
          <w:szCs w:val="28"/>
        </w:rPr>
        <w:t xml:space="preserve"> </w:t>
      </w:r>
      <w:r w:rsidRPr="00E30AD2">
        <w:rPr>
          <w:color w:val="000000"/>
          <w:sz w:val="28"/>
          <w:szCs w:val="28"/>
        </w:rPr>
        <w:t>уровне</w:t>
      </w:r>
      <w:r>
        <w:rPr>
          <w:color w:val="000000"/>
          <w:sz w:val="28"/>
          <w:szCs w:val="28"/>
        </w:rPr>
        <w:t xml:space="preserve"> </w:t>
      </w:r>
      <w:r w:rsidRPr="00E30AD2">
        <w:rPr>
          <w:color w:val="000000"/>
          <w:sz w:val="28"/>
          <w:szCs w:val="28"/>
        </w:rPr>
        <w:t>регионов:</w:t>
      </w:r>
      <w:r>
        <w:rPr>
          <w:color w:val="000000"/>
          <w:sz w:val="28"/>
          <w:szCs w:val="28"/>
        </w:rPr>
        <w:t xml:space="preserve"> </w:t>
      </w:r>
    </w:p>
    <w:p w:rsidR="002E2F20" w:rsidRPr="003D3D5F" w:rsidRDefault="002E2F20" w:rsidP="00C63369">
      <w:pPr>
        <w:pStyle w:val="af6"/>
        <w:numPr>
          <w:ilvl w:val="0"/>
          <w:numId w:val="28"/>
        </w:numPr>
        <w:tabs>
          <w:tab w:val="left" w:pos="426"/>
          <w:tab w:val="left" w:pos="993"/>
        </w:tabs>
        <w:spacing w:before="0" w:beforeAutospacing="0" w:after="0" w:afterAutospacing="0" w:line="276" w:lineRule="auto"/>
        <w:ind w:left="426" w:hanging="426"/>
        <w:jc w:val="both"/>
        <w:rPr>
          <w:color w:val="000000" w:themeColor="text1"/>
          <w:sz w:val="28"/>
          <w:szCs w:val="28"/>
        </w:rPr>
      </w:pPr>
      <w:r w:rsidRPr="000D20C8">
        <w:rPr>
          <w:color w:val="000000" w:themeColor="text1"/>
          <w:sz w:val="28"/>
          <w:szCs w:val="28"/>
        </w:rPr>
        <w:t>создание</w:t>
      </w:r>
      <w:r>
        <w:rPr>
          <w:color w:val="000000" w:themeColor="text1"/>
          <w:sz w:val="28"/>
          <w:szCs w:val="28"/>
        </w:rPr>
        <w:t xml:space="preserve"> необходимой нормативно-правовой базы для </w:t>
      </w:r>
      <w:r w:rsidRPr="000D20C8">
        <w:rPr>
          <w:color w:val="000000" w:themeColor="text1"/>
          <w:sz w:val="28"/>
          <w:szCs w:val="28"/>
        </w:rPr>
        <w:t>долгосрочного</w:t>
      </w:r>
      <w:r>
        <w:rPr>
          <w:color w:val="000000" w:themeColor="text1"/>
          <w:sz w:val="28"/>
          <w:szCs w:val="28"/>
        </w:rPr>
        <w:t xml:space="preserve"> </w:t>
      </w:r>
      <w:r w:rsidRPr="000D20C8">
        <w:rPr>
          <w:color w:val="000000" w:themeColor="text1"/>
          <w:sz w:val="28"/>
          <w:szCs w:val="28"/>
        </w:rPr>
        <w:t>бюджетного</w:t>
      </w:r>
      <w:r>
        <w:rPr>
          <w:color w:val="000000" w:themeColor="text1"/>
          <w:sz w:val="28"/>
          <w:szCs w:val="28"/>
        </w:rPr>
        <w:t xml:space="preserve"> </w:t>
      </w:r>
      <w:r w:rsidRPr="000D20C8">
        <w:rPr>
          <w:color w:val="000000" w:themeColor="text1"/>
          <w:sz w:val="28"/>
          <w:szCs w:val="28"/>
        </w:rPr>
        <w:t>планирования;</w:t>
      </w:r>
    </w:p>
    <w:p w:rsidR="002E2F20" w:rsidRPr="003D3D5F" w:rsidRDefault="002E2F20" w:rsidP="00C63369">
      <w:pPr>
        <w:pStyle w:val="af6"/>
        <w:numPr>
          <w:ilvl w:val="0"/>
          <w:numId w:val="28"/>
        </w:numPr>
        <w:tabs>
          <w:tab w:val="left" w:pos="426"/>
          <w:tab w:val="left" w:pos="993"/>
        </w:tabs>
        <w:spacing w:before="0" w:beforeAutospacing="0" w:after="0" w:afterAutospacing="0" w:line="276" w:lineRule="auto"/>
        <w:ind w:left="426" w:hanging="426"/>
        <w:jc w:val="both"/>
        <w:rPr>
          <w:color w:val="000000" w:themeColor="text1"/>
          <w:sz w:val="28"/>
          <w:szCs w:val="28"/>
        </w:rPr>
      </w:pPr>
      <w:r w:rsidRPr="000D20C8">
        <w:rPr>
          <w:color w:val="000000" w:themeColor="text1"/>
          <w:sz w:val="28"/>
          <w:szCs w:val="28"/>
        </w:rPr>
        <w:t>выполнение</w:t>
      </w:r>
      <w:r>
        <w:rPr>
          <w:color w:val="000000" w:themeColor="text1"/>
          <w:sz w:val="28"/>
          <w:szCs w:val="28"/>
        </w:rPr>
        <w:t xml:space="preserve"> </w:t>
      </w:r>
      <w:r w:rsidRPr="000D20C8">
        <w:rPr>
          <w:color w:val="000000" w:themeColor="text1"/>
          <w:sz w:val="28"/>
          <w:szCs w:val="28"/>
        </w:rPr>
        <w:t>требований</w:t>
      </w:r>
      <w:r>
        <w:rPr>
          <w:color w:val="000000" w:themeColor="text1"/>
          <w:sz w:val="28"/>
          <w:szCs w:val="28"/>
        </w:rPr>
        <w:t xml:space="preserve"> </w:t>
      </w:r>
      <w:r w:rsidRPr="000D20C8">
        <w:rPr>
          <w:color w:val="000000" w:themeColor="text1"/>
          <w:sz w:val="28"/>
          <w:szCs w:val="28"/>
        </w:rPr>
        <w:t>бюджетного</w:t>
      </w:r>
      <w:r>
        <w:rPr>
          <w:color w:val="000000" w:themeColor="text1"/>
          <w:sz w:val="28"/>
          <w:szCs w:val="28"/>
        </w:rPr>
        <w:t xml:space="preserve"> </w:t>
      </w:r>
      <w:r w:rsidRPr="000D20C8">
        <w:rPr>
          <w:color w:val="000000" w:themeColor="text1"/>
          <w:sz w:val="28"/>
          <w:szCs w:val="28"/>
        </w:rPr>
        <w:t>законодательства</w:t>
      </w:r>
      <w:r>
        <w:rPr>
          <w:color w:val="000000" w:themeColor="text1"/>
          <w:sz w:val="28"/>
          <w:szCs w:val="28"/>
        </w:rPr>
        <w:t xml:space="preserve"> </w:t>
      </w:r>
      <w:r w:rsidRPr="000D20C8">
        <w:rPr>
          <w:color w:val="000000" w:themeColor="text1"/>
          <w:sz w:val="28"/>
          <w:szCs w:val="28"/>
        </w:rPr>
        <w:t>при</w:t>
      </w:r>
      <w:r>
        <w:rPr>
          <w:color w:val="000000" w:themeColor="text1"/>
          <w:sz w:val="28"/>
          <w:szCs w:val="28"/>
        </w:rPr>
        <w:t xml:space="preserve"> </w:t>
      </w:r>
      <w:r w:rsidRPr="000D20C8">
        <w:rPr>
          <w:color w:val="000000" w:themeColor="text1"/>
          <w:sz w:val="28"/>
          <w:szCs w:val="28"/>
        </w:rPr>
        <w:t>формировании</w:t>
      </w:r>
      <w:r>
        <w:rPr>
          <w:color w:val="000000" w:themeColor="text1"/>
          <w:sz w:val="28"/>
          <w:szCs w:val="28"/>
        </w:rPr>
        <w:t xml:space="preserve"> </w:t>
      </w:r>
      <w:r w:rsidRPr="000D20C8">
        <w:rPr>
          <w:color w:val="000000" w:themeColor="text1"/>
          <w:sz w:val="28"/>
          <w:szCs w:val="28"/>
        </w:rPr>
        <w:t>долгосрочных</w:t>
      </w:r>
      <w:r>
        <w:rPr>
          <w:color w:val="000000" w:themeColor="text1"/>
          <w:sz w:val="28"/>
          <w:szCs w:val="28"/>
        </w:rPr>
        <w:t xml:space="preserve"> </w:t>
      </w:r>
      <w:r w:rsidRPr="000D20C8">
        <w:rPr>
          <w:color w:val="000000" w:themeColor="text1"/>
          <w:sz w:val="28"/>
          <w:szCs w:val="28"/>
        </w:rPr>
        <w:t>бюджетных</w:t>
      </w:r>
      <w:r>
        <w:rPr>
          <w:color w:val="000000" w:themeColor="text1"/>
          <w:sz w:val="28"/>
          <w:szCs w:val="28"/>
        </w:rPr>
        <w:t xml:space="preserve"> </w:t>
      </w:r>
      <w:r w:rsidRPr="000D20C8">
        <w:rPr>
          <w:color w:val="000000" w:themeColor="text1"/>
          <w:sz w:val="28"/>
          <w:szCs w:val="28"/>
        </w:rPr>
        <w:t>прогнозов</w:t>
      </w:r>
      <w:r>
        <w:rPr>
          <w:color w:val="000000" w:themeColor="text1"/>
          <w:sz w:val="28"/>
          <w:szCs w:val="28"/>
        </w:rPr>
        <w:t xml:space="preserve"> </w:t>
      </w:r>
      <w:r w:rsidRPr="000D20C8">
        <w:rPr>
          <w:color w:val="000000" w:themeColor="text1"/>
          <w:sz w:val="28"/>
          <w:szCs w:val="28"/>
        </w:rPr>
        <w:t>в</w:t>
      </w:r>
      <w:r>
        <w:rPr>
          <w:color w:val="000000" w:themeColor="text1"/>
          <w:sz w:val="28"/>
          <w:szCs w:val="28"/>
        </w:rPr>
        <w:t xml:space="preserve"> </w:t>
      </w:r>
      <w:r w:rsidRPr="000D20C8">
        <w:rPr>
          <w:color w:val="000000" w:themeColor="text1"/>
          <w:sz w:val="28"/>
          <w:szCs w:val="28"/>
        </w:rPr>
        <w:t>части</w:t>
      </w:r>
      <w:r>
        <w:rPr>
          <w:color w:val="000000" w:themeColor="text1"/>
          <w:sz w:val="28"/>
          <w:szCs w:val="28"/>
        </w:rPr>
        <w:t xml:space="preserve"> </w:t>
      </w:r>
      <w:r w:rsidRPr="000D20C8">
        <w:rPr>
          <w:color w:val="000000" w:themeColor="text1"/>
          <w:sz w:val="28"/>
          <w:szCs w:val="28"/>
        </w:rPr>
        <w:t>их</w:t>
      </w:r>
      <w:r>
        <w:rPr>
          <w:color w:val="000000" w:themeColor="text1"/>
          <w:sz w:val="28"/>
          <w:szCs w:val="28"/>
        </w:rPr>
        <w:t xml:space="preserve"> </w:t>
      </w:r>
      <w:r w:rsidRPr="000D20C8">
        <w:rPr>
          <w:color w:val="000000" w:themeColor="text1"/>
          <w:sz w:val="28"/>
          <w:szCs w:val="28"/>
        </w:rPr>
        <w:t>содержания</w:t>
      </w:r>
      <w:r>
        <w:rPr>
          <w:color w:val="000000" w:themeColor="text1"/>
          <w:sz w:val="28"/>
          <w:szCs w:val="28"/>
        </w:rPr>
        <w:t xml:space="preserve"> </w:t>
      </w:r>
      <w:r w:rsidRPr="000D20C8">
        <w:rPr>
          <w:color w:val="000000" w:themeColor="text1"/>
          <w:sz w:val="28"/>
          <w:szCs w:val="28"/>
        </w:rPr>
        <w:t>(включение</w:t>
      </w:r>
      <w:r>
        <w:rPr>
          <w:color w:val="000000" w:themeColor="text1"/>
          <w:sz w:val="28"/>
          <w:szCs w:val="28"/>
        </w:rPr>
        <w:t xml:space="preserve"> </w:t>
      </w:r>
      <w:r w:rsidRPr="000D20C8">
        <w:rPr>
          <w:color w:val="000000" w:themeColor="text1"/>
          <w:sz w:val="28"/>
          <w:szCs w:val="28"/>
        </w:rPr>
        <w:t>информации</w:t>
      </w:r>
      <w:r>
        <w:rPr>
          <w:color w:val="000000" w:themeColor="text1"/>
          <w:sz w:val="28"/>
          <w:szCs w:val="28"/>
        </w:rPr>
        <w:t xml:space="preserve"> </w:t>
      </w:r>
      <w:r w:rsidRPr="000D20C8">
        <w:rPr>
          <w:color w:val="000000" w:themeColor="text1"/>
          <w:sz w:val="28"/>
          <w:szCs w:val="28"/>
        </w:rPr>
        <w:t>о</w:t>
      </w:r>
      <w:r>
        <w:rPr>
          <w:color w:val="000000" w:themeColor="text1"/>
          <w:sz w:val="28"/>
          <w:szCs w:val="28"/>
        </w:rPr>
        <w:t xml:space="preserve"> </w:t>
      </w:r>
      <w:r w:rsidRPr="000D20C8">
        <w:rPr>
          <w:color w:val="000000" w:themeColor="text1"/>
          <w:sz w:val="28"/>
          <w:szCs w:val="28"/>
        </w:rPr>
        <w:t>государственных</w:t>
      </w:r>
      <w:r>
        <w:rPr>
          <w:color w:val="000000" w:themeColor="text1"/>
          <w:sz w:val="28"/>
          <w:szCs w:val="28"/>
        </w:rPr>
        <w:t xml:space="preserve"> </w:t>
      </w:r>
      <w:r w:rsidRPr="000D20C8">
        <w:rPr>
          <w:color w:val="000000" w:themeColor="text1"/>
          <w:sz w:val="28"/>
          <w:szCs w:val="28"/>
        </w:rPr>
        <w:t>программах,</w:t>
      </w:r>
      <w:r>
        <w:rPr>
          <w:color w:val="000000" w:themeColor="text1"/>
          <w:sz w:val="28"/>
          <w:szCs w:val="28"/>
        </w:rPr>
        <w:t xml:space="preserve"> </w:t>
      </w:r>
      <w:r w:rsidRPr="000D20C8">
        <w:rPr>
          <w:color w:val="000000" w:themeColor="text1"/>
          <w:sz w:val="28"/>
          <w:szCs w:val="28"/>
        </w:rPr>
        <w:t>определение</w:t>
      </w:r>
      <w:r>
        <w:rPr>
          <w:color w:val="000000" w:themeColor="text1"/>
          <w:sz w:val="28"/>
          <w:szCs w:val="28"/>
        </w:rPr>
        <w:t xml:space="preserve"> </w:t>
      </w:r>
      <w:r w:rsidRPr="000D20C8">
        <w:rPr>
          <w:color w:val="000000" w:themeColor="text1"/>
          <w:sz w:val="28"/>
          <w:szCs w:val="28"/>
        </w:rPr>
        <w:t>основных</w:t>
      </w:r>
      <w:r>
        <w:rPr>
          <w:color w:val="000000" w:themeColor="text1"/>
          <w:sz w:val="28"/>
          <w:szCs w:val="28"/>
        </w:rPr>
        <w:t xml:space="preserve"> </w:t>
      </w:r>
      <w:r w:rsidRPr="000D20C8">
        <w:rPr>
          <w:color w:val="000000" w:themeColor="text1"/>
          <w:sz w:val="28"/>
          <w:szCs w:val="28"/>
        </w:rPr>
        <w:t>тенденций</w:t>
      </w:r>
      <w:r>
        <w:rPr>
          <w:color w:val="000000" w:themeColor="text1"/>
          <w:sz w:val="28"/>
          <w:szCs w:val="28"/>
        </w:rPr>
        <w:t xml:space="preserve"> </w:t>
      </w:r>
      <w:r w:rsidRPr="000D20C8">
        <w:rPr>
          <w:color w:val="000000" w:themeColor="text1"/>
          <w:sz w:val="28"/>
          <w:szCs w:val="28"/>
        </w:rPr>
        <w:t>консолидированных</w:t>
      </w:r>
      <w:r>
        <w:rPr>
          <w:color w:val="000000" w:themeColor="text1"/>
          <w:sz w:val="28"/>
          <w:szCs w:val="28"/>
        </w:rPr>
        <w:t xml:space="preserve"> </w:t>
      </w:r>
      <w:r w:rsidRPr="000D20C8">
        <w:rPr>
          <w:color w:val="000000" w:themeColor="text1"/>
          <w:sz w:val="28"/>
          <w:szCs w:val="28"/>
        </w:rPr>
        <w:t>бюджетов</w:t>
      </w:r>
      <w:r>
        <w:rPr>
          <w:color w:val="000000" w:themeColor="text1"/>
          <w:sz w:val="28"/>
          <w:szCs w:val="28"/>
        </w:rPr>
        <w:t xml:space="preserve"> </w:t>
      </w:r>
      <w:r w:rsidRPr="000D20C8">
        <w:rPr>
          <w:color w:val="000000" w:themeColor="text1"/>
          <w:sz w:val="28"/>
          <w:szCs w:val="28"/>
        </w:rPr>
        <w:t>субъектов</w:t>
      </w:r>
      <w:r>
        <w:rPr>
          <w:color w:val="000000" w:themeColor="text1"/>
          <w:sz w:val="28"/>
          <w:szCs w:val="28"/>
        </w:rPr>
        <w:t xml:space="preserve"> </w:t>
      </w:r>
      <w:r w:rsidR="00227DF4">
        <w:rPr>
          <w:color w:val="000000" w:themeColor="text1"/>
          <w:sz w:val="28"/>
          <w:szCs w:val="28"/>
        </w:rPr>
        <w:t>РФ</w:t>
      </w:r>
      <w:r>
        <w:rPr>
          <w:color w:val="000000" w:themeColor="text1"/>
          <w:sz w:val="28"/>
          <w:szCs w:val="28"/>
        </w:rPr>
        <w:t xml:space="preserve"> </w:t>
      </w:r>
      <w:r w:rsidRPr="000D20C8">
        <w:rPr>
          <w:color w:val="000000" w:themeColor="text1"/>
          <w:sz w:val="28"/>
          <w:szCs w:val="28"/>
        </w:rPr>
        <w:t>(включая</w:t>
      </w:r>
      <w:r>
        <w:rPr>
          <w:color w:val="000000" w:themeColor="text1"/>
          <w:sz w:val="28"/>
          <w:szCs w:val="28"/>
        </w:rPr>
        <w:t xml:space="preserve"> </w:t>
      </w:r>
      <w:r w:rsidRPr="000D20C8">
        <w:rPr>
          <w:color w:val="000000" w:themeColor="text1"/>
          <w:sz w:val="28"/>
          <w:szCs w:val="28"/>
        </w:rPr>
        <w:t>бюджеты</w:t>
      </w:r>
      <w:r>
        <w:rPr>
          <w:color w:val="000000" w:themeColor="text1"/>
          <w:sz w:val="28"/>
          <w:szCs w:val="28"/>
        </w:rPr>
        <w:t xml:space="preserve"> </w:t>
      </w:r>
      <w:r w:rsidRPr="000D20C8">
        <w:rPr>
          <w:color w:val="000000" w:themeColor="text1"/>
          <w:sz w:val="28"/>
          <w:szCs w:val="28"/>
        </w:rPr>
        <w:t>городских</w:t>
      </w:r>
      <w:r>
        <w:rPr>
          <w:color w:val="000000" w:themeColor="text1"/>
          <w:sz w:val="28"/>
          <w:szCs w:val="28"/>
        </w:rPr>
        <w:t xml:space="preserve"> </w:t>
      </w:r>
      <w:r w:rsidRPr="000D20C8">
        <w:rPr>
          <w:color w:val="000000" w:themeColor="text1"/>
          <w:sz w:val="28"/>
          <w:szCs w:val="28"/>
        </w:rPr>
        <w:t>округов,</w:t>
      </w:r>
      <w:r>
        <w:rPr>
          <w:color w:val="000000" w:themeColor="text1"/>
          <w:sz w:val="28"/>
          <w:szCs w:val="28"/>
        </w:rPr>
        <w:t xml:space="preserve"> </w:t>
      </w:r>
      <w:r w:rsidRPr="000D20C8">
        <w:rPr>
          <w:color w:val="000000" w:themeColor="text1"/>
          <w:sz w:val="28"/>
          <w:szCs w:val="28"/>
        </w:rPr>
        <w:t>муниципальных</w:t>
      </w:r>
      <w:r>
        <w:rPr>
          <w:color w:val="000000" w:themeColor="text1"/>
          <w:sz w:val="28"/>
          <w:szCs w:val="28"/>
        </w:rPr>
        <w:t xml:space="preserve"> </w:t>
      </w:r>
      <w:r w:rsidRPr="000D20C8">
        <w:rPr>
          <w:color w:val="000000" w:themeColor="text1"/>
          <w:sz w:val="28"/>
          <w:szCs w:val="28"/>
        </w:rPr>
        <w:t>районов,</w:t>
      </w:r>
      <w:r>
        <w:rPr>
          <w:color w:val="000000" w:themeColor="text1"/>
          <w:sz w:val="28"/>
          <w:szCs w:val="28"/>
        </w:rPr>
        <w:t xml:space="preserve"> </w:t>
      </w:r>
      <w:r w:rsidRPr="000D20C8">
        <w:rPr>
          <w:color w:val="000000" w:themeColor="text1"/>
          <w:sz w:val="28"/>
          <w:szCs w:val="28"/>
        </w:rPr>
        <w:t>поселений);</w:t>
      </w:r>
    </w:p>
    <w:p w:rsidR="002E2F20" w:rsidRPr="003D3D5F" w:rsidRDefault="002E2F20" w:rsidP="00C63369">
      <w:pPr>
        <w:pStyle w:val="af6"/>
        <w:numPr>
          <w:ilvl w:val="0"/>
          <w:numId w:val="28"/>
        </w:numPr>
        <w:tabs>
          <w:tab w:val="left" w:pos="426"/>
          <w:tab w:val="left" w:pos="993"/>
        </w:tabs>
        <w:spacing w:before="0" w:beforeAutospacing="0" w:after="0" w:afterAutospacing="0" w:line="276" w:lineRule="auto"/>
        <w:ind w:left="426" w:hanging="426"/>
        <w:jc w:val="both"/>
        <w:rPr>
          <w:color w:val="000000" w:themeColor="text1"/>
          <w:sz w:val="28"/>
          <w:szCs w:val="28"/>
        </w:rPr>
      </w:pPr>
      <w:r>
        <w:rPr>
          <w:color w:val="000000" w:themeColor="text1"/>
          <w:sz w:val="28"/>
          <w:szCs w:val="28"/>
        </w:rPr>
        <w:t xml:space="preserve">выработка </w:t>
      </w:r>
      <w:r w:rsidRPr="000D20C8">
        <w:rPr>
          <w:color w:val="000000" w:themeColor="text1"/>
          <w:sz w:val="28"/>
          <w:szCs w:val="28"/>
        </w:rPr>
        <w:t>системы</w:t>
      </w:r>
      <w:r>
        <w:rPr>
          <w:color w:val="000000" w:themeColor="text1"/>
          <w:sz w:val="28"/>
          <w:szCs w:val="28"/>
        </w:rPr>
        <w:t xml:space="preserve"> </w:t>
      </w:r>
      <w:r w:rsidRPr="000D20C8">
        <w:rPr>
          <w:color w:val="000000" w:themeColor="text1"/>
          <w:sz w:val="28"/>
          <w:szCs w:val="28"/>
        </w:rPr>
        <w:t>мер</w:t>
      </w:r>
      <w:r>
        <w:rPr>
          <w:color w:val="000000" w:themeColor="text1"/>
          <w:sz w:val="28"/>
          <w:szCs w:val="28"/>
        </w:rPr>
        <w:t xml:space="preserve"> </w:t>
      </w:r>
      <w:r w:rsidRPr="000D20C8">
        <w:rPr>
          <w:color w:val="000000" w:themeColor="text1"/>
          <w:sz w:val="28"/>
          <w:szCs w:val="28"/>
        </w:rPr>
        <w:t>корректировки</w:t>
      </w:r>
      <w:r>
        <w:rPr>
          <w:color w:val="000000" w:themeColor="text1"/>
          <w:sz w:val="28"/>
          <w:szCs w:val="28"/>
        </w:rPr>
        <w:t xml:space="preserve"> </w:t>
      </w:r>
      <w:r w:rsidRPr="000D20C8">
        <w:rPr>
          <w:color w:val="000000" w:themeColor="text1"/>
          <w:sz w:val="28"/>
          <w:szCs w:val="28"/>
        </w:rPr>
        <w:t>налогово-бюджетной</w:t>
      </w:r>
      <w:r>
        <w:rPr>
          <w:color w:val="000000" w:themeColor="text1"/>
          <w:sz w:val="28"/>
          <w:szCs w:val="28"/>
        </w:rPr>
        <w:t xml:space="preserve"> </w:t>
      </w:r>
      <w:r w:rsidRPr="000D20C8">
        <w:rPr>
          <w:color w:val="000000" w:themeColor="text1"/>
          <w:sz w:val="28"/>
          <w:szCs w:val="28"/>
        </w:rPr>
        <w:t>и</w:t>
      </w:r>
      <w:r>
        <w:rPr>
          <w:color w:val="000000" w:themeColor="text1"/>
          <w:sz w:val="28"/>
          <w:szCs w:val="28"/>
        </w:rPr>
        <w:t xml:space="preserve"> </w:t>
      </w:r>
      <w:r w:rsidRPr="000D20C8">
        <w:rPr>
          <w:color w:val="000000" w:themeColor="text1"/>
          <w:sz w:val="28"/>
          <w:szCs w:val="28"/>
        </w:rPr>
        <w:t>долговой</w:t>
      </w:r>
      <w:r>
        <w:rPr>
          <w:color w:val="000000" w:themeColor="text1"/>
          <w:sz w:val="28"/>
          <w:szCs w:val="28"/>
        </w:rPr>
        <w:t xml:space="preserve"> политики </w:t>
      </w:r>
      <w:r w:rsidRPr="000D20C8">
        <w:rPr>
          <w:color w:val="000000" w:themeColor="text1"/>
          <w:sz w:val="28"/>
          <w:szCs w:val="28"/>
        </w:rPr>
        <w:t>с</w:t>
      </w:r>
      <w:r>
        <w:rPr>
          <w:color w:val="000000" w:themeColor="text1"/>
          <w:sz w:val="28"/>
          <w:szCs w:val="28"/>
        </w:rPr>
        <w:t xml:space="preserve"> </w:t>
      </w:r>
      <w:r w:rsidRPr="000D20C8">
        <w:rPr>
          <w:color w:val="000000" w:themeColor="text1"/>
          <w:sz w:val="28"/>
          <w:szCs w:val="28"/>
        </w:rPr>
        <w:t>учетом</w:t>
      </w:r>
      <w:r>
        <w:rPr>
          <w:color w:val="000000" w:themeColor="text1"/>
          <w:sz w:val="28"/>
          <w:szCs w:val="28"/>
        </w:rPr>
        <w:t xml:space="preserve"> </w:t>
      </w:r>
      <w:r w:rsidRPr="000D20C8">
        <w:rPr>
          <w:color w:val="000000" w:themeColor="text1"/>
          <w:sz w:val="28"/>
          <w:szCs w:val="28"/>
        </w:rPr>
        <w:t>прогнозируемых</w:t>
      </w:r>
      <w:r>
        <w:rPr>
          <w:color w:val="000000" w:themeColor="text1"/>
          <w:sz w:val="28"/>
          <w:szCs w:val="28"/>
        </w:rPr>
        <w:t xml:space="preserve"> </w:t>
      </w:r>
      <w:r w:rsidRPr="000D20C8">
        <w:rPr>
          <w:color w:val="000000" w:themeColor="text1"/>
          <w:sz w:val="28"/>
          <w:szCs w:val="28"/>
        </w:rPr>
        <w:t>на</w:t>
      </w:r>
      <w:r>
        <w:rPr>
          <w:color w:val="000000" w:themeColor="text1"/>
          <w:sz w:val="28"/>
          <w:szCs w:val="28"/>
        </w:rPr>
        <w:t xml:space="preserve"> </w:t>
      </w:r>
      <w:r w:rsidRPr="000D20C8">
        <w:rPr>
          <w:color w:val="000000" w:themeColor="text1"/>
          <w:sz w:val="28"/>
          <w:szCs w:val="28"/>
        </w:rPr>
        <w:t>долгосрочный</w:t>
      </w:r>
      <w:r>
        <w:rPr>
          <w:color w:val="000000" w:themeColor="text1"/>
          <w:sz w:val="28"/>
          <w:szCs w:val="28"/>
        </w:rPr>
        <w:t xml:space="preserve"> </w:t>
      </w:r>
      <w:r w:rsidRPr="000D20C8">
        <w:rPr>
          <w:color w:val="000000" w:themeColor="text1"/>
          <w:sz w:val="28"/>
          <w:szCs w:val="28"/>
        </w:rPr>
        <w:t>период</w:t>
      </w:r>
      <w:r>
        <w:rPr>
          <w:color w:val="000000" w:themeColor="text1"/>
          <w:sz w:val="28"/>
          <w:szCs w:val="28"/>
        </w:rPr>
        <w:t xml:space="preserve"> </w:t>
      </w:r>
      <w:r w:rsidRPr="000D20C8">
        <w:rPr>
          <w:color w:val="000000" w:themeColor="text1"/>
          <w:sz w:val="28"/>
          <w:szCs w:val="28"/>
        </w:rPr>
        <w:t>параметров;</w:t>
      </w:r>
    </w:p>
    <w:p w:rsidR="002E2F20" w:rsidRPr="000D20C8" w:rsidRDefault="002E2F20" w:rsidP="00C63369">
      <w:pPr>
        <w:pStyle w:val="af6"/>
        <w:numPr>
          <w:ilvl w:val="0"/>
          <w:numId w:val="28"/>
        </w:numPr>
        <w:tabs>
          <w:tab w:val="left" w:pos="426"/>
          <w:tab w:val="left" w:pos="993"/>
        </w:tabs>
        <w:spacing w:before="0" w:beforeAutospacing="0" w:after="0" w:afterAutospacing="0" w:line="276" w:lineRule="auto"/>
        <w:ind w:left="426" w:hanging="426"/>
        <w:jc w:val="both"/>
        <w:rPr>
          <w:color w:val="000000" w:themeColor="text1"/>
          <w:sz w:val="28"/>
          <w:szCs w:val="28"/>
        </w:rPr>
      </w:pPr>
      <w:r w:rsidRPr="000D20C8">
        <w:rPr>
          <w:color w:val="000000" w:themeColor="text1"/>
          <w:sz w:val="28"/>
          <w:szCs w:val="28"/>
        </w:rPr>
        <w:t>подходы</w:t>
      </w:r>
      <w:r>
        <w:rPr>
          <w:color w:val="000000" w:themeColor="text1"/>
          <w:sz w:val="28"/>
          <w:szCs w:val="28"/>
        </w:rPr>
        <w:t xml:space="preserve"> </w:t>
      </w:r>
      <w:r w:rsidRPr="000D20C8">
        <w:rPr>
          <w:color w:val="000000" w:themeColor="text1"/>
          <w:sz w:val="28"/>
          <w:szCs w:val="28"/>
        </w:rPr>
        <w:t>к</w:t>
      </w:r>
      <w:r>
        <w:rPr>
          <w:color w:val="000000" w:themeColor="text1"/>
          <w:sz w:val="28"/>
          <w:szCs w:val="28"/>
        </w:rPr>
        <w:t xml:space="preserve"> </w:t>
      </w:r>
      <w:r w:rsidRPr="000D20C8">
        <w:rPr>
          <w:color w:val="000000" w:themeColor="text1"/>
          <w:sz w:val="28"/>
          <w:szCs w:val="28"/>
        </w:rPr>
        <w:t>оценке</w:t>
      </w:r>
      <w:r>
        <w:rPr>
          <w:color w:val="000000" w:themeColor="text1"/>
          <w:sz w:val="28"/>
          <w:szCs w:val="28"/>
        </w:rPr>
        <w:t xml:space="preserve"> </w:t>
      </w:r>
      <w:r w:rsidRPr="000D20C8">
        <w:rPr>
          <w:color w:val="000000" w:themeColor="text1"/>
          <w:sz w:val="28"/>
          <w:szCs w:val="28"/>
        </w:rPr>
        <w:t>бюджетных</w:t>
      </w:r>
      <w:r>
        <w:rPr>
          <w:color w:val="000000" w:themeColor="text1"/>
          <w:sz w:val="28"/>
          <w:szCs w:val="28"/>
        </w:rPr>
        <w:t xml:space="preserve"> </w:t>
      </w:r>
      <w:r w:rsidRPr="000D20C8">
        <w:rPr>
          <w:color w:val="000000" w:themeColor="text1"/>
          <w:sz w:val="28"/>
          <w:szCs w:val="28"/>
        </w:rPr>
        <w:t>рисков,</w:t>
      </w:r>
      <w:r>
        <w:rPr>
          <w:color w:val="000000" w:themeColor="text1"/>
          <w:sz w:val="28"/>
          <w:szCs w:val="28"/>
        </w:rPr>
        <w:t xml:space="preserve"> </w:t>
      </w:r>
      <w:r w:rsidRPr="000D20C8">
        <w:rPr>
          <w:color w:val="000000" w:themeColor="text1"/>
          <w:sz w:val="28"/>
          <w:szCs w:val="28"/>
        </w:rPr>
        <w:t>их</w:t>
      </w:r>
      <w:r>
        <w:rPr>
          <w:color w:val="000000" w:themeColor="text1"/>
          <w:sz w:val="28"/>
          <w:szCs w:val="28"/>
        </w:rPr>
        <w:t xml:space="preserve"> </w:t>
      </w:r>
      <w:r w:rsidRPr="000D20C8">
        <w:rPr>
          <w:color w:val="000000" w:themeColor="text1"/>
          <w:sz w:val="28"/>
          <w:szCs w:val="28"/>
        </w:rPr>
        <w:t>классификации</w:t>
      </w:r>
      <w:r>
        <w:rPr>
          <w:color w:val="000000" w:themeColor="text1"/>
          <w:sz w:val="28"/>
          <w:szCs w:val="28"/>
        </w:rPr>
        <w:t xml:space="preserve"> </w:t>
      </w:r>
      <w:r w:rsidRPr="000D20C8">
        <w:rPr>
          <w:color w:val="000000" w:themeColor="text1"/>
          <w:sz w:val="28"/>
          <w:szCs w:val="28"/>
        </w:rPr>
        <w:t>и</w:t>
      </w:r>
      <w:r>
        <w:rPr>
          <w:color w:val="000000" w:themeColor="text1"/>
          <w:sz w:val="28"/>
          <w:szCs w:val="28"/>
        </w:rPr>
        <w:t xml:space="preserve"> </w:t>
      </w:r>
      <w:r w:rsidRPr="000D20C8">
        <w:rPr>
          <w:color w:val="000000" w:themeColor="text1"/>
          <w:sz w:val="28"/>
          <w:szCs w:val="28"/>
        </w:rPr>
        <w:t>порядок</w:t>
      </w:r>
      <w:r>
        <w:rPr>
          <w:color w:val="000000" w:themeColor="text1"/>
          <w:sz w:val="28"/>
          <w:szCs w:val="28"/>
        </w:rPr>
        <w:t xml:space="preserve"> </w:t>
      </w:r>
      <w:r w:rsidRPr="000D20C8">
        <w:rPr>
          <w:color w:val="000000" w:themeColor="text1"/>
          <w:sz w:val="28"/>
          <w:szCs w:val="28"/>
        </w:rPr>
        <w:t>учета</w:t>
      </w:r>
      <w:r>
        <w:rPr>
          <w:color w:val="000000" w:themeColor="text1"/>
          <w:sz w:val="28"/>
          <w:szCs w:val="28"/>
        </w:rPr>
        <w:t xml:space="preserve"> </w:t>
      </w:r>
      <w:r w:rsidRPr="000D20C8">
        <w:rPr>
          <w:color w:val="000000" w:themeColor="text1"/>
          <w:sz w:val="28"/>
          <w:szCs w:val="28"/>
        </w:rPr>
        <w:t>в</w:t>
      </w:r>
      <w:r>
        <w:rPr>
          <w:color w:val="000000" w:themeColor="text1"/>
          <w:sz w:val="28"/>
          <w:szCs w:val="28"/>
        </w:rPr>
        <w:t xml:space="preserve"> </w:t>
      </w:r>
      <w:r w:rsidRPr="000D20C8">
        <w:rPr>
          <w:color w:val="000000" w:themeColor="text1"/>
          <w:sz w:val="28"/>
          <w:szCs w:val="28"/>
        </w:rPr>
        <w:t>рамках</w:t>
      </w:r>
      <w:r>
        <w:rPr>
          <w:color w:val="000000" w:themeColor="text1"/>
          <w:sz w:val="28"/>
          <w:szCs w:val="28"/>
        </w:rPr>
        <w:t xml:space="preserve"> </w:t>
      </w:r>
      <w:r w:rsidRPr="000D20C8">
        <w:rPr>
          <w:color w:val="000000" w:themeColor="text1"/>
          <w:sz w:val="28"/>
          <w:szCs w:val="28"/>
        </w:rPr>
        <w:t>долгосрочного</w:t>
      </w:r>
      <w:r>
        <w:rPr>
          <w:color w:val="000000" w:themeColor="text1"/>
          <w:sz w:val="28"/>
          <w:szCs w:val="28"/>
        </w:rPr>
        <w:t xml:space="preserve"> </w:t>
      </w:r>
      <w:r w:rsidRPr="000D20C8">
        <w:rPr>
          <w:color w:val="000000" w:themeColor="text1"/>
          <w:sz w:val="28"/>
          <w:szCs w:val="28"/>
        </w:rPr>
        <w:t>бюджетного</w:t>
      </w:r>
      <w:r>
        <w:rPr>
          <w:color w:val="000000" w:themeColor="text1"/>
          <w:sz w:val="28"/>
          <w:szCs w:val="28"/>
        </w:rPr>
        <w:t xml:space="preserve"> </w:t>
      </w:r>
      <w:r w:rsidRPr="000D20C8">
        <w:rPr>
          <w:color w:val="000000" w:themeColor="text1"/>
          <w:sz w:val="28"/>
          <w:szCs w:val="28"/>
        </w:rPr>
        <w:t>планирования;</w:t>
      </w:r>
    </w:p>
    <w:p w:rsidR="002E2F20" w:rsidRPr="003D3D5F" w:rsidRDefault="002E2F20" w:rsidP="00C63369">
      <w:pPr>
        <w:pStyle w:val="af6"/>
        <w:numPr>
          <w:ilvl w:val="0"/>
          <w:numId w:val="28"/>
        </w:numPr>
        <w:tabs>
          <w:tab w:val="left" w:pos="426"/>
          <w:tab w:val="left" w:pos="993"/>
        </w:tabs>
        <w:spacing w:before="0" w:beforeAutospacing="0" w:after="0" w:afterAutospacing="0" w:line="276" w:lineRule="auto"/>
        <w:ind w:left="426" w:hanging="426"/>
        <w:jc w:val="both"/>
        <w:rPr>
          <w:color w:val="000000" w:themeColor="text1"/>
          <w:sz w:val="28"/>
          <w:szCs w:val="28"/>
        </w:rPr>
      </w:pPr>
      <w:r w:rsidRPr="000D20C8">
        <w:rPr>
          <w:color w:val="000000" w:themeColor="text1"/>
          <w:sz w:val="28"/>
          <w:szCs w:val="28"/>
        </w:rPr>
        <w:t>обеспечение</w:t>
      </w:r>
      <w:r>
        <w:rPr>
          <w:color w:val="000000" w:themeColor="text1"/>
          <w:sz w:val="28"/>
          <w:szCs w:val="28"/>
        </w:rPr>
        <w:t xml:space="preserve"> </w:t>
      </w:r>
      <w:r w:rsidRPr="000D20C8">
        <w:rPr>
          <w:color w:val="000000" w:themeColor="text1"/>
          <w:sz w:val="28"/>
          <w:szCs w:val="28"/>
        </w:rPr>
        <w:t>публичности</w:t>
      </w:r>
      <w:r>
        <w:rPr>
          <w:color w:val="000000" w:themeColor="text1"/>
          <w:sz w:val="28"/>
          <w:szCs w:val="28"/>
        </w:rPr>
        <w:t xml:space="preserve"> </w:t>
      </w:r>
      <w:r w:rsidRPr="000D20C8">
        <w:rPr>
          <w:color w:val="000000" w:themeColor="text1"/>
          <w:sz w:val="28"/>
          <w:szCs w:val="28"/>
        </w:rPr>
        <w:t>и</w:t>
      </w:r>
      <w:r>
        <w:rPr>
          <w:color w:val="000000" w:themeColor="text1"/>
          <w:sz w:val="28"/>
          <w:szCs w:val="28"/>
        </w:rPr>
        <w:t xml:space="preserve"> </w:t>
      </w:r>
      <w:r w:rsidRPr="000D20C8">
        <w:rPr>
          <w:color w:val="000000" w:themeColor="text1"/>
          <w:sz w:val="28"/>
          <w:szCs w:val="28"/>
        </w:rPr>
        <w:t>прозрачности</w:t>
      </w:r>
      <w:r>
        <w:rPr>
          <w:color w:val="000000" w:themeColor="text1"/>
          <w:sz w:val="28"/>
          <w:szCs w:val="28"/>
        </w:rPr>
        <w:t xml:space="preserve"> </w:t>
      </w:r>
      <w:r w:rsidRPr="000D20C8">
        <w:rPr>
          <w:color w:val="000000" w:themeColor="text1"/>
          <w:sz w:val="28"/>
          <w:szCs w:val="28"/>
        </w:rPr>
        <w:t>долгосрочного</w:t>
      </w:r>
      <w:r>
        <w:rPr>
          <w:color w:val="000000" w:themeColor="text1"/>
          <w:sz w:val="28"/>
          <w:szCs w:val="28"/>
        </w:rPr>
        <w:t xml:space="preserve"> </w:t>
      </w:r>
      <w:r w:rsidRPr="000D20C8">
        <w:rPr>
          <w:color w:val="000000" w:themeColor="text1"/>
          <w:sz w:val="28"/>
          <w:szCs w:val="28"/>
        </w:rPr>
        <w:t>бюджетного</w:t>
      </w:r>
      <w:r>
        <w:rPr>
          <w:color w:val="000000" w:themeColor="text1"/>
          <w:sz w:val="28"/>
          <w:szCs w:val="28"/>
        </w:rPr>
        <w:t xml:space="preserve"> </w:t>
      </w:r>
      <w:r w:rsidRPr="000D20C8">
        <w:rPr>
          <w:color w:val="000000" w:themeColor="text1"/>
          <w:sz w:val="28"/>
          <w:szCs w:val="28"/>
        </w:rPr>
        <w:t>планирования.</w:t>
      </w:r>
      <w:r>
        <w:rPr>
          <w:color w:val="000000" w:themeColor="text1"/>
          <w:sz w:val="28"/>
          <w:szCs w:val="28"/>
        </w:rPr>
        <w:t xml:space="preserve"> </w:t>
      </w:r>
    </w:p>
    <w:p w:rsidR="002E2F20" w:rsidRDefault="002E2F20" w:rsidP="00C63369">
      <w:pPr>
        <w:pStyle w:val="af6"/>
        <w:spacing w:before="0" w:beforeAutospacing="0" w:after="0" w:afterAutospacing="0" w:line="276" w:lineRule="auto"/>
        <w:jc w:val="both"/>
        <w:rPr>
          <w:b/>
          <w:color w:val="000000"/>
          <w:sz w:val="28"/>
          <w:szCs w:val="28"/>
        </w:rPr>
      </w:pPr>
      <w:r w:rsidRPr="00BE1344">
        <w:rPr>
          <w:color w:val="000000"/>
          <w:sz w:val="28"/>
          <w:szCs w:val="28"/>
        </w:rPr>
        <w:t xml:space="preserve">Источники информации: информация, представленная субъектами </w:t>
      </w:r>
      <w:r w:rsidR="00227DF4">
        <w:rPr>
          <w:color w:val="000000"/>
          <w:sz w:val="28"/>
          <w:szCs w:val="28"/>
        </w:rPr>
        <w:t>РФ</w:t>
      </w:r>
      <w:r w:rsidRPr="00BE1344">
        <w:rPr>
          <w:rStyle w:val="af0"/>
          <w:color w:val="000000"/>
          <w:sz w:val="28"/>
          <w:szCs w:val="28"/>
        </w:rPr>
        <w:footnoteReference w:id="1"/>
      </w:r>
      <w:r w:rsidRPr="00BE1344">
        <w:rPr>
          <w:color w:val="000000"/>
          <w:sz w:val="28"/>
          <w:szCs w:val="28"/>
        </w:rPr>
        <w:t>, д</w:t>
      </w:r>
      <w:r w:rsidR="008421B2">
        <w:rPr>
          <w:color w:val="000000"/>
          <w:sz w:val="28"/>
          <w:szCs w:val="28"/>
        </w:rPr>
        <w:t>анные справочно-правовых систем,</w:t>
      </w:r>
      <w:r w:rsidRPr="00BE1344">
        <w:rPr>
          <w:color w:val="000000"/>
          <w:sz w:val="28"/>
          <w:szCs w:val="28"/>
        </w:rPr>
        <w:t xml:space="preserve"> официальные сайты финансовых и законодательных органов субъектов </w:t>
      </w:r>
      <w:r w:rsidR="00227DF4">
        <w:rPr>
          <w:color w:val="000000"/>
          <w:sz w:val="28"/>
          <w:szCs w:val="28"/>
        </w:rPr>
        <w:t>РФ</w:t>
      </w:r>
      <w:bookmarkStart w:id="0" w:name="_ftnref1"/>
      <w:bookmarkEnd w:id="0"/>
      <w:r w:rsidRPr="00BE1344">
        <w:rPr>
          <w:color w:val="000000"/>
          <w:sz w:val="28"/>
          <w:szCs w:val="28"/>
        </w:rPr>
        <w:t>.</w:t>
      </w:r>
      <w:r>
        <w:rPr>
          <w:color w:val="000000"/>
          <w:sz w:val="28"/>
          <w:szCs w:val="28"/>
        </w:rPr>
        <w:t xml:space="preserve"> </w:t>
      </w:r>
    </w:p>
    <w:p w:rsidR="002E2F20" w:rsidRDefault="002E2F20" w:rsidP="00C63369">
      <w:pPr>
        <w:pStyle w:val="af6"/>
        <w:spacing w:before="0" w:beforeAutospacing="0" w:after="120" w:afterAutospacing="0" w:line="276" w:lineRule="auto"/>
        <w:jc w:val="both"/>
        <w:rPr>
          <w:b/>
          <w:color w:val="000000"/>
          <w:sz w:val="28"/>
          <w:szCs w:val="28"/>
        </w:rPr>
      </w:pPr>
      <w:r w:rsidRPr="00DE7128">
        <w:rPr>
          <w:b/>
          <w:color w:val="000000"/>
          <w:sz w:val="28"/>
          <w:szCs w:val="28"/>
        </w:rPr>
        <w:lastRenderedPageBreak/>
        <w:t>I.</w:t>
      </w:r>
      <w:r>
        <w:rPr>
          <w:b/>
          <w:color w:val="000000"/>
          <w:sz w:val="28"/>
          <w:szCs w:val="28"/>
        </w:rPr>
        <w:t xml:space="preserve"> </w:t>
      </w:r>
      <w:r w:rsidRPr="00452A1D">
        <w:rPr>
          <w:b/>
          <w:color w:val="000000"/>
          <w:sz w:val="28"/>
          <w:szCs w:val="28"/>
        </w:rPr>
        <w:t>Общая</w:t>
      </w:r>
      <w:r>
        <w:rPr>
          <w:b/>
          <w:color w:val="000000"/>
          <w:sz w:val="28"/>
          <w:szCs w:val="28"/>
        </w:rPr>
        <w:t xml:space="preserve"> </w:t>
      </w:r>
      <w:r w:rsidRPr="00452A1D">
        <w:rPr>
          <w:b/>
          <w:color w:val="000000"/>
          <w:sz w:val="28"/>
          <w:szCs w:val="28"/>
        </w:rPr>
        <w:t>характеристика</w:t>
      </w:r>
      <w:r>
        <w:rPr>
          <w:b/>
          <w:color w:val="000000"/>
          <w:sz w:val="28"/>
          <w:szCs w:val="28"/>
        </w:rPr>
        <w:t xml:space="preserve"> </w:t>
      </w:r>
      <w:r w:rsidRPr="00452A1D">
        <w:rPr>
          <w:b/>
          <w:color w:val="000000"/>
          <w:sz w:val="28"/>
          <w:szCs w:val="28"/>
        </w:rPr>
        <w:t>бюджетных</w:t>
      </w:r>
      <w:r>
        <w:rPr>
          <w:b/>
          <w:color w:val="000000"/>
          <w:sz w:val="28"/>
          <w:szCs w:val="28"/>
        </w:rPr>
        <w:t xml:space="preserve"> </w:t>
      </w:r>
      <w:r w:rsidRPr="00452A1D">
        <w:rPr>
          <w:b/>
          <w:color w:val="000000"/>
          <w:sz w:val="28"/>
          <w:szCs w:val="28"/>
        </w:rPr>
        <w:t>прогнозов</w:t>
      </w:r>
      <w:r>
        <w:rPr>
          <w:b/>
          <w:color w:val="000000"/>
          <w:sz w:val="28"/>
          <w:szCs w:val="28"/>
        </w:rPr>
        <w:t xml:space="preserve"> </w:t>
      </w:r>
      <w:r w:rsidRPr="00452A1D">
        <w:rPr>
          <w:b/>
          <w:color w:val="000000"/>
          <w:sz w:val="28"/>
          <w:szCs w:val="28"/>
        </w:rPr>
        <w:t>субъектов</w:t>
      </w:r>
      <w:r>
        <w:rPr>
          <w:b/>
          <w:color w:val="000000"/>
          <w:sz w:val="28"/>
          <w:szCs w:val="28"/>
        </w:rPr>
        <w:t xml:space="preserve"> </w:t>
      </w:r>
      <w:r w:rsidR="0003331B">
        <w:rPr>
          <w:b/>
          <w:color w:val="000000"/>
          <w:sz w:val="28"/>
          <w:szCs w:val="28"/>
        </w:rPr>
        <w:t>РФ</w:t>
      </w:r>
      <w:r>
        <w:rPr>
          <w:b/>
          <w:color w:val="000000"/>
          <w:sz w:val="28"/>
          <w:szCs w:val="28"/>
        </w:rPr>
        <w:t xml:space="preserve"> </w:t>
      </w:r>
      <w:r w:rsidRPr="00E30AD2">
        <w:rPr>
          <w:b/>
          <w:color w:val="000000"/>
          <w:sz w:val="28"/>
          <w:szCs w:val="28"/>
        </w:rPr>
        <w:t>и</w:t>
      </w:r>
      <w:r>
        <w:rPr>
          <w:b/>
          <w:color w:val="000000"/>
          <w:sz w:val="28"/>
          <w:szCs w:val="28"/>
        </w:rPr>
        <w:t xml:space="preserve"> </w:t>
      </w:r>
      <w:r w:rsidRPr="00E30AD2">
        <w:rPr>
          <w:b/>
          <w:color w:val="000000"/>
          <w:sz w:val="28"/>
          <w:szCs w:val="28"/>
        </w:rPr>
        <w:t>выполнение</w:t>
      </w:r>
      <w:r>
        <w:rPr>
          <w:b/>
          <w:color w:val="000000"/>
          <w:sz w:val="28"/>
          <w:szCs w:val="28"/>
        </w:rPr>
        <w:t xml:space="preserve"> </w:t>
      </w:r>
      <w:r w:rsidRPr="00E30AD2">
        <w:rPr>
          <w:b/>
          <w:color w:val="000000"/>
          <w:sz w:val="28"/>
          <w:szCs w:val="28"/>
        </w:rPr>
        <w:t>требований</w:t>
      </w:r>
      <w:r>
        <w:rPr>
          <w:b/>
          <w:color w:val="000000"/>
          <w:sz w:val="28"/>
          <w:szCs w:val="28"/>
        </w:rPr>
        <w:t xml:space="preserve"> </w:t>
      </w:r>
      <w:r w:rsidRPr="00E30AD2">
        <w:rPr>
          <w:b/>
          <w:color w:val="000000"/>
          <w:sz w:val="28"/>
          <w:szCs w:val="28"/>
        </w:rPr>
        <w:t>стать</w:t>
      </w:r>
      <w:r>
        <w:rPr>
          <w:b/>
          <w:color w:val="000000"/>
          <w:sz w:val="28"/>
          <w:szCs w:val="28"/>
        </w:rPr>
        <w:t xml:space="preserve">и 170.1 </w:t>
      </w:r>
      <w:r w:rsidRPr="00E30AD2">
        <w:rPr>
          <w:b/>
          <w:color w:val="000000"/>
          <w:sz w:val="28"/>
          <w:szCs w:val="28"/>
        </w:rPr>
        <w:t>Бюджетного</w:t>
      </w:r>
      <w:r>
        <w:rPr>
          <w:b/>
          <w:color w:val="000000"/>
          <w:sz w:val="28"/>
          <w:szCs w:val="28"/>
        </w:rPr>
        <w:t xml:space="preserve"> </w:t>
      </w:r>
      <w:r w:rsidRPr="00E30AD2">
        <w:rPr>
          <w:b/>
          <w:color w:val="000000"/>
          <w:sz w:val="28"/>
          <w:szCs w:val="28"/>
        </w:rPr>
        <w:t>кодекса</w:t>
      </w:r>
      <w:r>
        <w:rPr>
          <w:b/>
          <w:color w:val="000000"/>
          <w:sz w:val="28"/>
          <w:szCs w:val="28"/>
        </w:rPr>
        <w:t xml:space="preserve"> </w:t>
      </w:r>
      <w:r w:rsidRPr="00E30AD2">
        <w:rPr>
          <w:b/>
          <w:color w:val="000000"/>
          <w:sz w:val="28"/>
          <w:szCs w:val="28"/>
        </w:rPr>
        <w:t>Российской</w:t>
      </w:r>
      <w:r>
        <w:rPr>
          <w:b/>
          <w:color w:val="000000"/>
          <w:sz w:val="28"/>
          <w:szCs w:val="28"/>
        </w:rPr>
        <w:t xml:space="preserve"> </w:t>
      </w:r>
      <w:r w:rsidRPr="00E30AD2">
        <w:rPr>
          <w:b/>
          <w:color w:val="000000"/>
          <w:sz w:val="28"/>
          <w:szCs w:val="28"/>
        </w:rPr>
        <w:t>Федерации</w:t>
      </w:r>
      <w:r>
        <w:rPr>
          <w:b/>
          <w:color w:val="000000"/>
          <w:sz w:val="28"/>
          <w:szCs w:val="28"/>
        </w:rPr>
        <w:t xml:space="preserve"> </w:t>
      </w:r>
    </w:p>
    <w:p w:rsidR="002E2F20" w:rsidRPr="00452A1D" w:rsidRDefault="002E2F20" w:rsidP="00C63369">
      <w:pPr>
        <w:spacing w:after="0" w:line="276" w:lineRule="auto"/>
        <w:jc w:val="both"/>
        <w:rPr>
          <w:rFonts w:ascii="Times New Roman" w:eastAsia="Times New Roman" w:hAnsi="Times New Roman" w:cs="Times New Roman"/>
          <w:color w:val="000000"/>
          <w:sz w:val="28"/>
          <w:szCs w:val="28"/>
          <w:lang w:eastAsia="ru-RU"/>
        </w:rPr>
      </w:pPr>
      <w:r w:rsidRPr="00452A1D">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соответствии</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статьей</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170.1</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Бюджетного</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кодекса</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Российской</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Федерации</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(далее</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БК</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бюджетным</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прогнозом</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долгосрочный</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период</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(далее</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бюджетный</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прогноз)</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понимается</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документ,</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содержащий</w:t>
      </w:r>
      <w:r>
        <w:rPr>
          <w:rFonts w:ascii="Times New Roman" w:eastAsia="Times New Roman" w:hAnsi="Times New Roman" w:cs="Times New Roman"/>
          <w:color w:val="000000"/>
          <w:sz w:val="28"/>
          <w:szCs w:val="28"/>
          <w:lang w:eastAsia="ru-RU"/>
        </w:rPr>
        <w:t xml:space="preserve"> (1)</w:t>
      </w:r>
      <w:r>
        <w:rPr>
          <w:rFonts w:ascii="Times New Roman" w:eastAsia="Times New Roman" w:hAnsi="Times New Roman" w:cs="Times New Roman"/>
          <w:color w:val="000000"/>
          <w:sz w:val="28"/>
          <w:szCs w:val="28"/>
          <w:lang w:val="en-US" w:eastAsia="ru-RU"/>
        </w:rPr>
        <w:t> </w:t>
      </w:r>
      <w:r w:rsidRPr="00452A1D">
        <w:rPr>
          <w:rFonts w:ascii="Times New Roman" w:eastAsia="Times New Roman" w:hAnsi="Times New Roman" w:cs="Times New Roman"/>
          <w:color w:val="000000"/>
          <w:sz w:val="28"/>
          <w:szCs w:val="28"/>
          <w:lang w:eastAsia="ru-RU"/>
        </w:rPr>
        <w:t>прогноз</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основных</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характеристик</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соответствующих</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бюджетов</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(консолидированных</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бюджетов)</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бюджетной</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системы</w:t>
      </w:r>
      <w:r>
        <w:rPr>
          <w:rFonts w:ascii="Times New Roman" w:eastAsia="Times New Roman" w:hAnsi="Times New Roman" w:cs="Times New Roman"/>
          <w:color w:val="000000"/>
          <w:sz w:val="28"/>
          <w:szCs w:val="28"/>
          <w:lang w:eastAsia="ru-RU"/>
        </w:rPr>
        <w:t xml:space="preserve"> </w:t>
      </w:r>
      <w:r w:rsidR="00227DF4">
        <w:rPr>
          <w:rFonts w:ascii="Times New Roman" w:eastAsia="Times New Roman" w:hAnsi="Times New Roman" w:cs="Times New Roman"/>
          <w:color w:val="000000"/>
          <w:sz w:val="28"/>
          <w:szCs w:val="28"/>
          <w:lang w:eastAsia="ru-RU"/>
        </w:rPr>
        <w:t>РФ</w:t>
      </w:r>
      <w:r w:rsidRPr="00452A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 </w:t>
      </w:r>
      <w:r w:rsidRPr="00452A1D">
        <w:rPr>
          <w:rFonts w:ascii="Times New Roman" w:eastAsia="Times New Roman" w:hAnsi="Times New Roman" w:cs="Times New Roman"/>
          <w:color w:val="000000"/>
          <w:sz w:val="28"/>
          <w:szCs w:val="28"/>
          <w:lang w:eastAsia="ru-RU"/>
        </w:rPr>
        <w:t>показатели</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финансового</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обеспечения</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государственных</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(муниципальных)</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программ</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период</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действия,</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иные</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показатели,</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характеризующие</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бюджеты</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(консолидированные</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бюджеты)</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бюджетной</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системы</w:t>
      </w:r>
      <w:r>
        <w:rPr>
          <w:rFonts w:ascii="Times New Roman" w:eastAsia="Times New Roman" w:hAnsi="Times New Roman" w:cs="Times New Roman"/>
          <w:color w:val="000000"/>
          <w:sz w:val="28"/>
          <w:szCs w:val="28"/>
          <w:lang w:eastAsia="ru-RU"/>
        </w:rPr>
        <w:t xml:space="preserve"> </w:t>
      </w:r>
      <w:r w:rsidR="00227DF4">
        <w:rPr>
          <w:rFonts w:ascii="Times New Roman" w:eastAsia="Times New Roman" w:hAnsi="Times New Roman" w:cs="Times New Roman"/>
          <w:color w:val="000000"/>
          <w:sz w:val="28"/>
          <w:szCs w:val="28"/>
          <w:lang w:eastAsia="ru-RU"/>
        </w:rPr>
        <w:t>РФ</w:t>
      </w:r>
      <w:r w:rsidRPr="00452A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содержащий</w:t>
      </w:r>
      <w:r>
        <w:rPr>
          <w:rFonts w:ascii="Times New Roman" w:eastAsia="Times New Roman" w:hAnsi="Times New Roman" w:cs="Times New Roman"/>
          <w:color w:val="000000"/>
          <w:sz w:val="28"/>
          <w:szCs w:val="28"/>
          <w:lang w:eastAsia="ru-RU"/>
        </w:rPr>
        <w:t xml:space="preserve"> (3)</w:t>
      </w:r>
      <w:r>
        <w:rPr>
          <w:rFonts w:ascii="Times New Roman" w:eastAsia="Times New Roman" w:hAnsi="Times New Roman" w:cs="Times New Roman"/>
          <w:color w:val="000000"/>
          <w:sz w:val="28"/>
          <w:szCs w:val="28"/>
          <w:lang w:val="en-US" w:eastAsia="ru-RU"/>
        </w:rPr>
        <w:t> </w:t>
      </w:r>
      <w:r w:rsidRPr="00452A1D">
        <w:rPr>
          <w:rFonts w:ascii="Times New Roman" w:eastAsia="Times New Roman" w:hAnsi="Times New Roman" w:cs="Times New Roman"/>
          <w:color w:val="000000"/>
          <w:sz w:val="28"/>
          <w:szCs w:val="28"/>
          <w:lang w:eastAsia="ru-RU"/>
        </w:rPr>
        <w:t>основные</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подходы</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формированию</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бюджетной</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политики</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долгосрочный</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период.</w:t>
      </w:r>
      <w:r>
        <w:rPr>
          <w:rFonts w:ascii="Times New Roman" w:eastAsia="Times New Roman" w:hAnsi="Times New Roman" w:cs="Times New Roman"/>
          <w:color w:val="000000"/>
          <w:sz w:val="28"/>
          <w:szCs w:val="28"/>
          <w:lang w:eastAsia="ru-RU"/>
        </w:rPr>
        <w:t xml:space="preserve"> </w:t>
      </w:r>
    </w:p>
    <w:p w:rsidR="002E2F20" w:rsidRPr="00452A1D" w:rsidRDefault="002E2F20" w:rsidP="00C63369">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Т</w:t>
      </w:r>
      <w:r w:rsidRPr="00452A1D">
        <w:rPr>
          <w:rFonts w:ascii="Times New Roman" w:eastAsia="Times New Roman" w:hAnsi="Times New Roman" w:cs="Times New Roman"/>
          <w:color w:val="000000"/>
          <w:sz w:val="28"/>
          <w:szCs w:val="28"/>
          <w:lang w:eastAsia="ru-RU"/>
        </w:rPr>
        <w:t>ребования</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нормативной</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правовой</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базе,</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регулирующей</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разработку</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утверждение</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бюджетных</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прогнозов</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уровне</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субъектов</w:t>
      </w:r>
      <w:r>
        <w:rPr>
          <w:rFonts w:ascii="Times New Roman" w:eastAsia="Times New Roman" w:hAnsi="Times New Roman" w:cs="Times New Roman"/>
          <w:color w:val="000000"/>
          <w:sz w:val="28"/>
          <w:szCs w:val="28"/>
          <w:lang w:eastAsia="ru-RU"/>
        </w:rPr>
        <w:t xml:space="preserve"> </w:t>
      </w:r>
      <w:r w:rsidR="00227DF4">
        <w:rPr>
          <w:rFonts w:ascii="Times New Roman" w:eastAsia="Times New Roman" w:hAnsi="Times New Roman" w:cs="Times New Roman"/>
          <w:color w:val="000000"/>
          <w:sz w:val="28"/>
          <w:szCs w:val="28"/>
          <w:lang w:eastAsia="ru-RU"/>
        </w:rPr>
        <w:t>РФ</w:t>
      </w:r>
      <w:r w:rsidRPr="00452A1D">
        <w:rPr>
          <w:rFonts w:ascii="Times New Roman" w:eastAsia="Times New Roman" w:hAnsi="Times New Roman" w:cs="Times New Roman"/>
          <w:color w:val="000000"/>
          <w:sz w:val="28"/>
          <w:szCs w:val="28"/>
          <w:lang w:eastAsia="ru-RU"/>
        </w:rPr>
        <w:t>:</w:t>
      </w:r>
    </w:p>
    <w:p w:rsidR="002E2F20" w:rsidRPr="00A96A1A" w:rsidRDefault="002E2F20" w:rsidP="00A15DEE">
      <w:pPr>
        <w:pStyle w:val="a4"/>
        <w:numPr>
          <w:ilvl w:val="0"/>
          <w:numId w:val="9"/>
        </w:numPr>
        <w:tabs>
          <w:tab w:val="right" w:pos="0"/>
          <w:tab w:val="left" w:pos="1134"/>
          <w:tab w:val="left" w:pos="1560"/>
        </w:tabs>
        <w:spacing w:after="0" w:line="276" w:lineRule="auto"/>
        <w:ind w:left="426" w:hanging="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A96A1A">
        <w:rPr>
          <w:rFonts w:ascii="Times New Roman" w:eastAsia="Times New Roman" w:hAnsi="Times New Roman" w:cs="Times New Roman"/>
          <w:color w:val="000000"/>
          <w:sz w:val="28"/>
          <w:szCs w:val="28"/>
          <w:lang w:eastAsia="ru-RU"/>
        </w:rPr>
        <w:t>тверждение</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высшим</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исполнительным</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органом</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государственной</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власти</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субъекта</w:t>
      </w:r>
      <w:r>
        <w:rPr>
          <w:rFonts w:ascii="Times New Roman" w:eastAsia="Times New Roman" w:hAnsi="Times New Roman" w:cs="Times New Roman"/>
          <w:color w:val="000000"/>
          <w:sz w:val="28"/>
          <w:szCs w:val="28"/>
          <w:lang w:eastAsia="ru-RU"/>
        </w:rPr>
        <w:t xml:space="preserve"> </w:t>
      </w:r>
      <w:r w:rsidR="00227DF4">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t xml:space="preserve"> </w:t>
      </w:r>
      <w:hyperlink r:id="rId8" w:history="1">
        <w:r w:rsidRPr="00A96A1A">
          <w:rPr>
            <w:rFonts w:ascii="Times New Roman" w:eastAsia="Times New Roman" w:hAnsi="Times New Roman" w:cs="Times New Roman"/>
            <w:color w:val="000000"/>
            <w:sz w:val="28"/>
            <w:szCs w:val="28"/>
            <w:lang w:eastAsia="ru-RU"/>
          </w:rPr>
          <w:t>порядк</w:t>
        </w:r>
      </w:hyperlink>
      <w:r w:rsidRPr="00A96A1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разработки</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утверждения</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бюджетного</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прогноза</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(далее</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w:t>
      </w:r>
      <w:r w:rsidRPr="00A96A1A">
        <w:rPr>
          <w:rFonts w:ascii="Times New Roman" w:eastAsia="Times New Roman" w:hAnsi="Times New Roman" w:cs="Times New Roman"/>
          <w:color w:val="000000"/>
          <w:sz w:val="28"/>
          <w:szCs w:val="28"/>
          <w:lang w:eastAsia="ru-RU"/>
        </w:rPr>
        <w:t>орядок</w:t>
      </w:r>
      <w:r>
        <w:rPr>
          <w:rFonts w:ascii="Times New Roman" w:eastAsia="Times New Roman" w:hAnsi="Times New Roman" w:cs="Times New Roman"/>
          <w:color w:val="000000"/>
          <w:sz w:val="28"/>
          <w:szCs w:val="28"/>
          <w:lang w:eastAsia="ru-RU"/>
        </w:rPr>
        <w:t xml:space="preserve"> </w:t>
      </w:r>
      <w:r w:rsidRPr="00A96A1A">
        <w:rPr>
          <w:rFonts w:ascii="Times New Roman" w:eastAsia="Times New Roman" w:hAnsi="Times New Roman" w:cs="Times New Roman"/>
          <w:color w:val="000000"/>
          <w:sz w:val="28"/>
          <w:szCs w:val="28"/>
          <w:lang w:eastAsia="ru-RU"/>
        </w:rPr>
        <w:t>разработки);</w:t>
      </w:r>
    </w:p>
    <w:p w:rsidR="002E2F20" w:rsidRDefault="002E2F20" w:rsidP="00A15DEE">
      <w:pPr>
        <w:pStyle w:val="a4"/>
        <w:numPr>
          <w:ilvl w:val="0"/>
          <w:numId w:val="9"/>
        </w:numPr>
        <w:tabs>
          <w:tab w:val="right" w:pos="567"/>
          <w:tab w:val="left" w:pos="1134"/>
          <w:tab w:val="left" w:pos="1560"/>
        </w:tabs>
        <w:spacing w:after="0" w:line="276" w:lineRule="auto"/>
        <w:ind w:left="426" w:hanging="426"/>
        <w:jc w:val="both"/>
        <w:rPr>
          <w:rFonts w:ascii="Times New Roman" w:eastAsia="Times New Roman" w:hAnsi="Times New Roman" w:cs="Times New Roman"/>
          <w:color w:val="000000"/>
          <w:sz w:val="28"/>
          <w:szCs w:val="28"/>
          <w:lang w:eastAsia="ru-RU"/>
        </w:rPr>
      </w:pPr>
      <w:r w:rsidRPr="00280C7D">
        <w:rPr>
          <w:rFonts w:ascii="Times New Roman" w:eastAsia="Times New Roman" w:hAnsi="Times New Roman" w:cs="Times New Roman"/>
          <w:color w:val="000000"/>
          <w:sz w:val="28"/>
          <w:szCs w:val="28"/>
          <w:lang w:eastAsia="ru-RU"/>
        </w:rPr>
        <w:t>утверждение</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высшими</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исполнительными</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органами</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государственной</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власти</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субъектов</w:t>
      </w:r>
      <w:r>
        <w:rPr>
          <w:rFonts w:ascii="Times New Roman" w:eastAsia="Times New Roman" w:hAnsi="Times New Roman" w:cs="Times New Roman"/>
          <w:color w:val="000000"/>
          <w:sz w:val="28"/>
          <w:szCs w:val="28"/>
          <w:lang w:eastAsia="ru-RU"/>
        </w:rPr>
        <w:t xml:space="preserve"> </w:t>
      </w:r>
      <w:r w:rsidR="00227DF4">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бюджетных</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прогнозов</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срок,</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превышающий</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двух</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месяцев</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дня</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официального</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опубликования</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закона</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соответствующем</w:t>
      </w:r>
      <w:r>
        <w:rPr>
          <w:rFonts w:ascii="Times New Roman" w:eastAsia="Times New Roman" w:hAnsi="Times New Roman" w:cs="Times New Roman"/>
          <w:color w:val="000000"/>
          <w:sz w:val="28"/>
          <w:szCs w:val="28"/>
          <w:lang w:eastAsia="ru-RU"/>
        </w:rPr>
        <w:t xml:space="preserve"> </w:t>
      </w:r>
      <w:r w:rsidRPr="00280C7D">
        <w:rPr>
          <w:rFonts w:ascii="Times New Roman" w:eastAsia="Times New Roman" w:hAnsi="Times New Roman" w:cs="Times New Roman"/>
          <w:color w:val="000000"/>
          <w:sz w:val="28"/>
          <w:szCs w:val="28"/>
          <w:lang w:eastAsia="ru-RU"/>
        </w:rPr>
        <w:t>бюджете.</w:t>
      </w:r>
    </w:p>
    <w:p w:rsidR="00344803" w:rsidRPr="00280C7D" w:rsidRDefault="00344803" w:rsidP="00344803">
      <w:pPr>
        <w:pStyle w:val="a4"/>
        <w:tabs>
          <w:tab w:val="right" w:pos="567"/>
          <w:tab w:val="left" w:pos="1134"/>
          <w:tab w:val="left" w:pos="1560"/>
        </w:tabs>
        <w:spacing w:after="0" w:line="120" w:lineRule="exact"/>
        <w:ind w:left="567"/>
        <w:jc w:val="both"/>
        <w:rPr>
          <w:rFonts w:ascii="Times New Roman" w:eastAsia="Times New Roman" w:hAnsi="Times New Roman" w:cs="Times New Roman"/>
          <w:color w:val="000000"/>
          <w:sz w:val="28"/>
          <w:szCs w:val="28"/>
          <w:lang w:eastAsia="ru-RU"/>
        </w:rPr>
      </w:pPr>
    </w:p>
    <w:p w:rsidR="002E2F20" w:rsidRPr="00344803" w:rsidRDefault="002E2F20" w:rsidP="00A15DEE">
      <w:pPr>
        <w:pStyle w:val="a4"/>
        <w:numPr>
          <w:ilvl w:val="0"/>
          <w:numId w:val="44"/>
        </w:numPr>
        <w:tabs>
          <w:tab w:val="right" w:pos="426"/>
        </w:tabs>
        <w:spacing w:before="120" w:after="0" w:line="276" w:lineRule="auto"/>
        <w:ind w:left="426" w:hanging="426"/>
        <w:jc w:val="both"/>
        <w:rPr>
          <w:rFonts w:ascii="Times New Roman" w:eastAsia="Times New Roman" w:hAnsi="Times New Roman" w:cs="Times New Roman"/>
          <w:color w:val="000000"/>
          <w:sz w:val="28"/>
          <w:szCs w:val="28"/>
          <w:lang w:eastAsia="ru-RU"/>
        </w:rPr>
      </w:pPr>
      <w:r w:rsidRPr="00344803">
        <w:rPr>
          <w:rFonts w:ascii="Times New Roman" w:eastAsia="Times New Roman" w:hAnsi="Times New Roman" w:cs="Times New Roman"/>
          <w:color w:val="000000"/>
          <w:sz w:val="28"/>
          <w:szCs w:val="28"/>
          <w:u w:val="single"/>
          <w:lang w:eastAsia="ru-RU"/>
        </w:rPr>
        <w:t>Требование о содержании в бюджетных прогнозах характеристик соответствующего бюджета (консолидированного бюджета)</w:t>
      </w:r>
      <w:r w:rsidRPr="00344803">
        <w:rPr>
          <w:rFonts w:ascii="Times New Roman" w:eastAsia="Times New Roman" w:hAnsi="Times New Roman" w:cs="Times New Roman"/>
          <w:color w:val="000000"/>
          <w:sz w:val="28"/>
          <w:szCs w:val="28"/>
          <w:lang w:eastAsia="ru-RU"/>
        </w:rPr>
        <w:t xml:space="preserve"> региона выполняется всеми субъектами </w:t>
      </w:r>
      <w:r w:rsidR="00CB5C1A" w:rsidRPr="00344803">
        <w:rPr>
          <w:rFonts w:ascii="Times New Roman" w:eastAsia="Times New Roman" w:hAnsi="Times New Roman" w:cs="Times New Roman"/>
          <w:color w:val="000000"/>
          <w:sz w:val="28"/>
          <w:szCs w:val="28"/>
          <w:lang w:eastAsia="ru-RU"/>
        </w:rPr>
        <w:t>РФ</w:t>
      </w:r>
      <w:r w:rsidRPr="00344803">
        <w:rPr>
          <w:rFonts w:ascii="Times New Roman" w:eastAsia="Times New Roman" w:hAnsi="Times New Roman" w:cs="Times New Roman"/>
          <w:color w:val="000000"/>
          <w:sz w:val="28"/>
          <w:szCs w:val="28"/>
          <w:lang w:eastAsia="ru-RU"/>
        </w:rPr>
        <w:t xml:space="preserve">. Около 86% из них утвердили в бюджетном прогнозе как показатели консолидированного бюджета, так и бюджета субъекта </w:t>
      </w:r>
      <w:r w:rsidR="00CB5C1A" w:rsidRPr="00344803">
        <w:rPr>
          <w:rFonts w:ascii="Times New Roman" w:eastAsia="Times New Roman" w:hAnsi="Times New Roman" w:cs="Times New Roman"/>
          <w:color w:val="000000"/>
          <w:sz w:val="28"/>
          <w:szCs w:val="28"/>
          <w:lang w:eastAsia="ru-RU"/>
        </w:rPr>
        <w:t>РФ</w:t>
      </w:r>
      <w:r w:rsidRPr="00344803">
        <w:rPr>
          <w:rFonts w:ascii="Times New Roman" w:eastAsia="Times New Roman" w:hAnsi="Times New Roman" w:cs="Times New Roman"/>
          <w:color w:val="000000"/>
          <w:sz w:val="28"/>
          <w:szCs w:val="28"/>
          <w:lang w:eastAsia="ru-RU"/>
        </w:rPr>
        <w:t xml:space="preserve">. </w:t>
      </w:r>
    </w:p>
    <w:p w:rsidR="00C63369" w:rsidRDefault="00C63369" w:rsidP="00C63369">
      <w:pPr>
        <w:pStyle w:val="a4"/>
        <w:spacing w:after="0" w:line="276" w:lineRule="auto"/>
        <w:ind w:left="0"/>
        <w:jc w:val="both"/>
        <w:rPr>
          <w:rFonts w:ascii="Times New Roman" w:eastAsia="Times New Roman" w:hAnsi="Times New Roman" w:cs="Times New Roman"/>
          <w:color w:val="000000"/>
          <w:sz w:val="28"/>
          <w:szCs w:val="28"/>
          <w:lang w:eastAsia="ru-RU"/>
        </w:rPr>
      </w:pPr>
    </w:p>
    <w:p w:rsidR="002E2F20" w:rsidRPr="00F00243" w:rsidRDefault="002E2F20" w:rsidP="00C63369">
      <w:pPr>
        <w:spacing w:after="0" w:line="240" w:lineRule="auto"/>
        <w:jc w:val="both"/>
        <w:rPr>
          <w:rFonts w:ascii="Times New Roman" w:eastAsia="Times New Roman" w:hAnsi="Times New Roman" w:cs="Times New Roman"/>
          <w:b/>
          <w:color w:val="000000"/>
          <w:sz w:val="24"/>
          <w:szCs w:val="28"/>
          <w:lang w:eastAsia="ru-RU"/>
        </w:rPr>
      </w:pPr>
      <w:r w:rsidRPr="00F00243">
        <w:rPr>
          <w:rFonts w:ascii="Times New Roman" w:eastAsia="Times New Roman" w:hAnsi="Times New Roman" w:cs="Times New Roman"/>
          <w:b/>
          <w:color w:val="000000"/>
          <w:sz w:val="24"/>
          <w:szCs w:val="28"/>
          <w:lang w:eastAsia="ru-RU"/>
        </w:rPr>
        <w:t>Таблица 1. Наличие основных характеристик соответствующих бюджетов (консолидированных бюджетов)</w:t>
      </w:r>
    </w:p>
    <w:tbl>
      <w:tblPr>
        <w:tblW w:w="0" w:type="auto"/>
        <w:tblLayout w:type="fixed"/>
        <w:tblLook w:val="04A0" w:firstRow="1" w:lastRow="0" w:firstColumn="1" w:lastColumn="0" w:noHBand="0" w:noVBand="1"/>
      </w:tblPr>
      <w:tblGrid>
        <w:gridCol w:w="2972"/>
        <w:gridCol w:w="2171"/>
        <w:gridCol w:w="2171"/>
        <w:gridCol w:w="2171"/>
      </w:tblGrid>
      <w:tr w:rsidR="002E2F20" w:rsidRPr="00EF1136" w:rsidTr="00CE2F86">
        <w:trPr>
          <w:trHeight w:val="385"/>
        </w:trPr>
        <w:tc>
          <w:tcPr>
            <w:tcW w:w="2972" w:type="dxa"/>
            <w:vMerge w:val="restart"/>
            <w:tcBorders>
              <w:top w:val="single" w:sz="4" w:space="0" w:color="auto"/>
              <w:left w:val="single" w:sz="4" w:space="0" w:color="auto"/>
              <w:right w:val="single" w:sz="4" w:space="0" w:color="auto"/>
            </w:tcBorders>
            <w:shd w:val="clear" w:color="auto" w:fill="auto"/>
            <w:noWrap/>
            <w:vAlign w:val="center"/>
          </w:tcPr>
          <w:p w:rsidR="002E2F20" w:rsidRPr="00FB69A2" w:rsidRDefault="002E2F20" w:rsidP="00CE2F86">
            <w:pPr>
              <w:spacing w:after="0" w:line="240" w:lineRule="auto"/>
              <w:jc w:val="center"/>
              <w:rPr>
                <w:rFonts w:ascii="Times New Roman" w:eastAsia="Times New Roman" w:hAnsi="Times New Roman" w:cs="Times New Roman"/>
                <w:bCs/>
                <w:color w:val="000000"/>
                <w:lang w:eastAsia="ru-RU"/>
              </w:rPr>
            </w:pPr>
            <w:r w:rsidRPr="00FB69A2">
              <w:rPr>
                <w:rFonts w:ascii="Times New Roman" w:eastAsia="Times New Roman" w:hAnsi="Times New Roman" w:cs="Times New Roman"/>
                <w:bCs/>
                <w:color w:val="000000"/>
                <w:lang w:eastAsia="ru-RU"/>
              </w:rPr>
              <w:t>Показатель</w:t>
            </w:r>
          </w:p>
        </w:tc>
        <w:tc>
          <w:tcPr>
            <w:tcW w:w="6513" w:type="dxa"/>
            <w:gridSpan w:val="3"/>
            <w:tcBorders>
              <w:top w:val="single" w:sz="4" w:space="0" w:color="auto"/>
              <w:left w:val="nil"/>
              <w:bottom w:val="single" w:sz="4" w:space="0" w:color="auto"/>
              <w:right w:val="single" w:sz="4" w:space="0" w:color="auto"/>
            </w:tcBorders>
            <w:shd w:val="clear" w:color="auto" w:fill="auto"/>
            <w:noWrap/>
            <w:vAlign w:val="center"/>
          </w:tcPr>
          <w:p w:rsidR="002E2F20" w:rsidRPr="00FB69A2" w:rsidRDefault="002E2F20" w:rsidP="00CE2F86">
            <w:pPr>
              <w:spacing w:after="0" w:line="240" w:lineRule="auto"/>
              <w:jc w:val="center"/>
              <w:rPr>
                <w:rFonts w:ascii="Times New Roman" w:eastAsia="Times New Roman" w:hAnsi="Times New Roman" w:cs="Times New Roman"/>
                <w:color w:val="000000"/>
                <w:lang w:eastAsia="ru-RU"/>
              </w:rPr>
            </w:pPr>
            <w:r w:rsidRPr="00FB69A2">
              <w:rPr>
                <w:rFonts w:ascii="Times New Roman" w:eastAsia="Times New Roman" w:hAnsi="Times New Roman" w:cs="Times New Roman"/>
                <w:color w:val="000000"/>
                <w:lang w:eastAsia="ru-RU"/>
              </w:rPr>
              <w:t>Выполнение требований о наличии в бюджетных прогнозах характеристик консолидированного бюджета субъекта РФ и регионального бюджета</w:t>
            </w:r>
          </w:p>
        </w:tc>
      </w:tr>
      <w:tr w:rsidR="002E2F20" w:rsidRPr="00EF1136" w:rsidTr="00CE2F86">
        <w:trPr>
          <w:trHeight w:val="315"/>
        </w:trPr>
        <w:tc>
          <w:tcPr>
            <w:tcW w:w="2972" w:type="dxa"/>
            <w:vMerge/>
            <w:tcBorders>
              <w:left w:val="single" w:sz="4" w:space="0" w:color="auto"/>
              <w:bottom w:val="single" w:sz="4" w:space="0" w:color="auto"/>
              <w:right w:val="single" w:sz="4" w:space="0" w:color="auto"/>
            </w:tcBorders>
            <w:shd w:val="clear" w:color="auto" w:fill="auto"/>
            <w:noWrap/>
            <w:vAlign w:val="center"/>
            <w:hideMark/>
          </w:tcPr>
          <w:p w:rsidR="002E2F20" w:rsidRPr="00FB69A2" w:rsidRDefault="002E2F20" w:rsidP="00CE2F86">
            <w:pPr>
              <w:spacing w:after="0" w:line="240" w:lineRule="auto"/>
              <w:jc w:val="center"/>
              <w:rPr>
                <w:rFonts w:ascii="Times New Roman" w:eastAsia="Times New Roman" w:hAnsi="Times New Roman" w:cs="Times New Roman"/>
                <w:b/>
                <w:bCs/>
                <w:color w:val="000000"/>
                <w:lang w:eastAsia="ru-RU"/>
              </w:rPr>
            </w:pP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rsidR="002E2F20" w:rsidRPr="00FB69A2" w:rsidRDefault="002E2F20" w:rsidP="00CE2F86">
            <w:pPr>
              <w:spacing w:after="0" w:line="240" w:lineRule="auto"/>
              <w:jc w:val="center"/>
              <w:rPr>
                <w:rFonts w:ascii="Times New Roman" w:eastAsia="Times New Roman" w:hAnsi="Times New Roman" w:cs="Times New Roman"/>
                <w:color w:val="000000"/>
                <w:lang w:eastAsia="ru-RU"/>
              </w:rPr>
            </w:pPr>
            <w:r w:rsidRPr="00FB69A2">
              <w:rPr>
                <w:rFonts w:ascii="Times New Roman" w:eastAsia="Times New Roman" w:hAnsi="Times New Roman" w:cs="Times New Roman"/>
                <w:color w:val="000000"/>
                <w:lang w:eastAsia="ru-RU"/>
              </w:rPr>
              <w:t>В бюджетном прогнозе содержатся характеристики консолидирован</w:t>
            </w:r>
            <w:r>
              <w:rPr>
                <w:rFonts w:ascii="Times New Roman" w:eastAsia="Times New Roman" w:hAnsi="Times New Roman" w:cs="Times New Roman"/>
                <w:color w:val="000000"/>
                <w:lang w:eastAsia="ru-RU"/>
              </w:rPr>
              <w:t>-</w:t>
            </w:r>
            <w:proofErr w:type="spellStart"/>
            <w:r w:rsidRPr="00FB69A2">
              <w:rPr>
                <w:rFonts w:ascii="Times New Roman" w:eastAsia="Times New Roman" w:hAnsi="Times New Roman" w:cs="Times New Roman"/>
                <w:color w:val="000000"/>
                <w:lang w:eastAsia="ru-RU"/>
              </w:rPr>
              <w:t>ного</w:t>
            </w:r>
            <w:proofErr w:type="spellEnd"/>
            <w:r w:rsidRPr="00FB69A2">
              <w:rPr>
                <w:rFonts w:ascii="Times New Roman" w:eastAsia="Times New Roman" w:hAnsi="Times New Roman" w:cs="Times New Roman"/>
                <w:color w:val="000000"/>
                <w:lang w:eastAsia="ru-RU"/>
              </w:rPr>
              <w:t xml:space="preserve"> и </w:t>
            </w:r>
            <w:proofErr w:type="spellStart"/>
            <w:r w:rsidRPr="00FB69A2">
              <w:rPr>
                <w:rFonts w:ascii="Times New Roman" w:eastAsia="Times New Roman" w:hAnsi="Times New Roman" w:cs="Times New Roman"/>
                <w:color w:val="000000"/>
                <w:lang w:eastAsia="ru-RU"/>
              </w:rPr>
              <w:t>региональ</w:t>
            </w:r>
            <w:r>
              <w:rPr>
                <w:rFonts w:ascii="Times New Roman" w:eastAsia="Times New Roman" w:hAnsi="Times New Roman" w:cs="Times New Roman"/>
                <w:color w:val="000000"/>
                <w:lang w:eastAsia="ru-RU"/>
              </w:rPr>
              <w:t>-</w:t>
            </w:r>
            <w:r w:rsidRPr="00FB69A2">
              <w:rPr>
                <w:rFonts w:ascii="Times New Roman" w:eastAsia="Times New Roman" w:hAnsi="Times New Roman" w:cs="Times New Roman"/>
                <w:color w:val="000000"/>
                <w:lang w:eastAsia="ru-RU"/>
              </w:rPr>
              <w:t>ного</w:t>
            </w:r>
            <w:proofErr w:type="spellEnd"/>
            <w:r w:rsidRPr="00FB69A2">
              <w:rPr>
                <w:rFonts w:ascii="Times New Roman" w:eastAsia="Times New Roman" w:hAnsi="Times New Roman" w:cs="Times New Roman"/>
                <w:color w:val="000000"/>
                <w:lang w:eastAsia="ru-RU"/>
              </w:rPr>
              <w:t xml:space="preserve"> бюджетов</w:t>
            </w:r>
          </w:p>
        </w:tc>
        <w:tc>
          <w:tcPr>
            <w:tcW w:w="2171" w:type="dxa"/>
            <w:tcBorders>
              <w:top w:val="single" w:sz="4" w:space="0" w:color="auto"/>
              <w:left w:val="nil"/>
              <w:bottom w:val="single" w:sz="4" w:space="0" w:color="auto"/>
              <w:right w:val="single" w:sz="4" w:space="0" w:color="auto"/>
            </w:tcBorders>
            <w:shd w:val="clear" w:color="auto" w:fill="auto"/>
          </w:tcPr>
          <w:p w:rsidR="002E2F20" w:rsidRPr="00FB69A2" w:rsidRDefault="002E2F20" w:rsidP="00CE2F86">
            <w:pPr>
              <w:spacing w:after="0" w:line="240" w:lineRule="auto"/>
              <w:jc w:val="center"/>
              <w:rPr>
                <w:rFonts w:ascii="Times New Roman" w:eastAsia="Times New Roman" w:hAnsi="Times New Roman" w:cs="Times New Roman"/>
                <w:color w:val="000000"/>
                <w:lang w:eastAsia="ru-RU"/>
              </w:rPr>
            </w:pPr>
            <w:r w:rsidRPr="00FB69A2">
              <w:rPr>
                <w:rFonts w:ascii="Times New Roman" w:eastAsia="Times New Roman" w:hAnsi="Times New Roman" w:cs="Times New Roman"/>
                <w:color w:val="000000"/>
                <w:lang w:eastAsia="ru-RU"/>
              </w:rPr>
              <w:t xml:space="preserve">В бюджетном прогнозе содержатся характеристики только регионального бюджета </w:t>
            </w:r>
          </w:p>
        </w:tc>
        <w:tc>
          <w:tcPr>
            <w:tcW w:w="2171" w:type="dxa"/>
            <w:tcBorders>
              <w:top w:val="single" w:sz="4" w:space="0" w:color="auto"/>
              <w:left w:val="nil"/>
              <w:bottom w:val="single" w:sz="4" w:space="0" w:color="auto"/>
              <w:right w:val="single" w:sz="4" w:space="0" w:color="auto"/>
            </w:tcBorders>
            <w:shd w:val="clear" w:color="auto" w:fill="auto"/>
          </w:tcPr>
          <w:p w:rsidR="002E2F20" w:rsidRPr="00FB69A2" w:rsidRDefault="002E2F20" w:rsidP="00CE2F86">
            <w:pPr>
              <w:spacing w:after="0" w:line="240" w:lineRule="auto"/>
              <w:jc w:val="center"/>
              <w:rPr>
                <w:rFonts w:ascii="Times New Roman" w:eastAsia="Times New Roman" w:hAnsi="Times New Roman" w:cs="Times New Roman"/>
                <w:color w:val="000000"/>
                <w:lang w:eastAsia="ru-RU"/>
              </w:rPr>
            </w:pPr>
            <w:r w:rsidRPr="00FB69A2">
              <w:rPr>
                <w:rFonts w:ascii="Times New Roman" w:eastAsia="Times New Roman" w:hAnsi="Times New Roman" w:cs="Times New Roman"/>
                <w:color w:val="000000"/>
                <w:lang w:eastAsia="ru-RU"/>
              </w:rPr>
              <w:t>В бюджетном прогнозе содержатся характеристики только консолидированного бюджета субъекта</w:t>
            </w:r>
            <w:r>
              <w:rPr>
                <w:rFonts w:ascii="Times New Roman" w:eastAsia="Times New Roman" w:hAnsi="Times New Roman" w:cs="Times New Roman"/>
                <w:color w:val="000000"/>
                <w:lang w:eastAsia="ru-RU"/>
              </w:rPr>
              <w:t xml:space="preserve"> РФ</w:t>
            </w:r>
          </w:p>
        </w:tc>
      </w:tr>
      <w:tr w:rsidR="002E2F20" w:rsidRPr="00EF1136" w:rsidTr="00CE2F86">
        <w:trPr>
          <w:trHeight w:val="426"/>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F20" w:rsidRPr="00FB69A2" w:rsidRDefault="002E2F20" w:rsidP="00CE2F86">
            <w:pPr>
              <w:spacing w:after="0" w:line="240" w:lineRule="auto"/>
              <w:rPr>
                <w:rFonts w:ascii="Times New Roman" w:eastAsia="Times New Roman" w:hAnsi="Times New Roman" w:cs="Times New Roman"/>
                <w:color w:val="000000"/>
                <w:lang w:eastAsia="ru-RU"/>
              </w:rPr>
            </w:pPr>
            <w:r w:rsidRPr="00FB69A2">
              <w:rPr>
                <w:rFonts w:ascii="Times New Roman" w:eastAsia="Times New Roman" w:hAnsi="Times New Roman" w:cs="Times New Roman"/>
                <w:color w:val="000000"/>
                <w:lang w:eastAsia="ru-RU"/>
              </w:rPr>
              <w:t>Количество субъектов РФ</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2E2F20" w:rsidRPr="00773A78" w:rsidRDefault="002E2F20" w:rsidP="00CE2F86">
            <w:pPr>
              <w:spacing w:after="0" w:line="240" w:lineRule="auto"/>
              <w:jc w:val="center"/>
              <w:rPr>
                <w:rFonts w:ascii="Times New Roman" w:eastAsia="Times New Roman" w:hAnsi="Times New Roman" w:cs="Times New Roman"/>
                <w:color w:val="000000"/>
                <w:lang w:eastAsia="ru-RU"/>
              </w:rPr>
            </w:pPr>
            <w:r w:rsidRPr="00773A78">
              <w:rPr>
                <w:rFonts w:ascii="Times New Roman" w:eastAsia="Times New Roman" w:hAnsi="Times New Roman" w:cs="Times New Roman"/>
                <w:color w:val="000000"/>
                <w:lang w:eastAsia="ru-RU"/>
              </w:rPr>
              <w:t>70</w:t>
            </w:r>
          </w:p>
        </w:tc>
        <w:tc>
          <w:tcPr>
            <w:tcW w:w="2171" w:type="dxa"/>
            <w:tcBorders>
              <w:top w:val="single" w:sz="4" w:space="0" w:color="auto"/>
              <w:left w:val="nil"/>
              <w:bottom w:val="single" w:sz="4" w:space="0" w:color="auto"/>
              <w:right w:val="single" w:sz="4" w:space="0" w:color="auto"/>
            </w:tcBorders>
            <w:shd w:val="clear" w:color="auto" w:fill="auto"/>
            <w:vAlign w:val="center"/>
          </w:tcPr>
          <w:p w:rsidR="002E2F20" w:rsidRPr="00773A78" w:rsidRDefault="002E2F20" w:rsidP="00CE2F86">
            <w:pPr>
              <w:spacing w:after="0" w:line="240" w:lineRule="auto"/>
              <w:jc w:val="center"/>
              <w:rPr>
                <w:rFonts w:ascii="Times New Roman" w:eastAsia="Times New Roman" w:hAnsi="Times New Roman" w:cs="Times New Roman"/>
                <w:color w:val="000000"/>
                <w:lang w:eastAsia="ru-RU"/>
              </w:rPr>
            </w:pPr>
            <w:r w:rsidRPr="00773A78">
              <w:rPr>
                <w:rFonts w:ascii="Times New Roman" w:eastAsia="Times New Roman" w:hAnsi="Times New Roman" w:cs="Times New Roman"/>
                <w:color w:val="000000"/>
                <w:lang w:eastAsia="ru-RU"/>
              </w:rPr>
              <w:t>9</w:t>
            </w:r>
          </w:p>
        </w:tc>
        <w:tc>
          <w:tcPr>
            <w:tcW w:w="2171" w:type="dxa"/>
            <w:tcBorders>
              <w:top w:val="single" w:sz="4" w:space="0" w:color="auto"/>
              <w:left w:val="nil"/>
              <w:bottom w:val="single" w:sz="4" w:space="0" w:color="auto"/>
              <w:right w:val="single" w:sz="4" w:space="0" w:color="auto"/>
            </w:tcBorders>
            <w:shd w:val="clear" w:color="auto" w:fill="auto"/>
            <w:vAlign w:val="center"/>
          </w:tcPr>
          <w:p w:rsidR="002E2F20" w:rsidRPr="00773A78" w:rsidRDefault="002E2F20" w:rsidP="00CE2F86">
            <w:pPr>
              <w:spacing w:after="0" w:line="240" w:lineRule="auto"/>
              <w:jc w:val="center"/>
              <w:rPr>
                <w:rFonts w:ascii="Times New Roman" w:eastAsia="Times New Roman" w:hAnsi="Times New Roman" w:cs="Times New Roman"/>
                <w:color w:val="000000"/>
                <w:lang w:eastAsia="ru-RU"/>
              </w:rPr>
            </w:pPr>
            <w:r w:rsidRPr="00773A78">
              <w:rPr>
                <w:rFonts w:ascii="Times New Roman" w:eastAsia="Times New Roman" w:hAnsi="Times New Roman" w:cs="Times New Roman"/>
                <w:color w:val="000000"/>
                <w:lang w:eastAsia="ru-RU"/>
              </w:rPr>
              <w:t>2</w:t>
            </w:r>
          </w:p>
        </w:tc>
      </w:tr>
    </w:tbl>
    <w:p w:rsidR="002E2F20" w:rsidRDefault="002E2F20" w:rsidP="00C63369">
      <w:pPr>
        <w:spacing w:after="0" w:line="276" w:lineRule="auto"/>
        <w:jc w:val="both"/>
        <w:rPr>
          <w:rFonts w:ascii="Times New Roman" w:eastAsia="Times New Roman" w:hAnsi="Times New Roman" w:cs="Times New Roman"/>
          <w:color w:val="000000"/>
          <w:sz w:val="28"/>
          <w:szCs w:val="28"/>
          <w:lang w:eastAsia="ru-RU"/>
        </w:rPr>
      </w:pPr>
    </w:p>
    <w:p w:rsidR="002E2F20" w:rsidRPr="00D92A6C" w:rsidRDefault="002E2F20" w:rsidP="00A15DEE">
      <w:pPr>
        <w:pStyle w:val="af6"/>
        <w:numPr>
          <w:ilvl w:val="0"/>
          <w:numId w:val="44"/>
        </w:numPr>
        <w:shd w:val="clear" w:color="auto" w:fill="FFFFFF"/>
        <w:tabs>
          <w:tab w:val="right" w:pos="426"/>
        </w:tabs>
        <w:spacing w:before="0" w:beforeAutospacing="0" w:after="0" w:afterAutospacing="0" w:line="276" w:lineRule="auto"/>
        <w:ind w:left="425" w:hanging="425"/>
        <w:jc w:val="both"/>
        <w:rPr>
          <w:color w:val="222222"/>
          <w:sz w:val="28"/>
          <w:szCs w:val="28"/>
        </w:rPr>
      </w:pPr>
      <w:r w:rsidRPr="008C121A">
        <w:rPr>
          <w:color w:val="222222"/>
          <w:sz w:val="28"/>
          <w:szCs w:val="28"/>
          <w:u w:val="single"/>
        </w:rPr>
        <w:lastRenderedPageBreak/>
        <w:t xml:space="preserve">Выполнение требования о содержании в бюджетном прогнозе </w:t>
      </w:r>
      <w:r w:rsidRPr="008C121A">
        <w:rPr>
          <w:color w:val="000000"/>
          <w:sz w:val="28"/>
          <w:szCs w:val="28"/>
          <w:u w:val="single"/>
        </w:rPr>
        <w:t>показателей финансового обеспечения государственных программ</w:t>
      </w:r>
      <w:r>
        <w:rPr>
          <w:color w:val="000000"/>
          <w:sz w:val="28"/>
          <w:szCs w:val="28"/>
        </w:rPr>
        <w:t xml:space="preserve"> </w:t>
      </w:r>
      <w:r w:rsidRPr="009A3C48">
        <w:rPr>
          <w:color w:val="000000"/>
          <w:sz w:val="28"/>
          <w:szCs w:val="28"/>
        </w:rPr>
        <w:t>обеспечивает</w:t>
      </w:r>
      <w:r>
        <w:rPr>
          <w:color w:val="000000"/>
          <w:sz w:val="28"/>
          <w:szCs w:val="28"/>
        </w:rPr>
        <w:t xml:space="preserve"> </w:t>
      </w:r>
      <w:r w:rsidRPr="009A3C48">
        <w:rPr>
          <w:color w:val="000000"/>
          <w:sz w:val="28"/>
          <w:szCs w:val="28"/>
        </w:rPr>
        <w:t>долгосрочную</w:t>
      </w:r>
      <w:r>
        <w:rPr>
          <w:color w:val="000000"/>
          <w:sz w:val="28"/>
          <w:szCs w:val="28"/>
        </w:rPr>
        <w:t xml:space="preserve"> </w:t>
      </w:r>
      <w:r w:rsidRPr="009A3C48">
        <w:rPr>
          <w:color w:val="000000"/>
          <w:sz w:val="28"/>
          <w:szCs w:val="28"/>
        </w:rPr>
        <w:t>оценку</w:t>
      </w:r>
      <w:r>
        <w:rPr>
          <w:color w:val="000000"/>
          <w:sz w:val="28"/>
          <w:szCs w:val="28"/>
        </w:rPr>
        <w:t xml:space="preserve"> </w:t>
      </w:r>
      <w:r w:rsidRPr="009A3C48">
        <w:rPr>
          <w:color w:val="000000"/>
          <w:sz w:val="28"/>
          <w:szCs w:val="28"/>
        </w:rPr>
        <w:t>предельных</w:t>
      </w:r>
      <w:r>
        <w:rPr>
          <w:color w:val="000000"/>
          <w:sz w:val="28"/>
          <w:szCs w:val="28"/>
        </w:rPr>
        <w:t xml:space="preserve"> </w:t>
      </w:r>
      <w:r w:rsidRPr="009A3C48">
        <w:rPr>
          <w:color w:val="000000"/>
          <w:sz w:val="28"/>
          <w:szCs w:val="28"/>
        </w:rPr>
        <w:t>расходных</w:t>
      </w:r>
      <w:r>
        <w:rPr>
          <w:color w:val="000000"/>
          <w:sz w:val="28"/>
          <w:szCs w:val="28"/>
        </w:rPr>
        <w:t xml:space="preserve"> </w:t>
      </w:r>
      <w:r w:rsidRPr="009A3C48">
        <w:rPr>
          <w:color w:val="000000"/>
          <w:sz w:val="28"/>
          <w:szCs w:val="28"/>
        </w:rPr>
        <w:t>возможностей</w:t>
      </w:r>
      <w:r>
        <w:rPr>
          <w:color w:val="000000"/>
          <w:sz w:val="28"/>
          <w:szCs w:val="28"/>
        </w:rPr>
        <w:t xml:space="preserve"> </w:t>
      </w:r>
      <w:r w:rsidRPr="009A3C48">
        <w:rPr>
          <w:color w:val="000000"/>
          <w:sz w:val="28"/>
          <w:szCs w:val="28"/>
        </w:rPr>
        <w:t>регионального</w:t>
      </w:r>
      <w:r>
        <w:rPr>
          <w:color w:val="000000"/>
          <w:sz w:val="28"/>
          <w:szCs w:val="28"/>
        </w:rPr>
        <w:t xml:space="preserve"> </w:t>
      </w:r>
      <w:r w:rsidRPr="009A3C48">
        <w:rPr>
          <w:color w:val="000000"/>
          <w:sz w:val="28"/>
          <w:szCs w:val="28"/>
        </w:rPr>
        <w:t>бюджета</w:t>
      </w:r>
      <w:r>
        <w:rPr>
          <w:color w:val="000000"/>
          <w:sz w:val="28"/>
          <w:szCs w:val="28"/>
        </w:rPr>
        <w:t xml:space="preserve"> </w:t>
      </w:r>
      <w:r w:rsidRPr="009A3C48">
        <w:rPr>
          <w:color w:val="000000"/>
          <w:sz w:val="28"/>
          <w:szCs w:val="28"/>
        </w:rPr>
        <w:t>на</w:t>
      </w:r>
      <w:r>
        <w:rPr>
          <w:color w:val="000000"/>
          <w:sz w:val="28"/>
          <w:szCs w:val="28"/>
        </w:rPr>
        <w:t xml:space="preserve"> </w:t>
      </w:r>
      <w:r w:rsidRPr="009A3C48">
        <w:rPr>
          <w:color w:val="000000"/>
          <w:sz w:val="28"/>
          <w:szCs w:val="28"/>
        </w:rPr>
        <w:t>их</w:t>
      </w:r>
      <w:r>
        <w:rPr>
          <w:color w:val="000000"/>
          <w:sz w:val="28"/>
          <w:szCs w:val="28"/>
        </w:rPr>
        <w:t xml:space="preserve"> </w:t>
      </w:r>
      <w:r w:rsidRPr="009A3C48">
        <w:rPr>
          <w:color w:val="000000"/>
          <w:sz w:val="28"/>
          <w:szCs w:val="28"/>
        </w:rPr>
        <w:t>реализацию.</w:t>
      </w:r>
      <w:r>
        <w:rPr>
          <w:color w:val="000000"/>
          <w:sz w:val="28"/>
          <w:szCs w:val="28"/>
        </w:rPr>
        <w:t xml:space="preserve"> </w:t>
      </w:r>
      <w:r w:rsidRPr="009A3C48">
        <w:rPr>
          <w:color w:val="000000"/>
          <w:sz w:val="28"/>
          <w:szCs w:val="28"/>
        </w:rPr>
        <w:t>Кроме</w:t>
      </w:r>
      <w:r>
        <w:rPr>
          <w:color w:val="000000"/>
          <w:sz w:val="28"/>
          <w:szCs w:val="28"/>
        </w:rPr>
        <w:t xml:space="preserve"> </w:t>
      </w:r>
      <w:r w:rsidRPr="009A3C48">
        <w:rPr>
          <w:color w:val="000000"/>
          <w:sz w:val="28"/>
          <w:szCs w:val="28"/>
        </w:rPr>
        <w:t>того,</w:t>
      </w:r>
      <w:r>
        <w:rPr>
          <w:color w:val="000000"/>
          <w:sz w:val="28"/>
          <w:szCs w:val="28"/>
        </w:rPr>
        <w:t xml:space="preserve"> </w:t>
      </w:r>
      <w:r w:rsidRPr="009A3C48">
        <w:rPr>
          <w:color w:val="000000"/>
          <w:sz w:val="28"/>
          <w:szCs w:val="28"/>
        </w:rPr>
        <w:t>планирование</w:t>
      </w:r>
      <w:r>
        <w:rPr>
          <w:color w:val="000000"/>
          <w:sz w:val="28"/>
          <w:szCs w:val="28"/>
        </w:rPr>
        <w:t xml:space="preserve"> </w:t>
      </w:r>
      <w:r w:rsidRPr="009A3C48">
        <w:rPr>
          <w:color w:val="000000"/>
          <w:sz w:val="28"/>
          <w:szCs w:val="28"/>
        </w:rPr>
        <w:t>расходной</w:t>
      </w:r>
      <w:r>
        <w:rPr>
          <w:color w:val="000000"/>
          <w:sz w:val="28"/>
          <w:szCs w:val="28"/>
        </w:rPr>
        <w:t xml:space="preserve"> </w:t>
      </w:r>
      <w:r w:rsidRPr="009A3C48">
        <w:rPr>
          <w:color w:val="000000"/>
          <w:sz w:val="28"/>
          <w:szCs w:val="28"/>
        </w:rPr>
        <w:t>части</w:t>
      </w:r>
      <w:r>
        <w:rPr>
          <w:color w:val="000000"/>
          <w:sz w:val="28"/>
          <w:szCs w:val="28"/>
        </w:rPr>
        <w:t xml:space="preserve"> </w:t>
      </w:r>
      <w:r w:rsidRPr="009A3C48">
        <w:rPr>
          <w:color w:val="000000"/>
          <w:sz w:val="28"/>
          <w:szCs w:val="28"/>
        </w:rPr>
        <w:t>бюджетного</w:t>
      </w:r>
      <w:r>
        <w:rPr>
          <w:color w:val="000000"/>
          <w:sz w:val="28"/>
          <w:szCs w:val="28"/>
        </w:rPr>
        <w:t xml:space="preserve"> </w:t>
      </w:r>
      <w:r w:rsidRPr="009A3C48">
        <w:rPr>
          <w:color w:val="000000"/>
          <w:sz w:val="28"/>
          <w:szCs w:val="28"/>
        </w:rPr>
        <w:t>прогноза</w:t>
      </w:r>
      <w:r>
        <w:rPr>
          <w:color w:val="000000"/>
          <w:sz w:val="28"/>
          <w:szCs w:val="28"/>
        </w:rPr>
        <w:t xml:space="preserve"> </w:t>
      </w:r>
      <w:r w:rsidRPr="009A3C48">
        <w:rPr>
          <w:color w:val="000000"/>
          <w:sz w:val="28"/>
          <w:szCs w:val="28"/>
        </w:rPr>
        <w:t>в</w:t>
      </w:r>
      <w:r>
        <w:rPr>
          <w:color w:val="000000"/>
          <w:sz w:val="28"/>
          <w:szCs w:val="28"/>
        </w:rPr>
        <w:t xml:space="preserve"> </w:t>
      </w:r>
      <w:r w:rsidRPr="009A3C48">
        <w:rPr>
          <w:color w:val="000000"/>
          <w:sz w:val="28"/>
          <w:szCs w:val="28"/>
        </w:rPr>
        <w:t>разрезе</w:t>
      </w:r>
      <w:r>
        <w:rPr>
          <w:color w:val="000000"/>
          <w:sz w:val="28"/>
          <w:szCs w:val="28"/>
        </w:rPr>
        <w:t xml:space="preserve"> </w:t>
      </w:r>
      <w:r w:rsidRPr="009A3C48">
        <w:rPr>
          <w:color w:val="000000"/>
          <w:sz w:val="28"/>
          <w:szCs w:val="28"/>
        </w:rPr>
        <w:t>государственных</w:t>
      </w:r>
      <w:r>
        <w:rPr>
          <w:color w:val="000000"/>
          <w:sz w:val="28"/>
          <w:szCs w:val="28"/>
        </w:rPr>
        <w:t xml:space="preserve"> </w:t>
      </w:r>
      <w:r w:rsidRPr="009A3C48">
        <w:rPr>
          <w:color w:val="000000"/>
          <w:sz w:val="28"/>
          <w:szCs w:val="28"/>
        </w:rPr>
        <w:t>программ</w:t>
      </w:r>
      <w:r>
        <w:rPr>
          <w:color w:val="000000"/>
          <w:sz w:val="28"/>
          <w:szCs w:val="28"/>
        </w:rPr>
        <w:t xml:space="preserve"> </w:t>
      </w:r>
      <w:r w:rsidRPr="009A3C48">
        <w:rPr>
          <w:color w:val="000000"/>
          <w:sz w:val="28"/>
          <w:szCs w:val="28"/>
        </w:rPr>
        <w:t>позволяет</w:t>
      </w:r>
      <w:r>
        <w:rPr>
          <w:color w:val="000000"/>
          <w:sz w:val="28"/>
          <w:szCs w:val="28"/>
        </w:rPr>
        <w:t xml:space="preserve"> </w:t>
      </w:r>
      <w:r w:rsidRPr="009A3C48">
        <w:rPr>
          <w:color w:val="000000"/>
          <w:sz w:val="28"/>
          <w:szCs w:val="28"/>
        </w:rPr>
        <w:t>учесть</w:t>
      </w:r>
      <w:r>
        <w:rPr>
          <w:color w:val="000000"/>
          <w:sz w:val="28"/>
          <w:szCs w:val="28"/>
        </w:rPr>
        <w:t xml:space="preserve"> в полном объеме влияние </w:t>
      </w:r>
      <w:r w:rsidRPr="009A3C48">
        <w:rPr>
          <w:color w:val="000000"/>
          <w:sz w:val="28"/>
          <w:szCs w:val="28"/>
        </w:rPr>
        <w:t>финансово-экономически</w:t>
      </w:r>
      <w:r>
        <w:rPr>
          <w:color w:val="000000"/>
          <w:sz w:val="28"/>
          <w:szCs w:val="28"/>
        </w:rPr>
        <w:t xml:space="preserve">х </w:t>
      </w:r>
      <w:r w:rsidRPr="009A3C48">
        <w:rPr>
          <w:color w:val="000000"/>
          <w:sz w:val="28"/>
          <w:szCs w:val="28"/>
        </w:rPr>
        <w:t>эффект</w:t>
      </w:r>
      <w:r>
        <w:rPr>
          <w:color w:val="000000"/>
          <w:sz w:val="28"/>
          <w:szCs w:val="28"/>
        </w:rPr>
        <w:t xml:space="preserve">ов </w:t>
      </w:r>
      <w:r w:rsidRPr="009A3C48">
        <w:rPr>
          <w:color w:val="000000"/>
          <w:sz w:val="28"/>
          <w:szCs w:val="28"/>
        </w:rPr>
        <w:t>их</w:t>
      </w:r>
      <w:r>
        <w:rPr>
          <w:color w:val="000000"/>
          <w:sz w:val="28"/>
          <w:szCs w:val="28"/>
        </w:rPr>
        <w:t xml:space="preserve"> </w:t>
      </w:r>
      <w:r w:rsidRPr="009A3C48">
        <w:rPr>
          <w:color w:val="000000"/>
          <w:sz w:val="28"/>
          <w:szCs w:val="28"/>
        </w:rPr>
        <w:t>реализаци</w:t>
      </w:r>
      <w:r>
        <w:rPr>
          <w:color w:val="000000"/>
          <w:sz w:val="28"/>
          <w:szCs w:val="28"/>
        </w:rPr>
        <w:t xml:space="preserve">и на бюджетную систему региона, учитывая, </w:t>
      </w:r>
      <w:r w:rsidRPr="00335375">
        <w:rPr>
          <w:color w:val="000000"/>
          <w:sz w:val="28"/>
          <w:szCs w:val="28"/>
        </w:rPr>
        <w:t>что</w:t>
      </w:r>
      <w:r>
        <w:rPr>
          <w:color w:val="000000"/>
          <w:sz w:val="28"/>
          <w:szCs w:val="28"/>
        </w:rPr>
        <w:t xml:space="preserve"> </w:t>
      </w:r>
      <w:r w:rsidRPr="00335375">
        <w:rPr>
          <w:color w:val="000000"/>
          <w:sz w:val="28"/>
          <w:szCs w:val="28"/>
        </w:rPr>
        <w:t>срок</w:t>
      </w:r>
      <w:r>
        <w:rPr>
          <w:color w:val="000000"/>
          <w:sz w:val="28"/>
          <w:szCs w:val="28"/>
        </w:rPr>
        <w:t xml:space="preserve"> </w:t>
      </w:r>
      <w:r w:rsidRPr="00335375">
        <w:rPr>
          <w:color w:val="000000"/>
          <w:sz w:val="28"/>
          <w:szCs w:val="28"/>
        </w:rPr>
        <w:t>реализации</w:t>
      </w:r>
      <w:r>
        <w:rPr>
          <w:color w:val="000000"/>
          <w:sz w:val="28"/>
          <w:szCs w:val="28"/>
        </w:rPr>
        <w:t xml:space="preserve"> </w:t>
      </w:r>
      <w:r w:rsidRPr="00335375">
        <w:rPr>
          <w:color w:val="000000"/>
          <w:sz w:val="28"/>
          <w:szCs w:val="28"/>
        </w:rPr>
        <w:t>государственных</w:t>
      </w:r>
      <w:r>
        <w:rPr>
          <w:color w:val="000000"/>
          <w:sz w:val="28"/>
          <w:szCs w:val="28"/>
        </w:rPr>
        <w:t xml:space="preserve"> </w:t>
      </w:r>
      <w:r w:rsidRPr="00335375">
        <w:rPr>
          <w:color w:val="000000"/>
          <w:sz w:val="28"/>
          <w:szCs w:val="28"/>
        </w:rPr>
        <w:t>программ</w:t>
      </w:r>
      <w:r>
        <w:rPr>
          <w:color w:val="000000"/>
          <w:sz w:val="28"/>
          <w:szCs w:val="28"/>
        </w:rPr>
        <w:t xml:space="preserve"> </w:t>
      </w:r>
      <w:r w:rsidRPr="00335375">
        <w:rPr>
          <w:color w:val="000000"/>
          <w:sz w:val="28"/>
          <w:szCs w:val="28"/>
        </w:rPr>
        <w:t>выходит</w:t>
      </w:r>
      <w:r>
        <w:rPr>
          <w:color w:val="000000"/>
          <w:sz w:val="28"/>
          <w:szCs w:val="28"/>
        </w:rPr>
        <w:t xml:space="preserve"> </w:t>
      </w:r>
      <w:r w:rsidRPr="00335375">
        <w:rPr>
          <w:color w:val="000000"/>
          <w:sz w:val="28"/>
          <w:szCs w:val="28"/>
        </w:rPr>
        <w:t>за</w:t>
      </w:r>
      <w:r>
        <w:rPr>
          <w:color w:val="000000"/>
          <w:sz w:val="28"/>
          <w:szCs w:val="28"/>
        </w:rPr>
        <w:t xml:space="preserve"> </w:t>
      </w:r>
      <w:r w:rsidRPr="00335375">
        <w:rPr>
          <w:color w:val="000000"/>
          <w:sz w:val="28"/>
          <w:szCs w:val="28"/>
        </w:rPr>
        <w:t>пределы</w:t>
      </w:r>
      <w:r>
        <w:rPr>
          <w:color w:val="000000"/>
          <w:sz w:val="28"/>
          <w:szCs w:val="28"/>
        </w:rPr>
        <w:t xml:space="preserve"> </w:t>
      </w:r>
      <w:r w:rsidRPr="00335375">
        <w:rPr>
          <w:color w:val="000000"/>
          <w:sz w:val="28"/>
          <w:szCs w:val="28"/>
        </w:rPr>
        <w:t>трехлетнего</w:t>
      </w:r>
      <w:r>
        <w:rPr>
          <w:color w:val="000000"/>
          <w:sz w:val="28"/>
          <w:szCs w:val="28"/>
        </w:rPr>
        <w:t xml:space="preserve"> </w:t>
      </w:r>
      <w:r w:rsidRPr="00335375">
        <w:rPr>
          <w:color w:val="000000"/>
          <w:sz w:val="28"/>
          <w:szCs w:val="28"/>
        </w:rPr>
        <w:t>бюджетного</w:t>
      </w:r>
      <w:r>
        <w:rPr>
          <w:color w:val="000000"/>
          <w:sz w:val="28"/>
          <w:szCs w:val="28"/>
        </w:rPr>
        <w:t xml:space="preserve"> </w:t>
      </w:r>
      <w:r w:rsidRPr="00335375">
        <w:rPr>
          <w:color w:val="000000"/>
          <w:sz w:val="28"/>
          <w:szCs w:val="28"/>
        </w:rPr>
        <w:t>планирования</w:t>
      </w:r>
      <w:r w:rsidR="00ED5A58">
        <w:rPr>
          <w:color w:val="000000"/>
          <w:sz w:val="28"/>
          <w:szCs w:val="28"/>
        </w:rPr>
        <w:t>.</w:t>
      </w:r>
    </w:p>
    <w:p w:rsidR="002E2F20" w:rsidRDefault="002E2F20" w:rsidP="00C63369">
      <w:pPr>
        <w:pStyle w:val="af6"/>
        <w:shd w:val="clear" w:color="auto" w:fill="FFFFFF"/>
        <w:spacing w:before="0" w:beforeAutospacing="0" w:after="0" w:afterAutospacing="0" w:line="276" w:lineRule="auto"/>
        <w:jc w:val="both"/>
        <w:rPr>
          <w:sz w:val="28"/>
          <w:szCs w:val="28"/>
        </w:rPr>
      </w:pPr>
      <w:r w:rsidRPr="00ED5A58">
        <w:rPr>
          <w:sz w:val="28"/>
          <w:szCs w:val="28"/>
        </w:rPr>
        <w:t>Требование к содержанию в бюджетном прогнозе показателей финансового обеспечения государственных програм</w:t>
      </w:r>
      <w:r w:rsidR="008421B2">
        <w:rPr>
          <w:sz w:val="28"/>
          <w:szCs w:val="28"/>
        </w:rPr>
        <w:t>м выполняется во всех регионах.</w:t>
      </w:r>
      <w:r w:rsidR="008421B2">
        <w:rPr>
          <w:sz w:val="28"/>
          <w:szCs w:val="28"/>
        </w:rPr>
        <w:br/>
      </w:r>
      <w:r w:rsidRPr="00ED5A58">
        <w:rPr>
          <w:sz w:val="28"/>
          <w:szCs w:val="28"/>
        </w:rPr>
        <w:t xml:space="preserve">У 65% субъектов </w:t>
      </w:r>
      <w:r w:rsidR="00CB5C1A" w:rsidRPr="00ED5A58">
        <w:rPr>
          <w:sz w:val="28"/>
          <w:szCs w:val="28"/>
        </w:rPr>
        <w:t>РФ</w:t>
      </w:r>
      <w:r w:rsidRPr="00ED5A58">
        <w:rPr>
          <w:sz w:val="28"/>
          <w:szCs w:val="28"/>
        </w:rPr>
        <w:t xml:space="preserve"> средняя доля расходов на финансовое обеспечение государственных программ в бюджетных прогнозах превышает 80%.</w:t>
      </w:r>
    </w:p>
    <w:p w:rsidR="00C63369" w:rsidRPr="00ED5A58" w:rsidRDefault="00C63369" w:rsidP="00C63369">
      <w:pPr>
        <w:pStyle w:val="af6"/>
        <w:shd w:val="clear" w:color="auto" w:fill="FFFFFF"/>
        <w:spacing w:before="0" w:beforeAutospacing="0" w:after="0" w:afterAutospacing="0" w:line="276" w:lineRule="auto"/>
        <w:jc w:val="both"/>
        <w:rPr>
          <w:sz w:val="28"/>
          <w:szCs w:val="28"/>
        </w:rPr>
      </w:pPr>
    </w:p>
    <w:tbl>
      <w:tblPr>
        <w:tblStyle w:val="Smalltable"/>
        <w:tblW w:w="9495" w:type="dxa"/>
        <w:jc w:val="center"/>
        <w:tblInd w:w="0" w:type="dxa"/>
        <w:tblLook w:val="04A0" w:firstRow="1" w:lastRow="0" w:firstColumn="1" w:lastColumn="0" w:noHBand="0" w:noVBand="1"/>
      </w:tblPr>
      <w:tblGrid>
        <w:gridCol w:w="9430"/>
        <w:gridCol w:w="65"/>
      </w:tblGrid>
      <w:tr w:rsidR="002E2F20" w:rsidRPr="00E0414B" w:rsidTr="00C63369">
        <w:trPr>
          <w:gridAfter w:val="1"/>
          <w:wAfter w:w="126" w:type="dxa"/>
          <w:trHeight w:val="246"/>
          <w:jc w:val="center"/>
        </w:trPr>
        <w:tc>
          <w:tcPr>
            <w:tcW w:w="9369" w:type="dxa"/>
            <w:shd w:val="clear" w:color="auto" w:fill="auto"/>
          </w:tcPr>
          <w:p w:rsidR="002E2F20" w:rsidRPr="00E0414B" w:rsidRDefault="002E2F20" w:rsidP="00CE2F86">
            <w:pPr>
              <w:pStyle w:val="GraphTitle"/>
              <w:rPr>
                <w:rFonts w:ascii="Times New Roman" w:hAnsi="Times New Roman" w:cs="Times New Roman"/>
                <w:b/>
                <w:sz w:val="24"/>
                <w:szCs w:val="20"/>
                <w:lang w:val="ru-RU"/>
              </w:rPr>
            </w:pPr>
            <w:r w:rsidRPr="006416C0">
              <w:rPr>
                <w:rFonts w:ascii="Times New Roman" w:hAnsi="Times New Roman" w:cs="Times New Roman"/>
                <w:b/>
                <w:sz w:val="24"/>
                <w:szCs w:val="20"/>
                <w:lang w:val="ru-RU"/>
              </w:rPr>
              <w:t>Распределение субъектов РФ в зависимости от удельного веса расходов на финансовое обеспечение государственных программ в бюджетных прогнозах</w:t>
            </w:r>
          </w:p>
        </w:tc>
      </w:tr>
      <w:tr w:rsidR="002E2F20" w:rsidRPr="00E65DE3" w:rsidTr="00C63369">
        <w:trPr>
          <w:gridAfter w:val="1"/>
          <w:wAfter w:w="126" w:type="dxa"/>
          <w:trHeight w:hRule="exact" w:val="34"/>
          <w:jc w:val="center"/>
        </w:trPr>
        <w:tc>
          <w:tcPr>
            <w:tcW w:w="9369" w:type="dxa"/>
            <w:tcBorders>
              <w:bottom w:val="single" w:sz="4" w:space="0" w:color="auto"/>
            </w:tcBorders>
            <w:shd w:val="clear" w:color="auto" w:fill="auto"/>
          </w:tcPr>
          <w:p w:rsidR="002E2F20" w:rsidRPr="00E65DE3" w:rsidRDefault="002E2F20" w:rsidP="00CE2F86">
            <w:pPr>
              <w:pStyle w:val="TabText"/>
              <w:rPr>
                <w:rFonts w:ascii="Times New Roman" w:hAnsi="Times New Roman" w:cs="Times New Roman"/>
                <w:lang w:val="ru-RU"/>
              </w:rPr>
            </w:pPr>
          </w:p>
        </w:tc>
      </w:tr>
      <w:tr w:rsidR="002E2F20" w:rsidRPr="00E65DE3" w:rsidTr="00C63369">
        <w:tblPrEx>
          <w:tblCellMar>
            <w:left w:w="108" w:type="dxa"/>
            <w:right w:w="108" w:type="dxa"/>
          </w:tblCellMar>
        </w:tblPrEx>
        <w:trPr>
          <w:gridAfter w:val="1"/>
          <w:wAfter w:w="126" w:type="dxa"/>
          <w:trHeight w:val="2739"/>
          <w:jc w:val="center"/>
        </w:trPr>
        <w:tc>
          <w:tcPr>
            <w:tcW w:w="9369" w:type="dxa"/>
            <w:tcBorders>
              <w:top w:val="single" w:sz="4" w:space="0" w:color="auto"/>
              <w:bottom w:val="single" w:sz="4" w:space="0" w:color="auto"/>
            </w:tcBorders>
            <w:shd w:val="clear" w:color="auto" w:fill="auto"/>
            <w:tcMar>
              <w:left w:w="0" w:type="nil"/>
              <w:right w:w="0" w:type="nil"/>
            </w:tcMar>
          </w:tcPr>
          <w:p w:rsidR="002E2F20" w:rsidRPr="006C43A7" w:rsidRDefault="002E2F20" w:rsidP="00CE2F86">
            <w:pPr>
              <w:pStyle w:val="TabText"/>
              <w:jc w:val="center"/>
              <w:rPr>
                <w:rFonts w:ascii="Century" w:hAnsi="Century" w:cs="Times New Roman"/>
                <w:lang w:val="ru-RU"/>
              </w:rPr>
            </w:pPr>
            <w:r w:rsidRPr="005C6AD2">
              <w:rPr>
                <w:noProof/>
                <w:sz w:val="16"/>
                <w:lang w:val="ru-RU" w:bidi="ar-SA"/>
              </w:rPr>
              <w:drawing>
                <wp:inline distT="0" distB="0" distL="0" distR="0" wp14:anchorId="7A99A11F" wp14:editId="72C713B3">
                  <wp:extent cx="5812155" cy="240129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E2F20" w:rsidRPr="00E0414B" w:rsidTr="00C63369">
        <w:trPr>
          <w:gridAfter w:val="1"/>
          <w:wAfter w:w="126" w:type="dxa"/>
          <w:trHeight w:val="246"/>
          <w:jc w:val="center"/>
        </w:trPr>
        <w:tc>
          <w:tcPr>
            <w:tcW w:w="9369" w:type="dxa"/>
            <w:tcBorders>
              <w:top w:val="single" w:sz="4" w:space="0" w:color="auto"/>
            </w:tcBorders>
            <w:shd w:val="clear" w:color="auto" w:fill="auto"/>
          </w:tcPr>
          <w:p w:rsidR="002E2F20" w:rsidRPr="009D6FC8" w:rsidRDefault="002E2F20" w:rsidP="00CB5C1A">
            <w:pPr>
              <w:pStyle w:val="SourceLarge"/>
              <w:spacing w:after="120"/>
              <w:rPr>
                <w:rFonts w:ascii="Times New Roman" w:hAnsi="Times New Roman" w:cs="Times New Roman"/>
                <w:i/>
                <w:lang w:val="ru-RU"/>
              </w:rPr>
            </w:pPr>
            <w:r w:rsidRPr="006416C0">
              <w:rPr>
                <w:rFonts w:ascii="Times New Roman" w:hAnsi="Times New Roman" w:cs="Times New Roman"/>
                <w:i/>
                <w:sz w:val="14"/>
                <w:szCs w:val="14"/>
                <w:lang w:val="ru-RU"/>
              </w:rPr>
              <w:t xml:space="preserve">Источник: утвержденные бюджетные прогнозы в открытых источниках (справочно-правовые системы; официальные сайты финансовых и законодательных органов субъектов </w:t>
            </w:r>
            <w:r w:rsidR="00CB5C1A">
              <w:rPr>
                <w:rFonts w:ascii="Times New Roman" w:hAnsi="Times New Roman" w:cs="Times New Roman"/>
                <w:i/>
                <w:sz w:val="14"/>
                <w:szCs w:val="14"/>
                <w:lang w:val="ru-RU"/>
              </w:rPr>
              <w:t>РФ</w:t>
            </w:r>
            <w:r w:rsidRPr="006416C0">
              <w:rPr>
                <w:rFonts w:ascii="Times New Roman" w:hAnsi="Times New Roman" w:cs="Times New Roman"/>
                <w:i/>
                <w:sz w:val="14"/>
                <w:szCs w:val="14"/>
                <w:lang w:val="ru-RU"/>
              </w:rPr>
              <w:t>), расчеты Минфина России</w:t>
            </w:r>
          </w:p>
        </w:tc>
      </w:tr>
      <w:tr w:rsidR="002E2F20" w:rsidRPr="00E0414B" w:rsidTr="00C63369">
        <w:trPr>
          <w:trHeight w:val="246"/>
          <w:jc w:val="center"/>
        </w:trPr>
        <w:tc>
          <w:tcPr>
            <w:tcW w:w="9495" w:type="dxa"/>
            <w:gridSpan w:val="2"/>
            <w:shd w:val="clear" w:color="auto" w:fill="auto"/>
          </w:tcPr>
          <w:p w:rsidR="002E2F20" w:rsidRPr="00E0414B" w:rsidRDefault="002E2F20" w:rsidP="00CE2F86">
            <w:pPr>
              <w:pStyle w:val="GraphTitle"/>
              <w:rPr>
                <w:rFonts w:ascii="Times New Roman" w:hAnsi="Times New Roman" w:cs="Times New Roman"/>
                <w:b/>
                <w:sz w:val="24"/>
                <w:szCs w:val="20"/>
                <w:lang w:val="ru-RU"/>
              </w:rPr>
            </w:pPr>
            <w:r>
              <w:rPr>
                <w:rFonts w:ascii="Times New Roman" w:hAnsi="Times New Roman" w:cs="Times New Roman"/>
                <w:b/>
                <w:sz w:val="24"/>
                <w:szCs w:val="20"/>
                <w:lang w:val="ru-RU"/>
              </w:rPr>
              <w:t>Средняя доля программных расходов в 2020-2024 гг. по субъектам РФ</w:t>
            </w:r>
          </w:p>
        </w:tc>
      </w:tr>
      <w:tr w:rsidR="002E2F20" w:rsidRPr="00E65DE3" w:rsidTr="00C63369">
        <w:trPr>
          <w:trHeight w:hRule="exact" w:val="34"/>
          <w:jc w:val="center"/>
        </w:trPr>
        <w:tc>
          <w:tcPr>
            <w:tcW w:w="9495" w:type="dxa"/>
            <w:gridSpan w:val="2"/>
            <w:tcBorders>
              <w:bottom w:val="single" w:sz="4" w:space="0" w:color="auto"/>
            </w:tcBorders>
            <w:shd w:val="clear" w:color="auto" w:fill="auto"/>
          </w:tcPr>
          <w:p w:rsidR="002E2F20" w:rsidRPr="00E65DE3" w:rsidRDefault="002E2F20" w:rsidP="00CE2F86">
            <w:pPr>
              <w:pStyle w:val="TabText"/>
              <w:rPr>
                <w:rFonts w:ascii="Times New Roman" w:hAnsi="Times New Roman" w:cs="Times New Roman"/>
                <w:lang w:val="ru-RU"/>
              </w:rPr>
            </w:pPr>
          </w:p>
        </w:tc>
      </w:tr>
      <w:tr w:rsidR="002E2F20" w:rsidRPr="00E65DE3" w:rsidTr="00C63369">
        <w:tblPrEx>
          <w:tblCellMar>
            <w:left w:w="108" w:type="dxa"/>
            <w:right w:w="108" w:type="dxa"/>
          </w:tblCellMar>
        </w:tblPrEx>
        <w:trPr>
          <w:trHeight w:val="2739"/>
          <w:jc w:val="center"/>
        </w:trPr>
        <w:tc>
          <w:tcPr>
            <w:tcW w:w="9495" w:type="dxa"/>
            <w:gridSpan w:val="2"/>
            <w:tcBorders>
              <w:top w:val="single" w:sz="4" w:space="0" w:color="auto"/>
              <w:bottom w:val="single" w:sz="4" w:space="0" w:color="auto"/>
            </w:tcBorders>
            <w:shd w:val="clear" w:color="auto" w:fill="auto"/>
            <w:tcMar>
              <w:left w:w="0" w:type="nil"/>
              <w:right w:w="0" w:type="nil"/>
            </w:tcMar>
          </w:tcPr>
          <w:p w:rsidR="002E2F20" w:rsidRPr="006C43A7" w:rsidRDefault="00C63369" w:rsidP="00CE2F86">
            <w:pPr>
              <w:pStyle w:val="TabText"/>
              <w:jc w:val="center"/>
              <w:rPr>
                <w:rFonts w:ascii="Century" w:hAnsi="Century" w:cs="Times New Roman"/>
                <w:lang w:val="ru-RU"/>
              </w:rPr>
            </w:pPr>
            <w:r>
              <w:rPr>
                <w:noProof/>
                <w:lang w:val="ru-RU" w:bidi="ar-SA"/>
              </w:rPr>
              <mc:AlternateContent>
                <mc:Choice Requires="wps">
                  <w:drawing>
                    <wp:anchor distT="0" distB="0" distL="114300" distR="114300" simplePos="0" relativeHeight="251659264" behindDoc="0" locked="0" layoutInCell="1" allowOverlap="1" wp14:anchorId="75E8DBA1" wp14:editId="013EA175">
                      <wp:simplePos x="0" y="0"/>
                      <wp:positionH relativeFrom="column">
                        <wp:posOffset>4127997</wp:posOffset>
                      </wp:positionH>
                      <wp:positionV relativeFrom="paragraph">
                        <wp:posOffset>108282</wp:posOffset>
                      </wp:positionV>
                      <wp:extent cx="5025" cy="397566"/>
                      <wp:effectExtent l="0" t="0" r="33655" b="254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5025" cy="397566"/>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7DB3F1B" id="Прямая соединительная линия 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05pt,8.55pt" to="325.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SkBAIAABQEAAAOAAAAZHJzL2Uyb0RvYy54bWysU82O0zAQviPxDpbvNGlRu0vUdA9bAQcE&#10;FT8P4HXsxsJ/sk3T3oAzUh+BV+AA0koLPEPyRoydNKBFSAhxscaemW/m+2a8vNgriXbMeWF0iaeT&#10;HCOmqamE3pb41cuH984x8oHoikijWYkPzOOL1d07y8YWbGZqIyvmEIBoXzS2xHUItsgyT2umiJ8Y&#10;yzQ4uXGKBLi6bVY50gC6ktkszxdZY1xlnaHMe3hd9068SvicMxqece5ZQLLE0FtIp0vnVTyz1ZIU&#10;W0dsLejQBvmHLhQRGoqOUGsSCHrjxG9QSlBnvOFhQo3KDOeCssQB2EzzW2xe1MSyxAXE8XaUyf8/&#10;WPp0t3FIVCWGQWmiYETtx+5td2y/tp+6I+retd/bL+3n9rr91l5378G+6T6AHZ3tzfB8ROdRycb6&#10;AgAv9cYNN283Lsqy504hLoV9DEuShALqaJ/mcBjnwPYBUXic57M5RhQc9x+czReLiJ31IBHMOh8e&#10;MaNQNEoshY4ikYLsnvjQh55C4rPUqIGqs7M8T2HRtya+RjsCS1GBNeBLDWUih77rZIWDZD3Ic8ZB&#10;J+iu7z9tKLuUboB5PR1RIDKmcCHlmNSX/mPSEBvTWNrav00co1NFo8OYqIQ2LhG+VTXsT63yPv7E&#10;uucaaV+Z6pBmmOSA1Uv6D98k7vav95T+8zOvfgAAAP//AwBQSwMEFAAGAAgAAAAhAGkVER/gAAAA&#10;CQEAAA8AAABkcnMvZG93bnJldi54bWxMj8FOwzAQRO9I/IO1SNyoE1ATGuJUCKmVQFS0pR/gxksS&#10;1V6nsduGv2c5wWm1O6PZN+V8dFaccQidJwXpJAGBVHvTUaNg97m4ewQRoiajrSdU8I0B5tX1VakL&#10;4y+0wfM2NoJDKBRaQRtjX0gZ6hadDhPfI7H25QenI69DI82gLxzurLxPkkw63RF/aHWPLy3Wh+3J&#10;KVh+HLvDMl29HV8fMjndre3mfb1Q6vZmfH4CEXGMf2b4xWd0qJhp709kgrAKsmmSspWFnCcb+DAD&#10;sVeQz3KQVSn/N6h+AAAA//8DAFBLAQItABQABgAIAAAAIQC2gziS/gAAAOEBAAATAAAAAAAAAAAA&#10;AAAAAAAAAABbQ29udGVudF9UeXBlc10ueG1sUEsBAi0AFAAGAAgAAAAhADj9If/WAAAAlAEAAAsA&#10;AAAAAAAAAAAAAAAALwEAAF9yZWxzLy5yZWxzUEsBAi0AFAAGAAgAAAAhAD0mZKQEAgAAFAQAAA4A&#10;AAAAAAAAAAAAAAAALgIAAGRycy9lMm9Eb2MueG1sUEsBAi0AFAAGAAgAAAAhAGkVER/gAAAACQEA&#10;AA8AAAAAAAAAAAAAAAAAXgQAAGRycy9kb3ducmV2LnhtbFBLBQYAAAAABAAEAPMAAABrBQAAAAA=&#10;" strokecolor="black [3200]" strokeweight="1pt">
                      <v:stroke dashstyle="dash" joinstyle="miter"/>
                    </v:line>
                  </w:pict>
                </mc:Fallback>
              </mc:AlternateContent>
            </w:r>
            <w:r w:rsidR="002E2F20">
              <w:rPr>
                <w:noProof/>
                <w:lang w:val="ru-RU" w:bidi="ar-SA"/>
              </w:rPr>
              <mc:AlternateContent>
                <mc:Choice Requires="wps">
                  <w:drawing>
                    <wp:anchor distT="0" distB="0" distL="114300" distR="114300" simplePos="0" relativeHeight="251660288" behindDoc="0" locked="0" layoutInCell="1" allowOverlap="1" wp14:anchorId="5A4BBA87" wp14:editId="263FBAAA">
                      <wp:simplePos x="0" y="0"/>
                      <wp:positionH relativeFrom="column">
                        <wp:posOffset>3982637</wp:posOffset>
                      </wp:positionH>
                      <wp:positionV relativeFrom="paragraph">
                        <wp:posOffset>99695</wp:posOffset>
                      </wp:positionV>
                      <wp:extent cx="146050" cy="0"/>
                      <wp:effectExtent l="38100" t="76200" r="0" b="95250"/>
                      <wp:wrapNone/>
                      <wp:docPr id="9" name="Прямая со стрелкой 9"/>
                      <wp:cNvGraphicFramePr/>
                      <a:graphic xmlns:a="http://schemas.openxmlformats.org/drawingml/2006/main">
                        <a:graphicData uri="http://schemas.microsoft.com/office/word/2010/wordprocessingShape">
                          <wps:wsp>
                            <wps:cNvCnPr/>
                            <wps:spPr>
                              <a:xfrm flipH="1">
                                <a:off x="0" y="0"/>
                                <a:ext cx="14605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1369DCE4" id="_x0000_t32" coordsize="21600,21600" o:spt="32" o:oned="t" path="m,l21600,21600e" filled="f">
                      <v:path arrowok="t" fillok="f" o:connecttype="none"/>
                      <o:lock v:ext="edit" shapetype="t"/>
                    </v:shapetype>
                    <v:shape id="Прямая со стрелкой 9" o:spid="_x0000_s1026" type="#_x0000_t32" style="position:absolute;margin-left:313.6pt;margin-top:7.85pt;width:11.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oCBQIAABEEAAAOAAAAZHJzL2Uyb0RvYy54bWysU0uOEzEQ3SNxB8t70p0IBiZKZxYZPgsE&#10;EZ8DeNx22sI/lU062Q1cYI7AFWbDgo/mDN03ouxOGsRHQohNdduu91zvVXlxtjOabAUE5WxFp5OS&#10;EmG5q5XdVPT1q0d3HlASIrM1086Kiu5FoGfL27cWrZ+LmWucrgUQJLFh3vqKNjH6eVEE3gjDwsR5&#10;YfFQOjAs4hI2RQ2sRXaji1lZnhStg9qD4yIE3D0fDuky80speHwuZRCR6IpibTFHyPEixWK5YPMN&#10;MN8ofiiD/UMVhimLl45U5ywy8hbUL1RGcXDByTjhzhROSsVF1oBqpuVPal42zIusBc0JfrQp/D9a&#10;/my7BqLqip5SYpnBFnUf+sv+qvvaXfdXpH/X3WDo3/eX3cfuS/e5u+k+kdPkW+vDHOEru4bDKvg1&#10;JBN2EgyRWvknOBLZFhRKdtn1/ei62EXCcXN696S8h73hx6NiYEhMHkJ8LJwh6aeiIQJTmyaunLXY&#10;WgcDO9s+DRFrQOARkMDakhbpZ/fLMhcRmdIPbU3i3qPMCIrZjRZJCgK1xU+SNIjIf3GvxUD0Qkg0&#10;KRWbmfJ4ipUGsmU4WPWb6ciCmQkildYjaLj+j6BDboKJPLJ/Cxyz843OxhFolHXwu1Lj7liqHPKP&#10;qgetSfaFq/e5pdkOnLvsz+GNpMH+cZ3h31/y8hsAAAD//wMAUEsDBBQABgAIAAAAIQBmLGVh3gAA&#10;AAkBAAAPAAAAZHJzL2Rvd25yZXYueG1sTI/NTsMwEITvSLyDtUhcKuo0UlNI41QI8XNBVWnh7sTb&#10;JGCvo9htw9uziEM57syn2ZliNTorjjiEzpOC2TQBgVR701Gj4H33dHMLIkRNRltPqOAbA6zKy4tC&#10;58af6A2P29gIDqGQawVtjH0uZahbdDpMfY/E3t4PTkc+h0aaQZ843FmZJkkmne6IP7S6x4cW66/t&#10;wSm4yyauX2+eX5px8vka7G4mH6sPpa6vxvsliIhjPMPwW5+rQ8mdKn8gE4RVkKWLlFE25gsQDGTz&#10;hIXqT5BlIf8vKH8AAAD//wMAUEsBAi0AFAAGAAgAAAAhALaDOJL+AAAA4QEAABMAAAAAAAAAAAAA&#10;AAAAAAAAAFtDb250ZW50X1R5cGVzXS54bWxQSwECLQAUAAYACAAAACEAOP0h/9YAAACUAQAACwAA&#10;AAAAAAAAAAAAAAAvAQAAX3JlbHMvLnJlbHNQSwECLQAUAAYACAAAACEAmutqAgUCAAARBAAADgAA&#10;AAAAAAAAAAAAAAAuAgAAZHJzL2Uyb0RvYy54bWxQSwECLQAUAAYACAAAACEAZixlYd4AAAAJAQAA&#10;DwAAAAAAAAAAAAAAAABfBAAAZHJzL2Rvd25yZXYueG1sUEsFBgAAAAAEAAQA8wAAAGoFAAAAAA==&#10;" strokecolor="black [3200]" strokeweight="1pt">
                      <v:stroke endarrow="block" joinstyle="miter"/>
                    </v:shape>
                  </w:pict>
                </mc:Fallback>
              </mc:AlternateContent>
            </w:r>
            <w:r w:rsidR="002E2F20">
              <w:rPr>
                <w:noProof/>
                <w:lang w:val="ru-RU" w:bidi="ar-SA"/>
              </w:rPr>
              <w:drawing>
                <wp:inline distT="0" distB="0" distL="0" distR="0" wp14:anchorId="5AC4C39E" wp14:editId="4991747E">
                  <wp:extent cx="5940425" cy="2178657"/>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2E2F20" w:rsidRPr="00E0414B" w:rsidTr="00C63369">
        <w:trPr>
          <w:trHeight w:val="246"/>
          <w:jc w:val="center"/>
        </w:trPr>
        <w:tc>
          <w:tcPr>
            <w:tcW w:w="9495" w:type="dxa"/>
            <w:gridSpan w:val="2"/>
            <w:tcBorders>
              <w:top w:val="single" w:sz="4" w:space="0" w:color="auto"/>
            </w:tcBorders>
            <w:shd w:val="clear" w:color="auto" w:fill="auto"/>
          </w:tcPr>
          <w:p w:rsidR="002E2F20" w:rsidRPr="00E939A0" w:rsidRDefault="002E2F20" w:rsidP="00CE2F86">
            <w:pPr>
              <w:pStyle w:val="SourceLarge"/>
              <w:spacing w:after="0"/>
              <w:rPr>
                <w:rFonts w:ascii="Times New Roman" w:hAnsi="Times New Roman" w:cs="Times New Roman"/>
                <w:i/>
                <w:sz w:val="14"/>
                <w:szCs w:val="14"/>
                <w:lang w:val="ru-RU"/>
              </w:rPr>
            </w:pPr>
            <w:r w:rsidRPr="00E939A0">
              <w:rPr>
                <w:rFonts w:ascii="Times New Roman" w:hAnsi="Times New Roman" w:cs="Times New Roman"/>
                <w:i/>
                <w:sz w:val="14"/>
                <w:szCs w:val="14"/>
                <w:lang w:val="ru-RU"/>
              </w:rPr>
              <w:t>Источник:</w:t>
            </w:r>
            <w:r w:rsidRPr="00E939A0">
              <w:rPr>
                <w:rFonts w:ascii="Times New Roman" w:hAnsi="Times New Roman" w:cs="Times New Roman"/>
                <w:i/>
                <w:sz w:val="14"/>
                <w:szCs w:val="14"/>
              </w:rPr>
              <w:t> </w:t>
            </w:r>
            <w:r w:rsidRPr="00E939A0">
              <w:rPr>
                <w:rFonts w:ascii="Times New Roman" w:hAnsi="Times New Roman" w:cs="Times New Roman"/>
                <w:i/>
                <w:sz w:val="14"/>
                <w:szCs w:val="14"/>
                <w:lang w:val="ru-RU"/>
              </w:rPr>
              <w:t xml:space="preserve">утвержденные бюджетные прогнозы в открытых источниках (справочно-правовые системы; официальные сайты финансовых и законодательных органов субъектов </w:t>
            </w:r>
            <w:r w:rsidR="00CB5C1A">
              <w:rPr>
                <w:rFonts w:ascii="Times New Roman" w:hAnsi="Times New Roman" w:cs="Times New Roman"/>
                <w:i/>
                <w:sz w:val="14"/>
                <w:szCs w:val="14"/>
                <w:lang w:val="ru-RU"/>
              </w:rPr>
              <w:t>РФ</w:t>
            </w:r>
            <w:r w:rsidRPr="00E939A0">
              <w:rPr>
                <w:rFonts w:ascii="Times New Roman" w:hAnsi="Times New Roman" w:cs="Times New Roman"/>
                <w:i/>
                <w:sz w:val="14"/>
                <w:szCs w:val="14"/>
                <w:lang w:val="ru-RU"/>
              </w:rPr>
              <w:t>), расчеты Минфина России</w:t>
            </w:r>
          </w:p>
          <w:p w:rsidR="002E2F20" w:rsidRPr="009D6FC8" w:rsidRDefault="002E2F20" w:rsidP="00CE2F86">
            <w:pPr>
              <w:pStyle w:val="SourceLarge"/>
              <w:spacing w:after="120"/>
              <w:rPr>
                <w:rFonts w:ascii="Times New Roman" w:hAnsi="Times New Roman" w:cs="Times New Roman"/>
                <w:i/>
                <w:lang w:val="ru-RU"/>
              </w:rPr>
            </w:pPr>
          </w:p>
        </w:tc>
      </w:tr>
    </w:tbl>
    <w:p w:rsidR="002E2F20" w:rsidRDefault="002E2F20" w:rsidP="00C63369">
      <w:pPr>
        <w:pStyle w:val="a4"/>
        <w:spacing w:after="0" w:line="276"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Отражение в бюджетных прогнозах субъектов </w:t>
      </w:r>
      <w:r w:rsidR="00CB5C1A">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t xml:space="preserve"> </w:t>
      </w:r>
      <w:r w:rsidRPr="00335375">
        <w:rPr>
          <w:rFonts w:ascii="Times New Roman" w:eastAsia="Times New Roman" w:hAnsi="Times New Roman" w:cs="Times New Roman"/>
          <w:color w:val="000000"/>
          <w:sz w:val="28"/>
          <w:szCs w:val="28"/>
          <w:lang w:eastAsia="ru-RU"/>
        </w:rPr>
        <w:t>показателей</w:t>
      </w:r>
      <w:r>
        <w:rPr>
          <w:rFonts w:ascii="Times New Roman" w:eastAsia="Times New Roman" w:hAnsi="Times New Roman" w:cs="Times New Roman"/>
          <w:color w:val="000000"/>
          <w:sz w:val="28"/>
          <w:szCs w:val="28"/>
          <w:lang w:eastAsia="ru-RU"/>
        </w:rPr>
        <w:t xml:space="preserve"> </w:t>
      </w:r>
      <w:r w:rsidRPr="00335375">
        <w:rPr>
          <w:rFonts w:ascii="Times New Roman" w:eastAsia="Times New Roman" w:hAnsi="Times New Roman" w:cs="Times New Roman"/>
          <w:color w:val="000000"/>
          <w:sz w:val="28"/>
          <w:szCs w:val="28"/>
          <w:lang w:eastAsia="ru-RU"/>
        </w:rPr>
        <w:t>финансового</w:t>
      </w:r>
      <w:r>
        <w:rPr>
          <w:rFonts w:ascii="Times New Roman" w:eastAsia="Times New Roman" w:hAnsi="Times New Roman" w:cs="Times New Roman"/>
          <w:color w:val="000000"/>
          <w:sz w:val="28"/>
          <w:szCs w:val="28"/>
          <w:lang w:eastAsia="ru-RU"/>
        </w:rPr>
        <w:t xml:space="preserve"> </w:t>
      </w:r>
      <w:r w:rsidRPr="00335375">
        <w:rPr>
          <w:rFonts w:ascii="Times New Roman" w:eastAsia="Times New Roman" w:hAnsi="Times New Roman" w:cs="Times New Roman"/>
          <w:color w:val="000000"/>
          <w:sz w:val="28"/>
          <w:szCs w:val="28"/>
          <w:lang w:eastAsia="ru-RU"/>
        </w:rPr>
        <w:t>обеспечения</w:t>
      </w:r>
      <w:r>
        <w:rPr>
          <w:rFonts w:ascii="Times New Roman" w:eastAsia="Times New Roman" w:hAnsi="Times New Roman" w:cs="Times New Roman"/>
          <w:color w:val="000000"/>
          <w:sz w:val="28"/>
          <w:szCs w:val="28"/>
          <w:lang w:eastAsia="ru-RU"/>
        </w:rPr>
        <w:t xml:space="preserve"> </w:t>
      </w:r>
      <w:r w:rsidRPr="00335375">
        <w:rPr>
          <w:rFonts w:ascii="Times New Roman" w:eastAsia="Times New Roman" w:hAnsi="Times New Roman" w:cs="Times New Roman"/>
          <w:color w:val="000000"/>
          <w:sz w:val="28"/>
          <w:szCs w:val="28"/>
          <w:lang w:eastAsia="ru-RU"/>
        </w:rPr>
        <w:t>государственных</w:t>
      </w:r>
      <w:r>
        <w:rPr>
          <w:rFonts w:ascii="Times New Roman" w:eastAsia="Times New Roman" w:hAnsi="Times New Roman" w:cs="Times New Roman"/>
          <w:color w:val="000000"/>
          <w:sz w:val="28"/>
          <w:szCs w:val="28"/>
          <w:lang w:eastAsia="ru-RU"/>
        </w:rPr>
        <w:t xml:space="preserve"> </w:t>
      </w:r>
      <w:r w:rsidRPr="00335375">
        <w:rPr>
          <w:rFonts w:ascii="Times New Roman" w:eastAsia="Times New Roman" w:hAnsi="Times New Roman" w:cs="Times New Roman"/>
          <w:color w:val="000000"/>
          <w:sz w:val="28"/>
          <w:szCs w:val="28"/>
          <w:lang w:eastAsia="ru-RU"/>
        </w:rPr>
        <w:t>программ</w:t>
      </w:r>
      <w:r>
        <w:rPr>
          <w:rFonts w:ascii="Times New Roman" w:eastAsia="Times New Roman" w:hAnsi="Times New Roman" w:cs="Times New Roman"/>
          <w:color w:val="000000"/>
          <w:sz w:val="28"/>
          <w:szCs w:val="28"/>
          <w:lang w:eastAsia="ru-RU"/>
        </w:rPr>
        <w:t xml:space="preserve"> </w:t>
      </w:r>
      <w:r w:rsidRPr="00335375">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335375">
        <w:rPr>
          <w:rFonts w:ascii="Times New Roman" w:eastAsia="Times New Roman" w:hAnsi="Times New Roman" w:cs="Times New Roman"/>
          <w:color w:val="000000"/>
          <w:sz w:val="28"/>
          <w:szCs w:val="28"/>
          <w:lang w:eastAsia="ru-RU"/>
        </w:rPr>
        <w:t>период</w:t>
      </w:r>
      <w:r>
        <w:rPr>
          <w:rFonts w:ascii="Times New Roman" w:eastAsia="Times New Roman" w:hAnsi="Times New Roman" w:cs="Times New Roman"/>
          <w:color w:val="000000"/>
          <w:sz w:val="28"/>
          <w:szCs w:val="28"/>
          <w:lang w:eastAsia="ru-RU"/>
        </w:rPr>
        <w:t xml:space="preserve"> </w:t>
      </w:r>
      <w:r w:rsidRPr="00335375">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335375">
        <w:rPr>
          <w:rFonts w:ascii="Times New Roman" w:eastAsia="Times New Roman" w:hAnsi="Times New Roman" w:cs="Times New Roman"/>
          <w:color w:val="000000"/>
          <w:sz w:val="28"/>
          <w:szCs w:val="28"/>
          <w:lang w:eastAsia="ru-RU"/>
        </w:rPr>
        <w:t>действия</w:t>
      </w:r>
      <w:r>
        <w:rPr>
          <w:rFonts w:ascii="Times New Roman" w:eastAsia="Times New Roman" w:hAnsi="Times New Roman" w:cs="Times New Roman"/>
          <w:color w:val="000000"/>
          <w:sz w:val="28"/>
          <w:szCs w:val="28"/>
          <w:lang w:eastAsia="ru-RU"/>
        </w:rPr>
        <w:t xml:space="preserve"> в отдельных случаях носит формальный характер.</w:t>
      </w:r>
    </w:p>
    <w:p w:rsidR="002E2F20" w:rsidRDefault="002E2F20" w:rsidP="00C63369">
      <w:pPr>
        <w:pStyle w:val="a4"/>
        <w:spacing w:after="0" w:line="276"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5% субъектов РФ объем расходов, предусмотренных на реализацию государственных программ, превышает общий объем расходов соответствующего бюджета региона. В этом случае бюджетный прогноз включает не расходы на финансовое обеспечение государственных программ, а потребность или необходимый объем их финансирования, что снижает качество долгосрочного бюджетного прогнозирования и увеличивает риски несбалансированности бюджетов субъектов </w:t>
      </w:r>
      <w:r w:rsidR="00CB5C1A">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t>.</w:t>
      </w:r>
    </w:p>
    <w:p w:rsidR="002E2F20" w:rsidRDefault="002E2F20" w:rsidP="00C63369">
      <w:pPr>
        <w:pStyle w:val="a4"/>
        <w:spacing w:after="0" w:line="276"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8% субъектов </w:t>
      </w:r>
      <w:r w:rsidR="00CB5C1A">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t xml:space="preserve"> объем расходов на финансовое обеспечение государственных программ представлен общей суммой без распределения по государственным программам.</w:t>
      </w:r>
    </w:p>
    <w:p w:rsidR="002E2F20" w:rsidRDefault="002E2F20" w:rsidP="00526D62">
      <w:pPr>
        <w:pStyle w:val="a4"/>
        <w:spacing w:after="0" w:line="276"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25% субъектов </w:t>
      </w:r>
      <w:r w:rsidR="00CB5C1A">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t xml:space="preserve"> полноценное планирование расходов на финансовое обеспечение государственных программ ограничивается одним – двумя годами прогнозного </w:t>
      </w:r>
      <w:r w:rsidRPr="00773A78">
        <w:rPr>
          <w:rFonts w:ascii="Times New Roman" w:eastAsia="Times New Roman" w:hAnsi="Times New Roman" w:cs="Times New Roman"/>
          <w:color w:val="000000"/>
          <w:sz w:val="28"/>
          <w:szCs w:val="28"/>
          <w:lang w:eastAsia="ru-RU"/>
        </w:rPr>
        <w:t>периода (до 2022 года). В</w:t>
      </w:r>
      <w:r>
        <w:rPr>
          <w:rFonts w:ascii="Times New Roman" w:eastAsia="Times New Roman" w:hAnsi="Times New Roman" w:cs="Times New Roman"/>
          <w:color w:val="000000"/>
          <w:sz w:val="28"/>
          <w:szCs w:val="28"/>
          <w:lang w:eastAsia="ru-RU"/>
        </w:rPr>
        <w:t xml:space="preserve"> остальные периоды данные расходы либо не планируются, либо включают объемы финансирования по ограниченному перечню государственных программ. Средняя доля расходов на финансовое обеспечение государственных программ в общем объеме расходов у данных субъектов </w:t>
      </w:r>
      <w:r w:rsidR="00CB5C1A">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t xml:space="preserve"> сокращается с 89% (2020 год) до 5,5% (2024 год</w:t>
      </w:r>
      <w:r w:rsidR="003F17DB">
        <w:rPr>
          <w:rFonts w:ascii="Times New Roman" w:eastAsia="Times New Roman" w:hAnsi="Times New Roman" w:cs="Times New Roman"/>
          <w:color w:val="000000"/>
          <w:sz w:val="28"/>
          <w:szCs w:val="28"/>
          <w:lang w:eastAsia="ru-RU"/>
        </w:rPr>
        <w:t>).</w:t>
      </w:r>
      <w:r w:rsidR="003F17D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За счет данного фактора средний удельный вес расходов на финансовое обеспечение государственных программ по всем субъектам </w:t>
      </w:r>
      <w:r w:rsidR="00CB5C1A">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t xml:space="preserve"> также имеет нисходящий тренд: 2020 год – 89,6%; 2022 год – 76,5%; 2024 год – 61,4%.</w:t>
      </w:r>
    </w:p>
    <w:p w:rsidR="00422D0E" w:rsidRDefault="00422D0E" w:rsidP="00422D0E">
      <w:pPr>
        <w:pStyle w:val="a4"/>
        <w:spacing w:after="0" w:line="120" w:lineRule="exact"/>
        <w:ind w:left="0"/>
        <w:jc w:val="both"/>
        <w:rPr>
          <w:rFonts w:ascii="Times New Roman" w:eastAsia="Times New Roman" w:hAnsi="Times New Roman" w:cs="Times New Roman"/>
          <w:color w:val="000000"/>
          <w:sz w:val="28"/>
          <w:szCs w:val="28"/>
          <w:lang w:eastAsia="ru-RU"/>
        </w:rPr>
      </w:pPr>
    </w:p>
    <w:p w:rsidR="002E2F20" w:rsidRPr="00FC3397" w:rsidRDefault="002E2F20" w:rsidP="00A15DEE">
      <w:pPr>
        <w:pStyle w:val="a4"/>
        <w:widowControl w:val="0"/>
        <w:numPr>
          <w:ilvl w:val="0"/>
          <w:numId w:val="44"/>
        </w:numPr>
        <w:tabs>
          <w:tab w:val="left" w:pos="426"/>
        </w:tabs>
        <w:spacing w:before="120" w:after="0" w:line="276" w:lineRule="auto"/>
        <w:ind w:left="425" w:hanging="425"/>
        <w:jc w:val="both"/>
        <w:rPr>
          <w:rFonts w:ascii="Times New Roman" w:eastAsia="Times New Roman" w:hAnsi="Times New Roman" w:cs="Times New Roman"/>
          <w:color w:val="000000"/>
          <w:sz w:val="28"/>
          <w:szCs w:val="28"/>
          <w:lang w:eastAsia="ru-RU"/>
        </w:rPr>
      </w:pPr>
      <w:r w:rsidRPr="00FC3397">
        <w:rPr>
          <w:rFonts w:ascii="Times New Roman" w:eastAsia="Times New Roman" w:hAnsi="Times New Roman" w:cs="Times New Roman"/>
          <w:color w:val="000000"/>
          <w:sz w:val="28"/>
          <w:szCs w:val="28"/>
          <w:lang w:eastAsia="ru-RU"/>
        </w:rPr>
        <w:t>Эффективность</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использования</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бюджетного</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прогноза</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определяется</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только</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наличием</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долгосрочных</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ключевых</w:t>
      </w:r>
      <w:r>
        <w:rPr>
          <w:rFonts w:ascii="Times New Roman" w:eastAsia="Times New Roman" w:hAnsi="Times New Roman" w:cs="Times New Roman"/>
          <w:color w:val="000000"/>
          <w:sz w:val="28"/>
          <w:szCs w:val="28"/>
          <w:lang w:eastAsia="ru-RU"/>
        </w:rPr>
        <w:t xml:space="preserve"> </w:t>
      </w:r>
      <w:r w:rsidRPr="008C121A">
        <w:rPr>
          <w:rFonts w:ascii="Times New Roman" w:eastAsia="Times New Roman" w:hAnsi="Times New Roman" w:cs="Times New Roman"/>
          <w:color w:val="000000"/>
          <w:sz w:val="28"/>
          <w:szCs w:val="28"/>
          <w:u w:val="single"/>
          <w:lang w:eastAsia="ru-RU"/>
        </w:rPr>
        <w:t>показателей бюджетов бюджетной системы</w:t>
      </w:r>
      <w:r w:rsidRPr="00FC33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описанием</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обоснования</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бюджетных</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оценок,</w:t>
      </w:r>
      <w:r>
        <w:rPr>
          <w:rFonts w:ascii="Times New Roman" w:eastAsia="Times New Roman" w:hAnsi="Times New Roman" w:cs="Times New Roman"/>
          <w:color w:val="000000"/>
          <w:sz w:val="28"/>
          <w:szCs w:val="28"/>
          <w:lang w:eastAsia="ru-RU"/>
        </w:rPr>
        <w:t xml:space="preserve"> </w:t>
      </w:r>
      <w:r w:rsidRPr="00FC3397">
        <w:rPr>
          <w:rFonts w:ascii="Times New Roman" w:eastAsia="Times New Roman" w:hAnsi="Times New Roman" w:cs="Times New Roman"/>
          <w:color w:val="000000"/>
          <w:sz w:val="28"/>
          <w:szCs w:val="28"/>
          <w:lang w:eastAsia="ru-RU"/>
        </w:rPr>
        <w:t>наличием</w:t>
      </w:r>
      <w:r>
        <w:rPr>
          <w:rFonts w:ascii="Times New Roman" w:eastAsia="Times New Roman" w:hAnsi="Times New Roman" w:cs="Times New Roman"/>
          <w:color w:val="000000"/>
          <w:sz w:val="28"/>
          <w:szCs w:val="28"/>
          <w:lang w:eastAsia="ru-RU"/>
        </w:rPr>
        <w:t xml:space="preserve"> </w:t>
      </w:r>
      <w:r w:rsidRPr="008C121A">
        <w:rPr>
          <w:rFonts w:ascii="Times New Roman" w:eastAsia="Times New Roman" w:hAnsi="Times New Roman" w:cs="Times New Roman"/>
          <w:color w:val="000000"/>
          <w:sz w:val="28"/>
          <w:szCs w:val="28"/>
          <w:u w:val="single"/>
          <w:lang w:eastAsia="ru-RU"/>
        </w:rPr>
        <w:t>долгосрочных направлений бюджетной политики</w:t>
      </w:r>
      <w:r w:rsidRPr="00FC33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2E2F20" w:rsidRDefault="002E2F20" w:rsidP="00526D62">
      <w:pPr>
        <w:pStyle w:val="a4"/>
        <w:tabs>
          <w:tab w:val="left" w:pos="142"/>
        </w:tabs>
        <w:spacing w:after="0" w:line="276"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Раздел с описанием </w:t>
      </w:r>
      <w:r w:rsidRPr="00452A1D">
        <w:rPr>
          <w:rFonts w:ascii="Times New Roman" w:eastAsia="Times New Roman" w:hAnsi="Times New Roman" w:cs="Times New Roman"/>
          <w:color w:val="000000"/>
          <w:sz w:val="28"/>
          <w:szCs w:val="28"/>
          <w:lang w:eastAsia="ru-RU"/>
        </w:rPr>
        <w:t>основны</w:t>
      </w:r>
      <w:r>
        <w:rPr>
          <w:rFonts w:ascii="Times New Roman" w:eastAsia="Times New Roman" w:hAnsi="Times New Roman" w:cs="Times New Roman"/>
          <w:color w:val="000000"/>
          <w:sz w:val="28"/>
          <w:szCs w:val="28"/>
          <w:lang w:eastAsia="ru-RU"/>
        </w:rPr>
        <w:t xml:space="preserve">х </w:t>
      </w:r>
      <w:r w:rsidRPr="00452A1D">
        <w:rPr>
          <w:rFonts w:ascii="Times New Roman" w:eastAsia="Times New Roman" w:hAnsi="Times New Roman" w:cs="Times New Roman"/>
          <w:color w:val="000000"/>
          <w:sz w:val="28"/>
          <w:szCs w:val="28"/>
          <w:lang w:eastAsia="ru-RU"/>
        </w:rPr>
        <w:t>подход</w:t>
      </w:r>
      <w:r>
        <w:rPr>
          <w:rFonts w:ascii="Times New Roman" w:eastAsia="Times New Roman" w:hAnsi="Times New Roman" w:cs="Times New Roman"/>
          <w:color w:val="000000"/>
          <w:sz w:val="28"/>
          <w:szCs w:val="28"/>
          <w:lang w:eastAsia="ru-RU"/>
        </w:rPr>
        <w:t xml:space="preserve">ов </w:t>
      </w:r>
      <w:r w:rsidRPr="00452A1D">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формированию</w:t>
      </w:r>
      <w:r>
        <w:rPr>
          <w:rFonts w:ascii="Times New Roman" w:eastAsia="Times New Roman" w:hAnsi="Times New Roman" w:cs="Times New Roman"/>
          <w:color w:val="000000"/>
          <w:sz w:val="28"/>
          <w:szCs w:val="28"/>
          <w:lang w:eastAsia="ru-RU"/>
        </w:rPr>
        <w:t xml:space="preserve"> </w:t>
      </w:r>
      <w:r w:rsidRPr="00452A1D">
        <w:rPr>
          <w:rFonts w:ascii="Times New Roman" w:eastAsia="Times New Roman" w:hAnsi="Times New Roman" w:cs="Times New Roman"/>
          <w:color w:val="000000"/>
          <w:sz w:val="28"/>
          <w:szCs w:val="28"/>
          <w:lang w:eastAsia="ru-RU"/>
        </w:rPr>
        <w:t>бюджетной</w:t>
      </w:r>
      <w:r>
        <w:rPr>
          <w:rFonts w:ascii="Times New Roman" w:eastAsia="Times New Roman" w:hAnsi="Times New Roman" w:cs="Times New Roman"/>
          <w:color w:val="000000"/>
          <w:sz w:val="28"/>
          <w:szCs w:val="28"/>
          <w:lang w:eastAsia="ru-RU"/>
        </w:rPr>
        <w:t xml:space="preserve"> политики на долгосрочный период присутствовал в бюджетных прогнозах</w:t>
      </w:r>
      <w:r w:rsidR="003F17D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у 54 (67%) субъектов </w:t>
      </w:r>
      <w:r w:rsidR="00CB5C1A">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t xml:space="preserve">. У 38 (47%) регионов данный раздел содержал подходы в части налоговой, бюджетной и долговой политики, </w:t>
      </w:r>
      <w:r w:rsidR="00CB5C1A">
        <w:rPr>
          <w:rFonts w:ascii="Times New Roman" w:eastAsia="Times New Roman" w:hAnsi="Times New Roman" w:cs="Times New Roman"/>
          <w:color w:val="000000"/>
          <w:sz w:val="28"/>
          <w:szCs w:val="28"/>
          <w:lang w:eastAsia="ru-RU"/>
        </w:rPr>
        <w:t>у 4</w:t>
      </w:r>
      <w:r>
        <w:rPr>
          <w:rFonts w:ascii="Times New Roman" w:eastAsia="Times New Roman" w:hAnsi="Times New Roman" w:cs="Times New Roman"/>
          <w:color w:val="000000"/>
          <w:sz w:val="28"/>
          <w:szCs w:val="28"/>
          <w:lang w:eastAsia="ru-RU"/>
        </w:rPr>
        <w:t xml:space="preserve"> (5%) регионов – в части налоговой и бюджетной политики, у 5 (6%) – в части бюджетной и долговой политики, а у оставшихся 7 (9%) – только в части политики формирования расходов. Более подробная оценка описания подходов к формированию бюджетной политики приведена в разделе 2 настоящего анализа.</w:t>
      </w:r>
    </w:p>
    <w:p w:rsidR="00422D0E" w:rsidRDefault="00422D0E" w:rsidP="00526D62">
      <w:pPr>
        <w:pStyle w:val="a4"/>
        <w:tabs>
          <w:tab w:val="left" w:pos="142"/>
        </w:tabs>
        <w:spacing w:after="0" w:line="276" w:lineRule="auto"/>
        <w:ind w:left="0"/>
        <w:jc w:val="both"/>
        <w:rPr>
          <w:rFonts w:ascii="Times New Roman" w:eastAsia="Times New Roman" w:hAnsi="Times New Roman" w:cs="Times New Roman"/>
          <w:b/>
          <w:color w:val="000000"/>
          <w:sz w:val="24"/>
          <w:szCs w:val="28"/>
          <w:lang w:eastAsia="ru-RU"/>
        </w:rPr>
      </w:pPr>
    </w:p>
    <w:p w:rsidR="002E2F20" w:rsidRDefault="002E2F20" w:rsidP="00A15DEE">
      <w:pPr>
        <w:pStyle w:val="a4"/>
        <w:numPr>
          <w:ilvl w:val="0"/>
          <w:numId w:val="44"/>
        </w:numPr>
        <w:tabs>
          <w:tab w:val="right" w:pos="426"/>
        </w:tabs>
        <w:spacing w:after="0" w:line="276" w:lineRule="auto"/>
        <w:ind w:left="425"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По состоянию на отчетную дату </w:t>
      </w:r>
      <w:r w:rsidRPr="008C121A">
        <w:rPr>
          <w:rFonts w:ascii="Times New Roman" w:eastAsia="Times New Roman" w:hAnsi="Times New Roman" w:cs="Times New Roman"/>
          <w:color w:val="000000"/>
          <w:sz w:val="28"/>
          <w:szCs w:val="28"/>
          <w:u w:val="single"/>
          <w:lang w:eastAsia="ru-RU"/>
        </w:rPr>
        <w:t>порядки разработки бюджетного прогноза</w:t>
      </w:r>
      <w:r>
        <w:rPr>
          <w:rFonts w:ascii="Times New Roman" w:eastAsia="Times New Roman" w:hAnsi="Times New Roman" w:cs="Times New Roman"/>
          <w:color w:val="000000"/>
          <w:sz w:val="28"/>
          <w:szCs w:val="28"/>
          <w:lang w:eastAsia="ru-RU"/>
        </w:rPr>
        <w:t xml:space="preserve"> приняты высшими исполнительными органами государственной власти всех субъектов </w:t>
      </w:r>
      <w:r w:rsidR="00CB5C1A">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t>.</w:t>
      </w:r>
    </w:p>
    <w:p w:rsidR="002E2F20" w:rsidRDefault="002E2F20" w:rsidP="00526D62">
      <w:pPr>
        <w:autoSpaceDE w:val="0"/>
        <w:autoSpaceDN w:val="0"/>
        <w:adjustRightInd w:val="0"/>
        <w:spacing w:after="0" w:line="27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Согласно данным использованных информационных источников бюджетные прогнозы приняты в 81 субъекте РФ. </w:t>
      </w:r>
      <w:r>
        <w:rPr>
          <w:rFonts w:ascii="Times New Roman" w:hAnsi="Times New Roman" w:cs="Times New Roman"/>
          <w:sz w:val="28"/>
          <w:szCs w:val="28"/>
        </w:rPr>
        <w:t xml:space="preserve">В 74% регионах сроки утверждения бюджетного прогноза </w:t>
      </w:r>
      <w:r w:rsidR="003F17DB">
        <w:rPr>
          <w:rFonts w:ascii="Times New Roman" w:hAnsi="Times New Roman" w:cs="Times New Roman"/>
          <w:sz w:val="28"/>
          <w:szCs w:val="28"/>
        </w:rPr>
        <w:t>соответствуют требованиям</w:t>
      </w:r>
      <w:r w:rsidR="009F4A4D">
        <w:rPr>
          <w:rFonts w:ascii="Times New Roman" w:hAnsi="Times New Roman" w:cs="Times New Roman"/>
          <w:sz w:val="28"/>
          <w:szCs w:val="28"/>
        </w:rPr>
        <w:t xml:space="preserve"> </w:t>
      </w:r>
      <w:r>
        <w:rPr>
          <w:rFonts w:ascii="Times New Roman" w:hAnsi="Times New Roman" w:cs="Times New Roman"/>
          <w:sz w:val="28"/>
          <w:szCs w:val="28"/>
        </w:rPr>
        <w:t xml:space="preserve">статьи 170.1 БК РФ. </w:t>
      </w:r>
    </w:p>
    <w:p w:rsidR="00526D62" w:rsidRDefault="00526D62" w:rsidP="00526D62">
      <w:pPr>
        <w:autoSpaceDE w:val="0"/>
        <w:autoSpaceDN w:val="0"/>
        <w:adjustRightInd w:val="0"/>
        <w:spacing w:after="0" w:line="276" w:lineRule="auto"/>
        <w:jc w:val="both"/>
        <w:rPr>
          <w:rFonts w:ascii="Times New Roman" w:hAnsi="Times New Roman" w:cs="Times New Roman"/>
          <w:sz w:val="28"/>
          <w:szCs w:val="28"/>
        </w:rPr>
      </w:pPr>
    </w:p>
    <w:p w:rsidR="002E2F20" w:rsidRPr="005D7A11" w:rsidRDefault="002E2F20" w:rsidP="002E2F20">
      <w:pPr>
        <w:autoSpaceDE w:val="0"/>
        <w:autoSpaceDN w:val="0"/>
        <w:adjustRightInd w:val="0"/>
        <w:spacing w:after="0" w:line="240" w:lineRule="auto"/>
        <w:jc w:val="both"/>
        <w:rPr>
          <w:rFonts w:ascii="Times New Roman" w:hAnsi="Times New Roman" w:cs="Times New Roman"/>
          <w:b/>
          <w:sz w:val="24"/>
          <w:szCs w:val="24"/>
        </w:rPr>
      </w:pPr>
      <w:r w:rsidRPr="005D7A11">
        <w:rPr>
          <w:rFonts w:ascii="Times New Roman" w:hAnsi="Times New Roman" w:cs="Times New Roman"/>
          <w:b/>
          <w:sz w:val="24"/>
          <w:szCs w:val="24"/>
        </w:rPr>
        <w:t>Таблица</w:t>
      </w:r>
      <w:r>
        <w:rPr>
          <w:rFonts w:ascii="Times New Roman" w:hAnsi="Times New Roman" w:cs="Times New Roman"/>
          <w:b/>
          <w:sz w:val="24"/>
          <w:szCs w:val="24"/>
        </w:rPr>
        <w:t xml:space="preserve"> </w:t>
      </w:r>
      <w:r w:rsidR="00D80263">
        <w:rPr>
          <w:rFonts w:ascii="Times New Roman" w:hAnsi="Times New Roman" w:cs="Times New Roman"/>
          <w:b/>
          <w:sz w:val="24"/>
          <w:szCs w:val="24"/>
        </w:rPr>
        <w:t>2</w:t>
      </w:r>
      <w:r w:rsidRPr="005D7A11">
        <w:rPr>
          <w:rFonts w:ascii="Times New Roman" w:hAnsi="Times New Roman" w:cs="Times New Roman"/>
          <w:b/>
          <w:sz w:val="24"/>
          <w:szCs w:val="24"/>
        </w:rPr>
        <w:t>.</w:t>
      </w:r>
      <w:r>
        <w:rPr>
          <w:rFonts w:ascii="Times New Roman" w:hAnsi="Times New Roman" w:cs="Times New Roman"/>
          <w:b/>
          <w:sz w:val="24"/>
          <w:szCs w:val="24"/>
        </w:rPr>
        <w:t xml:space="preserve"> </w:t>
      </w:r>
      <w:r w:rsidRPr="005D7A11">
        <w:rPr>
          <w:rFonts w:ascii="Times New Roman" w:hAnsi="Times New Roman" w:cs="Times New Roman"/>
          <w:b/>
          <w:sz w:val="24"/>
          <w:szCs w:val="24"/>
        </w:rPr>
        <w:t>Выполнение</w:t>
      </w:r>
      <w:r>
        <w:rPr>
          <w:rFonts w:ascii="Times New Roman" w:hAnsi="Times New Roman" w:cs="Times New Roman"/>
          <w:b/>
          <w:sz w:val="24"/>
          <w:szCs w:val="24"/>
        </w:rPr>
        <w:t xml:space="preserve"> </w:t>
      </w:r>
      <w:r w:rsidRPr="005D7A11">
        <w:rPr>
          <w:rFonts w:ascii="Times New Roman" w:hAnsi="Times New Roman" w:cs="Times New Roman"/>
          <w:b/>
          <w:sz w:val="24"/>
          <w:szCs w:val="24"/>
        </w:rPr>
        <w:t>сроков</w:t>
      </w:r>
      <w:r>
        <w:rPr>
          <w:rFonts w:ascii="Times New Roman" w:hAnsi="Times New Roman" w:cs="Times New Roman"/>
          <w:b/>
          <w:sz w:val="24"/>
          <w:szCs w:val="24"/>
        </w:rPr>
        <w:t xml:space="preserve"> </w:t>
      </w:r>
      <w:r w:rsidRPr="005D7A11">
        <w:rPr>
          <w:rFonts w:ascii="Times New Roman" w:hAnsi="Times New Roman" w:cs="Times New Roman"/>
          <w:b/>
          <w:sz w:val="24"/>
          <w:szCs w:val="24"/>
        </w:rPr>
        <w:t>утверждения</w:t>
      </w:r>
      <w:r>
        <w:rPr>
          <w:rFonts w:ascii="Times New Roman" w:hAnsi="Times New Roman" w:cs="Times New Roman"/>
          <w:b/>
          <w:sz w:val="24"/>
          <w:szCs w:val="24"/>
        </w:rPr>
        <w:t xml:space="preserve"> </w:t>
      </w:r>
      <w:r w:rsidRPr="005D7A11">
        <w:rPr>
          <w:rFonts w:ascii="Times New Roman" w:hAnsi="Times New Roman" w:cs="Times New Roman"/>
          <w:b/>
          <w:sz w:val="24"/>
          <w:szCs w:val="24"/>
        </w:rPr>
        <w:t>бюджетных</w:t>
      </w:r>
      <w:r>
        <w:rPr>
          <w:rFonts w:ascii="Times New Roman" w:hAnsi="Times New Roman" w:cs="Times New Roman"/>
          <w:b/>
          <w:sz w:val="24"/>
          <w:szCs w:val="24"/>
        </w:rPr>
        <w:t xml:space="preserve"> </w:t>
      </w:r>
      <w:r w:rsidRPr="005D7A11">
        <w:rPr>
          <w:rFonts w:ascii="Times New Roman" w:hAnsi="Times New Roman" w:cs="Times New Roman"/>
          <w:b/>
          <w:sz w:val="24"/>
          <w:szCs w:val="24"/>
        </w:rPr>
        <w:t>прогнозов</w:t>
      </w:r>
    </w:p>
    <w:tbl>
      <w:tblPr>
        <w:tblW w:w="9361" w:type="dxa"/>
        <w:tblInd w:w="103" w:type="dxa"/>
        <w:tblLook w:val="04A0" w:firstRow="1" w:lastRow="0" w:firstColumn="1" w:lastColumn="0" w:noHBand="0" w:noVBand="1"/>
      </w:tblPr>
      <w:tblGrid>
        <w:gridCol w:w="7660"/>
        <w:gridCol w:w="1701"/>
      </w:tblGrid>
      <w:tr w:rsidR="002E2F20" w:rsidRPr="003136BD" w:rsidTr="00CE2F86">
        <w:trPr>
          <w:trHeight w:val="20"/>
          <w:tblHeader/>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F20" w:rsidRPr="007B4322" w:rsidRDefault="002E2F20" w:rsidP="00CE2F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Показатель</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E2F20" w:rsidRPr="007B4322" w:rsidRDefault="002E2F20" w:rsidP="00CE2F86">
            <w:pPr>
              <w:spacing w:after="0" w:line="240" w:lineRule="auto"/>
              <w:jc w:val="center"/>
              <w:rPr>
                <w:rFonts w:ascii="Times New Roman" w:eastAsia="Times New Roman" w:hAnsi="Times New Roman" w:cs="Times New Roman"/>
                <w:color w:val="000000"/>
                <w:sz w:val="24"/>
                <w:szCs w:val="24"/>
                <w:lang w:eastAsia="ru-RU"/>
              </w:rPr>
            </w:pPr>
            <w:r w:rsidRPr="007B4322">
              <w:rPr>
                <w:rFonts w:ascii="Times New Roman" w:eastAsia="Times New Roman" w:hAnsi="Times New Roman" w:cs="Times New Roman"/>
                <w:color w:val="000000"/>
                <w:sz w:val="24"/>
                <w:szCs w:val="24"/>
                <w:lang w:eastAsia="ru-RU"/>
              </w:rPr>
              <w:t>Количество</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субъектов</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РФ</w:t>
            </w:r>
          </w:p>
        </w:tc>
      </w:tr>
      <w:tr w:rsidR="002E2F20" w:rsidRPr="003136BD" w:rsidTr="00CE2F86">
        <w:trPr>
          <w:trHeight w:val="2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2E2F20" w:rsidRPr="007B4322" w:rsidRDefault="002E2F20" w:rsidP="00CE2F86">
            <w:pPr>
              <w:spacing w:after="0" w:line="240" w:lineRule="auto"/>
              <w:rPr>
                <w:rFonts w:ascii="Times New Roman" w:eastAsia="Times New Roman" w:hAnsi="Times New Roman" w:cs="Times New Roman"/>
                <w:color w:val="000000"/>
                <w:sz w:val="24"/>
                <w:szCs w:val="24"/>
                <w:lang w:eastAsia="ru-RU"/>
              </w:rPr>
            </w:pPr>
            <w:r w:rsidRPr="007B4322">
              <w:rPr>
                <w:rFonts w:ascii="Times New Roman" w:eastAsia="Times New Roman" w:hAnsi="Times New Roman" w:cs="Times New Roman"/>
                <w:color w:val="000000"/>
                <w:sz w:val="24"/>
                <w:szCs w:val="24"/>
                <w:lang w:eastAsia="ru-RU"/>
              </w:rPr>
              <w:t>Утвердивших</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бюджетный</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прогноз</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(изменения</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бюджетного</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прогноза)</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срок,</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превышающий</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двух</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месяцев</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со</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дня</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официального</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опубликования</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закона</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соответствующем</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бюджете.</w:t>
            </w:r>
          </w:p>
        </w:tc>
        <w:tc>
          <w:tcPr>
            <w:tcW w:w="1701" w:type="dxa"/>
            <w:tcBorders>
              <w:top w:val="nil"/>
              <w:left w:val="nil"/>
              <w:bottom w:val="single" w:sz="4" w:space="0" w:color="auto"/>
              <w:right w:val="single" w:sz="4" w:space="0" w:color="auto"/>
            </w:tcBorders>
            <w:shd w:val="clear" w:color="auto" w:fill="auto"/>
            <w:vAlign w:val="center"/>
            <w:hideMark/>
          </w:tcPr>
          <w:p w:rsidR="002E2F20" w:rsidRPr="007B4322" w:rsidRDefault="002E2F20" w:rsidP="00CE2F86">
            <w:pPr>
              <w:spacing w:after="0" w:line="240" w:lineRule="auto"/>
              <w:jc w:val="center"/>
              <w:rPr>
                <w:rFonts w:ascii="Times New Roman" w:eastAsia="Times New Roman" w:hAnsi="Times New Roman" w:cs="Times New Roman"/>
                <w:bCs/>
                <w:color w:val="000000"/>
                <w:sz w:val="24"/>
                <w:szCs w:val="24"/>
                <w:lang w:eastAsia="ru-RU"/>
              </w:rPr>
            </w:pPr>
            <w:r w:rsidRPr="007B4322">
              <w:rPr>
                <w:rFonts w:ascii="Times New Roman" w:eastAsia="Times New Roman" w:hAnsi="Times New Roman" w:cs="Times New Roman"/>
                <w:bCs/>
                <w:color w:val="000000"/>
                <w:sz w:val="24"/>
                <w:szCs w:val="24"/>
                <w:lang w:eastAsia="ru-RU"/>
              </w:rPr>
              <w:t>60</w:t>
            </w:r>
          </w:p>
        </w:tc>
      </w:tr>
      <w:tr w:rsidR="002E2F20" w:rsidRPr="003136BD" w:rsidTr="00CE2F86">
        <w:trPr>
          <w:trHeight w:val="2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2E2F20" w:rsidRPr="003136BD" w:rsidRDefault="002E2F20" w:rsidP="00CE2F8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Утвердивших </w:t>
            </w:r>
            <w:r w:rsidRPr="003136BD">
              <w:rPr>
                <w:rFonts w:ascii="Times New Roman" w:eastAsia="Times New Roman" w:hAnsi="Times New Roman" w:cs="Times New Roman"/>
                <w:color w:val="000000"/>
                <w:sz w:val="24"/>
                <w:szCs w:val="24"/>
                <w:lang w:eastAsia="ru-RU"/>
              </w:rPr>
              <w:t>бюджетный</w:t>
            </w:r>
            <w:r>
              <w:rPr>
                <w:rFonts w:ascii="Times New Roman" w:eastAsia="Times New Roman" w:hAnsi="Times New Roman" w:cs="Times New Roman"/>
                <w:color w:val="000000"/>
                <w:sz w:val="24"/>
                <w:szCs w:val="24"/>
                <w:lang w:eastAsia="ru-RU"/>
              </w:rPr>
              <w:t xml:space="preserve"> </w:t>
            </w:r>
            <w:r w:rsidRPr="003136BD">
              <w:rPr>
                <w:rFonts w:ascii="Times New Roman" w:eastAsia="Times New Roman" w:hAnsi="Times New Roman" w:cs="Times New Roman"/>
                <w:color w:val="000000"/>
                <w:sz w:val="24"/>
                <w:szCs w:val="24"/>
                <w:lang w:eastAsia="ru-RU"/>
              </w:rPr>
              <w:t>прогноз</w:t>
            </w:r>
            <w:r>
              <w:rPr>
                <w:rFonts w:ascii="Times New Roman" w:eastAsia="Times New Roman" w:hAnsi="Times New Roman" w:cs="Times New Roman"/>
                <w:color w:val="000000"/>
                <w:sz w:val="24"/>
                <w:szCs w:val="24"/>
                <w:lang w:eastAsia="ru-RU"/>
              </w:rPr>
              <w:t xml:space="preserve"> </w:t>
            </w:r>
            <w:r w:rsidRPr="003136BD">
              <w:rPr>
                <w:rFonts w:ascii="Times New Roman" w:eastAsia="Times New Roman" w:hAnsi="Times New Roman" w:cs="Times New Roman"/>
                <w:color w:val="000000"/>
                <w:sz w:val="24"/>
                <w:szCs w:val="24"/>
                <w:lang w:eastAsia="ru-RU"/>
              </w:rPr>
              <w:t>(изменения</w:t>
            </w:r>
            <w:r>
              <w:rPr>
                <w:rFonts w:ascii="Times New Roman" w:eastAsia="Times New Roman" w:hAnsi="Times New Roman" w:cs="Times New Roman"/>
                <w:color w:val="000000"/>
                <w:sz w:val="24"/>
                <w:szCs w:val="24"/>
                <w:lang w:eastAsia="ru-RU"/>
              </w:rPr>
              <w:t xml:space="preserve"> </w:t>
            </w:r>
            <w:r w:rsidRPr="003136BD">
              <w:rPr>
                <w:rFonts w:ascii="Times New Roman" w:eastAsia="Times New Roman" w:hAnsi="Times New Roman" w:cs="Times New Roman"/>
                <w:color w:val="000000"/>
                <w:sz w:val="24"/>
                <w:szCs w:val="24"/>
                <w:lang w:eastAsia="ru-RU"/>
              </w:rPr>
              <w:t>бюджетного</w:t>
            </w:r>
            <w:r>
              <w:rPr>
                <w:rFonts w:ascii="Times New Roman" w:eastAsia="Times New Roman" w:hAnsi="Times New Roman" w:cs="Times New Roman"/>
                <w:color w:val="000000"/>
                <w:sz w:val="24"/>
                <w:szCs w:val="24"/>
                <w:lang w:eastAsia="ru-RU"/>
              </w:rPr>
              <w:t xml:space="preserve"> </w:t>
            </w:r>
            <w:r w:rsidRPr="003136BD">
              <w:rPr>
                <w:rFonts w:ascii="Times New Roman" w:eastAsia="Times New Roman" w:hAnsi="Times New Roman" w:cs="Times New Roman"/>
                <w:color w:val="000000"/>
                <w:sz w:val="24"/>
                <w:szCs w:val="24"/>
                <w:lang w:eastAsia="ru-RU"/>
              </w:rPr>
              <w:t>прогноза)</w:t>
            </w:r>
            <w:r>
              <w:rPr>
                <w:rFonts w:ascii="Times New Roman" w:eastAsia="Times New Roman" w:hAnsi="Times New Roman" w:cs="Times New Roman"/>
                <w:color w:val="000000"/>
                <w:sz w:val="24"/>
                <w:szCs w:val="24"/>
                <w:lang w:eastAsia="ru-RU"/>
              </w:rPr>
              <w:t xml:space="preserve"> </w:t>
            </w:r>
            <w:r w:rsidRPr="003136BD">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3136BD">
              <w:rPr>
                <w:rFonts w:ascii="Times New Roman" w:eastAsia="Times New Roman" w:hAnsi="Times New Roman" w:cs="Times New Roman"/>
                <w:color w:val="000000"/>
                <w:sz w:val="24"/>
                <w:szCs w:val="24"/>
                <w:lang w:eastAsia="ru-RU"/>
              </w:rPr>
              <w:t>срок,</w:t>
            </w:r>
            <w:r>
              <w:rPr>
                <w:rFonts w:ascii="Times New Roman" w:eastAsia="Times New Roman" w:hAnsi="Times New Roman" w:cs="Times New Roman"/>
                <w:color w:val="000000"/>
                <w:sz w:val="24"/>
                <w:szCs w:val="24"/>
                <w:lang w:eastAsia="ru-RU"/>
              </w:rPr>
              <w:t xml:space="preserve"> </w:t>
            </w:r>
            <w:r w:rsidRPr="003136BD">
              <w:rPr>
                <w:rFonts w:ascii="Times New Roman" w:eastAsia="Times New Roman" w:hAnsi="Times New Roman" w:cs="Times New Roman"/>
                <w:b/>
                <w:color w:val="000000"/>
                <w:sz w:val="24"/>
                <w:szCs w:val="24"/>
                <w:lang w:eastAsia="ru-RU"/>
              </w:rPr>
              <w:t>превышающий</w:t>
            </w:r>
            <w:r>
              <w:rPr>
                <w:rFonts w:ascii="Times New Roman" w:eastAsia="Times New Roman" w:hAnsi="Times New Roman" w:cs="Times New Roman"/>
                <w:b/>
                <w:color w:val="000000"/>
                <w:sz w:val="24"/>
                <w:szCs w:val="24"/>
                <w:lang w:eastAsia="ru-RU"/>
              </w:rPr>
              <w:t xml:space="preserve"> </w:t>
            </w:r>
            <w:r w:rsidRPr="003136BD">
              <w:rPr>
                <w:rFonts w:ascii="Times New Roman" w:eastAsia="Times New Roman" w:hAnsi="Times New Roman" w:cs="Times New Roman"/>
                <w:b/>
                <w:color w:val="000000"/>
                <w:sz w:val="24"/>
                <w:szCs w:val="24"/>
                <w:lang w:eastAsia="ru-RU"/>
              </w:rPr>
              <w:t>два</w:t>
            </w:r>
            <w:r>
              <w:rPr>
                <w:rFonts w:ascii="Times New Roman" w:eastAsia="Times New Roman" w:hAnsi="Times New Roman" w:cs="Times New Roman"/>
                <w:b/>
                <w:color w:val="000000"/>
                <w:sz w:val="24"/>
                <w:szCs w:val="24"/>
                <w:lang w:eastAsia="ru-RU"/>
              </w:rPr>
              <w:t xml:space="preserve"> </w:t>
            </w:r>
            <w:r w:rsidRPr="003136BD">
              <w:rPr>
                <w:rFonts w:ascii="Times New Roman" w:eastAsia="Times New Roman" w:hAnsi="Times New Roman" w:cs="Times New Roman"/>
                <w:b/>
                <w:color w:val="000000"/>
                <w:sz w:val="24"/>
                <w:szCs w:val="24"/>
                <w:lang w:eastAsia="ru-RU"/>
              </w:rPr>
              <w:t>месяца</w:t>
            </w:r>
            <w:r>
              <w:rPr>
                <w:rFonts w:ascii="Times New Roman" w:eastAsia="Times New Roman" w:hAnsi="Times New Roman" w:cs="Times New Roman"/>
                <w:color w:val="000000"/>
                <w:sz w:val="24"/>
                <w:szCs w:val="24"/>
                <w:lang w:eastAsia="ru-RU"/>
              </w:rPr>
              <w:t xml:space="preserve"> </w:t>
            </w:r>
            <w:r w:rsidRPr="003136BD">
              <w:rPr>
                <w:rFonts w:ascii="Times New Roman" w:eastAsia="Times New Roman" w:hAnsi="Times New Roman" w:cs="Times New Roman"/>
                <w:color w:val="000000"/>
                <w:sz w:val="24"/>
                <w:szCs w:val="24"/>
                <w:lang w:eastAsia="ru-RU"/>
              </w:rPr>
              <w:t>со</w:t>
            </w:r>
            <w:r>
              <w:rPr>
                <w:rFonts w:ascii="Times New Roman" w:eastAsia="Times New Roman" w:hAnsi="Times New Roman" w:cs="Times New Roman"/>
                <w:color w:val="000000"/>
                <w:sz w:val="24"/>
                <w:szCs w:val="24"/>
                <w:lang w:eastAsia="ru-RU"/>
              </w:rPr>
              <w:t xml:space="preserve"> </w:t>
            </w:r>
            <w:r w:rsidRPr="003136BD">
              <w:rPr>
                <w:rFonts w:ascii="Times New Roman" w:eastAsia="Times New Roman" w:hAnsi="Times New Roman" w:cs="Times New Roman"/>
                <w:color w:val="000000"/>
                <w:sz w:val="24"/>
                <w:szCs w:val="24"/>
                <w:lang w:eastAsia="ru-RU"/>
              </w:rPr>
              <w:t>дня</w:t>
            </w:r>
            <w:r>
              <w:rPr>
                <w:rFonts w:ascii="Times New Roman" w:eastAsia="Times New Roman" w:hAnsi="Times New Roman" w:cs="Times New Roman"/>
                <w:color w:val="000000"/>
                <w:sz w:val="24"/>
                <w:szCs w:val="24"/>
                <w:lang w:eastAsia="ru-RU"/>
              </w:rPr>
              <w:t xml:space="preserve"> </w:t>
            </w:r>
            <w:r w:rsidRPr="003136BD">
              <w:rPr>
                <w:rFonts w:ascii="Times New Roman" w:eastAsia="Times New Roman" w:hAnsi="Times New Roman" w:cs="Times New Roman"/>
                <w:color w:val="000000"/>
                <w:sz w:val="24"/>
                <w:szCs w:val="24"/>
                <w:lang w:eastAsia="ru-RU"/>
              </w:rPr>
              <w:t>официального</w:t>
            </w:r>
            <w:r>
              <w:rPr>
                <w:rFonts w:ascii="Times New Roman" w:eastAsia="Times New Roman" w:hAnsi="Times New Roman" w:cs="Times New Roman"/>
                <w:color w:val="000000"/>
                <w:sz w:val="24"/>
                <w:szCs w:val="24"/>
                <w:lang w:eastAsia="ru-RU"/>
              </w:rPr>
              <w:t xml:space="preserve"> </w:t>
            </w:r>
            <w:r w:rsidRPr="003136BD">
              <w:rPr>
                <w:rFonts w:ascii="Times New Roman" w:eastAsia="Times New Roman" w:hAnsi="Times New Roman" w:cs="Times New Roman"/>
                <w:color w:val="000000"/>
                <w:sz w:val="24"/>
                <w:szCs w:val="24"/>
                <w:lang w:eastAsia="ru-RU"/>
              </w:rPr>
              <w:t>опубликования</w:t>
            </w:r>
            <w:r>
              <w:rPr>
                <w:rFonts w:ascii="Times New Roman" w:eastAsia="Times New Roman" w:hAnsi="Times New Roman" w:cs="Times New Roman"/>
                <w:color w:val="000000"/>
                <w:sz w:val="24"/>
                <w:szCs w:val="24"/>
                <w:lang w:eastAsia="ru-RU"/>
              </w:rPr>
              <w:t xml:space="preserve"> </w:t>
            </w:r>
            <w:r w:rsidRPr="003136BD">
              <w:rPr>
                <w:rFonts w:ascii="Times New Roman" w:eastAsia="Times New Roman" w:hAnsi="Times New Roman" w:cs="Times New Roman"/>
                <w:color w:val="000000"/>
                <w:sz w:val="24"/>
                <w:szCs w:val="24"/>
                <w:lang w:eastAsia="ru-RU"/>
              </w:rPr>
              <w:t>закона</w:t>
            </w:r>
            <w:r>
              <w:rPr>
                <w:rFonts w:ascii="Times New Roman" w:eastAsia="Times New Roman" w:hAnsi="Times New Roman" w:cs="Times New Roman"/>
                <w:color w:val="000000"/>
                <w:sz w:val="24"/>
                <w:szCs w:val="24"/>
                <w:lang w:eastAsia="ru-RU"/>
              </w:rPr>
              <w:t xml:space="preserve"> о соответствующем бюджете, из них:</w:t>
            </w:r>
          </w:p>
        </w:tc>
        <w:tc>
          <w:tcPr>
            <w:tcW w:w="1701" w:type="dxa"/>
            <w:tcBorders>
              <w:top w:val="nil"/>
              <w:left w:val="nil"/>
              <w:bottom w:val="single" w:sz="4" w:space="0" w:color="auto"/>
              <w:right w:val="single" w:sz="4" w:space="0" w:color="auto"/>
            </w:tcBorders>
            <w:shd w:val="clear" w:color="auto" w:fill="auto"/>
            <w:vAlign w:val="center"/>
            <w:hideMark/>
          </w:tcPr>
          <w:p w:rsidR="002E2F20" w:rsidRPr="00842236" w:rsidRDefault="002E2F20" w:rsidP="00CE2F86">
            <w:pPr>
              <w:spacing w:after="0" w:line="240" w:lineRule="auto"/>
              <w:jc w:val="center"/>
              <w:rPr>
                <w:rFonts w:ascii="Times New Roman" w:eastAsia="Times New Roman" w:hAnsi="Times New Roman" w:cs="Times New Roman"/>
                <w:bCs/>
                <w:color w:val="000000"/>
                <w:sz w:val="24"/>
                <w:szCs w:val="24"/>
                <w:lang w:eastAsia="ru-RU"/>
              </w:rPr>
            </w:pPr>
            <w:r w:rsidRPr="00842236">
              <w:rPr>
                <w:rFonts w:ascii="Times New Roman" w:eastAsia="Times New Roman" w:hAnsi="Times New Roman" w:cs="Times New Roman"/>
                <w:bCs/>
                <w:color w:val="000000"/>
                <w:sz w:val="24"/>
                <w:szCs w:val="24"/>
                <w:lang w:eastAsia="ru-RU"/>
              </w:rPr>
              <w:t>21</w:t>
            </w:r>
          </w:p>
        </w:tc>
      </w:tr>
      <w:tr w:rsidR="002E2F20" w:rsidRPr="003136BD" w:rsidTr="00CE2F86">
        <w:trPr>
          <w:trHeight w:val="20"/>
        </w:trPr>
        <w:tc>
          <w:tcPr>
            <w:tcW w:w="7660" w:type="dxa"/>
            <w:tcBorders>
              <w:top w:val="nil"/>
              <w:left w:val="single" w:sz="4" w:space="0" w:color="auto"/>
              <w:bottom w:val="single" w:sz="4" w:space="0" w:color="auto"/>
              <w:right w:val="single" w:sz="4" w:space="0" w:color="auto"/>
            </w:tcBorders>
            <w:shd w:val="clear" w:color="auto" w:fill="auto"/>
            <w:vAlign w:val="center"/>
          </w:tcPr>
          <w:p w:rsidR="002E2F20" w:rsidRPr="00CD08EF" w:rsidDel="00FB69A2" w:rsidRDefault="002E2F20" w:rsidP="00CE2F86">
            <w:pPr>
              <w:spacing w:after="0" w:line="240" w:lineRule="auto"/>
              <w:ind w:left="216"/>
              <w:rPr>
                <w:rFonts w:ascii="Times New Roman" w:eastAsia="Times New Roman" w:hAnsi="Times New Roman" w:cs="Times New Roman"/>
                <w:i/>
                <w:iCs/>
                <w:color w:val="000000"/>
                <w:sz w:val="24"/>
                <w:szCs w:val="24"/>
                <w:lang w:eastAsia="ru-RU"/>
              </w:rPr>
            </w:pPr>
            <w:r w:rsidRPr="00205D37">
              <w:rPr>
                <w:rFonts w:ascii="Times New Roman" w:eastAsia="Times New Roman" w:hAnsi="Times New Roman" w:cs="Times New Roman"/>
                <w:i/>
                <w:color w:val="000000"/>
                <w:sz w:val="24"/>
                <w:szCs w:val="24"/>
                <w:lang w:eastAsia="ru-RU"/>
              </w:rPr>
              <w:t>с отклонением</w:t>
            </w:r>
            <w:r w:rsidRPr="00CD08EF" w:rsidDel="00024710">
              <w:rPr>
                <w:rFonts w:ascii="Times New Roman" w:eastAsia="Times New Roman" w:hAnsi="Times New Roman" w:cs="Times New Roman"/>
                <w:i/>
                <w:color w:val="000000"/>
                <w:sz w:val="24"/>
                <w:szCs w:val="24"/>
                <w:lang w:eastAsia="ru-RU"/>
              </w:rPr>
              <w:t xml:space="preserve"> </w:t>
            </w:r>
            <w:r w:rsidRPr="00CD08EF">
              <w:rPr>
                <w:rFonts w:ascii="Times New Roman" w:eastAsia="Times New Roman" w:hAnsi="Times New Roman" w:cs="Times New Roman"/>
                <w:i/>
                <w:color w:val="000000"/>
                <w:sz w:val="24"/>
                <w:szCs w:val="24"/>
                <w:lang w:eastAsia="ru-RU"/>
              </w:rPr>
              <w:t>более 1 месяца</w:t>
            </w:r>
          </w:p>
        </w:tc>
        <w:tc>
          <w:tcPr>
            <w:tcW w:w="1701" w:type="dxa"/>
            <w:tcBorders>
              <w:top w:val="nil"/>
              <w:left w:val="nil"/>
              <w:bottom w:val="single" w:sz="4" w:space="0" w:color="auto"/>
              <w:right w:val="single" w:sz="4" w:space="0" w:color="auto"/>
            </w:tcBorders>
            <w:shd w:val="clear" w:color="auto" w:fill="auto"/>
            <w:vAlign w:val="center"/>
          </w:tcPr>
          <w:p w:rsidR="002E2F20" w:rsidRPr="00842236" w:rsidRDefault="002E2F20" w:rsidP="00CE2F86">
            <w:pPr>
              <w:spacing w:after="0" w:line="240" w:lineRule="auto"/>
              <w:jc w:val="center"/>
              <w:rPr>
                <w:rFonts w:ascii="Times New Roman" w:eastAsia="Times New Roman" w:hAnsi="Times New Roman" w:cs="Times New Roman"/>
                <w:i/>
                <w:iCs/>
                <w:color w:val="000000"/>
                <w:sz w:val="24"/>
                <w:szCs w:val="24"/>
                <w:lang w:eastAsia="ru-RU"/>
              </w:rPr>
            </w:pPr>
            <w:r w:rsidRPr="00842236">
              <w:rPr>
                <w:rFonts w:ascii="Times New Roman" w:eastAsia="Times New Roman" w:hAnsi="Times New Roman" w:cs="Times New Roman"/>
                <w:i/>
                <w:iCs/>
                <w:color w:val="000000"/>
                <w:sz w:val="24"/>
                <w:szCs w:val="24"/>
                <w:lang w:eastAsia="ru-RU"/>
              </w:rPr>
              <w:t>6</w:t>
            </w:r>
          </w:p>
        </w:tc>
      </w:tr>
    </w:tbl>
    <w:p w:rsidR="002E2F20" w:rsidRDefault="002E2F20" w:rsidP="002E2F20">
      <w:pPr>
        <w:spacing w:after="0" w:line="240" w:lineRule="auto"/>
        <w:ind w:firstLine="851"/>
        <w:jc w:val="both"/>
        <w:rPr>
          <w:rFonts w:ascii="Times New Roman" w:eastAsia="Times New Roman" w:hAnsi="Times New Roman"/>
          <w:b/>
          <w:sz w:val="28"/>
          <w:szCs w:val="28"/>
          <w:lang w:val="en-US" w:eastAsia="ru-RU"/>
        </w:rPr>
      </w:pPr>
    </w:p>
    <w:tbl>
      <w:tblPr>
        <w:tblStyle w:val="Smalltable"/>
        <w:tblW w:w="9495" w:type="dxa"/>
        <w:jc w:val="center"/>
        <w:tblInd w:w="0" w:type="dxa"/>
        <w:tblLook w:val="04A0" w:firstRow="1" w:lastRow="0" w:firstColumn="1" w:lastColumn="0" w:noHBand="0" w:noVBand="1"/>
      </w:tblPr>
      <w:tblGrid>
        <w:gridCol w:w="9495"/>
      </w:tblGrid>
      <w:tr w:rsidR="002E2F20" w:rsidRPr="00E0414B" w:rsidTr="00526D62">
        <w:trPr>
          <w:trHeight w:val="246"/>
          <w:jc w:val="center"/>
        </w:trPr>
        <w:tc>
          <w:tcPr>
            <w:tcW w:w="9495" w:type="dxa"/>
            <w:shd w:val="clear" w:color="auto" w:fill="auto"/>
          </w:tcPr>
          <w:p w:rsidR="002E2F20" w:rsidRPr="00E0414B" w:rsidRDefault="002E2F20" w:rsidP="00CE2F86">
            <w:pPr>
              <w:pStyle w:val="GraphTitle"/>
              <w:rPr>
                <w:rFonts w:ascii="Times New Roman" w:hAnsi="Times New Roman" w:cs="Times New Roman"/>
                <w:b/>
                <w:sz w:val="24"/>
                <w:szCs w:val="20"/>
                <w:lang w:val="ru-RU"/>
              </w:rPr>
            </w:pPr>
            <w:r w:rsidRPr="00811AA0">
              <w:rPr>
                <w:rFonts w:ascii="Times New Roman" w:hAnsi="Times New Roman" w:cs="Times New Roman"/>
                <w:b/>
                <w:sz w:val="24"/>
                <w:szCs w:val="20"/>
                <w:lang w:val="ru-RU"/>
              </w:rPr>
              <w:t xml:space="preserve">Выполнение субъектами РФ требований о формировании бюджетного прогноза </w:t>
            </w:r>
            <w:r w:rsidRPr="00205D37">
              <w:rPr>
                <w:rFonts w:ascii="Times New Roman" w:hAnsi="Times New Roman" w:cs="Times New Roman"/>
                <w:sz w:val="24"/>
                <w:szCs w:val="20"/>
                <w:lang w:val="ru-RU"/>
              </w:rPr>
              <w:t xml:space="preserve">(удельный вес количества субъектов РФ, выполнивших требования </w:t>
            </w:r>
            <w:r>
              <w:rPr>
                <w:rFonts w:ascii="Times New Roman" w:hAnsi="Times New Roman" w:cs="Times New Roman"/>
                <w:sz w:val="24"/>
                <w:szCs w:val="20"/>
                <w:lang w:val="ru-RU"/>
              </w:rPr>
              <w:t>к осуществлению долгосрочного бюджетного планирования</w:t>
            </w:r>
            <w:r w:rsidRPr="00205D37">
              <w:rPr>
                <w:rFonts w:ascii="Times New Roman" w:hAnsi="Times New Roman" w:cs="Times New Roman"/>
                <w:sz w:val="24"/>
                <w:szCs w:val="20"/>
                <w:lang w:val="ru-RU"/>
              </w:rPr>
              <w:t>)</w:t>
            </w:r>
          </w:p>
        </w:tc>
      </w:tr>
      <w:tr w:rsidR="002E2F20" w:rsidRPr="00E65DE3" w:rsidTr="00526D62">
        <w:trPr>
          <w:trHeight w:hRule="exact" w:val="34"/>
          <w:jc w:val="center"/>
        </w:trPr>
        <w:tc>
          <w:tcPr>
            <w:tcW w:w="9495" w:type="dxa"/>
            <w:tcBorders>
              <w:bottom w:val="single" w:sz="4" w:space="0" w:color="auto"/>
            </w:tcBorders>
            <w:shd w:val="clear" w:color="auto" w:fill="auto"/>
          </w:tcPr>
          <w:p w:rsidR="002E2F20" w:rsidRPr="00E65DE3" w:rsidRDefault="002E2F20" w:rsidP="00CE2F86">
            <w:pPr>
              <w:pStyle w:val="TabText"/>
              <w:rPr>
                <w:rFonts w:ascii="Times New Roman" w:hAnsi="Times New Roman" w:cs="Times New Roman"/>
                <w:lang w:val="ru-RU"/>
              </w:rPr>
            </w:pPr>
          </w:p>
        </w:tc>
      </w:tr>
      <w:tr w:rsidR="002E2F20" w:rsidRPr="00E65DE3" w:rsidTr="00526D62">
        <w:tblPrEx>
          <w:tblCellMar>
            <w:left w:w="108" w:type="dxa"/>
            <w:right w:w="108" w:type="dxa"/>
          </w:tblCellMar>
        </w:tblPrEx>
        <w:trPr>
          <w:trHeight w:val="2739"/>
          <w:jc w:val="center"/>
        </w:trPr>
        <w:tc>
          <w:tcPr>
            <w:tcW w:w="9495" w:type="dxa"/>
            <w:tcBorders>
              <w:top w:val="single" w:sz="4" w:space="0" w:color="auto"/>
              <w:bottom w:val="single" w:sz="4" w:space="0" w:color="auto"/>
            </w:tcBorders>
            <w:shd w:val="clear" w:color="auto" w:fill="auto"/>
            <w:tcMar>
              <w:left w:w="0" w:type="nil"/>
              <w:right w:w="0" w:type="nil"/>
            </w:tcMar>
          </w:tcPr>
          <w:p w:rsidR="002E2F20" w:rsidRPr="00E65DE3" w:rsidRDefault="002E2F20" w:rsidP="00CE2F86">
            <w:pPr>
              <w:pStyle w:val="TabText"/>
              <w:jc w:val="center"/>
              <w:rPr>
                <w:rFonts w:ascii="Times New Roman" w:hAnsi="Times New Roman" w:cs="Times New Roman"/>
                <w:lang w:val="ru-RU"/>
              </w:rPr>
            </w:pPr>
            <w:r>
              <w:rPr>
                <w:noProof/>
                <w:lang w:val="ru-RU" w:bidi="ar-SA"/>
              </w:rPr>
              <w:drawing>
                <wp:inline distT="0" distB="0" distL="0" distR="0" wp14:anchorId="6C2EE0E2" wp14:editId="5D763982">
                  <wp:extent cx="6088380" cy="2775006"/>
                  <wp:effectExtent l="0" t="0" r="7620"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E2F20" w:rsidRPr="00E0414B" w:rsidTr="00526D62">
        <w:trPr>
          <w:trHeight w:val="246"/>
          <w:jc w:val="center"/>
        </w:trPr>
        <w:tc>
          <w:tcPr>
            <w:tcW w:w="9495" w:type="dxa"/>
            <w:tcBorders>
              <w:top w:val="single" w:sz="4" w:space="0" w:color="auto"/>
            </w:tcBorders>
            <w:shd w:val="clear" w:color="auto" w:fill="auto"/>
          </w:tcPr>
          <w:p w:rsidR="002E2F20" w:rsidRDefault="002E2F20" w:rsidP="00CE2F86">
            <w:pPr>
              <w:pStyle w:val="SourceLarge"/>
              <w:spacing w:after="0"/>
              <w:rPr>
                <w:rFonts w:ascii="Times New Roman" w:hAnsi="Times New Roman" w:cs="Times New Roman"/>
                <w:i/>
                <w:sz w:val="14"/>
                <w:szCs w:val="14"/>
                <w:lang w:val="ru-RU"/>
              </w:rPr>
            </w:pPr>
            <w:r w:rsidRPr="00930DAD">
              <w:rPr>
                <w:rFonts w:ascii="Times New Roman" w:hAnsi="Times New Roman" w:cs="Times New Roman"/>
                <w:i/>
                <w:sz w:val="14"/>
                <w:szCs w:val="14"/>
                <w:lang w:val="ru-RU"/>
              </w:rPr>
              <w:t>Источник:</w:t>
            </w:r>
            <w:r>
              <w:rPr>
                <w:rFonts w:ascii="Times New Roman" w:hAnsi="Times New Roman" w:cs="Times New Roman"/>
                <w:i/>
                <w:sz w:val="14"/>
                <w:szCs w:val="14"/>
              </w:rPr>
              <w:t xml:space="preserve"> </w:t>
            </w:r>
            <w:r w:rsidRPr="00930DAD">
              <w:rPr>
                <w:rFonts w:ascii="Times New Roman" w:hAnsi="Times New Roman" w:cs="Times New Roman"/>
                <w:i/>
                <w:sz w:val="14"/>
                <w:szCs w:val="14"/>
                <w:lang w:val="ru-RU"/>
              </w:rPr>
              <w:t>оценка Минфина России</w:t>
            </w:r>
          </w:p>
          <w:p w:rsidR="002E2F20" w:rsidRPr="009D6FC8" w:rsidRDefault="002E2F20" w:rsidP="00CE2F86">
            <w:pPr>
              <w:pStyle w:val="SourceLarge"/>
              <w:spacing w:after="120"/>
              <w:rPr>
                <w:rFonts w:ascii="Times New Roman" w:hAnsi="Times New Roman" w:cs="Times New Roman"/>
                <w:i/>
                <w:lang w:val="ru-RU"/>
              </w:rPr>
            </w:pPr>
          </w:p>
        </w:tc>
      </w:tr>
    </w:tbl>
    <w:p w:rsidR="002174A5" w:rsidRDefault="002174A5" w:rsidP="00526D62">
      <w:pPr>
        <w:autoSpaceDE w:val="0"/>
        <w:autoSpaceDN w:val="0"/>
        <w:adjustRightInd w:val="0"/>
        <w:spacing w:after="0" w:line="276" w:lineRule="auto"/>
        <w:jc w:val="both"/>
        <w:rPr>
          <w:rFonts w:ascii="Times New Roman" w:eastAsia="Times New Roman" w:hAnsi="Times New Roman" w:cs="Times New Roman"/>
          <w:b/>
          <w:sz w:val="28"/>
          <w:szCs w:val="28"/>
          <w:lang w:val="en-US" w:eastAsia="ru-RU"/>
        </w:rPr>
      </w:pPr>
    </w:p>
    <w:p w:rsidR="00AA7AF1" w:rsidRPr="007A32A6" w:rsidRDefault="00AA7AF1" w:rsidP="00526D62">
      <w:pPr>
        <w:autoSpaceDE w:val="0"/>
        <w:autoSpaceDN w:val="0"/>
        <w:adjustRightInd w:val="0"/>
        <w:spacing w:after="12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00B23342">
        <w:rPr>
          <w:rFonts w:ascii="Times New Roman" w:eastAsia="Times New Roman" w:hAnsi="Times New Roman" w:cs="Times New Roman"/>
          <w:b/>
          <w:sz w:val="28"/>
          <w:szCs w:val="28"/>
          <w:lang w:val="en-US" w:eastAsia="ru-RU"/>
        </w:rPr>
        <w:t>I</w:t>
      </w:r>
      <w:r w:rsidRPr="007A32A6">
        <w:rPr>
          <w:rFonts w:ascii="Times New Roman" w:eastAsia="Times New Roman" w:hAnsi="Times New Roman" w:cs="Times New Roman"/>
          <w:b/>
          <w:sz w:val="28"/>
          <w:szCs w:val="28"/>
          <w:lang w:eastAsia="ru-RU"/>
        </w:rPr>
        <w:t>.</w:t>
      </w:r>
      <w:r w:rsidR="008C2FC0">
        <w:rPr>
          <w:rFonts w:ascii="Times New Roman" w:eastAsia="Times New Roman" w:hAnsi="Times New Roman" w:cs="Times New Roman"/>
          <w:b/>
          <w:sz w:val="28"/>
          <w:szCs w:val="28"/>
          <w:lang w:eastAsia="ru-RU"/>
        </w:rPr>
        <w:t xml:space="preserve"> </w:t>
      </w:r>
      <w:r w:rsidR="00FD1955">
        <w:rPr>
          <w:rFonts w:ascii="Times New Roman" w:eastAsia="Times New Roman" w:hAnsi="Times New Roman" w:cs="Times New Roman"/>
          <w:b/>
          <w:sz w:val="28"/>
          <w:szCs w:val="28"/>
          <w:lang w:eastAsia="ru-RU"/>
        </w:rPr>
        <w:t xml:space="preserve">Анализ состава и содержания бюджетных прогнозов </w:t>
      </w:r>
      <w:r w:rsidR="00FD1955" w:rsidRPr="002015EB">
        <w:rPr>
          <w:rFonts w:ascii="Times New Roman" w:eastAsia="Times New Roman" w:hAnsi="Times New Roman" w:cs="Times New Roman"/>
          <w:b/>
          <w:sz w:val="28"/>
          <w:szCs w:val="28"/>
          <w:lang w:eastAsia="ru-RU"/>
        </w:rPr>
        <w:t>субъектов</w:t>
      </w:r>
      <w:r w:rsidR="00FD1955">
        <w:rPr>
          <w:rFonts w:ascii="Times New Roman" w:eastAsia="Times New Roman" w:hAnsi="Times New Roman" w:cs="Times New Roman"/>
          <w:b/>
          <w:sz w:val="28"/>
          <w:szCs w:val="28"/>
          <w:lang w:eastAsia="ru-RU"/>
        </w:rPr>
        <w:t xml:space="preserve"> </w:t>
      </w:r>
      <w:r w:rsidR="00FD1955" w:rsidRPr="002015EB">
        <w:rPr>
          <w:rFonts w:ascii="Times New Roman" w:eastAsia="Times New Roman" w:hAnsi="Times New Roman" w:cs="Times New Roman"/>
          <w:b/>
          <w:sz w:val="28"/>
          <w:szCs w:val="28"/>
          <w:lang w:eastAsia="ru-RU"/>
        </w:rPr>
        <w:t>Российской</w:t>
      </w:r>
      <w:r w:rsidR="00FD1955">
        <w:rPr>
          <w:rFonts w:ascii="Times New Roman" w:eastAsia="Times New Roman" w:hAnsi="Times New Roman" w:cs="Times New Roman"/>
          <w:b/>
          <w:sz w:val="28"/>
          <w:szCs w:val="28"/>
          <w:lang w:eastAsia="ru-RU"/>
        </w:rPr>
        <w:t xml:space="preserve"> </w:t>
      </w:r>
      <w:r w:rsidR="00FD1955" w:rsidRPr="002015EB">
        <w:rPr>
          <w:rFonts w:ascii="Times New Roman" w:eastAsia="Times New Roman" w:hAnsi="Times New Roman" w:cs="Times New Roman"/>
          <w:b/>
          <w:sz w:val="28"/>
          <w:szCs w:val="28"/>
          <w:lang w:eastAsia="ru-RU"/>
        </w:rPr>
        <w:t>Федерации</w:t>
      </w:r>
      <w:r w:rsidR="00FD1955">
        <w:rPr>
          <w:rFonts w:ascii="Times New Roman" w:eastAsia="Times New Roman" w:hAnsi="Times New Roman" w:cs="Times New Roman"/>
          <w:b/>
          <w:sz w:val="28"/>
          <w:szCs w:val="28"/>
          <w:lang w:eastAsia="ru-RU"/>
        </w:rPr>
        <w:t xml:space="preserve"> </w:t>
      </w:r>
      <w:r w:rsidR="00FD1955" w:rsidRPr="002015EB">
        <w:rPr>
          <w:rFonts w:ascii="Times New Roman" w:eastAsia="Times New Roman" w:hAnsi="Times New Roman" w:cs="Times New Roman"/>
          <w:b/>
          <w:sz w:val="28"/>
          <w:szCs w:val="28"/>
          <w:lang w:eastAsia="ru-RU"/>
        </w:rPr>
        <w:t>по</w:t>
      </w:r>
      <w:r w:rsidR="00FD1955">
        <w:rPr>
          <w:rFonts w:ascii="Times New Roman" w:eastAsia="Times New Roman" w:hAnsi="Times New Roman" w:cs="Times New Roman"/>
          <w:b/>
          <w:sz w:val="28"/>
          <w:szCs w:val="28"/>
          <w:lang w:eastAsia="ru-RU"/>
        </w:rPr>
        <w:t xml:space="preserve"> </w:t>
      </w:r>
      <w:r w:rsidR="00FD1955" w:rsidRPr="002015EB">
        <w:rPr>
          <w:rFonts w:ascii="Times New Roman" w:eastAsia="Times New Roman" w:hAnsi="Times New Roman" w:cs="Times New Roman"/>
          <w:b/>
          <w:sz w:val="28"/>
          <w:szCs w:val="28"/>
          <w:lang w:eastAsia="ru-RU"/>
        </w:rPr>
        <w:t>долгосрочному</w:t>
      </w:r>
      <w:r w:rsidR="00FD1955">
        <w:rPr>
          <w:rFonts w:ascii="Times New Roman" w:eastAsia="Times New Roman" w:hAnsi="Times New Roman" w:cs="Times New Roman"/>
          <w:b/>
          <w:sz w:val="28"/>
          <w:szCs w:val="28"/>
          <w:lang w:eastAsia="ru-RU"/>
        </w:rPr>
        <w:t xml:space="preserve"> </w:t>
      </w:r>
      <w:r w:rsidR="00FD1955" w:rsidRPr="002015EB">
        <w:rPr>
          <w:rFonts w:ascii="Times New Roman" w:eastAsia="Times New Roman" w:hAnsi="Times New Roman" w:cs="Times New Roman"/>
          <w:b/>
          <w:sz w:val="28"/>
          <w:szCs w:val="28"/>
          <w:lang w:eastAsia="ru-RU"/>
        </w:rPr>
        <w:t>бюджетному</w:t>
      </w:r>
      <w:r w:rsidR="00FD1955">
        <w:rPr>
          <w:rFonts w:ascii="Times New Roman" w:eastAsia="Times New Roman" w:hAnsi="Times New Roman" w:cs="Times New Roman"/>
          <w:b/>
          <w:sz w:val="28"/>
          <w:szCs w:val="28"/>
          <w:lang w:eastAsia="ru-RU"/>
        </w:rPr>
        <w:t xml:space="preserve"> </w:t>
      </w:r>
      <w:r w:rsidR="00FD1955" w:rsidRPr="002015EB">
        <w:rPr>
          <w:rFonts w:ascii="Times New Roman" w:eastAsia="Times New Roman" w:hAnsi="Times New Roman" w:cs="Times New Roman"/>
          <w:b/>
          <w:sz w:val="28"/>
          <w:szCs w:val="28"/>
          <w:lang w:eastAsia="ru-RU"/>
        </w:rPr>
        <w:t>планированию</w:t>
      </w:r>
    </w:p>
    <w:p w:rsidR="00317118" w:rsidRDefault="002015EB" w:rsidP="00526D62">
      <w:pPr>
        <w:spacing w:after="0" w:line="276" w:lineRule="auto"/>
        <w:jc w:val="both"/>
        <w:rPr>
          <w:rFonts w:ascii="Times New Roman" w:eastAsia="Times New Roman" w:hAnsi="Times New Roman" w:cs="Times New Roman"/>
          <w:sz w:val="28"/>
          <w:szCs w:val="28"/>
          <w:lang w:eastAsia="ru-RU"/>
        </w:rPr>
      </w:pPr>
      <w:r w:rsidRPr="002015EB">
        <w:rPr>
          <w:rFonts w:ascii="Times New Roman" w:eastAsia="Times New Roman" w:hAnsi="Times New Roman" w:cs="Times New Roman"/>
          <w:sz w:val="28"/>
          <w:szCs w:val="28"/>
          <w:lang w:eastAsia="ru-RU"/>
        </w:rPr>
        <w:t>В</w:t>
      </w:r>
      <w:r w:rsidR="008C2FC0">
        <w:rPr>
          <w:rFonts w:ascii="Times New Roman" w:eastAsia="Times New Roman" w:hAnsi="Times New Roman" w:cs="Times New Roman"/>
          <w:sz w:val="28"/>
          <w:szCs w:val="28"/>
          <w:lang w:eastAsia="ru-RU"/>
        </w:rPr>
        <w:t xml:space="preserve"> </w:t>
      </w:r>
      <w:r w:rsidRPr="002015EB">
        <w:rPr>
          <w:rFonts w:ascii="Times New Roman" w:eastAsia="Times New Roman" w:hAnsi="Times New Roman" w:cs="Times New Roman"/>
          <w:sz w:val="28"/>
          <w:szCs w:val="28"/>
          <w:lang w:eastAsia="ru-RU"/>
        </w:rPr>
        <w:t>соответствии</w:t>
      </w:r>
      <w:r w:rsidR="008C2FC0">
        <w:rPr>
          <w:rFonts w:ascii="Times New Roman" w:eastAsia="Times New Roman" w:hAnsi="Times New Roman" w:cs="Times New Roman"/>
          <w:sz w:val="28"/>
          <w:szCs w:val="28"/>
          <w:lang w:eastAsia="ru-RU"/>
        </w:rPr>
        <w:t xml:space="preserve"> </w:t>
      </w:r>
      <w:r w:rsidRPr="002015EB">
        <w:rPr>
          <w:rFonts w:ascii="Times New Roman" w:eastAsia="Times New Roman" w:hAnsi="Times New Roman" w:cs="Times New Roman"/>
          <w:sz w:val="28"/>
          <w:szCs w:val="28"/>
          <w:lang w:eastAsia="ru-RU"/>
        </w:rPr>
        <w:t>с</w:t>
      </w:r>
      <w:r w:rsidR="008C2FC0">
        <w:rPr>
          <w:rFonts w:ascii="Times New Roman" w:eastAsia="Times New Roman" w:hAnsi="Times New Roman" w:cs="Times New Roman"/>
          <w:sz w:val="28"/>
          <w:szCs w:val="28"/>
          <w:lang w:eastAsia="ru-RU"/>
        </w:rPr>
        <w:t xml:space="preserve"> </w:t>
      </w:r>
      <w:r w:rsidR="00FD1955" w:rsidRPr="002015EB">
        <w:rPr>
          <w:rFonts w:ascii="Times New Roman" w:eastAsia="Times New Roman" w:hAnsi="Times New Roman" w:cs="Times New Roman"/>
          <w:sz w:val="28"/>
          <w:szCs w:val="28"/>
          <w:lang w:eastAsia="ru-RU"/>
        </w:rPr>
        <w:t>Методическими</w:t>
      </w:r>
      <w:r w:rsidR="00FD1955">
        <w:rPr>
          <w:rFonts w:ascii="Times New Roman" w:eastAsia="Times New Roman" w:hAnsi="Times New Roman" w:cs="Times New Roman"/>
          <w:sz w:val="28"/>
          <w:szCs w:val="28"/>
          <w:lang w:eastAsia="ru-RU"/>
        </w:rPr>
        <w:t xml:space="preserve"> </w:t>
      </w:r>
      <w:r w:rsidR="00FD1955" w:rsidRPr="002015EB">
        <w:rPr>
          <w:rFonts w:ascii="Times New Roman" w:eastAsia="Times New Roman" w:hAnsi="Times New Roman" w:cs="Times New Roman"/>
          <w:sz w:val="28"/>
          <w:szCs w:val="28"/>
          <w:lang w:eastAsia="ru-RU"/>
        </w:rPr>
        <w:t>рекомендациями</w:t>
      </w:r>
      <w:r w:rsidR="00FD1955">
        <w:rPr>
          <w:rFonts w:ascii="Times New Roman" w:eastAsia="Times New Roman" w:hAnsi="Times New Roman" w:cs="Times New Roman"/>
          <w:sz w:val="28"/>
          <w:szCs w:val="28"/>
          <w:lang w:eastAsia="ru-RU"/>
        </w:rPr>
        <w:t xml:space="preserve"> </w:t>
      </w:r>
      <w:r w:rsidR="00FD1955" w:rsidRPr="002015EB">
        <w:rPr>
          <w:rFonts w:ascii="Times New Roman" w:eastAsia="Times New Roman" w:hAnsi="Times New Roman" w:cs="Times New Roman"/>
          <w:sz w:val="28"/>
          <w:szCs w:val="28"/>
          <w:lang w:eastAsia="ru-RU"/>
        </w:rPr>
        <w:t>органам</w:t>
      </w:r>
      <w:r w:rsidR="00FD1955">
        <w:rPr>
          <w:rFonts w:ascii="Times New Roman" w:eastAsia="Times New Roman" w:hAnsi="Times New Roman" w:cs="Times New Roman"/>
          <w:sz w:val="28"/>
          <w:szCs w:val="28"/>
          <w:lang w:eastAsia="ru-RU"/>
        </w:rPr>
        <w:t xml:space="preserve"> </w:t>
      </w:r>
      <w:r w:rsidR="00FD1955" w:rsidRPr="002015EB">
        <w:rPr>
          <w:rFonts w:ascii="Times New Roman" w:eastAsia="Times New Roman" w:hAnsi="Times New Roman" w:cs="Times New Roman"/>
          <w:sz w:val="28"/>
          <w:szCs w:val="28"/>
          <w:lang w:eastAsia="ru-RU"/>
        </w:rPr>
        <w:t>государственной</w:t>
      </w:r>
      <w:r w:rsidR="00FD1955">
        <w:rPr>
          <w:rFonts w:ascii="Times New Roman" w:eastAsia="Times New Roman" w:hAnsi="Times New Roman" w:cs="Times New Roman"/>
          <w:sz w:val="28"/>
          <w:szCs w:val="28"/>
          <w:lang w:eastAsia="ru-RU"/>
        </w:rPr>
        <w:t xml:space="preserve"> </w:t>
      </w:r>
      <w:r w:rsidR="00FD1955" w:rsidRPr="002015EB">
        <w:rPr>
          <w:rFonts w:ascii="Times New Roman" w:eastAsia="Times New Roman" w:hAnsi="Times New Roman" w:cs="Times New Roman"/>
          <w:sz w:val="28"/>
          <w:szCs w:val="28"/>
          <w:lang w:eastAsia="ru-RU"/>
        </w:rPr>
        <w:t>власти</w:t>
      </w:r>
      <w:r w:rsidR="00FD1955">
        <w:rPr>
          <w:rFonts w:ascii="Times New Roman" w:eastAsia="Times New Roman" w:hAnsi="Times New Roman" w:cs="Times New Roman"/>
          <w:sz w:val="28"/>
          <w:szCs w:val="28"/>
          <w:lang w:eastAsia="ru-RU"/>
        </w:rPr>
        <w:t xml:space="preserve"> </w:t>
      </w:r>
      <w:r w:rsidR="00FD1955" w:rsidRPr="002015EB">
        <w:rPr>
          <w:rFonts w:ascii="Times New Roman" w:eastAsia="Times New Roman" w:hAnsi="Times New Roman" w:cs="Times New Roman"/>
          <w:sz w:val="28"/>
          <w:szCs w:val="28"/>
          <w:lang w:eastAsia="ru-RU"/>
        </w:rPr>
        <w:t>субъектов</w:t>
      </w:r>
      <w:r w:rsidR="00FD1955">
        <w:rPr>
          <w:rFonts w:ascii="Times New Roman" w:eastAsia="Times New Roman" w:hAnsi="Times New Roman" w:cs="Times New Roman"/>
          <w:sz w:val="28"/>
          <w:szCs w:val="28"/>
          <w:lang w:eastAsia="ru-RU"/>
        </w:rPr>
        <w:t xml:space="preserve"> </w:t>
      </w:r>
      <w:r w:rsidR="007E1F77">
        <w:rPr>
          <w:rFonts w:ascii="Times New Roman" w:eastAsia="Times New Roman" w:hAnsi="Times New Roman" w:cs="Times New Roman"/>
          <w:sz w:val="28"/>
          <w:szCs w:val="28"/>
          <w:lang w:eastAsia="ru-RU"/>
        </w:rPr>
        <w:t>РФ</w:t>
      </w:r>
      <w:r w:rsidR="00FD1955">
        <w:rPr>
          <w:rFonts w:ascii="Times New Roman" w:eastAsia="Times New Roman" w:hAnsi="Times New Roman" w:cs="Times New Roman"/>
          <w:sz w:val="28"/>
          <w:szCs w:val="28"/>
          <w:lang w:eastAsia="ru-RU"/>
        </w:rPr>
        <w:t xml:space="preserve"> </w:t>
      </w:r>
      <w:r w:rsidR="00FD1955" w:rsidRPr="002015EB">
        <w:rPr>
          <w:rFonts w:ascii="Times New Roman" w:eastAsia="Times New Roman" w:hAnsi="Times New Roman" w:cs="Times New Roman"/>
          <w:sz w:val="28"/>
          <w:szCs w:val="28"/>
          <w:lang w:eastAsia="ru-RU"/>
        </w:rPr>
        <w:t>по</w:t>
      </w:r>
      <w:r w:rsidR="00FD1955">
        <w:rPr>
          <w:rFonts w:ascii="Times New Roman" w:eastAsia="Times New Roman" w:hAnsi="Times New Roman" w:cs="Times New Roman"/>
          <w:sz w:val="28"/>
          <w:szCs w:val="28"/>
          <w:lang w:eastAsia="ru-RU"/>
        </w:rPr>
        <w:t xml:space="preserve"> </w:t>
      </w:r>
      <w:r w:rsidR="00FD1955" w:rsidRPr="002015EB">
        <w:rPr>
          <w:rFonts w:ascii="Times New Roman" w:eastAsia="Times New Roman" w:hAnsi="Times New Roman" w:cs="Times New Roman"/>
          <w:sz w:val="28"/>
          <w:szCs w:val="28"/>
          <w:lang w:eastAsia="ru-RU"/>
        </w:rPr>
        <w:t>долгосрочному</w:t>
      </w:r>
      <w:r w:rsidR="00FD1955">
        <w:rPr>
          <w:rFonts w:ascii="Times New Roman" w:eastAsia="Times New Roman" w:hAnsi="Times New Roman" w:cs="Times New Roman"/>
          <w:sz w:val="28"/>
          <w:szCs w:val="28"/>
          <w:lang w:eastAsia="ru-RU"/>
        </w:rPr>
        <w:t xml:space="preserve"> </w:t>
      </w:r>
      <w:r w:rsidR="00FD1955" w:rsidRPr="002015EB">
        <w:rPr>
          <w:rFonts w:ascii="Times New Roman" w:eastAsia="Times New Roman" w:hAnsi="Times New Roman" w:cs="Times New Roman"/>
          <w:sz w:val="28"/>
          <w:szCs w:val="28"/>
          <w:lang w:eastAsia="ru-RU"/>
        </w:rPr>
        <w:t>бюджетному</w:t>
      </w:r>
      <w:r w:rsidR="00FD1955">
        <w:rPr>
          <w:rFonts w:ascii="Times New Roman" w:eastAsia="Times New Roman" w:hAnsi="Times New Roman" w:cs="Times New Roman"/>
          <w:sz w:val="28"/>
          <w:szCs w:val="28"/>
          <w:lang w:eastAsia="ru-RU"/>
        </w:rPr>
        <w:t xml:space="preserve"> </w:t>
      </w:r>
      <w:r w:rsidR="00FD1955" w:rsidRPr="002015EB">
        <w:rPr>
          <w:rFonts w:ascii="Times New Roman" w:eastAsia="Times New Roman" w:hAnsi="Times New Roman" w:cs="Times New Roman"/>
          <w:sz w:val="28"/>
          <w:szCs w:val="28"/>
          <w:lang w:eastAsia="ru-RU"/>
        </w:rPr>
        <w:t>планированию</w:t>
      </w:r>
      <w:r w:rsidR="0014024E">
        <w:rPr>
          <w:rFonts w:ascii="Times New Roman" w:eastAsia="Times New Roman" w:hAnsi="Times New Roman" w:cs="Times New Roman"/>
          <w:sz w:val="28"/>
          <w:szCs w:val="28"/>
          <w:lang w:eastAsia="ru-RU"/>
        </w:rPr>
        <w:t xml:space="preserve"> (далее – Методические рекомендации)</w:t>
      </w:r>
      <w:r w:rsidRPr="002015EB">
        <w:rPr>
          <w:rFonts w:ascii="Times New Roman" w:eastAsia="Times New Roman" w:hAnsi="Times New Roman" w:cs="Times New Roman"/>
          <w:sz w:val="28"/>
          <w:szCs w:val="28"/>
          <w:lang w:eastAsia="ru-RU"/>
        </w:rPr>
        <w:t>,</w:t>
      </w:r>
      <w:r w:rsidR="008C2FC0">
        <w:rPr>
          <w:rFonts w:ascii="Times New Roman" w:eastAsia="Times New Roman" w:hAnsi="Times New Roman" w:cs="Times New Roman"/>
          <w:sz w:val="28"/>
          <w:szCs w:val="28"/>
          <w:lang w:eastAsia="ru-RU"/>
        </w:rPr>
        <w:t xml:space="preserve"> </w:t>
      </w:r>
      <w:r w:rsidRPr="002015EB">
        <w:rPr>
          <w:rFonts w:ascii="Times New Roman" w:eastAsia="Times New Roman" w:hAnsi="Times New Roman" w:cs="Times New Roman"/>
          <w:sz w:val="28"/>
          <w:szCs w:val="28"/>
          <w:lang w:eastAsia="ru-RU"/>
        </w:rPr>
        <w:t>подготовленными</w:t>
      </w:r>
      <w:r w:rsidR="008C2FC0">
        <w:rPr>
          <w:rFonts w:ascii="Times New Roman" w:eastAsia="Times New Roman" w:hAnsi="Times New Roman" w:cs="Times New Roman"/>
          <w:sz w:val="28"/>
          <w:szCs w:val="28"/>
          <w:lang w:eastAsia="ru-RU"/>
        </w:rPr>
        <w:t xml:space="preserve"> </w:t>
      </w:r>
      <w:r w:rsidRPr="002015EB">
        <w:rPr>
          <w:rFonts w:ascii="Times New Roman" w:eastAsia="Times New Roman" w:hAnsi="Times New Roman" w:cs="Times New Roman"/>
          <w:sz w:val="28"/>
          <w:szCs w:val="28"/>
          <w:lang w:eastAsia="ru-RU"/>
        </w:rPr>
        <w:t>Минфином</w:t>
      </w:r>
      <w:r w:rsidR="008C2FC0">
        <w:rPr>
          <w:rFonts w:ascii="Times New Roman" w:eastAsia="Times New Roman" w:hAnsi="Times New Roman" w:cs="Times New Roman"/>
          <w:sz w:val="28"/>
          <w:szCs w:val="28"/>
          <w:lang w:eastAsia="ru-RU"/>
        </w:rPr>
        <w:t xml:space="preserve"> </w:t>
      </w:r>
      <w:r w:rsidRPr="002015EB">
        <w:rPr>
          <w:rFonts w:ascii="Times New Roman" w:eastAsia="Times New Roman" w:hAnsi="Times New Roman" w:cs="Times New Roman"/>
          <w:sz w:val="28"/>
          <w:szCs w:val="28"/>
          <w:lang w:eastAsia="ru-RU"/>
        </w:rPr>
        <w:t>России,</w:t>
      </w:r>
      <w:r w:rsidR="008C2FC0">
        <w:rPr>
          <w:rFonts w:ascii="Times New Roman" w:eastAsia="Times New Roman" w:hAnsi="Times New Roman" w:cs="Times New Roman"/>
          <w:sz w:val="28"/>
          <w:szCs w:val="28"/>
          <w:lang w:eastAsia="ru-RU"/>
        </w:rPr>
        <w:t xml:space="preserve"> </w:t>
      </w:r>
      <w:r w:rsidRPr="002015EB">
        <w:rPr>
          <w:rFonts w:ascii="Times New Roman" w:eastAsia="Times New Roman" w:hAnsi="Times New Roman" w:cs="Times New Roman"/>
          <w:sz w:val="28"/>
          <w:szCs w:val="28"/>
          <w:lang w:eastAsia="ru-RU"/>
        </w:rPr>
        <w:t>бюджетный</w:t>
      </w:r>
      <w:r w:rsidR="008C2FC0">
        <w:rPr>
          <w:rFonts w:ascii="Times New Roman" w:eastAsia="Times New Roman" w:hAnsi="Times New Roman" w:cs="Times New Roman"/>
          <w:sz w:val="28"/>
          <w:szCs w:val="28"/>
          <w:lang w:eastAsia="ru-RU"/>
        </w:rPr>
        <w:t xml:space="preserve"> </w:t>
      </w:r>
      <w:r w:rsidRPr="002015EB">
        <w:rPr>
          <w:rFonts w:ascii="Times New Roman" w:eastAsia="Times New Roman" w:hAnsi="Times New Roman" w:cs="Times New Roman"/>
          <w:sz w:val="28"/>
          <w:szCs w:val="28"/>
          <w:lang w:eastAsia="ru-RU"/>
        </w:rPr>
        <w:t>прогноз</w:t>
      </w:r>
      <w:r w:rsidR="008C2FC0">
        <w:rPr>
          <w:rFonts w:ascii="Times New Roman" w:eastAsia="Times New Roman" w:hAnsi="Times New Roman" w:cs="Times New Roman"/>
          <w:sz w:val="28"/>
          <w:szCs w:val="28"/>
          <w:lang w:eastAsia="ru-RU"/>
        </w:rPr>
        <w:t xml:space="preserve"> </w:t>
      </w:r>
      <w:r w:rsidRPr="002015EB">
        <w:rPr>
          <w:rFonts w:ascii="Times New Roman" w:eastAsia="Times New Roman" w:hAnsi="Times New Roman" w:cs="Times New Roman"/>
          <w:sz w:val="28"/>
          <w:szCs w:val="28"/>
          <w:lang w:eastAsia="ru-RU"/>
        </w:rPr>
        <w:t>должен</w:t>
      </w:r>
      <w:r w:rsidR="008C2FC0">
        <w:rPr>
          <w:rFonts w:ascii="Times New Roman" w:eastAsia="Times New Roman" w:hAnsi="Times New Roman" w:cs="Times New Roman"/>
          <w:sz w:val="28"/>
          <w:szCs w:val="28"/>
          <w:lang w:eastAsia="ru-RU"/>
        </w:rPr>
        <w:t xml:space="preserve"> </w:t>
      </w:r>
      <w:r w:rsidRPr="002015EB">
        <w:rPr>
          <w:rFonts w:ascii="Times New Roman" w:eastAsia="Times New Roman" w:hAnsi="Times New Roman" w:cs="Times New Roman"/>
          <w:sz w:val="28"/>
          <w:szCs w:val="28"/>
          <w:lang w:eastAsia="ru-RU"/>
        </w:rPr>
        <w:t>соответствовать</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следующим</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требов</w:t>
      </w:r>
      <w:r w:rsidR="0067039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ниям:</w:t>
      </w:r>
      <w:r w:rsidR="00F234F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обеспечение</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открытости</w:t>
      </w:r>
      <w:r w:rsidR="008C2FC0">
        <w:rPr>
          <w:rFonts w:ascii="Times New Roman" w:eastAsia="Times New Roman" w:hAnsi="Times New Roman" w:cs="Times New Roman"/>
          <w:sz w:val="28"/>
          <w:szCs w:val="28"/>
          <w:lang w:eastAsia="ru-RU"/>
        </w:rPr>
        <w:t xml:space="preserve"> </w:t>
      </w:r>
      <w:r w:rsidR="00674564">
        <w:rPr>
          <w:rFonts w:ascii="Times New Roman" w:eastAsia="Times New Roman" w:hAnsi="Times New Roman" w:cs="Times New Roman"/>
          <w:sz w:val="28"/>
          <w:szCs w:val="28"/>
          <w:lang w:eastAsia="ru-RU"/>
        </w:rPr>
        <w:t>данных</w:t>
      </w:r>
      <w:r w:rsidR="008C2FC0">
        <w:rPr>
          <w:rFonts w:ascii="Times New Roman" w:eastAsia="Times New Roman" w:hAnsi="Times New Roman" w:cs="Times New Roman"/>
          <w:sz w:val="28"/>
          <w:szCs w:val="28"/>
          <w:lang w:eastAsia="ru-RU"/>
        </w:rPr>
        <w:t xml:space="preserve"> </w:t>
      </w:r>
      <w:r w:rsidR="00674564">
        <w:rPr>
          <w:rFonts w:ascii="Times New Roman" w:eastAsia="Times New Roman" w:hAnsi="Times New Roman" w:cs="Times New Roman"/>
          <w:sz w:val="28"/>
          <w:szCs w:val="28"/>
          <w:lang w:eastAsia="ru-RU"/>
        </w:rPr>
        <w:t>бюджетного</w:t>
      </w:r>
      <w:r w:rsidR="008C2FC0">
        <w:rPr>
          <w:rFonts w:ascii="Times New Roman" w:eastAsia="Times New Roman" w:hAnsi="Times New Roman" w:cs="Times New Roman"/>
          <w:sz w:val="28"/>
          <w:szCs w:val="28"/>
          <w:lang w:eastAsia="ru-RU"/>
        </w:rPr>
        <w:t xml:space="preserve"> </w:t>
      </w:r>
      <w:r w:rsidR="00674564">
        <w:rPr>
          <w:rFonts w:ascii="Times New Roman" w:eastAsia="Times New Roman" w:hAnsi="Times New Roman" w:cs="Times New Roman"/>
          <w:sz w:val="28"/>
          <w:szCs w:val="28"/>
          <w:lang w:eastAsia="ru-RU"/>
        </w:rPr>
        <w:t>прогноза</w:t>
      </w:r>
      <w:r>
        <w:rPr>
          <w:rFonts w:ascii="Times New Roman" w:eastAsia="Times New Roman" w:hAnsi="Times New Roman" w:cs="Times New Roman"/>
          <w:sz w:val="28"/>
          <w:szCs w:val="28"/>
          <w:lang w:eastAsia="ru-RU"/>
        </w:rPr>
        <w:t>,</w:t>
      </w:r>
      <w:r w:rsidR="00977E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вариативная</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основа</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разработки,</w:t>
      </w:r>
      <w:r w:rsidR="001402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достаточный</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уровень</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детализации</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информации</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основным</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разделам</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доходов,</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расходов</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других</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показателей</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бюджетного</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прогноза,</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8C2FC0">
        <w:rPr>
          <w:rFonts w:ascii="Times New Roman" w:eastAsia="Times New Roman" w:hAnsi="Times New Roman" w:cs="Times New Roman"/>
          <w:sz w:val="28"/>
          <w:szCs w:val="28"/>
          <w:lang w:eastAsia="ru-RU"/>
        </w:rPr>
        <w:t xml:space="preserve"> </w:t>
      </w:r>
      <w:r w:rsidR="002F5D2E">
        <w:rPr>
          <w:rFonts w:ascii="Times New Roman" w:eastAsia="Times New Roman" w:hAnsi="Times New Roman" w:cs="Times New Roman"/>
          <w:sz w:val="28"/>
          <w:szCs w:val="28"/>
          <w:lang w:eastAsia="ru-RU"/>
        </w:rPr>
        <w:t>ежегодная</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актуализация</w:t>
      </w:r>
      <w:r w:rsidR="008C2FC0">
        <w:rPr>
          <w:rFonts w:ascii="Times New Roman" w:eastAsia="Times New Roman" w:hAnsi="Times New Roman" w:cs="Times New Roman"/>
          <w:sz w:val="28"/>
          <w:szCs w:val="28"/>
          <w:lang w:eastAsia="ru-RU"/>
        </w:rPr>
        <w:t xml:space="preserve"> </w:t>
      </w:r>
      <w:r w:rsidR="002F5D2E">
        <w:rPr>
          <w:rFonts w:ascii="Times New Roman" w:eastAsia="Times New Roman" w:hAnsi="Times New Roman" w:cs="Times New Roman"/>
          <w:sz w:val="28"/>
          <w:szCs w:val="28"/>
          <w:lang w:eastAsia="ru-RU"/>
        </w:rPr>
        <w:t>бюджет</w:t>
      </w:r>
      <w:r w:rsidR="00670397">
        <w:rPr>
          <w:rFonts w:ascii="Times New Roman" w:eastAsia="Times New Roman" w:hAnsi="Times New Roman" w:cs="Times New Roman"/>
          <w:sz w:val="28"/>
          <w:szCs w:val="28"/>
          <w:lang w:eastAsia="ru-RU"/>
        </w:rPr>
        <w:t>н</w:t>
      </w:r>
      <w:r w:rsidR="002F5D2E">
        <w:rPr>
          <w:rFonts w:ascii="Times New Roman" w:eastAsia="Times New Roman" w:hAnsi="Times New Roman" w:cs="Times New Roman"/>
          <w:sz w:val="28"/>
          <w:szCs w:val="28"/>
          <w:lang w:eastAsia="ru-RU"/>
        </w:rPr>
        <w:t>ого</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прогноза</w:t>
      </w:r>
      <w:r w:rsidR="008C2FC0">
        <w:rPr>
          <w:rFonts w:ascii="Times New Roman" w:eastAsia="Times New Roman" w:hAnsi="Times New Roman" w:cs="Times New Roman"/>
          <w:sz w:val="28"/>
          <w:szCs w:val="28"/>
          <w:lang w:eastAsia="ru-RU"/>
        </w:rPr>
        <w:t xml:space="preserve"> </w:t>
      </w:r>
      <w:r w:rsidR="002F5D2E">
        <w:rPr>
          <w:rFonts w:ascii="Times New Roman" w:eastAsia="Times New Roman" w:hAnsi="Times New Roman" w:cs="Times New Roman"/>
          <w:sz w:val="28"/>
          <w:szCs w:val="28"/>
          <w:lang w:eastAsia="ru-RU"/>
        </w:rPr>
        <w:t>в</w:t>
      </w:r>
      <w:r w:rsidR="008C2FC0">
        <w:rPr>
          <w:rFonts w:ascii="Times New Roman" w:eastAsia="Times New Roman" w:hAnsi="Times New Roman" w:cs="Times New Roman"/>
          <w:sz w:val="28"/>
          <w:szCs w:val="28"/>
          <w:lang w:eastAsia="ru-RU"/>
        </w:rPr>
        <w:t xml:space="preserve"> </w:t>
      </w:r>
      <w:r w:rsidR="002F5D2E">
        <w:rPr>
          <w:rFonts w:ascii="Times New Roman" w:eastAsia="Times New Roman" w:hAnsi="Times New Roman" w:cs="Times New Roman"/>
          <w:sz w:val="28"/>
          <w:szCs w:val="28"/>
          <w:lang w:eastAsia="ru-RU"/>
        </w:rPr>
        <w:t>соответствии</w:t>
      </w:r>
      <w:r w:rsidR="008C2FC0">
        <w:rPr>
          <w:rFonts w:ascii="Times New Roman" w:eastAsia="Times New Roman" w:hAnsi="Times New Roman" w:cs="Times New Roman"/>
          <w:sz w:val="28"/>
          <w:szCs w:val="28"/>
          <w:lang w:eastAsia="ru-RU"/>
        </w:rPr>
        <w:t xml:space="preserve"> </w:t>
      </w:r>
      <w:r w:rsidR="002F5D2E">
        <w:rPr>
          <w:rFonts w:ascii="Times New Roman" w:eastAsia="Times New Roman" w:hAnsi="Times New Roman" w:cs="Times New Roman"/>
          <w:sz w:val="28"/>
          <w:szCs w:val="28"/>
          <w:lang w:eastAsia="ru-RU"/>
        </w:rPr>
        <w:t>с</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внесен</w:t>
      </w:r>
      <w:r w:rsidR="002F5D2E">
        <w:rPr>
          <w:rFonts w:ascii="Times New Roman" w:eastAsia="Times New Roman" w:hAnsi="Times New Roman" w:cs="Times New Roman"/>
          <w:sz w:val="28"/>
          <w:szCs w:val="28"/>
          <w:lang w:eastAsia="ru-RU"/>
        </w:rPr>
        <w:t>ным</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законодательный</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проектом</w:t>
      </w:r>
      <w:r w:rsidR="008C2F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бюджета,</w:t>
      </w:r>
      <w:r w:rsidR="00977E7F">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(5)</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периодичность</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показателей</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бюджетного</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прогноза,</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позволяющая</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получить</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развернутую</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картину</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о</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долгосрочных</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тенденциях</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изменений</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бюджетной</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системы</w:t>
      </w:r>
      <w:r w:rsidR="002F5D2E">
        <w:rPr>
          <w:rFonts w:ascii="Times New Roman" w:eastAsia="Times New Roman" w:hAnsi="Times New Roman" w:cs="Times New Roman"/>
          <w:sz w:val="28"/>
          <w:szCs w:val="28"/>
          <w:lang w:eastAsia="ru-RU"/>
        </w:rPr>
        <w:t>,</w:t>
      </w:r>
      <w:r w:rsidR="00977E7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D6720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включение</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в</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бюджетный</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прогноз</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параметров</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межбюджетных</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отношений,</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(7)</w:t>
      </w:r>
      <w:r w:rsidR="008C2FC0">
        <w:rPr>
          <w:rFonts w:ascii="Times New Roman" w:eastAsia="Times New Roman" w:hAnsi="Times New Roman" w:cs="Times New Roman"/>
          <w:sz w:val="28"/>
          <w:szCs w:val="28"/>
          <w:lang w:eastAsia="ru-RU"/>
        </w:rPr>
        <w:t xml:space="preserve"> </w:t>
      </w:r>
      <w:r w:rsidR="00FB34F2">
        <w:rPr>
          <w:rFonts w:ascii="Times New Roman" w:eastAsia="Times New Roman" w:hAnsi="Times New Roman" w:cs="Times New Roman"/>
          <w:sz w:val="28"/>
          <w:szCs w:val="28"/>
          <w:lang w:eastAsia="ru-RU"/>
        </w:rPr>
        <w:t>описание</w:t>
      </w:r>
      <w:r w:rsidR="008C2FC0">
        <w:rPr>
          <w:rFonts w:ascii="Times New Roman" w:eastAsia="Times New Roman" w:hAnsi="Times New Roman" w:cs="Times New Roman"/>
          <w:sz w:val="28"/>
          <w:szCs w:val="28"/>
          <w:lang w:eastAsia="ru-RU"/>
        </w:rPr>
        <w:t xml:space="preserve"> </w:t>
      </w:r>
      <w:r w:rsidR="00FB34F2" w:rsidRPr="00FB34F2">
        <w:rPr>
          <w:rFonts w:ascii="Times New Roman" w:eastAsia="Times New Roman" w:hAnsi="Times New Roman" w:cs="Times New Roman"/>
          <w:sz w:val="28"/>
          <w:szCs w:val="28"/>
          <w:lang w:eastAsia="ru-RU"/>
        </w:rPr>
        <w:t>системны</w:t>
      </w:r>
      <w:r w:rsidR="00FB34F2">
        <w:rPr>
          <w:rFonts w:ascii="Times New Roman" w:eastAsia="Times New Roman" w:hAnsi="Times New Roman" w:cs="Times New Roman"/>
          <w:sz w:val="28"/>
          <w:szCs w:val="28"/>
          <w:lang w:eastAsia="ru-RU"/>
        </w:rPr>
        <w:t>х</w:t>
      </w:r>
      <w:r w:rsidR="008C2FC0">
        <w:rPr>
          <w:rFonts w:ascii="Times New Roman" w:eastAsia="Times New Roman" w:hAnsi="Times New Roman" w:cs="Times New Roman"/>
          <w:sz w:val="28"/>
          <w:szCs w:val="28"/>
          <w:lang w:eastAsia="ru-RU"/>
        </w:rPr>
        <w:t xml:space="preserve"> </w:t>
      </w:r>
      <w:r w:rsidR="00FB34F2" w:rsidRPr="00FB34F2">
        <w:rPr>
          <w:rFonts w:ascii="Times New Roman" w:eastAsia="Times New Roman" w:hAnsi="Times New Roman" w:cs="Times New Roman"/>
          <w:sz w:val="28"/>
          <w:szCs w:val="28"/>
          <w:lang w:eastAsia="ru-RU"/>
        </w:rPr>
        <w:t>действи</w:t>
      </w:r>
      <w:r w:rsidR="00FB34F2">
        <w:rPr>
          <w:rFonts w:ascii="Times New Roman" w:eastAsia="Times New Roman" w:hAnsi="Times New Roman" w:cs="Times New Roman"/>
          <w:sz w:val="28"/>
          <w:szCs w:val="28"/>
          <w:lang w:eastAsia="ru-RU"/>
        </w:rPr>
        <w:t>й</w:t>
      </w:r>
      <w:r w:rsidR="00FB34F2" w:rsidRPr="00FB34F2">
        <w:rPr>
          <w:rFonts w:ascii="Times New Roman" w:eastAsia="Times New Roman" w:hAnsi="Times New Roman" w:cs="Times New Roman"/>
          <w:sz w:val="28"/>
          <w:szCs w:val="28"/>
          <w:lang w:eastAsia="ru-RU"/>
        </w:rPr>
        <w:t>,</w:t>
      </w:r>
      <w:r w:rsidR="008C2FC0">
        <w:rPr>
          <w:rFonts w:ascii="Times New Roman" w:eastAsia="Times New Roman" w:hAnsi="Times New Roman" w:cs="Times New Roman"/>
          <w:sz w:val="28"/>
          <w:szCs w:val="28"/>
          <w:lang w:eastAsia="ru-RU"/>
        </w:rPr>
        <w:t xml:space="preserve"> </w:t>
      </w:r>
      <w:r w:rsidR="00FB34F2" w:rsidRPr="00FB34F2">
        <w:rPr>
          <w:rFonts w:ascii="Times New Roman" w:eastAsia="Times New Roman" w:hAnsi="Times New Roman" w:cs="Times New Roman"/>
          <w:sz w:val="28"/>
          <w:szCs w:val="28"/>
          <w:lang w:eastAsia="ru-RU"/>
        </w:rPr>
        <w:t>направленны</w:t>
      </w:r>
      <w:r w:rsidR="00FB34F2">
        <w:rPr>
          <w:rFonts w:ascii="Times New Roman" w:eastAsia="Times New Roman" w:hAnsi="Times New Roman" w:cs="Times New Roman"/>
          <w:sz w:val="28"/>
          <w:szCs w:val="28"/>
          <w:lang w:eastAsia="ru-RU"/>
        </w:rPr>
        <w:t>х</w:t>
      </w:r>
      <w:r w:rsidR="008C2FC0">
        <w:rPr>
          <w:rFonts w:ascii="Times New Roman" w:eastAsia="Times New Roman" w:hAnsi="Times New Roman" w:cs="Times New Roman"/>
          <w:sz w:val="28"/>
          <w:szCs w:val="28"/>
          <w:lang w:eastAsia="ru-RU"/>
        </w:rPr>
        <w:t xml:space="preserve"> </w:t>
      </w:r>
      <w:r w:rsidR="00FB34F2" w:rsidRPr="00FB34F2">
        <w:rPr>
          <w:rFonts w:ascii="Times New Roman" w:eastAsia="Times New Roman" w:hAnsi="Times New Roman" w:cs="Times New Roman"/>
          <w:sz w:val="28"/>
          <w:szCs w:val="28"/>
          <w:lang w:eastAsia="ru-RU"/>
        </w:rPr>
        <w:t>на</w:t>
      </w:r>
      <w:r w:rsidR="008C2FC0">
        <w:rPr>
          <w:rFonts w:ascii="Times New Roman" w:eastAsia="Times New Roman" w:hAnsi="Times New Roman" w:cs="Times New Roman"/>
          <w:sz w:val="28"/>
          <w:szCs w:val="28"/>
          <w:lang w:eastAsia="ru-RU"/>
        </w:rPr>
        <w:t xml:space="preserve"> </w:t>
      </w:r>
      <w:r w:rsidR="00FB34F2" w:rsidRPr="00FB34F2">
        <w:rPr>
          <w:rFonts w:ascii="Times New Roman" w:eastAsia="Times New Roman" w:hAnsi="Times New Roman" w:cs="Times New Roman"/>
          <w:sz w:val="28"/>
          <w:szCs w:val="28"/>
          <w:lang w:eastAsia="ru-RU"/>
        </w:rPr>
        <w:t>обеспечение</w:t>
      </w:r>
      <w:r w:rsidR="008C2FC0">
        <w:rPr>
          <w:rFonts w:ascii="Times New Roman" w:eastAsia="Times New Roman" w:hAnsi="Times New Roman" w:cs="Times New Roman"/>
          <w:sz w:val="28"/>
          <w:szCs w:val="28"/>
          <w:lang w:eastAsia="ru-RU"/>
        </w:rPr>
        <w:t xml:space="preserve"> </w:t>
      </w:r>
      <w:r w:rsidR="00FB34F2" w:rsidRPr="00FB34F2">
        <w:rPr>
          <w:rFonts w:ascii="Times New Roman" w:eastAsia="Times New Roman" w:hAnsi="Times New Roman" w:cs="Times New Roman"/>
          <w:sz w:val="28"/>
          <w:szCs w:val="28"/>
          <w:lang w:eastAsia="ru-RU"/>
        </w:rPr>
        <w:t>сбалан</w:t>
      </w:r>
      <w:r w:rsidR="00674564">
        <w:rPr>
          <w:rFonts w:ascii="Times New Roman" w:eastAsia="Times New Roman" w:hAnsi="Times New Roman" w:cs="Times New Roman"/>
          <w:sz w:val="28"/>
          <w:szCs w:val="28"/>
          <w:lang w:eastAsia="ru-RU"/>
        </w:rPr>
        <w:t>сированности</w:t>
      </w:r>
      <w:r w:rsidR="008C2FC0">
        <w:rPr>
          <w:rFonts w:ascii="Times New Roman" w:eastAsia="Times New Roman" w:hAnsi="Times New Roman" w:cs="Times New Roman"/>
          <w:sz w:val="28"/>
          <w:szCs w:val="28"/>
          <w:lang w:eastAsia="ru-RU"/>
        </w:rPr>
        <w:t xml:space="preserve"> </w:t>
      </w:r>
      <w:r w:rsidR="00674564">
        <w:rPr>
          <w:rFonts w:ascii="Times New Roman" w:eastAsia="Times New Roman" w:hAnsi="Times New Roman" w:cs="Times New Roman"/>
          <w:sz w:val="28"/>
          <w:szCs w:val="28"/>
          <w:lang w:eastAsia="ru-RU"/>
        </w:rPr>
        <w:t>бюджетов,</w:t>
      </w:r>
      <w:r w:rsidR="008C2FC0">
        <w:rPr>
          <w:rFonts w:ascii="Times New Roman" w:eastAsia="Times New Roman" w:hAnsi="Times New Roman" w:cs="Times New Roman"/>
          <w:sz w:val="28"/>
          <w:szCs w:val="28"/>
          <w:lang w:eastAsia="ru-RU"/>
        </w:rPr>
        <w:t xml:space="preserve"> </w:t>
      </w:r>
      <w:r w:rsidR="00674564">
        <w:rPr>
          <w:rFonts w:ascii="Times New Roman" w:eastAsia="Times New Roman" w:hAnsi="Times New Roman" w:cs="Times New Roman"/>
          <w:sz w:val="28"/>
          <w:szCs w:val="28"/>
          <w:lang w:eastAsia="ru-RU"/>
        </w:rPr>
        <w:t>повышение</w:t>
      </w:r>
      <w:r w:rsidR="008C2FC0">
        <w:rPr>
          <w:rFonts w:ascii="Times New Roman" w:eastAsia="Times New Roman" w:hAnsi="Times New Roman" w:cs="Times New Roman"/>
          <w:sz w:val="28"/>
          <w:szCs w:val="28"/>
          <w:lang w:eastAsia="ru-RU"/>
        </w:rPr>
        <w:t xml:space="preserve"> </w:t>
      </w:r>
      <w:r w:rsidR="00FB34F2" w:rsidRPr="00FB34F2">
        <w:rPr>
          <w:rFonts w:ascii="Times New Roman" w:eastAsia="Times New Roman" w:hAnsi="Times New Roman" w:cs="Times New Roman"/>
          <w:sz w:val="28"/>
          <w:szCs w:val="28"/>
          <w:lang w:eastAsia="ru-RU"/>
        </w:rPr>
        <w:t>эффективности</w:t>
      </w:r>
      <w:r w:rsidR="008C2FC0">
        <w:rPr>
          <w:rFonts w:ascii="Times New Roman" w:eastAsia="Times New Roman" w:hAnsi="Times New Roman" w:cs="Times New Roman"/>
          <w:sz w:val="28"/>
          <w:szCs w:val="28"/>
          <w:lang w:eastAsia="ru-RU"/>
        </w:rPr>
        <w:t xml:space="preserve"> </w:t>
      </w:r>
      <w:r w:rsidR="00FB34F2" w:rsidRPr="00FB34F2">
        <w:rPr>
          <w:rFonts w:ascii="Times New Roman" w:eastAsia="Times New Roman" w:hAnsi="Times New Roman" w:cs="Times New Roman"/>
          <w:sz w:val="28"/>
          <w:szCs w:val="28"/>
          <w:lang w:eastAsia="ru-RU"/>
        </w:rPr>
        <w:t>соответствующей</w:t>
      </w:r>
      <w:r w:rsidR="008C2FC0">
        <w:rPr>
          <w:rFonts w:ascii="Times New Roman" w:eastAsia="Times New Roman" w:hAnsi="Times New Roman" w:cs="Times New Roman"/>
          <w:sz w:val="28"/>
          <w:szCs w:val="28"/>
          <w:lang w:eastAsia="ru-RU"/>
        </w:rPr>
        <w:t xml:space="preserve"> </w:t>
      </w:r>
      <w:r w:rsidR="00FB34F2" w:rsidRPr="00FB34F2">
        <w:rPr>
          <w:rFonts w:ascii="Times New Roman" w:eastAsia="Times New Roman" w:hAnsi="Times New Roman" w:cs="Times New Roman"/>
          <w:sz w:val="28"/>
          <w:szCs w:val="28"/>
          <w:lang w:eastAsia="ru-RU"/>
        </w:rPr>
        <w:t>работы</w:t>
      </w:r>
      <w:r w:rsidR="00404D59">
        <w:rPr>
          <w:rFonts w:ascii="Times New Roman" w:eastAsia="Times New Roman" w:hAnsi="Times New Roman" w:cs="Times New Roman"/>
          <w:sz w:val="28"/>
          <w:szCs w:val="28"/>
          <w:lang w:eastAsia="ru-RU"/>
        </w:rPr>
        <w:t>.</w:t>
      </w:r>
    </w:p>
    <w:p w:rsidR="005D1255" w:rsidRDefault="005D1255" w:rsidP="00526D62">
      <w:pPr>
        <w:spacing w:after="0" w:line="276" w:lineRule="auto"/>
        <w:jc w:val="both"/>
        <w:rPr>
          <w:rFonts w:ascii="Times New Roman" w:eastAsia="Times New Roman" w:hAnsi="Times New Roman" w:cs="Times New Roman"/>
          <w:sz w:val="28"/>
          <w:szCs w:val="28"/>
          <w:lang w:eastAsia="ru-RU"/>
        </w:rPr>
      </w:pPr>
    </w:p>
    <w:p w:rsidR="00AA7AF1" w:rsidRPr="00526D62" w:rsidRDefault="00674564" w:rsidP="005D1255">
      <w:pPr>
        <w:pStyle w:val="a4"/>
        <w:numPr>
          <w:ilvl w:val="0"/>
          <w:numId w:val="34"/>
        </w:numPr>
        <w:tabs>
          <w:tab w:val="right" w:pos="426"/>
        </w:tabs>
        <w:spacing w:after="120" w:line="276" w:lineRule="auto"/>
        <w:ind w:left="0" w:firstLine="0"/>
        <w:jc w:val="both"/>
        <w:rPr>
          <w:rFonts w:ascii="Times New Roman" w:eastAsia="Times New Roman" w:hAnsi="Times New Roman" w:cs="Times New Roman"/>
          <w:sz w:val="28"/>
          <w:szCs w:val="28"/>
          <w:u w:val="single"/>
          <w:lang w:eastAsia="ru-RU"/>
        </w:rPr>
      </w:pPr>
      <w:r w:rsidRPr="00526D62">
        <w:rPr>
          <w:rFonts w:ascii="Times New Roman" w:eastAsia="Times New Roman" w:hAnsi="Times New Roman" w:cs="Times New Roman"/>
          <w:sz w:val="28"/>
          <w:szCs w:val="28"/>
          <w:u w:val="single"/>
          <w:lang w:eastAsia="ru-RU"/>
        </w:rPr>
        <w:t>О</w:t>
      </w:r>
      <w:r w:rsidR="00AA7AF1" w:rsidRPr="00526D62">
        <w:rPr>
          <w:rFonts w:ascii="Times New Roman" w:eastAsia="Times New Roman" w:hAnsi="Times New Roman" w:cs="Times New Roman"/>
          <w:sz w:val="28"/>
          <w:szCs w:val="28"/>
          <w:u w:val="single"/>
          <w:lang w:eastAsia="ru-RU"/>
        </w:rPr>
        <w:t>беспечение</w:t>
      </w:r>
      <w:r w:rsidR="008C2FC0" w:rsidRPr="00526D62">
        <w:rPr>
          <w:rFonts w:ascii="Times New Roman" w:eastAsia="Times New Roman" w:hAnsi="Times New Roman" w:cs="Times New Roman"/>
          <w:sz w:val="28"/>
          <w:szCs w:val="28"/>
          <w:u w:val="single"/>
          <w:lang w:eastAsia="ru-RU"/>
        </w:rPr>
        <w:t xml:space="preserve"> </w:t>
      </w:r>
      <w:r w:rsidR="00AA7AF1" w:rsidRPr="00526D62">
        <w:rPr>
          <w:rFonts w:ascii="Times New Roman" w:eastAsia="Times New Roman" w:hAnsi="Times New Roman" w:cs="Times New Roman"/>
          <w:sz w:val="28"/>
          <w:szCs w:val="28"/>
          <w:u w:val="single"/>
          <w:lang w:eastAsia="ru-RU"/>
        </w:rPr>
        <w:t>открытости</w:t>
      </w:r>
      <w:r w:rsidR="008C2FC0" w:rsidRPr="00526D62">
        <w:rPr>
          <w:rFonts w:ascii="Times New Roman" w:eastAsia="Times New Roman" w:hAnsi="Times New Roman" w:cs="Times New Roman"/>
          <w:sz w:val="28"/>
          <w:szCs w:val="28"/>
          <w:u w:val="single"/>
          <w:lang w:eastAsia="ru-RU"/>
        </w:rPr>
        <w:t xml:space="preserve"> </w:t>
      </w:r>
      <w:r w:rsidR="00132D75" w:rsidRPr="00526D62">
        <w:rPr>
          <w:rFonts w:ascii="Times New Roman" w:eastAsia="Times New Roman" w:hAnsi="Times New Roman" w:cs="Times New Roman"/>
          <w:sz w:val="28"/>
          <w:szCs w:val="28"/>
          <w:u w:val="single"/>
          <w:lang w:eastAsia="ru-RU"/>
        </w:rPr>
        <w:t>данных</w:t>
      </w:r>
      <w:r w:rsidR="008C2FC0" w:rsidRPr="00526D62">
        <w:rPr>
          <w:rFonts w:ascii="Times New Roman" w:eastAsia="Times New Roman" w:hAnsi="Times New Roman" w:cs="Times New Roman"/>
          <w:sz w:val="28"/>
          <w:szCs w:val="28"/>
          <w:u w:val="single"/>
          <w:lang w:eastAsia="ru-RU"/>
        </w:rPr>
        <w:t xml:space="preserve"> </w:t>
      </w:r>
      <w:r w:rsidR="00132D75" w:rsidRPr="00526D62">
        <w:rPr>
          <w:rFonts w:ascii="Times New Roman" w:eastAsia="Times New Roman" w:hAnsi="Times New Roman" w:cs="Times New Roman"/>
          <w:sz w:val="28"/>
          <w:szCs w:val="28"/>
          <w:u w:val="single"/>
          <w:lang w:eastAsia="ru-RU"/>
        </w:rPr>
        <w:t>бюджетного</w:t>
      </w:r>
      <w:r w:rsidR="008C2FC0" w:rsidRPr="00526D62">
        <w:rPr>
          <w:rFonts w:ascii="Times New Roman" w:eastAsia="Times New Roman" w:hAnsi="Times New Roman" w:cs="Times New Roman"/>
          <w:sz w:val="28"/>
          <w:szCs w:val="28"/>
          <w:u w:val="single"/>
          <w:lang w:eastAsia="ru-RU"/>
        </w:rPr>
        <w:t xml:space="preserve"> </w:t>
      </w:r>
      <w:r w:rsidR="00132D75" w:rsidRPr="00526D62">
        <w:rPr>
          <w:rFonts w:ascii="Times New Roman" w:eastAsia="Times New Roman" w:hAnsi="Times New Roman" w:cs="Times New Roman"/>
          <w:sz w:val="28"/>
          <w:szCs w:val="28"/>
          <w:u w:val="single"/>
          <w:lang w:eastAsia="ru-RU"/>
        </w:rPr>
        <w:t>прогноза</w:t>
      </w:r>
      <w:r w:rsidR="008C2FC0" w:rsidRPr="00526D62">
        <w:rPr>
          <w:rFonts w:ascii="Times New Roman" w:eastAsia="Times New Roman" w:hAnsi="Times New Roman" w:cs="Times New Roman"/>
          <w:sz w:val="28"/>
          <w:szCs w:val="28"/>
          <w:u w:val="single"/>
          <w:lang w:eastAsia="ru-RU"/>
        </w:rPr>
        <w:t xml:space="preserve"> </w:t>
      </w:r>
    </w:p>
    <w:p w:rsidR="00674564" w:rsidRDefault="00AA7AF1" w:rsidP="00526D62">
      <w:pPr>
        <w:spacing w:after="0" w:line="276" w:lineRule="auto"/>
        <w:jc w:val="both"/>
        <w:rPr>
          <w:rFonts w:ascii="Times New Roman" w:eastAsia="Times New Roman" w:hAnsi="Times New Roman" w:cs="Times New Roman"/>
          <w:sz w:val="28"/>
          <w:szCs w:val="28"/>
          <w:lang w:eastAsia="ru-RU"/>
        </w:rPr>
      </w:pPr>
      <w:r w:rsidRPr="00674564">
        <w:rPr>
          <w:rFonts w:ascii="Times New Roman" w:eastAsia="Times New Roman" w:hAnsi="Times New Roman" w:cs="Times New Roman"/>
          <w:sz w:val="28"/>
          <w:szCs w:val="28"/>
          <w:lang w:eastAsia="ru-RU"/>
        </w:rPr>
        <w:t>По</w:t>
      </w:r>
      <w:r w:rsidR="008C2FC0">
        <w:rPr>
          <w:rFonts w:ascii="Times New Roman" w:eastAsia="Times New Roman" w:hAnsi="Times New Roman" w:cs="Times New Roman"/>
          <w:sz w:val="28"/>
          <w:szCs w:val="28"/>
          <w:lang w:eastAsia="ru-RU"/>
        </w:rPr>
        <w:t xml:space="preserve"> </w:t>
      </w:r>
      <w:r w:rsidRPr="00674564">
        <w:rPr>
          <w:rFonts w:ascii="Times New Roman" w:eastAsia="Times New Roman" w:hAnsi="Times New Roman" w:cs="Times New Roman"/>
          <w:sz w:val="28"/>
          <w:szCs w:val="28"/>
          <w:lang w:eastAsia="ru-RU"/>
        </w:rPr>
        <w:t>результатам</w:t>
      </w:r>
      <w:r w:rsidR="008C2FC0">
        <w:rPr>
          <w:rFonts w:ascii="Times New Roman" w:eastAsia="Times New Roman" w:hAnsi="Times New Roman" w:cs="Times New Roman"/>
          <w:sz w:val="28"/>
          <w:szCs w:val="28"/>
          <w:lang w:eastAsia="ru-RU"/>
        </w:rPr>
        <w:t xml:space="preserve"> </w:t>
      </w:r>
      <w:r w:rsidRPr="00674564">
        <w:rPr>
          <w:rFonts w:ascii="Times New Roman" w:eastAsia="Times New Roman" w:hAnsi="Times New Roman" w:cs="Times New Roman"/>
          <w:sz w:val="28"/>
          <w:szCs w:val="28"/>
          <w:lang w:eastAsia="ru-RU"/>
        </w:rPr>
        <w:t>проведенного</w:t>
      </w:r>
      <w:r w:rsidR="008C2FC0">
        <w:rPr>
          <w:rFonts w:ascii="Times New Roman" w:eastAsia="Times New Roman" w:hAnsi="Times New Roman" w:cs="Times New Roman"/>
          <w:sz w:val="28"/>
          <w:szCs w:val="28"/>
          <w:lang w:eastAsia="ru-RU"/>
        </w:rPr>
        <w:t xml:space="preserve"> </w:t>
      </w:r>
      <w:r w:rsidR="00674564">
        <w:rPr>
          <w:rFonts w:ascii="Times New Roman" w:eastAsia="Times New Roman" w:hAnsi="Times New Roman" w:cs="Times New Roman"/>
          <w:sz w:val="28"/>
          <w:szCs w:val="28"/>
          <w:lang w:eastAsia="ru-RU"/>
        </w:rPr>
        <w:t>анализа</w:t>
      </w:r>
      <w:r w:rsidR="00B57C1E">
        <w:rPr>
          <w:rFonts w:ascii="Times New Roman" w:eastAsia="Times New Roman" w:hAnsi="Times New Roman" w:cs="Times New Roman"/>
          <w:sz w:val="28"/>
          <w:szCs w:val="28"/>
          <w:lang w:eastAsia="ru-RU"/>
        </w:rPr>
        <w:t xml:space="preserve"> на отчетную дату</w:t>
      </w:r>
      <w:r w:rsidR="008C2FC0">
        <w:rPr>
          <w:rFonts w:ascii="Times New Roman" w:eastAsia="Times New Roman" w:hAnsi="Times New Roman" w:cs="Times New Roman"/>
          <w:sz w:val="28"/>
          <w:szCs w:val="28"/>
          <w:lang w:eastAsia="ru-RU"/>
        </w:rPr>
        <w:t xml:space="preserve"> </w:t>
      </w:r>
      <w:r w:rsidR="00132D75">
        <w:rPr>
          <w:rFonts w:ascii="Times New Roman" w:eastAsia="Times New Roman" w:hAnsi="Times New Roman" w:cs="Times New Roman"/>
          <w:sz w:val="28"/>
          <w:szCs w:val="28"/>
          <w:lang w:eastAsia="ru-RU"/>
        </w:rPr>
        <w:t>у</w:t>
      </w:r>
      <w:r w:rsidR="00FB5945">
        <w:rPr>
          <w:rFonts w:ascii="Times New Roman" w:eastAsia="Times New Roman" w:hAnsi="Times New Roman" w:cs="Times New Roman"/>
          <w:sz w:val="28"/>
          <w:szCs w:val="28"/>
          <w:lang w:eastAsia="ru-RU"/>
        </w:rPr>
        <w:t xml:space="preserve"> </w:t>
      </w:r>
      <w:r w:rsidR="00D304FF">
        <w:rPr>
          <w:rFonts w:ascii="Times New Roman" w:eastAsia="Times New Roman" w:hAnsi="Times New Roman" w:cs="Times New Roman"/>
          <w:sz w:val="28"/>
          <w:szCs w:val="28"/>
          <w:lang w:eastAsia="ru-RU"/>
        </w:rPr>
        <w:t>2</w:t>
      </w:r>
      <w:r w:rsidR="00031BB7">
        <w:rPr>
          <w:rFonts w:ascii="Times New Roman" w:eastAsia="Times New Roman" w:hAnsi="Times New Roman" w:cs="Times New Roman"/>
          <w:sz w:val="28"/>
          <w:szCs w:val="28"/>
          <w:lang w:eastAsia="ru-RU"/>
        </w:rPr>
        <w:t>2</w:t>
      </w:r>
      <w:r w:rsidR="00674564">
        <w:rPr>
          <w:rFonts w:ascii="Times New Roman" w:eastAsia="Times New Roman" w:hAnsi="Times New Roman" w:cs="Times New Roman"/>
          <w:sz w:val="28"/>
          <w:szCs w:val="28"/>
          <w:lang w:eastAsia="ru-RU"/>
        </w:rPr>
        <w:t>%</w:t>
      </w:r>
      <w:r w:rsidR="008C2FC0">
        <w:rPr>
          <w:rFonts w:ascii="Times New Roman" w:eastAsia="Times New Roman" w:hAnsi="Times New Roman" w:cs="Times New Roman"/>
          <w:sz w:val="28"/>
          <w:szCs w:val="28"/>
          <w:lang w:eastAsia="ru-RU"/>
        </w:rPr>
        <w:t xml:space="preserve"> </w:t>
      </w:r>
      <w:r w:rsidRPr="00674564">
        <w:rPr>
          <w:rFonts w:ascii="Times New Roman" w:eastAsia="Times New Roman" w:hAnsi="Times New Roman" w:cs="Times New Roman"/>
          <w:sz w:val="28"/>
          <w:szCs w:val="28"/>
          <w:lang w:eastAsia="ru-RU"/>
        </w:rPr>
        <w:t>субъектов</w:t>
      </w:r>
      <w:r w:rsidR="008C2FC0">
        <w:rPr>
          <w:rFonts w:ascii="Times New Roman" w:eastAsia="Times New Roman" w:hAnsi="Times New Roman" w:cs="Times New Roman"/>
          <w:sz w:val="28"/>
          <w:szCs w:val="28"/>
          <w:lang w:eastAsia="ru-RU"/>
        </w:rPr>
        <w:t xml:space="preserve"> </w:t>
      </w:r>
      <w:r w:rsidR="007E1F77">
        <w:rPr>
          <w:rFonts w:ascii="Times New Roman" w:eastAsia="Times New Roman" w:hAnsi="Times New Roman" w:cs="Times New Roman"/>
          <w:sz w:val="28"/>
          <w:szCs w:val="28"/>
          <w:lang w:eastAsia="ru-RU"/>
        </w:rPr>
        <w:t>РФ</w:t>
      </w:r>
      <w:r w:rsidR="008C2FC0">
        <w:rPr>
          <w:rFonts w:ascii="Times New Roman" w:eastAsia="Times New Roman" w:hAnsi="Times New Roman" w:cs="Times New Roman"/>
          <w:sz w:val="28"/>
          <w:szCs w:val="28"/>
          <w:lang w:eastAsia="ru-RU"/>
        </w:rPr>
        <w:t xml:space="preserve"> </w:t>
      </w:r>
      <w:r w:rsidRPr="00674564">
        <w:rPr>
          <w:rFonts w:ascii="Times New Roman" w:eastAsia="Times New Roman" w:hAnsi="Times New Roman" w:cs="Times New Roman"/>
          <w:sz w:val="28"/>
          <w:szCs w:val="28"/>
          <w:lang w:eastAsia="ru-RU"/>
        </w:rPr>
        <w:t>бюджетные</w:t>
      </w:r>
      <w:r w:rsidR="008C2FC0">
        <w:rPr>
          <w:rFonts w:ascii="Times New Roman" w:eastAsia="Times New Roman" w:hAnsi="Times New Roman" w:cs="Times New Roman"/>
          <w:sz w:val="28"/>
          <w:szCs w:val="28"/>
          <w:lang w:eastAsia="ru-RU"/>
        </w:rPr>
        <w:t xml:space="preserve"> </w:t>
      </w:r>
      <w:r w:rsidRPr="00674564">
        <w:rPr>
          <w:rFonts w:ascii="Times New Roman" w:eastAsia="Times New Roman" w:hAnsi="Times New Roman" w:cs="Times New Roman"/>
          <w:sz w:val="28"/>
          <w:szCs w:val="28"/>
          <w:lang w:eastAsia="ru-RU"/>
        </w:rPr>
        <w:t>прогнозы</w:t>
      </w:r>
      <w:r w:rsidR="00D304FF">
        <w:rPr>
          <w:rFonts w:ascii="Times New Roman" w:eastAsia="Times New Roman" w:hAnsi="Times New Roman" w:cs="Times New Roman"/>
          <w:sz w:val="28"/>
          <w:szCs w:val="28"/>
          <w:lang w:eastAsia="ru-RU"/>
        </w:rPr>
        <w:t xml:space="preserve"> не</w:t>
      </w:r>
      <w:r w:rsidR="008C2FC0">
        <w:rPr>
          <w:rFonts w:ascii="Times New Roman" w:eastAsia="Times New Roman" w:hAnsi="Times New Roman" w:cs="Times New Roman"/>
          <w:sz w:val="28"/>
          <w:szCs w:val="28"/>
          <w:lang w:eastAsia="ru-RU"/>
        </w:rPr>
        <w:t xml:space="preserve"> </w:t>
      </w:r>
      <w:r w:rsidRPr="00674564">
        <w:rPr>
          <w:rFonts w:ascii="Times New Roman" w:eastAsia="Times New Roman" w:hAnsi="Times New Roman" w:cs="Times New Roman"/>
          <w:sz w:val="28"/>
          <w:szCs w:val="28"/>
          <w:lang w:eastAsia="ru-RU"/>
        </w:rPr>
        <w:t>размещены</w:t>
      </w:r>
      <w:r w:rsidR="008C2FC0">
        <w:rPr>
          <w:rFonts w:ascii="Times New Roman" w:eastAsia="Times New Roman" w:hAnsi="Times New Roman" w:cs="Times New Roman"/>
          <w:sz w:val="28"/>
          <w:szCs w:val="28"/>
          <w:lang w:eastAsia="ru-RU"/>
        </w:rPr>
        <w:t xml:space="preserve"> </w:t>
      </w:r>
      <w:r w:rsidR="00674564">
        <w:rPr>
          <w:rFonts w:ascii="Times New Roman" w:eastAsia="Times New Roman" w:hAnsi="Times New Roman" w:cs="Times New Roman"/>
          <w:sz w:val="28"/>
          <w:szCs w:val="28"/>
          <w:lang w:eastAsia="ru-RU"/>
        </w:rPr>
        <w:t>в</w:t>
      </w:r>
      <w:r w:rsidR="008C2FC0">
        <w:rPr>
          <w:rFonts w:ascii="Times New Roman" w:eastAsia="Times New Roman" w:hAnsi="Times New Roman" w:cs="Times New Roman"/>
          <w:sz w:val="28"/>
          <w:szCs w:val="28"/>
          <w:lang w:eastAsia="ru-RU"/>
        </w:rPr>
        <w:t xml:space="preserve"> </w:t>
      </w:r>
      <w:r w:rsidR="00674564">
        <w:rPr>
          <w:rFonts w:ascii="Times New Roman" w:eastAsia="Times New Roman" w:hAnsi="Times New Roman" w:cs="Times New Roman"/>
          <w:sz w:val="28"/>
          <w:szCs w:val="28"/>
          <w:lang w:eastAsia="ru-RU"/>
        </w:rPr>
        <w:t>открытом</w:t>
      </w:r>
      <w:r w:rsidR="008C2FC0">
        <w:rPr>
          <w:rFonts w:ascii="Times New Roman" w:eastAsia="Times New Roman" w:hAnsi="Times New Roman" w:cs="Times New Roman"/>
          <w:sz w:val="28"/>
          <w:szCs w:val="28"/>
          <w:lang w:eastAsia="ru-RU"/>
        </w:rPr>
        <w:t xml:space="preserve"> </w:t>
      </w:r>
      <w:r w:rsidR="00674564">
        <w:rPr>
          <w:rFonts w:ascii="Times New Roman" w:eastAsia="Times New Roman" w:hAnsi="Times New Roman" w:cs="Times New Roman"/>
          <w:sz w:val="28"/>
          <w:szCs w:val="28"/>
          <w:lang w:eastAsia="ru-RU"/>
        </w:rPr>
        <w:t>доступе</w:t>
      </w:r>
      <w:r w:rsidR="008C2FC0">
        <w:rPr>
          <w:rFonts w:ascii="Times New Roman" w:eastAsia="Times New Roman" w:hAnsi="Times New Roman" w:cs="Times New Roman"/>
          <w:sz w:val="28"/>
          <w:szCs w:val="28"/>
          <w:lang w:eastAsia="ru-RU"/>
        </w:rPr>
        <w:t xml:space="preserve"> </w:t>
      </w:r>
      <w:r w:rsidR="00D42475">
        <w:rPr>
          <w:rFonts w:ascii="Times New Roman" w:eastAsia="Times New Roman" w:hAnsi="Times New Roman" w:cs="Times New Roman"/>
          <w:sz w:val="28"/>
          <w:szCs w:val="28"/>
          <w:lang w:eastAsia="ru-RU"/>
        </w:rPr>
        <w:t>в</w:t>
      </w:r>
      <w:r w:rsidR="008C2FC0">
        <w:rPr>
          <w:rFonts w:ascii="Times New Roman" w:eastAsia="Times New Roman" w:hAnsi="Times New Roman" w:cs="Times New Roman"/>
          <w:sz w:val="28"/>
          <w:szCs w:val="28"/>
          <w:lang w:eastAsia="ru-RU"/>
        </w:rPr>
        <w:t xml:space="preserve"> </w:t>
      </w:r>
      <w:r w:rsidR="00D42475">
        <w:rPr>
          <w:rFonts w:ascii="Times New Roman" w:eastAsia="Times New Roman" w:hAnsi="Times New Roman" w:cs="Times New Roman"/>
          <w:sz w:val="28"/>
          <w:szCs w:val="28"/>
          <w:lang w:eastAsia="ru-RU"/>
        </w:rPr>
        <w:t>сети</w:t>
      </w:r>
      <w:r w:rsidR="008C2FC0">
        <w:rPr>
          <w:rFonts w:ascii="Times New Roman" w:eastAsia="Times New Roman" w:hAnsi="Times New Roman" w:cs="Times New Roman"/>
          <w:sz w:val="28"/>
          <w:szCs w:val="28"/>
          <w:lang w:eastAsia="ru-RU"/>
        </w:rPr>
        <w:t xml:space="preserve"> </w:t>
      </w:r>
      <w:r w:rsidR="00D42475">
        <w:rPr>
          <w:rFonts w:ascii="Times New Roman" w:eastAsia="Times New Roman" w:hAnsi="Times New Roman" w:cs="Times New Roman"/>
          <w:sz w:val="28"/>
          <w:szCs w:val="28"/>
          <w:lang w:eastAsia="ru-RU"/>
        </w:rPr>
        <w:t>Интернет</w:t>
      </w:r>
      <w:r w:rsidR="00D304FF">
        <w:rPr>
          <w:rFonts w:ascii="Times New Roman" w:eastAsia="Times New Roman" w:hAnsi="Times New Roman" w:cs="Times New Roman"/>
          <w:sz w:val="28"/>
          <w:szCs w:val="28"/>
          <w:lang w:eastAsia="ru-RU"/>
        </w:rPr>
        <w:t>.</w:t>
      </w:r>
      <w:r w:rsidR="00A02233">
        <w:rPr>
          <w:rFonts w:ascii="Times New Roman" w:eastAsia="Times New Roman" w:hAnsi="Times New Roman" w:cs="Times New Roman"/>
          <w:sz w:val="28"/>
          <w:szCs w:val="28"/>
          <w:lang w:eastAsia="ru-RU"/>
        </w:rPr>
        <w:t xml:space="preserve"> </w:t>
      </w:r>
      <w:r w:rsidR="00573D7D">
        <w:rPr>
          <w:rFonts w:ascii="Times New Roman" w:eastAsia="Times New Roman" w:hAnsi="Times New Roman" w:cs="Times New Roman"/>
          <w:sz w:val="28"/>
          <w:szCs w:val="28"/>
          <w:lang w:eastAsia="ru-RU"/>
        </w:rPr>
        <w:t>В то же время сред</w:t>
      </w:r>
      <w:r w:rsidR="00A25237">
        <w:rPr>
          <w:rFonts w:ascii="Times New Roman" w:eastAsia="Times New Roman" w:hAnsi="Times New Roman" w:cs="Times New Roman"/>
          <w:sz w:val="28"/>
          <w:szCs w:val="28"/>
          <w:lang w:eastAsia="ru-RU"/>
        </w:rPr>
        <w:t xml:space="preserve">и </w:t>
      </w:r>
      <w:r w:rsidR="00A02233">
        <w:rPr>
          <w:rFonts w:ascii="Times New Roman" w:eastAsia="Times New Roman" w:hAnsi="Times New Roman" w:cs="Times New Roman"/>
          <w:sz w:val="28"/>
          <w:szCs w:val="28"/>
          <w:lang w:eastAsia="ru-RU"/>
        </w:rPr>
        <w:t xml:space="preserve">субъектов </w:t>
      </w:r>
      <w:r w:rsidR="007E1F77">
        <w:rPr>
          <w:rFonts w:ascii="Times New Roman" w:eastAsia="Times New Roman" w:hAnsi="Times New Roman" w:cs="Times New Roman"/>
          <w:sz w:val="28"/>
          <w:szCs w:val="28"/>
          <w:lang w:eastAsia="ru-RU"/>
        </w:rPr>
        <w:t>РФ</w:t>
      </w:r>
      <w:r w:rsidR="00A02233">
        <w:rPr>
          <w:rFonts w:ascii="Times New Roman" w:eastAsia="Times New Roman" w:hAnsi="Times New Roman" w:cs="Times New Roman"/>
          <w:sz w:val="28"/>
          <w:szCs w:val="28"/>
          <w:lang w:eastAsia="ru-RU"/>
        </w:rPr>
        <w:t xml:space="preserve">, обеспечивших открытый доступ к бюджетному прогнозу в сети Интернет, </w:t>
      </w:r>
      <w:r w:rsidR="00A25237">
        <w:rPr>
          <w:rFonts w:ascii="Times New Roman" w:eastAsia="Times New Roman" w:hAnsi="Times New Roman" w:cs="Times New Roman"/>
          <w:sz w:val="28"/>
          <w:szCs w:val="28"/>
          <w:lang w:eastAsia="ru-RU"/>
        </w:rPr>
        <w:t>в каждом десятом случае бюджетный прогноз размещен в формате</w:t>
      </w:r>
      <w:r w:rsidR="00A02233">
        <w:rPr>
          <w:rFonts w:ascii="Times New Roman" w:eastAsia="Times New Roman" w:hAnsi="Times New Roman" w:cs="Times New Roman"/>
          <w:sz w:val="28"/>
          <w:szCs w:val="28"/>
          <w:lang w:eastAsia="ru-RU"/>
        </w:rPr>
        <w:t>, затрудняющем</w:t>
      </w:r>
      <w:r w:rsidR="00FB5945">
        <w:rPr>
          <w:rFonts w:ascii="Times New Roman" w:eastAsia="Times New Roman" w:hAnsi="Times New Roman" w:cs="Times New Roman"/>
          <w:sz w:val="28"/>
          <w:szCs w:val="28"/>
          <w:lang w:eastAsia="ru-RU"/>
        </w:rPr>
        <w:t xml:space="preserve"> </w:t>
      </w:r>
      <w:r w:rsidR="00A02233">
        <w:rPr>
          <w:rFonts w:ascii="Times New Roman" w:eastAsia="Times New Roman" w:hAnsi="Times New Roman" w:cs="Times New Roman"/>
          <w:sz w:val="28"/>
          <w:szCs w:val="28"/>
          <w:lang w:eastAsia="ru-RU"/>
        </w:rPr>
        <w:t>его поиск</w:t>
      </w:r>
      <w:r w:rsidR="0069718F">
        <w:rPr>
          <w:rFonts w:ascii="Times New Roman" w:eastAsia="Times New Roman" w:hAnsi="Times New Roman" w:cs="Times New Roman"/>
          <w:sz w:val="28"/>
          <w:szCs w:val="28"/>
          <w:lang w:eastAsia="ru-RU"/>
        </w:rPr>
        <w:t>,</w:t>
      </w:r>
      <w:r w:rsidR="00A02233">
        <w:rPr>
          <w:rFonts w:ascii="Times New Roman" w:eastAsia="Times New Roman" w:hAnsi="Times New Roman" w:cs="Times New Roman"/>
          <w:sz w:val="28"/>
          <w:szCs w:val="28"/>
          <w:lang w:eastAsia="ru-RU"/>
        </w:rPr>
        <w:t xml:space="preserve"> </w:t>
      </w:r>
      <w:r w:rsidR="0069718F">
        <w:rPr>
          <w:rFonts w:ascii="Times New Roman" w:eastAsia="Times New Roman" w:hAnsi="Times New Roman" w:cs="Times New Roman"/>
          <w:sz w:val="28"/>
          <w:szCs w:val="28"/>
          <w:lang w:eastAsia="ru-RU"/>
        </w:rPr>
        <w:t>–</w:t>
      </w:r>
      <w:r w:rsidR="00A25237">
        <w:rPr>
          <w:rFonts w:ascii="Times New Roman" w:eastAsia="Times New Roman" w:hAnsi="Times New Roman" w:cs="Times New Roman"/>
          <w:sz w:val="28"/>
          <w:szCs w:val="28"/>
          <w:lang w:eastAsia="ru-RU"/>
        </w:rPr>
        <w:t xml:space="preserve"> </w:t>
      </w:r>
      <w:r w:rsidR="00A02233">
        <w:rPr>
          <w:rFonts w:ascii="Times New Roman" w:eastAsia="Times New Roman" w:hAnsi="Times New Roman" w:cs="Times New Roman"/>
          <w:sz w:val="28"/>
          <w:szCs w:val="28"/>
          <w:lang w:eastAsia="ru-RU"/>
        </w:rPr>
        <w:t>в составе справочных материалов к проекту закона о бюджете,</w:t>
      </w:r>
      <w:r w:rsidR="00A25237">
        <w:rPr>
          <w:rFonts w:ascii="Times New Roman" w:eastAsia="Times New Roman" w:hAnsi="Times New Roman" w:cs="Times New Roman"/>
          <w:sz w:val="28"/>
          <w:szCs w:val="28"/>
          <w:lang w:eastAsia="ru-RU"/>
        </w:rPr>
        <w:t xml:space="preserve"> в то время как</w:t>
      </w:r>
      <w:r w:rsidR="00A02233">
        <w:rPr>
          <w:rFonts w:ascii="Times New Roman" w:eastAsia="Times New Roman" w:hAnsi="Times New Roman" w:cs="Times New Roman"/>
          <w:sz w:val="28"/>
          <w:szCs w:val="28"/>
          <w:lang w:eastAsia="ru-RU"/>
        </w:rPr>
        <w:t xml:space="preserve"> </w:t>
      </w:r>
      <w:r w:rsidR="00031BB7">
        <w:rPr>
          <w:rFonts w:ascii="Times New Roman" w:eastAsia="Times New Roman" w:hAnsi="Times New Roman" w:cs="Times New Roman"/>
          <w:sz w:val="28"/>
          <w:szCs w:val="28"/>
          <w:lang w:eastAsia="ru-RU"/>
        </w:rPr>
        <w:t xml:space="preserve">отдельное </w:t>
      </w:r>
      <w:r w:rsidR="00A02233">
        <w:rPr>
          <w:rFonts w:ascii="Times New Roman" w:eastAsia="Times New Roman" w:hAnsi="Times New Roman" w:cs="Times New Roman"/>
          <w:sz w:val="28"/>
          <w:szCs w:val="28"/>
          <w:lang w:eastAsia="ru-RU"/>
        </w:rPr>
        <w:t>размещение данного документа в сети Интернет отсутствует.</w:t>
      </w:r>
    </w:p>
    <w:p w:rsidR="00364892" w:rsidRDefault="00364892" w:rsidP="00526D62">
      <w:pPr>
        <w:spacing w:after="0" w:line="276" w:lineRule="auto"/>
        <w:jc w:val="both"/>
        <w:rPr>
          <w:rFonts w:ascii="Times New Roman" w:eastAsia="Times New Roman" w:hAnsi="Times New Roman" w:cs="Times New Roman"/>
          <w:sz w:val="28"/>
          <w:szCs w:val="28"/>
          <w:lang w:eastAsia="ru-RU"/>
        </w:rPr>
      </w:pPr>
    </w:p>
    <w:p w:rsidR="00674564" w:rsidRPr="00391FD9" w:rsidRDefault="00674564" w:rsidP="00674564">
      <w:pPr>
        <w:autoSpaceDE w:val="0"/>
        <w:autoSpaceDN w:val="0"/>
        <w:adjustRightInd w:val="0"/>
        <w:spacing w:after="0" w:line="240" w:lineRule="auto"/>
        <w:jc w:val="both"/>
        <w:rPr>
          <w:rFonts w:ascii="Times New Roman" w:hAnsi="Times New Roman" w:cs="Times New Roman"/>
          <w:b/>
          <w:sz w:val="24"/>
          <w:szCs w:val="28"/>
        </w:rPr>
      </w:pPr>
      <w:r w:rsidRPr="00391FD9">
        <w:rPr>
          <w:rFonts w:ascii="Times New Roman" w:hAnsi="Times New Roman" w:cs="Times New Roman"/>
          <w:b/>
          <w:sz w:val="24"/>
          <w:szCs w:val="28"/>
        </w:rPr>
        <w:t>Таблица</w:t>
      </w:r>
      <w:r w:rsidR="00391FD9" w:rsidRPr="00391FD9">
        <w:rPr>
          <w:rFonts w:ascii="Times New Roman" w:hAnsi="Times New Roman" w:cs="Times New Roman"/>
          <w:b/>
          <w:sz w:val="24"/>
          <w:szCs w:val="28"/>
        </w:rPr>
        <w:t xml:space="preserve"> </w:t>
      </w:r>
      <w:r w:rsidR="00D80263">
        <w:rPr>
          <w:rFonts w:ascii="Times New Roman" w:hAnsi="Times New Roman" w:cs="Times New Roman"/>
          <w:b/>
          <w:sz w:val="24"/>
          <w:szCs w:val="28"/>
        </w:rPr>
        <w:t>3</w:t>
      </w:r>
      <w:r w:rsidRPr="00391FD9">
        <w:rPr>
          <w:rFonts w:ascii="Times New Roman" w:hAnsi="Times New Roman" w:cs="Times New Roman"/>
          <w:b/>
          <w:sz w:val="24"/>
          <w:szCs w:val="28"/>
        </w:rPr>
        <w:t>.</w:t>
      </w:r>
      <w:r w:rsidR="008C2FC0" w:rsidRPr="00391FD9">
        <w:rPr>
          <w:rFonts w:ascii="Times New Roman" w:hAnsi="Times New Roman" w:cs="Times New Roman"/>
          <w:b/>
          <w:sz w:val="24"/>
          <w:szCs w:val="28"/>
        </w:rPr>
        <w:t xml:space="preserve"> </w:t>
      </w:r>
      <w:r w:rsidRPr="00391FD9">
        <w:rPr>
          <w:rFonts w:ascii="Times New Roman" w:hAnsi="Times New Roman" w:cs="Times New Roman"/>
          <w:b/>
          <w:sz w:val="24"/>
          <w:szCs w:val="28"/>
        </w:rPr>
        <w:t>Обеспечение</w:t>
      </w:r>
      <w:r w:rsidR="008C2FC0" w:rsidRPr="00391FD9">
        <w:rPr>
          <w:rFonts w:ascii="Times New Roman" w:hAnsi="Times New Roman" w:cs="Times New Roman"/>
          <w:b/>
          <w:sz w:val="24"/>
          <w:szCs w:val="28"/>
        </w:rPr>
        <w:t xml:space="preserve"> </w:t>
      </w:r>
      <w:r w:rsidRPr="00391FD9">
        <w:rPr>
          <w:rFonts w:ascii="Times New Roman" w:hAnsi="Times New Roman" w:cs="Times New Roman"/>
          <w:b/>
          <w:sz w:val="24"/>
          <w:szCs w:val="28"/>
        </w:rPr>
        <w:t>открытости</w:t>
      </w:r>
      <w:r w:rsidR="008C2FC0" w:rsidRPr="00391FD9">
        <w:rPr>
          <w:rFonts w:ascii="Times New Roman" w:hAnsi="Times New Roman" w:cs="Times New Roman"/>
          <w:b/>
          <w:sz w:val="24"/>
          <w:szCs w:val="28"/>
        </w:rPr>
        <w:t xml:space="preserve"> </w:t>
      </w:r>
      <w:r w:rsidRPr="00391FD9">
        <w:rPr>
          <w:rFonts w:ascii="Times New Roman" w:hAnsi="Times New Roman" w:cs="Times New Roman"/>
          <w:b/>
          <w:sz w:val="24"/>
          <w:szCs w:val="28"/>
        </w:rPr>
        <w:t>данных</w:t>
      </w:r>
      <w:r w:rsidR="008C2FC0" w:rsidRPr="00391FD9">
        <w:rPr>
          <w:rFonts w:ascii="Times New Roman" w:hAnsi="Times New Roman" w:cs="Times New Roman"/>
          <w:b/>
          <w:sz w:val="24"/>
          <w:szCs w:val="28"/>
        </w:rPr>
        <w:t xml:space="preserve"> </w:t>
      </w:r>
      <w:r w:rsidRPr="00391FD9">
        <w:rPr>
          <w:rFonts w:ascii="Times New Roman" w:hAnsi="Times New Roman" w:cs="Times New Roman"/>
          <w:b/>
          <w:sz w:val="24"/>
          <w:szCs w:val="28"/>
        </w:rPr>
        <w:t>бюджетного</w:t>
      </w:r>
      <w:r w:rsidR="008C2FC0" w:rsidRPr="00391FD9">
        <w:rPr>
          <w:rFonts w:ascii="Times New Roman" w:hAnsi="Times New Roman" w:cs="Times New Roman"/>
          <w:b/>
          <w:sz w:val="24"/>
          <w:szCs w:val="28"/>
        </w:rPr>
        <w:t xml:space="preserve"> </w:t>
      </w:r>
      <w:r w:rsidRPr="00391FD9">
        <w:rPr>
          <w:rFonts w:ascii="Times New Roman" w:hAnsi="Times New Roman" w:cs="Times New Roman"/>
          <w:b/>
          <w:sz w:val="24"/>
          <w:szCs w:val="28"/>
        </w:rPr>
        <w:t>прогноза</w:t>
      </w:r>
    </w:p>
    <w:tbl>
      <w:tblPr>
        <w:tblW w:w="9619" w:type="dxa"/>
        <w:tblInd w:w="103" w:type="dxa"/>
        <w:tblLook w:val="04A0" w:firstRow="1" w:lastRow="0" w:firstColumn="1" w:lastColumn="0" w:noHBand="0" w:noVBand="1"/>
      </w:tblPr>
      <w:tblGrid>
        <w:gridCol w:w="540"/>
        <w:gridCol w:w="7492"/>
        <w:gridCol w:w="1668"/>
      </w:tblGrid>
      <w:tr w:rsidR="0069718F" w:rsidRPr="003136BD" w:rsidTr="00A75424">
        <w:trPr>
          <w:trHeight w:val="20"/>
          <w:tblHeader/>
        </w:trPr>
        <w:tc>
          <w:tcPr>
            <w:tcW w:w="459" w:type="dxa"/>
            <w:tcBorders>
              <w:top w:val="single" w:sz="4" w:space="0" w:color="auto"/>
              <w:left w:val="single" w:sz="4" w:space="0" w:color="auto"/>
              <w:bottom w:val="single" w:sz="4" w:space="0" w:color="auto"/>
              <w:right w:val="single" w:sz="4" w:space="0" w:color="auto"/>
            </w:tcBorders>
            <w:vAlign w:val="center"/>
          </w:tcPr>
          <w:p w:rsidR="0069718F" w:rsidRDefault="0069718F" w:rsidP="0069718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7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18F" w:rsidRPr="007B4322" w:rsidRDefault="0069718F" w:rsidP="00A754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Показатель</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69718F" w:rsidRPr="007B4322" w:rsidRDefault="0069718F" w:rsidP="00315E3C">
            <w:pPr>
              <w:spacing w:after="0" w:line="240" w:lineRule="auto"/>
              <w:jc w:val="center"/>
              <w:rPr>
                <w:rFonts w:ascii="Times New Roman" w:eastAsia="Times New Roman" w:hAnsi="Times New Roman" w:cs="Times New Roman"/>
                <w:color w:val="000000"/>
                <w:sz w:val="24"/>
                <w:szCs w:val="24"/>
                <w:lang w:eastAsia="ru-RU"/>
              </w:rPr>
            </w:pPr>
            <w:r w:rsidRPr="007B4322">
              <w:rPr>
                <w:rFonts w:ascii="Times New Roman" w:eastAsia="Times New Roman" w:hAnsi="Times New Roman" w:cs="Times New Roman"/>
                <w:color w:val="000000"/>
                <w:sz w:val="24"/>
                <w:szCs w:val="24"/>
                <w:lang w:eastAsia="ru-RU"/>
              </w:rPr>
              <w:t>Количество</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субъектов</w:t>
            </w:r>
            <w:r>
              <w:rPr>
                <w:rFonts w:ascii="Times New Roman" w:eastAsia="Times New Roman" w:hAnsi="Times New Roman" w:cs="Times New Roman"/>
                <w:color w:val="000000"/>
                <w:sz w:val="24"/>
                <w:szCs w:val="24"/>
                <w:lang w:eastAsia="ru-RU"/>
              </w:rPr>
              <w:t xml:space="preserve"> </w:t>
            </w:r>
            <w:r w:rsidRPr="007B4322">
              <w:rPr>
                <w:rFonts w:ascii="Times New Roman" w:eastAsia="Times New Roman" w:hAnsi="Times New Roman" w:cs="Times New Roman"/>
                <w:color w:val="000000"/>
                <w:sz w:val="24"/>
                <w:szCs w:val="24"/>
                <w:lang w:eastAsia="ru-RU"/>
              </w:rPr>
              <w:t>РФ</w:t>
            </w:r>
          </w:p>
        </w:tc>
      </w:tr>
      <w:tr w:rsidR="0069718F" w:rsidRPr="003136BD" w:rsidTr="00A75424">
        <w:trPr>
          <w:trHeight w:val="20"/>
        </w:trPr>
        <w:tc>
          <w:tcPr>
            <w:tcW w:w="459" w:type="dxa"/>
            <w:tcBorders>
              <w:top w:val="nil"/>
              <w:left w:val="single" w:sz="4" w:space="0" w:color="auto"/>
              <w:bottom w:val="single" w:sz="4" w:space="0" w:color="auto"/>
              <w:right w:val="single" w:sz="4" w:space="0" w:color="auto"/>
            </w:tcBorders>
          </w:tcPr>
          <w:p w:rsidR="0069718F" w:rsidRPr="0069718F" w:rsidRDefault="0069718F" w:rsidP="00A75424">
            <w:pPr>
              <w:pStyle w:val="a4"/>
              <w:numPr>
                <w:ilvl w:val="0"/>
                <w:numId w:val="23"/>
              </w:numPr>
              <w:spacing w:after="0" w:line="240" w:lineRule="auto"/>
              <w:ind w:left="113" w:firstLine="0"/>
              <w:rPr>
                <w:rFonts w:ascii="Times New Roman" w:eastAsia="Times New Roman" w:hAnsi="Times New Roman" w:cs="Times New Roman"/>
                <w:color w:val="000000"/>
                <w:sz w:val="24"/>
                <w:szCs w:val="24"/>
                <w:lang w:eastAsia="ru-RU"/>
              </w:rPr>
            </w:pPr>
          </w:p>
        </w:tc>
        <w:tc>
          <w:tcPr>
            <w:tcW w:w="7492" w:type="dxa"/>
            <w:tcBorders>
              <w:top w:val="nil"/>
              <w:left w:val="single" w:sz="4" w:space="0" w:color="auto"/>
              <w:bottom w:val="single" w:sz="4" w:space="0" w:color="auto"/>
              <w:right w:val="single" w:sz="4" w:space="0" w:color="auto"/>
            </w:tcBorders>
            <w:shd w:val="clear" w:color="auto" w:fill="auto"/>
            <w:vAlign w:val="center"/>
          </w:tcPr>
          <w:p w:rsidR="0069718F" w:rsidRPr="00D304FF" w:rsidRDefault="0069718F" w:rsidP="00A75424">
            <w:pPr>
              <w:pStyle w:val="a4"/>
              <w:tabs>
                <w:tab w:val="left" w:pos="354"/>
              </w:tabs>
              <w:spacing w:after="0" w:line="240" w:lineRule="auto"/>
              <w:ind w:left="0"/>
              <w:jc w:val="both"/>
              <w:rPr>
                <w:rFonts w:ascii="Times New Roman" w:eastAsia="Times New Roman" w:hAnsi="Times New Roman" w:cs="Times New Roman"/>
                <w:color w:val="000000"/>
                <w:sz w:val="24"/>
                <w:szCs w:val="24"/>
                <w:lang w:eastAsia="ru-RU"/>
              </w:rPr>
            </w:pPr>
            <w:r w:rsidRPr="00D304FF">
              <w:rPr>
                <w:rFonts w:ascii="Times New Roman" w:eastAsia="Times New Roman" w:hAnsi="Times New Roman" w:cs="Times New Roman"/>
                <w:color w:val="000000"/>
                <w:sz w:val="24"/>
                <w:szCs w:val="24"/>
                <w:lang w:eastAsia="ru-RU"/>
              </w:rPr>
              <w:t>Бюджетный прогноз размещен в открытом доступе в сети Интернет</w:t>
            </w:r>
          </w:p>
        </w:tc>
        <w:tc>
          <w:tcPr>
            <w:tcW w:w="1668" w:type="dxa"/>
            <w:tcBorders>
              <w:top w:val="nil"/>
              <w:left w:val="nil"/>
              <w:bottom w:val="single" w:sz="4" w:space="0" w:color="auto"/>
              <w:right w:val="single" w:sz="4" w:space="0" w:color="auto"/>
            </w:tcBorders>
            <w:shd w:val="clear" w:color="auto" w:fill="auto"/>
            <w:vAlign w:val="center"/>
          </w:tcPr>
          <w:p w:rsidR="0069718F" w:rsidRDefault="0069718F" w:rsidP="00315E3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66</w:t>
            </w:r>
          </w:p>
        </w:tc>
      </w:tr>
      <w:tr w:rsidR="0069718F" w:rsidRPr="003136BD" w:rsidTr="00A75424">
        <w:trPr>
          <w:trHeight w:val="20"/>
        </w:trPr>
        <w:tc>
          <w:tcPr>
            <w:tcW w:w="459" w:type="dxa"/>
            <w:tcBorders>
              <w:top w:val="nil"/>
              <w:left w:val="single" w:sz="4" w:space="0" w:color="auto"/>
              <w:bottom w:val="single" w:sz="4" w:space="0" w:color="auto"/>
              <w:right w:val="single" w:sz="4" w:space="0" w:color="auto"/>
            </w:tcBorders>
          </w:tcPr>
          <w:p w:rsidR="0069718F" w:rsidRPr="0069718F" w:rsidRDefault="0069718F" w:rsidP="00A75424">
            <w:pPr>
              <w:spacing w:after="0" w:line="240" w:lineRule="auto"/>
              <w:ind w:left="113"/>
              <w:jc w:val="center"/>
              <w:rPr>
                <w:rFonts w:ascii="Times New Roman" w:eastAsia="Times New Roman" w:hAnsi="Times New Roman" w:cs="Times New Roman"/>
                <w:color w:val="000000"/>
                <w:sz w:val="24"/>
                <w:szCs w:val="24"/>
                <w:lang w:eastAsia="ru-RU"/>
              </w:rPr>
            </w:pPr>
          </w:p>
        </w:tc>
        <w:tc>
          <w:tcPr>
            <w:tcW w:w="7492" w:type="dxa"/>
            <w:tcBorders>
              <w:top w:val="nil"/>
              <w:left w:val="single" w:sz="4" w:space="0" w:color="auto"/>
              <w:bottom w:val="single" w:sz="4" w:space="0" w:color="auto"/>
              <w:right w:val="single" w:sz="4" w:space="0" w:color="auto"/>
            </w:tcBorders>
            <w:shd w:val="clear" w:color="auto" w:fill="auto"/>
            <w:vAlign w:val="center"/>
          </w:tcPr>
          <w:p w:rsidR="0069718F" w:rsidRPr="00A75424" w:rsidDel="002D3FEE" w:rsidRDefault="0069718F" w:rsidP="00674564">
            <w:pPr>
              <w:spacing w:after="0" w:line="240" w:lineRule="auto"/>
              <w:jc w:val="both"/>
              <w:rPr>
                <w:rFonts w:ascii="Times New Roman" w:eastAsia="Times New Roman" w:hAnsi="Times New Roman" w:cs="Times New Roman"/>
                <w:i/>
                <w:color w:val="000000"/>
                <w:sz w:val="24"/>
                <w:szCs w:val="24"/>
                <w:lang w:eastAsia="ru-RU"/>
              </w:rPr>
            </w:pPr>
            <w:r w:rsidRPr="00A75424">
              <w:rPr>
                <w:rFonts w:ascii="Times New Roman" w:eastAsia="Times New Roman" w:hAnsi="Times New Roman" w:cs="Times New Roman"/>
                <w:i/>
                <w:color w:val="000000"/>
                <w:sz w:val="24"/>
                <w:szCs w:val="24"/>
                <w:lang w:eastAsia="ru-RU"/>
              </w:rPr>
              <w:t>в том числе</w:t>
            </w:r>
          </w:p>
        </w:tc>
        <w:tc>
          <w:tcPr>
            <w:tcW w:w="1668" w:type="dxa"/>
            <w:tcBorders>
              <w:top w:val="nil"/>
              <w:left w:val="nil"/>
              <w:bottom w:val="single" w:sz="4" w:space="0" w:color="auto"/>
              <w:right w:val="single" w:sz="4" w:space="0" w:color="auto"/>
            </w:tcBorders>
            <w:shd w:val="clear" w:color="auto" w:fill="auto"/>
            <w:vAlign w:val="center"/>
          </w:tcPr>
          <w:p w:rsidR="0069718F" w:rsidRDefault="0069718F" w:rsidP="00315E3C">
            <w:pPr>
              <w:spacing w:after="0" w:line="240" w:lineRule="auto"/>
              <w:jc w:val="center"/>
              <w:rPr>
                <w:rFonts w:ascii="Times New Roman" w:eastAsia="Times New Roman" w:hAnsi="Times New Roman" w:cs="Times New Roman"/>
                <w:bCs/>
                <w:color w:val="000000"/>
                <w:sz w:val="24"/>
                <w:szCs w:val="24"/>
                <w:lang w:eastAsia="ru-RU"/>
              </w:rPr>
            </w:pPr>
          </w:p>
        </w:tc>
      </w:tr>
      <w:tr w:rsidR="0069718F" w:rsidRPr="003136BD" w:rsidTr="00A75424">
        <w:trPr>
          <w:trHeight w:val="20"/>
        </w:trPr>
        <w:tc>
          <w:tcPr>
            <w:tcW w:w="459" w:type="dxa"/>
            <w:tcBorders>
              <w:top w:val="nil"/>
              <w:left w:val="single" w:sz="4" w:space="0" w:color="auto"/>
              <w:bottom w:val="single" w:sz="4" w:space="0" w:color="auto"/>
              <w:right w:val="single" w:sz="4" w:space="0" w:color="auto"/>
            </w:tcBorders>
          </w:tcPr>
          <w:p w:rsidR="0069718F" w:rsidRPr="0069718F" w:rsidDel="002D3FEE" w:rsidRDefault="0069718F" w:rsidP="00A75424">
            <w:pPr>
              <w:spacing w:after="0" w:line="240" w:lineRule="auto"/>
              <w:ind w:left="113"/>
              <w:jc w:val="center"/>
              <w:rPr>
                <w:rFonts w:ascii="Times New Roman" w:eastAsia="Times New Roman" w:hAnsi="Times New Roman" w:cs="Times New Roman"/>
                <w:color w:val="000000"/>
                <w:sz w:val="24"/>
                <w:szCs w:val="24"/>
                <w:lang w:eastAsia="ru-RU"/>
              </w:rPr>
            </w:pPr>
          </w:p>
        </w:tc>
        <w:tc>
          <w:tcPr>
            <w:tcW w:w="7492" w:type="dxa"/>
            <w:tcBorders>
              <w:top w:val="nil"/>
              <w:left w:val="single" w:sz="4" w:space="0" w:color="auto"/>
              <w:bottom w:val="single" w:sz="4" w:space="0" w:color="auto"/>
              <w:right w:val="single" w:sz="4" w:space="0" w:color="auto"/>
            </w:tcBorders>
            <w:shd w:val="clear" w:color="auto" w:fill="auto"/>
            <w:vAlign w:val="center"/>
          </w:tcPr>
          <w:p w:rsidR="0069718F" w:rsidRPr="00A75424" w:rsidRDefault="0069718F" w:rsidP="00A75424">
            <w:pPr>
              <w:spacing w:after="0" w:line="240" w:lineRule="auto"/>
              <w:ind w:left="493"/>
              <w:jc w:val="both"/>
              <w:rPr>
                <w:rFonts w:ascii="Times New Roman" w:eastAsia="Times New Roman" w:hAnsi="Times New Roman" w:cs="Times New Roman"/>
                <w:color w:val="000000"/>
                <w:szCs w:val="24"/>
                <w:lang w:eastAsia="ru-RU"/>
              </w:rPr>
            </w:pPr>
            <w:r w:rsidRPr="00A75424">
              <w:rPr>
                <w:rFonts w:ascii="Times New Roman" w:eastAsia="Times New Roman" w:hAnsi="Times New Roman" w:cs="Times New Roman"/>
                <w:color w:val="000000"/>
                <w:szCs w:val="24"/>
                <w:lang w:eastAsia="ru-RU"/>
              </w:rPr>
              <w:t>на сайтах соответствующих финансовых иных органов государственной власти субъектов РФ или на официальном интернет-портале правовой информации</w:t>
            </w:r>
          </w:p>
        </w:tc>
        <w:tc>
          <w:tcPr>
            <w:tcW w:w="1668" w:type="dxa"/>
            <w:tcBorders>
              <w:top w:val="nil"/>
              <w:left w:val="nil"/>
              <w:bottom w:val="single" w:sz="4" w:space="0" w:color="auto"/>
              <w:right w:val="single" w:sz="4" w:space="0" w:color="auto"/>
            </w:tcBorders>
            <w:shd w:val="clear" w:color="auto" w:fill="auto"/>
            <w:vAlign w:val="center"/>
          </w:tcPr>
          <w:p w:rsidR="0069718F" w:rsidRPr="00A75424" w:rsidRDefault="0069718F" w:rsidP="00315E3C">
            <w:pPr>
              <w:spacing w:after="0" w:line="240" w:lineRule="auto"/>
              <w:jc w:val="center"/>
              <w:rPr>
                <w:rFonts w:ascii="Times New Roman" w:eastAsia="Times New Roman" w:hAnsi="Times New Roman" w:cs="Times New Roman"/>
                <w:bCs/>
                <w:color w:val="000000"/>
                <w:szCs w:val="24"/>
                <w:lang w:eastAsia="ru-RU"/>
              </w:rPr>
            </w:pPr>
            <w:r w:rsidRPr="00A75424">
              <w:rPr>
                <w:rFonts w:ascii="Times New Roman" w:eastAsia="Times New Roman" w:hAnsi="Times New Roman" w:cs="Times New Roman"/>
                <w:bCs/>
                <w:color w:val="000000"/>
                <w:szCs w:val="24"/>
                <w:lang w:eastAsia="ru-RU"/>
              </w:rPr>
              <w:t>59</w:t>
            </w:r>
          </w:p>
        </w:tc>
      </w:tr>
      <w:tr w:rsidR="0069718F" w:rsidRPr="003136BD" w:rsidTr="00A75424">
        <w:trPr>
          <w:trHeight w:val="20"/>
        </w:trPr>
        <w:tc>
          <w:tcPr>
            <w:tcW w:w="459" w:type="dxa"/>
            <w:tcBorders>
              <w:top w:val="nil"/>
              <w:left w:val="single" w:sz="4" w:space="0" w:color="auto"/>
              <w:bottom w:val="single" w:sz="4" w:space="0" w:color="auto"/>
              <w:right w:val="single" w:sz="4" w:space="0" w:color="auto"/>
            </w:tcBorders>
          </w:tcPr>
          <w:p w:rsidR="0069718F" w:rsidRPr="0069718F" w:rsidDel="002D3FEE" w:rsidRDefault="0069718F" w:rsidP="00A75424">
            <w:pPr>
              <w:spacing w:after="0" w:line="240" w:lineRule="auto"/>
              <w:ind w:left="113"/>
              <w:jc w:val="center"/>
              <w:rPr>
                <w:rFonts w:ascii="Times New Roman" w:eastAsia="Times New Roman" w:hAnsi="Times New Roman" w:cs="Times New Roman"/>
                <w:color w:val="000000"/>
                <w:sz w:val="24"/>
                <w:szCs w:val="24"/>
                <w:lang w:eastAsia="ru-RU"/>
              </w:rPr>
            </w:pPr>
          </w:p>
        </w:tc>
        <w:tc>
          <w:tcPr>
            <w:tcW w:w="7492" w:type="dxa"/>
            <w:tcBorders>
              <w:top w:val="nil"/>
              <w:left w:val="single" w:sz="4" w:space="0" w:color="auto"/>
              <w:bottom w:val="single" w:sz="4" w:space="0" w:color="auto"/>
              <w:right w:val="single" w:sz="4" w:space="0" w:color="auto"/>
            </w:tcBorders>
            <w:shd w:val="clear" w:color="auto" w:fill="auto"/>
            <w:vAlign w:val="center"/>
          </w:tcPr>
          <w:p w:rsidR="0069718F" w:rsidRPr="00A75424" w:rsidRDefault="0069718F" w:rsidP="00A75424">
            <w:pPr>
              <w:spacing w:after="0" w:line="240" w:lineRule="auto"/>
              <w:ind w:left="493"/>
              <w:jc w:val="both"/>
              <w:rPr>
                <w:rFonts w:ascii="Times New Roman" w:eastAsia="Times New Roman" w:hAnsi="Times New Roman" w:cs="Times New Roman"/>
                <w:color w:val="000000"/>
                <w:szCs w:val="24"/>
                <w:lang w:eastAsia="ru-RU"/>
              </w:rPr>
            </w:pPr>
            <w:r w:rsidRPr="00A75424">
              <w:rPr>
                <w:rFonts w:ascii="Times New Roman" w:eastAsia="Times New Roman" w:hAnsi="Times New Roman" w:cs="Times New Roman"/>
                <w:color w:val="000000"/>
                <w:szCs w:val="24"/>
                <w:lang w:eastAsia="ru-RU"/>
              </w:rPr>
              <w:t xml:space="preserve">на сайтах законодательных органов государственной власти субъектов РФ в составе материалов, вносимых одновременно с проектом закона о соответствующем бюджете с затрудненными условиями поиска информации </w:t>
            </w:r>
          </w:p>
        </w:tc>
        <w:tc>
          <w:tcPr>
            <w:tcW w:w="1668" w:type="dxa"/>
            <w:tcBorders>
              <w:top w:val="nil"/>
              <w:left w:val="nil"/>
              <w:bottom w:val="single" w:sz="4" w:space="0" w:color="auto"/>
              <w:right w:val="single" w:sz="4" w:space="0" w:color="auto"/>
            </w:tcBorders>
            <w:shd w:val="clear" w:color="auto" w:fill="auto"/>
            <w:vAlign w:val="center"/>
          </w:tcPr>
          <w:p w:rsidR="0069718F" w:rsidRPr="00A75424" w:rsidRDefault="0069718F" w:rsidP="00315E3C">
            <w:pPr>
              <w:spacing w:after="0" w:line="240" w:lineRule="auto"/>
              <w:jc w:val="center"/>
              <w:rPr>
                <w:rFonts w:ascii="Times New Roman" w:eastAsia="Times New Roman" w:hAnsi="Times New Roman" w:cs="Times New Roman"/>
                <w:bCs/>
                <w:color w:val="000000"/>
                <w:szCs w:val="24"/>
                <w:lang w:eastAsia="ru-RU"/>
              </w:rPr>
            </w:pPr>
            <w:r w:rsidRPr="00A75424">
              <w:rPr>
                <w:rFonts w:ascii="Times New Roman" w:eastAsia="Times New Roman" w:hAnsi="Times New Roman" w:cs="Times New Roman"/>
                <w:bCs/>
                <w:color w:val="000000"/>
                <w:szCs w:val="24"/>
                <w:lang w:eastAsia="ru-RU"/>
              </w:rPr>
              <w:t>7</w:t>
            </w:r>
          </w:p>
        </w:tc>
      </w:tr>
      <w:tr w:rsidR="0069718F" w:rsidRPr="003136BD" w:rsidTr="00A75424">
        <w:trPr>
          <w:trHeight w:val="20"/>
        </w:trPr>
        <w:tc>
          <w:tcPr>
            <w:tcW w:w="459" w:type="dxa"/>
            <w:tcBorders>
              <w:top w:val="single" w:sz="4" w:space="0" w:color="auto"/>
              <w:left w:val="single" w:sz="4" w:space="0" w:color="auto"/>
              <w:bottom w:val="single" w:sz="4" w:space="0" w:color="auto"/>
              <w:right w:val="single" w:sz="4" w:space="0" w:color="auto"/>
            </w:tcBorders>
            <w:shd w:val="clear" w:color="auto" w:fill="auto"/>
          </w:tcPr>
          <w:p w:rsidR="0069718F" w:rsidRPr="0069718F" w:rsidRDefault="0069718F" w:rsidP="00A75424">
            <w:pPr>
              <w:pStyle w:val="a4"/>
              <w:numPr>
                <w:ilvl w:val="0"/>
                <w:numId w:val="23"/>
              </w:numPr>
              <w:tabs>
                <w:tab w:val="left" w:pos="354"/>
              </w:tabs>
              <w:spacing w:after="0" w:line="240" w:lineRule="auto"/>
              <w:ind w:left="113" w:firstLine="0"/>
              <w:jc w:val="center"/>
              <w:rPr>
                <w:rFonts w:ascii="Times New Roman" w:eastAsia="Times New Roman" w:hAnsi="Times New Roman" w:cs="Times New Roman"/>
                <w:iCs/>
                <w:color w:val="000000"/>
                <w:sz w:val="24"/>
                <w:szCs w:val="24"/>
                <w:lang w:eastAsia="ru-RU"/>
              </w:rPr>
            </w:pPr>
          </w:p>
        </w:tc>
        <w:tc>
          <w:tcPr>
            <w:tcW w:w="7492" w:type="dxa"/>
            <w:tcBorders>
              <w:top w:val="single" w:sz="4" w:space="0" w:color="auto"/>
              <w:left w:val="single" w:sz="4" w:space="0" w:color="auto"/>
              <w:bottom w:val="single" w:sz="4" w:space="0" w:color="auto"/>
              <w:right w:val="single" w:sz="4" w:space="0" w:color="auto"/>
            </w:tcBorders>
            <w:shd w:val="clear" w:color="auto" w:fill="auto"/>
            <w:vAlign w:val="center"/>
          </w:tcPr>
          <w:p w:rsidR="0069718F" w:rsidRPr="00D304FF" w:rsidRDefault="0069718F" w:rsidP="00A75424">
            <w:pPr>
              <w:pStyle w:val="a4"/>
              <w:tabs>
                <w:tab w:val="left" w:pos="354"/>
              </w:tabs>
              <w:spacing w:after="0" w:line="240" w:lineRule="auto"/>
              <w:ind w:left="71"/>
              <w:jc w:val="both"/>
              <w:rPr>
                <w:rFonts w:ascii="Times New Roman" w:eastAsia="Times New Roman" w:hAnsi="Times New Roman" w:cs="Times New Roman"/>
                <w:iCs/>
                <w:color w:val="000000"/>
                <w:sz w:val="24"/>
                <w:szCs w:val="24"/>
                <w:lang w:eastAsia="ru-RU"/>
              </w:rPr>
            </w:pPr>
            <w:r w:rsidRPr="00D304FF">
              <w:rPr>
                <w:rFonts w:ascii="Times New Roman" w:eastAsia="Times New Roman" w:hAnsi="Times New Roman" w:cs="Times New Roman"/>
                <w:iCs/>
                <w:color w:val="000000"/>
                <w:sz w:val="24"/>
                <w:szCs w:val="24"/>
                <w:lang w:eastAsia="ru-RU"/>
              </w:rPr>
              <w:t xml:space="preserve">Бюджетный прогноз размещен в справочно-правовой системе «Консультант плюс: Регионы», размещение в открытом доступе </w:t>
            </w:r>
            <w:r>
              <w:rPr>
                <w:rFonts w:ascii="Times New Roman" w:eastAsia="Times New Roman" w:hAnsi="Times New Roman" w:cs="Times New Roman"/>
                <w:iCs/>
                <w:color w:val="000000"/>
                <w:sz w:val="24"/>
                <w:szCs w:val="24"/>
                <w:lang w:eastAsia="ru-RU"/>
              </w:rPr>
              <w:t xml:space="preserve">в сети </w:t>
            </w:r>
            <w:r w:rsidRPr="00D304FF">
              <w:rPr>
                <w:rFonts w:ascii="Times New Roman" w:eastAsia="Times New Roman" w:hAnsi="Times New Roman" w:cs="Times New Roman"/>
                <w:iCs/>
                <w:color w:val="000000"/>
                <w:sz w:val="24"/>
                <w:szCs w:val="24"/>
                <w:lang w:eastAsia="ru-RU"/>
              </w:rPr>
              <w:t>Интернет отсутствует</w:t>
            </w:r>
          </w:p>
        </w:tc>
        <w:tc>
          <w:tcPr>
            <w:tcW w:w="1668" w:type="dxa"/>
            <w:tcBorders>
              <w:top w:val="single" w:sz="4" w:space="0" w:color="auto"/>
              <w:left w:val="nil"/>
              <w:bottom w:val="single" w:sz="4" w:space="0" w:color="auto"/>
              <w:right w:val="single" w:sz="4" w:space="0" w:color="auto"/>
            </w:tcBorders>
            <w:vAlign w:val="center"/>
          </w:tcPr>
          <w:p w:rsidR="0069718F" w:rsidRPr="00674564" w:rsidRDefault="0069718F" w:rsidP="00315E3C">
            <w:pPr>
              <w:spacing w:after="0" w:line="240" w:lineRule="auto"/>
              <w:jc w:val="center"/>
              <w:rPr>
                <w:rFonts w:ascii="Times New Roman" w:eastAsia="Times New Roman" w:hAnsi="Times New Roman" w:cs="Times New Roman"/>
                <w:iCs/>
                <w:color w:val="000000"/>
                <w:sz w:val="24"/>
                <w:szCs w:val="24"/>
                <w:lang w:eastAsia="ru-RU"/>
              </w:rPr>
            </w:pPr>
            <w:r w:rsidRPr="00674564">
              <w:rPr>
                <w:rFonts w:ascii="Times New Roman" w:eastAsia="Times New Roman" w:hAnsi="Times New Roman" w:cs="Times New Roman"/>
                <w:iCs/>
                <w:color w:val="000000"/>
                <w:sz w:val="24"/>
                <w:szCs w:val="24"/>
                <w:lang w:eastAsia="ru-RU"/>
              </w:rPr>
              <w:t>15</w:t>
            </w:r>
          </w:p>
        </w:tc>
      </w:tr>
      <w:tr w:rsidR="0069718F" w:rsidRPr="003136BD" w:rsidTr="00A75424">
        <w:trPr>
          <w:trHeight w:val="20"/>
        </w:trPr>
        <w:tc>
          <w:tcPr>
            <w:tcW w:w="459" w:type="dxa"/>
            <w:tcBorders>
              <w:top w:val="single" w:sz="4" w:space="0" w:color="auto"/>
              <w:left w:val="single" w:sz="4" w:space="0" w:color="auto"/>
              <w:bottom w:val="single" w:sz="4" w:space="0" w:color="auto"/>
              <w:right w:val="single" w:sz="4" w:space="0" w:color="auto"/>
            </w:tcBorders>
          </w:tcPr>
          <w:p w:rsidR="0069718F" w:rsidRPr="0069718F" w:rsidRDefault="0069718F" w:rsidP="00A75424">
            <w:pPr>
              <w:pStyle w:val="a4"/>
              <w:numPr>
                <w:ilvl w:val="0"/>
                <w:numId w:val="23"/>
              </w:numPr>
              <w:tabs>
                <w:tab w:val="left" w:pos="354"/>
              </w:tabs>
              <w:spacing w:after="0" w:line="240" w:lineRule="auto"/>
              <w:ind w:left="113" w:firstLine="0"/>
              <w:jc w:val="center"/>
              <w:rPr>
                <w:rFonts w:ascii="Times New Roman" w:eastAsia="Times New Roman" w:hAnsi="Times New Roman" w:cs="Times New Roman"/>
                <w:iCs/>
                <w:color w:val="000000"/>
                <w:sz w:val="24"/>
                <w:szCs w:val="24"/>
                <w:lang w:eastAsia="ru-RU"/>
              </w:rPr>
            </w:pPr>
          </w:p>
        </w:tc>
        <w:tc>
          <w:tcPr>
            <w:tcW w:w="7492" w:type="dxa"/>
            <w:tcBorders>
              <w:top w:val="single" w:sz="4" w:space="0" w:color="auto"/>
              <w:left w:val="single" w:sz="4" w:space="0" w:color="auto"/>
              <w:bottom w:val="single" w:sz="4" w:space="0" w:color="auto"/>
              <w:right w:val="single" w:sz="4" w:space="0" w:color="auto"/>
            </w:tcBorders>
            <w:shd w:val="clear" w:color="auto" w:fill="auto"/>
            <w:vAlign w:val="center"/>
          </w:tcPr>
          <w:p w:rsidR="0069718F" w:rsidRPr="00D304FF" w:rsidRDefault="0069718F" w:rsidP="00A75424">
            <w:pPr>
              <w:pStyle w:val="a4"/>
              <w:tabs>
                <w:tab w:val="left" w:pos="354"/>
              </w:tabs>
              <w:spacing w:after="0" w:line="240" w:lineRule="auto"/>
              <w:ind w:left="71"/>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Бюджетный прогноз не размещен в доступных источниках </w:t>
            </w:r>
          </w:p>
        </w:tc>
        <w:tc>
          <w:tcPr>
            <w:tcW w:w="1668" w:type="dxa"/>
            <w:tcBorders>
              <w:top w:val="single" w:sz="4" w:space="0" w:color="auto"/>
              <w:left w:val="nil"/>
              <w:bottom w:val="single" w:sz="4" w:space="0" w:color="auto"/>
              <w:right w:val="single" w:sz="4" w:space="0" w:color="auto"/>
            </w:tcBorders>
            <w:shd w:val="clear" w:color="auto" w:fill="auto"/>
            <w:vAlign w:val="center"/>
          </w:tcPr>
          <w:p w:rsidR="0069718F" w:rsidRPr="00674564" w:rsidRDefault="0069718F" w:rsidP="00315E3C">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w:t>
            </w:r>
          </w:p>
        </w:tc>
      </w:tr>
    </w:tbl>
    <w:p w:rsidR="002F5D2E" w:rsidRDefault="002F5D2E" w:rsidP="00526D62">
      <w:pPr>
        <w:spacing w:after="0" w:line="276" w:lineRule="auto"/>
        <w:jc w:val="both"/>
        <w:rPr>
          <w:rFonts w:ascii="Times New Roman" w:eastAsia="Times New Roman" w:hAnsi="Times New Roman" w:cs="Times New Roman"/>
          <w:sz w:val="28"/>
          <w:szCs w:val="28"/>
          <w:lang w:eastAsia="ru-RU"/>
        </w:rPr>
      </w:pPr>
    </w:p>
    <w:p w:rsidR="00AA7AF1" w:rsidRPr="00526D62" w:rsidRDefault="00AA7AF1" w:rsidP="005D1255">
      <w:pPr>
        <w:pStyle w:val="a4"/>
        <w:numPr>
          <w:ilvl w:val="0"/>
          <w:numId w:val="32"/>
        </w:numPr>
        <w:tabs>
          <w:tab w:val="right" w:pos="426"/>
        </w:tabs>
        <w:spacing w:after="120" w:line="276" w:lineRule="auto"/>
        <w:ind w:left="0" w:firstLine="0"/>
        <w:jc w:val="both"/>
        <w:rPr>
          <w:rFonts w:ascii="Times New Roman" w:eastAsia="Times New Roman" w:hAnsi="Times New Roman" w:cs="Times New Roman"/>
          <w:sz w:val="28"/>
          <w:szCs w:val="28"/>
          <w:u w:val="single"/>
          <w:lang w:eastAsia="ru-RU"/>
        </w:rPr>
      </w:pPr>
      <w:r w:rsidRPr="00526D62">
        <w:rPr>
          <w:rFonts w:ascii="Times New Roman" w:eastAsia="Times New Roman" w:hAnsi="Times New Roman" w:cs="Times New Roman"/>
          <w:sz w:val="28"/>
          <w:szCs w:val="28"/>
          <w:u w:val="single"/>
          <w:lang w:eastAsia="ru-RU"/>
        </w:rPr>
        <w:t>Разработка</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бюджетного</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прогноза</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на</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вариативной</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основе</w:t>
      </w:r>
    </w:p>
    <w:p w:rsidR="00AA7AF1" w:rsidRDefault="00AA7AF1" w:rsidP="00526D62">
      <w:pPr>
        <w:spacing w:after="0" w:line="276" w:lineRule="auto"/>
        <w:jc w:val="both"/>
        <w:rPr>
          <w:rFonts w:ascii="Times New Roman" w:eastAsia="Times New Roman" w:hAnsi="Times New Roman" w:cs="Times New Roman"/>
          <w:sz w:val="28"/>
          <w:szCs w:val="28"/>
          <w:lang w:eastAsia="ru-RU"/>
        </w:rPr>
      </w:pPr>
      <w:r w:rsidRPr="00E73178">
        <w:rPr>
          <w:rFonts w:ascii="Times New Roman" w:eastAsia="Times New Roman" w:hAnsi="Times New Roman" w:cs="Times New Roman"/>
          <w:sz w:val="28"/>
          <w:szCs w:val="28"/>
          <w:lang w:eastAsia="ru-RU"/>
        </w:rPr>
        <w:t>В</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соответствии</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с</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Методическими</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рекомендациями</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бюджетный</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прогноз</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должен</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разрабатываться</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с</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учетом</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нескольких</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вариантов</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прогноза</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социально-экономического</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развития</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на</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долгосрочный</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период.</w:t>
      </w:r>
      <w:r w:rsidR="008C2FC0">
        <w:rPr>
          <w:rFonts w:ascii="Times New Roman" w:eastAsia="Times New Roman" w:hAnsi="Times New Roman" w:cs="Times New Roman"/>
          <w:sz w:val="28"/>
          <w:szCs w:val="28"/>
          <w:lang w:eastAsia="ru-RU"/>
        </w:rPr>
        <w:t xml:space="preserve"> </w:t>
      </w:r>
    </w:p>
    <w:p w:rsidR="00D11A67" w:rsidRDefault="00AA7AF1" w:rsidP="00526D62">
      <w:pPr>
        <w:spacing w:after="0" w:line="276" w:lineRule="auto"/>
        <w:jc w:val="both"/>
        <w:rPr>
          <w:rFonts w:ascii="Times New Roman" w:eastAsia="Times New Roman" w:hAnsi="Times New Roman" w:cs="Times New Roman"/>
          <w:sz w:val="28"/>
          <w:szCs w:val="28"/>
          <w:lang w:eastAsia="ru-RU"/>
        </w:rPr>
      </w:pPr>
      <w:r w:rsidRPr="00E73178">
        <w:rPr>
          <w:rFonts w:ascii="Times New Roman" w:eastAsia="Times New Roman" w:hAnsi="Times New Roman" w:cs="Times New Roman"/>
          <w:sz w:val="28"/>
          <w:szCs w:val="28"/>
          <w:lang w:eastAsia="ru-RU"/>
        </w:rPr>
        <w:t>По</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результатам</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проведенного</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мониторинга</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данному</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требованию</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соответствуют</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бюджетные</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прогнозы</w:t>
      </w:r>
      <w:r w:rsidR="008C2FC0">
        <w:rPr>
          <w:rFonts w:ascii="Times New Roman" w:eastAsia="Times New Roman" w:hAnsi="Times New Roman" w:cs="Times New Roman"/>
          <w:sz w:val="28"/>
          <w:szCs w:val="28"/>
          <w:lang w:eastAsia="ru-RU"/>
        </w:rPr>
        <w:t xml:space="preserve"> </w:t>
      </w:r>
      <w:r w:rsidR="00AA6E59">
        <w:rPr>
          <w:rFonts w:ascii="Times New Roman" w:eastAsia="Times New Roman" w:hAnsi="Times New Roman" w:cs="Times New Roman"/>
          <w:sz w:val="28"/>
          <w:szCs w:val="28"/>
          <w:lang w:eastAsia="ru-RU"/>
        </w:rPr>
        <w:t>только</w:t>
      </w:r>
      <w:r w:rsidR="008C2FC0">
        <w:rPr>
          <w:rFonts w:ascii="Times New Roman" w:eastAsia="Times New Roman" w:hAnsi="Times New Roman" w:cs="Times New Roman"/>
          <w:sz w:val="28"/>
          <w:szCs w:val="28"/>
          <w:lang w:eastAsia="ru-RU"/>
        </w:rPr>
        <w:t xml:space="preserve"> </w:t>
      </w:r>
      <w:r w:rsidR="00D11A67">
        <w:rPr>
          <w:rFonts w:ascii="Times New Roman" w:eastAsia="Times New Roman" w:hAnsi="Times New Roman" w:cs="Times New Roman"/>
          <w:sz w:val="28"/>
          <w:szCs w:val="28"/>
          <w:lang w:eastAsia="ru-RU"/>
        </w:rPr>
        <w:t>22</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субъект</w:t>
      </w:r>
      <w:r w:rsidR="00670397">
        <w:rPr>
          <w:rFonts w:ascii="Times New Roman" w:eastAsia="Times New Roman" w:hAnsi="Times New Roman" w:cs="Times New Roman"/>
          <w:sz w:val="28"/>
          <w:szCs w:val="28"/>
          <w:lang w:eastAsia="ru-RU"/>
        </w:rPr>
        <w:t>ов</w:t>
      </w:r>
      <w:r w:rsidR="008C2FC0">
        <w:rPr>
          <w:rFonts w:ascii="Times New Roman" w:eastAsia="Times New Roman" w:hAnsi="Times New Roman" w:cs="Times New Roman"/>
          <w:sz w:val="28"/>
          <w:szCs w:val="28"/>
          <w:lang w:eastAsia="ru-RU"/>
        </w:rPr>
        <w:t xml:space="preserve"> </w:t>
      </w:r>
      <w:r w:rsidR="007E1F77">
        <w:rPr>
          <w:rFonts w:ascii="Times New Roman" w:eastAsia="Times New Roman" w:hAnsi="Times New Roman" w:cs="Times New Roman"/>
          <w:sz w:val="28"/>
          <w:szCs w:val="28"/>
          <w:lang w:eastAsia="ru-RU"/>
        </w:rPr>
        <w:t>РФ</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(около</w:t>
      </w:r>
      <w:r w:rsidR="008C2FC0">
        <w:rPr>
          <w:rFonts w:ascii="Times New Roman" w:eastAsia="Times New Roman" w:hAnsi="Times New Roman" w:cs="Times New Roman"/>
          <w:sz w:val="28"/>
          <w:szCs w:val="28"/>
          <w:lang w:eastAsia="ru-RU"/>
        </w:rPr>
        <w:t xml:space="preserve"> </w:t>
      </w:r>
      <w:r w:rsidRPr="00E73178">
        <w:rPr>
          <w:rFonts w:ascii="Times New Roman" w:eastAsia="Times New Roman" w:hAnsi="Times New Roman" w:cs="Times New Roman"/>
          <w:sz w:val="28"/>
          <w:szCs w:val="28"/>
          <w:lang w:eastAsia="ru-RU"/>
        </w:rPr>
        <w:t>2</w:t>
      </w:r>
      <w:r w:rsidR="00D11A67">
        <w:rPr>
          <w:rFonts w:ascii="Times New Roman" w:eastAsia="Times New Roman" w:hAnsi="Times New Roman" w:cs="Times New Roman"/>
          <w:sz w:val="28"/>
          <w:szCs w:val="28"/>
          <w:lang w:eastAsia="ru-RU"/>
        </w:rPr>
        <w:t>7</w:t>
      </w:r>
      <w:r w:rsidRPr="00E73178">
        <w:rPr>
          <w:rFonts w:ascii="Times New Roman" w:eastAsia="Times New Roman" w:hAnsi="Times New Roman" w:cs="Times New Roman"/>
          <w:sz w:val="28"/>
          <w:szCs w:val="28"/>
          <w:lang w:eastAsia="ru-RU"/>
        </w:rPr>
        <w:t>%).</w:t>
      </w:r>
      <w:r w:rsidR="003F17DB">
        <w:rPr>
          <w:rFonts w:ascii="Times New Roman" w:eastAsia="Times New Roman" w:hAnsi="Times New Roman" w:cs="Times New Roman"/>
          <w:sz w:val="28"/>
          <w:szCs w:val="28"/>
          <w:lang w:eastAsia="ru-RU"/>
        </w:rPr>
        <w:br/>
      </w:r>
      <w:r w:rsidR="00132D75">
        <w:rPr>
          <w:rFonts w:ascii="Times New Roman" w:eastAsia="Times New Roman" w:hAnsi="Times New Roman" w:cs="Times New Roman"/>
          <w:sz w:val="28"/>
          <w:szCs w:val="28"/>
          <w:lang w:eastAsia="ru-RU"/>
        </w:rPr>
        <w:lastRenderedPageBreak/>
        <w:t>Из</w:t>
      </w:r>
      <w:r w:rsidR="008C2FC0">
        <w:rPr>
          <w:rFonts w:ascii="Times New Roman" w:eastAsia="Times New Roman" w:hAnsi="Times New Roman" w:cs="Times New Roman"/>
          <w:sz w:val="28"/>
          <w:szCs w:val="28"/>
          <w:lang w:eastAsia="ru-RU"/>
        </w:rPr>
        <w:t xml:space="preserve"> </w:t>
      </w:r>
      <w:r w:rsidR="00132D75">
        <w:rPr>
          <w:rFonts w:ascii="Times New Roman" w:eastAsia="Times New Roman" w:hAnsi="Times New Roman" w:cs="Times New Roman"/>
          <w:sz w:val="28"/>
          <w:szCs w:val="28"/>
          <w:lang w:eastAsia="ru-RU"/>
        </w:rPr>
        <w:t>них</w:t>
      </w:r>
      <w:r w:rsidR="008C2FC0">
        <w:rPr>
          <w:rFonts w:ascii="Times New Roman" w:eastAsia="Times New Roman" w:hAnsi="Times New Roman" w:cs="Times New Roman"/>
          <w:sz w:val="28"/>
          <w:szCs w:val="28"/>
          <w:lang w:eastAsia="ru-RU"/>
        </w:rPr>
        <w:t xml:space="preserve"> </w:t>
      </w:r>
      <w:r w:rsidR="00132D75">
        <w:rPr>
          <w:rFonts w:ascii="Times New Roman" w:eastAsia="Times New Roman" w:hAnsi="Times New Roman" w:cs="Times New Roman"/>
          <w:sz w:val="28"/>
          <w:szCs w:val="28"/>
          <w:lang w:eastAsia="ru-RU"/>
        </w:rPr>
        <w:t>более</w:t>
      </w:r>
      <w:r w:rsidR="008C2FC0">
        <w:rPr>
          <w:rFonts w:ascii="Times New Roman" w:eastAsia="Times New Roman" w:hAnsi="Times New Roman" w:cs="Times New Roman"/>
          <w:sz w:val="28"/>
          <w:szCs w:val="28"/>
          <w:lang w:eastAsia="ru-RU"/>
        </w:rPr>
        <w:t xml:space="preserve"> </w:t>
      </w:r>
      <w:r w:rsidR="00132D75">
        <w:rPr>
          <w:rFonts w:ascii="Times New Roman" w:eastAsia="Times New Roman" w:hAnsi="Times New Roman" w:cs="Times New Roman"/>
          <w:sz w:val="28"/>
          <w:szCs w:val="28"/>
          <w:lang w:eastAsia="ru-RU"/>
        </w:rPr>
        <w:t>чем</w:t>
      </w:r>
      <w:r w:rsidR="008C2FC0">
        <w:rPr>
          <w:rFonts w:ascii="Times New Roman" w:eastAsia="Times New Roman" w:hAnsi="Times New Roman" w:cs="Times New Roman"/>
          <w:sz w:val="28"/>
          <w:szCs w:val="28"/>
          <w:lang w:eastAsia="ru-RU"/>
        </w:rPr>
        <w:t xml:space="preserve"> </w:t>
      </w:r>
      <w:r w:rsidR="00132D75">
        <w:rPr>
          <w:rFonts w:ascii="Times New Roman" w:eastAsia="Times New Roman" w:hAnsi="Times New Roman" w:cs="Times New Roman"/>
          <w:sz w:val="28"/>
          <w:szCs w:val="28"/>
          <w:lang w:eastAsia="ru-RU"/>
        </w:rPr>
        <w:t>у</w:t>
      </w:r>
      <w:r w:rsidR="008C2FC0">
        <w:rPr>
          <w:rFonts w:ascii="Times New Roman" w:eastAsia="Times New Roman" w:hAnsi="Times New Roman" w:cs="Times New Roman"/>
          <w:sz w:val="28"/>
          <w:szCs w:val="28"/>
          <w:lang w:eastAsia="ru-RU"/>
        </w:rPr>
        <w:t xml:space="preserve"> </w:t>
      </w:r>
      <w:r w:rsidR="00132D75">
        <w:rPr>
          <w:rFonts w:ascii="Times New Roman" w:eastAsia="Times New Roman" w:hAnsi="Times New Roman" w:cs="Times New Roman"/>
          <w:sz w:val="28"/>
          <w:szCs w:val="28"/>
          <w:lang w:eastAsia="ru-RU"/>
        </w:rPr>
        <w:t>половины</w:t>
      </w:r>
      <w:r w:rsidR="008C2FC0">
        <w:rPr>
          <w:rFonts w:ascii="Times New Roman" w:eastAsia="Times New Roman" w:hAnsi="Times New Roman" w:cs="Times New Roman"/>
          <w:sz w:val="28"/>
          <w:szCs w:val="28"/>
          <w:lang w:eastAsia="ru-RU"/>
        </w:rPr>
        <w:t xml:space="preserve"> </w:t>
      </w:r>
      <w:r w:rsidR="00132D75">
        <w:rPr>
          <w:rFonts w:ascii="Times New Roman" w:eastAsia="Times New Roman" w:hAnsi="Times New Roman" w:cs="Times New Roman"/>
          <w:sz w:val="28"/>
          <w:szCs w:val="28"/>
          <w:lang w:eastAsia="ru-RU"/>
        </w:rPr>
        <w:t>субъектов</w:t>
      </w:r>
      <w:r w:rsidR="008C2FC0">
        <w:rPr>
          <w:rFonts w:ascii="Times New Roman" w:eastAsia="Times New Roman" w:hAnsi="Times New Roman" w:cs="Times New Roman"/>
          <w:sz w:val="28"/>
          <w:szCs w:val="28"/>
          <w:lang w:eastAsia="ru-RU"/>
        </w:rPr>
        <w:t xml:space="preserve"> </w:t>
      </w:r>
      <w:r w:rsidR="00D11A67">
        <w:rPr>
          <w:rFonts w:ascii="Times New Roman" w:eastAsia="Times New Roman" w:hAnsi="Times New Roman" w:cs="Times New Roman"/>
          <w:sz w:val="28"/>
          <w:szCs w:val="28"/>
          <w:lang w:eastAsia="ru-RU"/>
        </w:rPr>
        <w:t>РФ</w:t>
      </w:r>
      <w:r w:rsidR="008C2FC0">
        <w:rPr>
          <w:rFonts w:ascii="Times New Roman" w:eastAsia="Times New Roman" w:hAnsi="Times New Roman" w:cs="Times New Roman"/>
          <w:sz w:val="28"/>
          <w:szCs w:val="28"/>
          <w:lang w:eastAsia="ru-RU"/>
        </w:rPr>
        <w:t xml:space="preserve"> </w:t>
      </w:r>
      <w:r w:rsidR="00D11A67">
        <w:rPr>
          <w:rFonts w:ascii="Times New Roman" w:eastAsia="Times New Roman" w:hAnsi="Times New Roman" w:cs="Times New Roman"/>
          <w:sz w:val="28"/>
          <w:szCs w:val="28"/>
          <w:lang w:eastAsia="ru-RU"/>
        </w:rPr>
        <w:t>(12</w:t>
      </w:r>
      <w:r w:rsidR="008C2FC0">
        <w:rPr>
          <w:rFonts w:ascii="Times New Roman" w:eastAsia="Times New Roman" w:hAnsi="Times New Roman" w:cs="Times New Roman"/>
          <w:sz w:val="28"/>
          <w:szCs w:val="28"/>
          <w:lang w:eastAsia="ru-RU"/>
        </w:rPr>
        <w:t xml:space="preserve"> </w:t>
      </w:r>
      <w:r w:rsidR="00D11A67">
        <w:rPr>
          <w:rFonts w:ascii="Times New Roman" w:eastAsia="Times New Roman" w:hAnsi="Times New Roman" w:cs="Times New Roman"/>
          <w:sz w:val="28"/>
          <w:szCs w:val="28"/>
          <w:lang w:eastAsia="ru-RU"/>
        </w:rPr>
        <w:t>регионов)</w:t>
      </w:r>
      <w:r w:rsidR="008C2FC0">
        <w:rPr>
          <w:rFonts w:ascii="Times New Roman" w:eastAsia="Times New Roman" w:hAnsi="Times New Roman" w:cs="Times New Roman"/>
          <w:sz w:val="28"/>
          <w:szCs w:val="28"/>
          <w:lang w:eastAsia="ru-RU"/>
        </w:rPr>
        <w:t xml:space="preserve"> </w:t>
      </w:r>
      <w:r w:rsidR="00132D75">
        <w:rPr>
          <w:rFonts w:ascii="Times New Roman" w:eastAsia="Times New Roman" w:hAnsi="Times New Roman" w:cs="Times New Roman"/>
          <w:sz w:val="28"/>
          <w:szCs w:val="28"/>
          <w:lang w:eastAsia="ru-RU"/>
        </w:rPr>
        <w:t>бюджетные</w:t>
      </w:r>
      <w:r w:rsidR="008C2FC0">
        <w:rPr>
          <w:rFonts w:ascii="Times New Roman" w:eastAsia="Times New Roman" w:hAnsi="Times New Roman" w:cs="Times New Roman"/>
          <w:sz w:val="28"/>
          <w:szCs w:val="28"/>
          <w:lang w:eastAsia="ru-RU"/>
        </w:rPr>
        <w:t xml:space="preserve"> </w:t>
      </w:r>
      <w:r w:rsidR="00132D75">
        <w:rPr>
          <w:rFonts w:ascii="Times New Roman" w:eastAsia="Times New Roman" w:hAnsi="Times New Roman" w:cs="Times New Roman"/>
          <w:sz w:val="28"/>
          <w:szCs w:val="28"/>
          <w:lang w:eastAsia="ru-RU"/>
        </w:rPr>
        <w:t>прогнозы</w:t>
      </w:r>
      <w:r w:rsidR="008C2FC0">
        <w:rPr>
          <w:rFonts w:ascii="Times New Roman" w:eastAsia="Times New Roman" w:hAnsi="Times New Roman" w:cs="Times New Roman"/>
          <w:sz w:val="28"/>
          <w:szCs w:val="28"/>
          <w:lang w:eastAsia="ru-RU"/>
        </w:rPr>
        <w:t xml:space="preserve"> </w:t>
      </w:r>
      <w:r w:rsidR="00132D75">
        <w:rPr>
          <w:rFonts w:ascii="Times New Roman" w:eastAsia="Times New Roman" w:hAnsi="Times New Roman" w:cs="Times New Roman"/>
          <w:sz w:val="28"/>
          <w:szCs w:val="28"/>
          <w:lang w:eastAsia="ru-RU"/>
        </w:rPr>
        <w:t>разработаны</w:t>
      </w:r>
      <w:r w:rsidR="008C2FC0">
        <w:rPr>
          <w:rFonts w:ascii="Times New Roman" w:eastAsia="Times New Roman" w:hAnsi="Times New Roman" w:cs="Times New Roman"/>
          <w:sz w:val="28"/>
          <w:szCs w:val="28"/>
          <w:lang w:eastAsia="ru-RU"/>
        </w:rPr>
        <w:t xml:space="preserve"> </w:t>
      </w:r>
      <w:r w:rsidR="00132D75">
        <w:rPr>
          <w:rFonts w:ascii="Times New Roman" w:eastAsia="Times New Roman" w:hAnsi="Times New Roman" w:cs="Times New Roman"/>
          <w:sz w:val="28"/>
          <w:szCs w:val="28"/>
          <w:lang w:eastAsia="ru-RU"/>
        </w:rPr>
        <w:t>в</w:t>
      </w:r>
      <w:r w:rsidR="008C2FC0">
        <w:rPr>
          <w:rFonts w:ascii="Times New Roman" w:eastAsia="Times New Roman" w:hAnsi="Times New Roman" w:cs="Times New Roman"/>
          <w:sz w:val="28"/>
          <w:szCs w:val="28"/>
          <w:lang w:eastAsia="ru-RU"/>
        </w:rPr>
        <w:t xml:space="preserve"> </w:t>
      </w:r>
      <w:r w:rsidR="00132D75" w:rsidRPr="00E73178">
        <w:rPr>
          <w:rFonts w:ascii="Times New Roman" w:eastAsia="Times New Roman" w:hAnsi="Times New Roman" w:cs="Times New Roman"/>
          <w:sz w:val="28"/>
          <w:szCs w:val="28"/>
          <w:lang w:eastAsia="ru-RU"/>
        </w:rPr>
        <w:t>3</w:t>
      </w:r>
      <w:r w:rsidR="008C2FC0">
        <w:rPr>
          <w:rFonts w:ascii="Times New Roman" w:eastAsia="Times New Roman" w:hAnsi="Times New Roman" w:cs="Times New Roman"/>
          <w:sz w:val="28"/>
          <w:szCs w:val="28"/>
          <w:lang w:eastAsia="ru-RU"/>
        </w:rPr>
        <w:t xml:space="preserve"> </w:t>
      </w:r>
      <w:r w:rsidR="00132D75" w:rsidRPr="00E73178">
        <w:rPr>
          <w:rFonts w:ascii="Times New Roman" w:eastAsia="Times New Roman" w:hAnsi="Times New Roman" w:cs="Times New Roman"/>
          <w:sz w:val="28"/>
          <w:szCs w:val="28"/>
          <w:lang w:eastAsia="ru-RU"/>
        </w:rPr>
        <w:t>вариантах:</w:t>
      </w:r>
      <w:r w:rsidR="008C2FC0">
        <w:rPr>
          <w:rFonts w:ascii="Times New Roman" w:eastAsia="Times New Roman" w:hAnsi="Times New Roman" w:cs="Times New Roman"/>
          <w:sz w:val="28"/>
          <w:szCs w:val="28"/>
          <w:lang w:eastAsia="ru-RU"/>
        </w:rPr>
        <w:t xml:space="preserve"> </w:t>
      </w:r>
      <w:r w:rsidR="00132D75" w:rsidRPr="00E73178">
        <w:rPr>
          <w:rFonts w:ascii="Times New Roman" w:eastAsia="Times New Roman" w:hAnsi="Times New Roman" w:cs="Times New Roman"/>
          <w:sz w:val="28"/>
          <w:szCs w:val="28"/>
          <w:lang w:eastAsia="ru-RU"/>
        </w:rPr>
        <w:t>консервативном,</w:t>
      </w:r>
      <w:r w:rsidR="008C2FC0">
        <w:rPr>
          <w:rFonts w:ascii="Times New Roman" w:eastAsia="Times New Roman" w:hAnsi="Times New Roman" w:cs="Times New Roman"/>
          <w:sz w:val="28"/>
          <w:szCs w:val="28"/>
          <w:lang w:eastAsia="ru-RU"/>
        </w:rPr>
        <w:t xml:space="preserve"> </w:t>
      </w:r>
      <w:r w:rsidR="00132D75" w:rsidRPr="00E73178">
        <w:rPr>
          <w:rFonts w:ascii="Times New Roman" w:eastAsia="Times New Roman" w:hAnsi="Times New Roman" w:cs="Times New Roman"/>
          <w:sz w:val="28"/>
          <w:szCs w:val="28"/>
          <w:lang w:eastAsia="ru-RU"/>
        </w:rPr>
        <w:t>базовом</w:t>
      </w:r>
      <w:r w:rsidR="008C2FC0">
        <w:rPr>
          <w:rFonts w:ascii="Times New Roman" w:eastAsia="Times New Roman" w:hAnsi="Times New Roman" w:cs="Times New Roman"/>
          <w:sz w:val="28"/>
          <w:szCs w:val="28"/>
          <w:lang w:eastAsia="ru-RU"/>
        </w:rPr>
        <w:t xml:space="preserve"> </w:t>
      </w:r>
      <w:r w:rsidR="00132D75" w:rsidRPr="00E73178">
        <w:rPr>
          <w:rFonts w:ascii="Times New Roman" w:eastAsia="Times New Roman" w:hAnsi="Times New Roman" w:cs="Times New Roman"/>
          <w:sz w:val="28"/>
          <w:szCs w:val="28"/>
          <w:lang w:eastAsia="ru-RU"/>
        </w:rPr>
        <w:t>и</w:t>
      </w:r>
      <w:r w:rsidR="008C2FC0">
        <w:rPr>
          <w:rFonts w:ascii="Times New Roman" w:eastAsia="Times New Roman" w:hAnsi="Times New Roman" w:cs="Times New Roman"/>
          <w:sz w:val="28"/>
          <w:szCs w:val="28"/>
          <w:lang w:eastAsia="ru-RU"/>
        </w:rPr>
        <w:t xml:space="preserve"> </w:t>
      </w:r>
      <w:r w:rsidR="00132D75" w:rsidRPr="00E73178">
        <w:rPr>
          <w:rFonts w:ascii="Times New Roman" w:eastAsia="Times New Roman" w:hAnsi="Times New Roman" w:cs="Times New Roman"/>
          <w:sz w:val="28"/>
          <w:szCs w:val="28"/>
          <w:lang w:eastAsia="ru-RU"/>
        </w:rPr>
        <w:t>целевом</w:t>
      </w:r>
      <w:r w:rsidR="00132D75">
        <w:rPr>
          <w:rFonts w:ascii="Times New Roman" w:eastAsia="Times New Roman" w:hAnsi="Times New Roman" w:cs="Times New Roman"/>
          <w:sz w:val="28"/>
          <w:szCs w:val="28"/>
          <w:lang w:eastAsia="ru-RU"/>
        </w:rPr>
        <w:t>.</w:t>
      </w:r>
    </w:p>
    <w:p w:rsidR="00E750E3" w:rsidRDefault="00E750E3" w:rsidP="00132D75">
      <w:pPr>
        <w:autoSpaceDE w:val="0"/>
        <w:autoSpaceDN w:val="0"/>
        <w:adjustRightInd w:val="0"/>
        <w:spacing w:after="0" w:line="240" w:lineRule="auto"/>
        <w:jc w:val="both"/>
        <w:rPr>
          <w:rFonts w:ascii="Times New Roman" w:hAnsi="Times New Roman" w:cs="Times New Roman"/>
          <w:b/>
          <w:sz w:val="24"/>
          <w:szCs w:val="24"/>
        </w:rPr>
      </w:pPr>
    </w:p>
    <w:p w:rsidR="00132D75" w:rsidRPr="00E750E3" w:rsidRDefault="00132D75" w:rsidP="00132D75">
      <w:pPr>
        <w:autoSpaceDE w:val="0"/>
        <w:autoSpaceDN w:val="0"/>
        <w:adjustRightInd w:val="0"/>
        <w:spacing w:after="0" w:line="240" w:lineRule="auto"/>
        <w:jc w:val="both"/>
        <w:rPr>
          <w:rFonts w:ascii="Times New Roman" w:hAnsi="Times New Roman" w:cs="Times New Roman"/>
          <w:b/>
          <w:sz w:val="24"/>
          <w:szCs w:val="24"/>
        </w:rPr>
      </w:pPr>
      <w:r w:rsidRPr="00E750E3">
        <w:rPr>
          <w:rFonts w:ascii="Times New Roman" w:hAnsi="Times New Roman" w:cs="Times New Roman"/>
          <w:b/>
          <w:sz w:val="24"/>
          <w:szCs w:val="24"/>
        </w:rPr>
        <w:t>Таблица</w:t>
      </w:r>
      <w:r w:rsidR="008C2FC0">
        <w:rPr>
          <w:rFonts w:ascii="Times New Roman" w:hAnsi="Times New Roman" w:cs="Times New Roman"/>
          <w:b/>
          <w:sz w:val="24"/>
          <w:szCs w:val="24"/>
        </w:rPr>
        <w:t xml:space="preserve"> </w:t>
      </w:r>
      <w:r w:rsidR="00D80263">
        <w:rPr>
          <w:rFonts w:ascii="Times New Roman" w:hAnsi="Times New Roman" w:cs="Times New Roman"/>
          <w:b/>
          <w:sz w:val="24"/>
          <w:szCs w:val="24"/>
        </w:rPr>
        <w:t>4</w:t>
      </w:r>
      <w:r w:rsidRPr="00E750E3">
        <w:rPr>
          <w:rFonts w:ascii="Times New Roman" w:hAnsi="Times New Roman" w:cs="Times New Roman"/>
          <w:b/>
          <w:sz w:val="24"/>
          <w:szCs w:val="24"/>
        </w:rPr>
        <w:t>.</w:t>
      </w:r>
      <w:r w:rsidR="008C2FC0">
        <w:rPr>
          <w:rFonts w:ascii="Times New Roman" w:hAnsi="Times New Roman" w:cs="Times New Roman"/>
          <w:b/>
          <w:sz w:val="24"/>
          <w:szCs w:val="24"/>
        </w:rPr>
        <w:t xml:space="preserve"> </w:t>
      </w:r>
      <w:r w:rsidRPr="00E750E3">
        <w:rPr>
          <w:rFonts w:ascii="Times New Roman" w:hAnsi="Times New Roman" w:cs="Times New Roman"/>
          <w:b/>
          <w:sz w:val="24"/>
          <w:szCs w:val="24"/>
        </w:rPr>
        <w:t>Реализация</w:t>
      </w:r>
      <w:r w:rsidR="008C2FC0">
        <w:rPr>
          <w:rFonts w:ascii="Times New Roman" w:hAnsi="Times New Roman" w:cs="Times New Roman"/>
          <w:b/>
          <w:sz w:val="24"/>
          <w:szCs w:val="24"/>
        </w:rPr>
        <w:t xml:space="preserve"> </w:t>
      </w:r>
      <w:r w:rsidRPr="00E750E3">
        <w:rPr>
          <w:rFonts w:ascii="Times New Roman" w:hAnsi="Times New Roman" w:cs="Times New Roman"/>
          <w:b/>
          <w:sz w:val="24"/>
          <w:szCs w:val="24"/>
        </w:rPr>
        <w:t>принципа</w:t>
      </w:r>
      <w:r w:rsidR="008C2FC0">
        <w:rPr>
          <w:rFonts w:ascii="Times New Roman" w:hAnsi="Times New Roman" w:cs="Times New Roman"/>
          <w:b/>
          <w:sz w:val="24"/>
          <w:szCs w:val="24"/>
        </w:rPr>
        <w:t xml:space="preserve"> </w:t>
      </w:r>
      <w:r w:rsidRPr="00E750E3">
        <w:rPr>
          <w:rFonts w:ascii="Times New Roman" w:hAnsi="Times New Roman" w:cs="Times New Roman"/>
          <w:b/>
          <w:sz w:val="24"/>
          <w:szCs w:val="24"/>
        </w:rPr>
        <w:t>вариативности</w:t>
      </w:r>
      <w:r w:rsidR="008C2FC0">
        <w:rPr>
          <w:rFonts w:ascii="Times New Roman" w:hAnsi="Times New Roman" w:cs="Times New Roman"/>
          <w:b/>
          <w:sz w:val="24"/>
          <w:szCs w:val="24"/>
        </w:rPr>
        <w:t xml:space="preserve"> </w:t>
      </w:r>
      <w:r w:rsidRPr="00E750E3">
        <w:rPr>
          <w:rFonts w:ascii="Times New Roman" w:hAnsi="Times New Roman" w:cs="Times New Roman"/>
          <w:b/>
          <w:sz w:val="24"/>
          <w:szCs w:val="24"/>
        </w:rPr>
        <w:t>разработки</w:t>
      </w:r>
      <w:r w:rsidR="008C2FC0">
        <w:rPr>
          <w:rFonts w:ascii="Times New Roman" w:hAnsi="Times New Roman" w:cs="Times New Roman"/>
          <w:b/>
          <w:sz w:val="24"/>
          <w:szCs w:val="24"/>
        </w:rPr>
        <w:t xml:space="preserve"> </w:t>
      </w:r>
      <w:r w:rsidRPr="00E750E3">
        <w:rPr>
          <w:rFonts w:ascii="Times New Roman" w:hAnsi="Times New Roman" w:cs="Times New Roman"/>
          <w:b/>
          <w:sz w:val="24"/>
          <w:szCs w:val="24"/>
        </w:rPr>
        <w:t>бюджетного</w:t>
      </w:r>
      <w:r w:rsidR="008C2FC0">
        <w:rPr>
          <w:rFonts w:ascii="Times New Roman" w:hAnsi="Times New Roman" w:cs="Times New Roman"/>
          <w:b/>
          <w:sz w:val="24"/>
          <w:szCs w:val="24"/>
        </w:rPr>
        <w:t xml:space="preserve"> </w:t>
      </w:r>
      <w:r w:rsidRPr="00E750E3">
        <w:rPr>
          <w:rFonts w:ascii="Times New Roman" w:hAnsi="Times New Roman" w:cs="Times New Roman"/>
          <w:b/>
          <w:sz w:val="24"/>
          <w:szCs w:val="24"/>
        </w:rPr>
        <w:t>прогноза</w:t>
      </w:r>
    </w:p>
    <w:tbl>
      <w:tblPr>
        <w:tblW w:w="9531" w:type="dxa"/>
        <w:tblInd w:w="103" w:type="dxa"/>
        <w:tblLayout w:type="fixed"/>
        <w:tblLook w:val="04A0" w:firstRow="1" w:lastRow="0" w:firstColumn="1" w:lastColumn="0" w:noHBand="0" w:noVBand="1"/>
      </w:tblPr>
      <w:tblGrid>
        <w:gridCol w:w="1990"/>
        <w:gridCol w:w="1984"/>
        <w:gridCol w:w="1843"/>
        <w:gridCol w:w="1985"/>
        <w:gridCol w:w="1729"/>
      </w:tblGrid>
      <w:tr w:rsidR="00D11A67" w:rsidRPr="00E750E3" w:rsidTr="00A75424">
        <w:trPr>
          <w:trHeight w:val="20"/>
          <w:tblHeader/>
        </w:trPr>
        <w:tc>
          <w:tcPr>
            <w:tcW w:w="1990" w:type="dxa"/>
            <w:vMerge w:val="restart"/>
            <w:tcBorders>
              <w:top w:val="single" w:sz="4" w:space="0" w:color="auto"/>
              <w:left w:val="single" w:sz="4" w:space="0" w:color="auto"/>
              <w:right w:val="single" w:sz="4" w:space="0" w:color="auto"/>
            </w:tcBorders>
            <w:shd w:val="clear" w:color="auto" w:fill="auto"/>
            <w:noWrap/>
            <w:vAlign w:val="center"/>
            <w:hideMark/>
          </w:tcPr>
          <w:p w:rsidR="00D11A67" w:rsidRPr="00E750E3" w:rsidRDefault="00D11A67" w:rsidP="00D11A67">
            <w:pPr>
              <w:spacing w:after="0" w:line="240" w:lineRule="auto"/>
              <w:jc w:val="center"/>
              <w:rPr>
                <w:rFonts w:ascii="Times New Roman" w:eastAsia="Times New Roman" w:hAnsi="Times New Roman" w:cs="Times New Roman"/>
                <w:color w:val="000000"/>
                <w:sz w:val="24"/>
                <w:szCs w:val="24"/>
                <w:lang w:eastAsia="ru-RU"/>
              </w:rPr>
            </w:pPr>
            <w:r w:rsidRPr="00E750E3">
              <w:rPr>
                <w:rFonts w:ascii="Times New Roman" w:eastAsia="Times New Roman" w:hAnsi="Times New Roman" w:cs="Times New Roman"/>
                <w:color w:val="000000"/>
                <w:sz w:val="24"/>
                <w:szCs w:val="24"/>
                <w:lang w:eastAsia="ru-RU"/>
              </w:rPr>
              <w:t>Бюджетный</w:t>
            </w:r>
            <w:r w:rsidR="008C2FC0">
              <w:rPr>
                <w:rFonts w:ascii="Times New Roman" w:eastAsia="Times New Roman" w:hAnsi="Times New Roman" w:cs="Times New Roman"/>
                <w:color w:val="000000"/>
                <w:sz w:val="24"/>
                <w:szCs w:val="24"/>
                <w:lang w:eastAsia="ru-RU"/>
              </w:rPr>
              <w:t xml:space="preserve"> </w:t>
            </w:r>
            <w:r w:rsidRPr="00E750E3">
              <w:rPr>
                <w:rFonts w:ascii="Times New Roman" w:eastAsia="Times New Roman" w:hAnsi="Times New Roman" w:cs="Times New Roman"/>
                <w:color w:val="000000"/>
                <w:sz w:val="24"/>
                <w:szCs w:val="24"/>
                <w:lang w:eastAsia="ru-RU"/>
              </w:rPr>
              <w:t>прогноз</w:t>
            </w:r>
            <w:r w:rsidR="008C2FC0">
              <w:rPr>
                <w:rFonts w:ascii="Times New Roman" w:eastAsia="Times New Roman" w:hAnsi="Times New Roman" w:cs="Times New Roman"/>
                <w:color w:val="000000"/>
                <w:sz w:val="24"/>
                <w:szCs w:val="24"/>
                <w:lang w:eastAsia="ru-RU"/>
              </w:rPr>
              <w:t xml:space="preserve"> </w:t>
            </w:r>
            <w:r w:rsidRPr="00E750E3">
              <w:rPr>
                <w:rFonts w:ascii="Times New Roman" w:eastAsia="Times New Roman" w:hAnsi="Times New Roman" w:cs="Times New Roman"/>
                <w:color w:val="000000"/>
                <w:sz w:val="24"/>
                <w:szCs w:val="24"/>
                <w:lang w:eastAsia="ru-RU"/>
              </w:rPr>
              <w:t>разработан</w:t>
            </w:r>
            <w:r w:rsidR="008C2FC0">
              <w:rPr>
                <w:rFonts w:ascii="Times New Roman" w:eastAsia="Times New Roman" w:hAnsi="Times New Roman" w:cs="Times New Roman"/>
                <w:color w:val="000000"/>
                <w:sz w:val="24"/>
                <w:szCs w:val="24"/>
                <w:lang w:eastAsia="ru-RU"/>
              </w:rPr>
              <w:t xml:space="preserve"> </w:t>
            </w:r>
            <w:r w:rsidRPr="00E750E3">
              <w:rPr>
                <w:rFonts w:ascii="Times New Roman" w:eastAsia="Times New Roman" w:hAnsi="Times New Roman" w:cs="Times New Roman"/>
                <w:color w:val="000000"/>
                <w:sz w:val="24"/>
                <w:szCs w:val="24"/>
                <w:lang w:eastAsia="ru-RU"/>
              </w:rPr>
              <w:t>без</w:t>
            </w:r>
            <w:r w:rsidR="008C2FC0">
              <w:rPr>
                <w:rFonts w:ascii="Times New Roman" w:eastAsia="Times New Roman" w:hAnsi="Times New Roman" w:cs="Times New Roman"/>
                <w:color w:val="000000"/>
                <w:sz w:val="24"/>
                <w:szCs w:val="24"/>
                <w:lang w:eastAsia="ru-RU"/>
              </w:rPr>
              <w:t xml:space="preserve"> </w:t>
            </w:r>
            <w:r w:rsidRPr="00E750E3">
              <w:rPr>
                <w:rFonts w:ascii="Times New Roman" w:eastAsia="Times New Roman" w:hAnsi="Times New Roman" w:cs="Times New Roman"/>
                <w:color w:val="000000"/>
                <w:sz w:val="24"/>
                <w:szCs w:val="24"/>
                <w:lang w:eastAsia="ru-RU"/>
              </w:rPr>
              <w:t>применения</w:t>
            </w:r>
            <w:r w:rsidR="008C2FC0">
              <w:rPr>
                <w:rFonts w:ascii="Times New Roman" w:eastAsia="Times New Roman" w:hAnsi="Times New Roman" w:cs="Times New Roman"/>
                <w:color w:val="000000"/>
                <w:sz w:val="24"/>
                <w:szCs w:val="24"/>
                <w:lang w:eastAsia="ru-RU"/>
              </w:rPr>
              <w:t xml:space="preserve"> </w:t>
            </w:r>
            <w:r w:rsidRPr="00E750E3">
              <w:rPr>
                <w:rFonts w:ascii="Times New Roman" w:eastAsia="Times New Roman" w:hAnsi="Times New Roman" w:cs="Times New Roman"/>
                <w:color w:val="000000"/>
                <w:sz w:val="24"/>
                <w:szCs w:val="24"/>
                <w:lang w:eastAsia="ru-RU"/>
              </w:rPr>
              <w:t>принципа</w:t>
            </w:r>
            <w:r w:rsidR="008C2FC0">
              <w:rPr>
                <w:rFonts w:ascii="Times New Roman" w:eastAsia="Times New Roman" w:hAnsi="Times New Roman" w:cs="Times New Roman"/>
                <w:color w:val="000000"/>
                <w:sz w:val="24"/>
                <w:szCs w:val="24"/>
                <w:lang w:eastAsia="ru-RU"/>
              </w:rPr>
              <w:t xml:space="preserve"> </w:t>
            </w:r>
            <w:r w:rsidRPr="00E750E3">
              <w:rPr>
                <w:rFonts w:ascii="Times New Roman" w:eastAsia="Times New Roman" w:hAnsi="Times New Roman" w:cs="Times New Roman"/>
                <w:color w:val="000000"/>
                <w:sz w:val="24"/>
                <w:szCs w:val="24"/>
                <w:lang w:eastAsia="ru-RU"/>
              </w:rPr>
              <w:t>вариативности</w:t>
            </w:r>
          </w:p>
        </w:tc>
        <w:tc>
          <w:tcPr>
            <w:tcW w:w="7541" w:type="dxa"/>
            <w:gridSpan w:val="4"/>
            <w:tcBorders>
              <w:top w:val="single" w:sz="4" w:space="0" w:color="auto"/>
              <w:left w:val="nil"/>
              <w:bottom w:val="single" w:sz="4" w:space="0" w:color="auto"/>
              <w:right w:val="single" w:sz="4" w:space="0" w:color="auto"/>
            </w:tcBorders>
            <w:shd w:val="clear" w:color="auto" w:fill="auto"/>
            <w:noWrap/>
            <w:vAlign w:val="center"/>
            <w:hideMark/>
          </w:tcPr>
          <w:p w:rsidR="00D11A67" w:rsidRPr="00E750E3" w:rsidRDefault="00D11A67">
            <w:pPr>
              <w:spacing w:after="0" w:line="240" w:lineRule="auto"/>
              <w:jc w:val="center"/>
              <w:rPr>
                <w:rFonts w:ascii="Times New Roman" w:eastAsia="Times New Roman" w:hAnsi="Times New Roman" w:cs="Times New Roman"/>
                <w:color w:val="000000"/>
                <w:sz w:val="24"/>
                <w:szCs w:val="24"/>
                <w:lang w:eastAsia="ru-RU"/>
              </w:rPr>
            </w:pPr>
            <w:r w:rsidRPr="00E750E3">
              <w:rPr>
                <w:rFonts w:ascii="Times New Roman" w:eastAsia="Times New Roman" w:hAnsi="Times New Roman" w:cs="Times New Roman"/>
                <w:color w:val="000000"/>
                <w:sz w:val="24"/>
                <w:szCs w:val="24"/>
                <w:lang w:eastAsia="ru-RU"/>
              </w:rPr>
              <w:t>Бюджетный</w:t>
            </w:r>
            <w:r w:rsidR="008C2FC0">
              <w:rPr>
                <w:rFonts w:ascii="Times New Roman" w:eastAsia="Times New Roman" w:hAnsi="Times New Roman" w:cs="Times New Roman"/>
                <w:color w:val="000000"/>
                <w:sz w:val="24"/>
                <w:szCs w:val="24"/>
                <w:lang w:eastAsia="ru-RU"/>
              </w:rPr>
              <w:t xml:space="preserve"> </w:t>
            </w:r>
            <w:r w:rsidRPr="00E750E3">
              <w:rPr>
                <w:rFonts w:ascii="Times New Roman" w:eastAsia="Times New Roman" w:hAnsi="Times New Roman" w:cs="Times New Roman"/>
                <w:color w:val="000000"/>
                <w:sz w:val="24"/>
                <w:szCs w:val="24"/>
                <w:lang w:eastAsia="ru-RU"/>
              </w:rPr>
              <w:t>прогноз</w:t>
            </w:r>
            <w:r w:rsidR="008C2FC0">
              <w:rPr>
                <w:rFonts w:ascii="Times New Roman" w:eastAsia="Times New Roman" w:hAnsi="Times New Roman" w:cs="Times New Roman"/>
                <w:color w:val="000000"/>
                <w:sz w:val="24"/>
                <w:szCs w:val="24"/>
                <w:lang w:eastAsia="ru-RU"/>
              </w:rPr>
              <w:t xml:space="preserve"> </w:t>
            </w:r>
            <w:r w:rsidRPr="00E750E3">
              <w:rPr>
                <w:rFonts w:ascii="Times New Roman" w:eastAsia="Times New Roman" w:hAnsi="Times New Roman" w:cs="Times New Roman"/>
                <w:color w:val="000000"/>
                <w:sz w:val="24"/>
                <w:szCs w:val="24"/>
                <w:lang w:eastAsia="ru-RU"/>
              </w:rPr>
              <w:t>разработан</w:t>
            </w:r>
            <w:r w:rsidR="008C2FC0">
              <w:rPr>
                <w:rFonts w:ascii="Times New Roman" w:eastAsia="Times New Roman" w:hAnsi="Times New Roman" w:cs="Times New Roman"/>
                <w:color w:val="000000"/>
                <w:sz w:val="24"/>
                <w:szCs w:val="24"/>
                <w:lang w:eastAsia="ru-RU"/>
              </w:rPr>
              <w:t xml:space="preserve"> </w:t>
            </w:r>
            <w:r w:rsidRPr="00E750E3">
              <w:rPr>
                <w:rFonts w:ascii="Times New Roman" w:eastAsia="Times New Roman" w:hAnsi="Times New Roman" w:cs="Times New Roman"/>
                <w:color w:val="000000"/>
                <w:sz w:val="24"/>
                <w:szCs w:val="24"/>
                <w:lang w:eastAsia="ru-RU"/>
              </w:rPr>
              <w:t>на</w:t>
            </w:r>
            <w:r w:rsidR="008C2FC0">
              <w:rPr>
                <w:rFonts w:ascii="Times New Roman" w:eastAsia="Times New Roman" w:hAnsi="Times New Roman" w:cs="Times New Roman"/>
                <w:color w:val="000000"/>
                <w:sz w:val="24"/>
                <w:szCs w:val="24"/>
                <w:lang w:eastAsia="ru-RU"/>
              </w:rPr>
              <w:t xml:space="preserve"> </w:t>
            </w:r>
            <w:r w:rsidRPr="00E750E3">
              <w:rPr>
                <w:rFonts w:ascii="Times New Roman" w:eastAsia="Times New Roman" w:hAnsi="Times New Roman" w:cs="Times New Roman"/>
                <w:color w:val="000000"/>
                <w:sz w:val="24"/>
                <w:szCs w:val="24"/>
                <w:lang w:eastAsia="ru-RU"/>
              </w:rPr>
              <w:t>вариативной</w:t>
            </w:r>
            <w:r w:rsidR="008C2FC0">
              <w:rPr>
                <w:rFonts w:ascii="Times New Roman" w:eastAsia="Times New Roman" w:hAnsi="Times New Roman" w:cs="Times New Roman"/>
                <w:color w:val="000000"/>
                <w:sz w:val="24"/>
                <w:szCs w:val="24"/>
                <w:lang w:eastAsia="ru-RU"/>
              </w:rPr>
              <w:t xml:space="preserve"> </w:t>
            </w:r>
            <w:r w:rsidRPr="00E750E3">
              <w:rPr>
                <w:rFonts w:ascii="Times New Roman" w:eastAsia="Times New Roman" w:hAnsi="Times New Roman" w:cs="Times New Roman"/>
                <w:color w:val="000000"/>
                <w:sz w:val="24"/>
                <w:szCs w:val="24"/>
                <w:lang w:eastAsia="ru-RU"/>
              </w:rPr>
              <w:t>основе</w:t>
            </w:r>
          </w:p>
        </w:tc>
      </w:tr>
      <w:tr w:rsidR="00031BB7" w:rsidRPr="00E750E3" w:rsidTr="00A75424">
        <w:trPr>
          <w:trHeight w:val="553"/>
        </w:trPr>
        <w:tc>
          <w:tcPr>
            <w:tcW w:w="1990" w:type="dxa"/>
            <w:vMerge/>
            <w:tcBorders>
              <w:left w:val="single" w:sz="4" w:space="0" w:color="auto"/>
              <w:bottom w:val="single" w:sz="4" w:space="0" w:color="auto"/>
              <w:right w:val="single" w:sz="4" w:space="0" w:color="auto"/>
            </w:tcBorders>
            <w:shd w:val="clear" w:color="auto" w:fill="auto"/>
            <w:vAlign w:val="center"/>
          </w:tcPr>
          <w:p w:rsidR="00031BB7" w:rsidRPr="00E750E3" w:rsidRDefault="00031BB7" w:rsidP="00315E3C">
            <w:pPr>
              <w:spacing w:after="0" w:line="240" w:lineRule="auto"/>
              <w:jc w:val="both"/>
              <w:rPr>
                <w:rFonts w:ascii="Times New Roman" w:eastAsia="Times New Roman" w:hAnsi="Times New Roman" w:cs="Times New Roman"/>
                <w:color w:val="000000"/>
                <w:sz w:val="24"/>
                <w:szCs w:val="24"/>
                <w:lang w:eastAsia="ru-RU"/>
              </w:rPr>
            </w:pPr>
          </w:p>
        </w:tc>
        <w:tc>
          <w:tcPr>
            <w:tcW w:w="1984" w:type="dxa"/>
            <w:vMerge w:val="restart"/>
            <w:tcBorders>
              <w:top w:val="nil"/>
              <w:left w:val="nil"/>
              <w:right w:val="single" w:sz="4" w:space="0" w:color="auto"/>
            </w:tcBorders>
            <w:shd w:val="clear" w:color="auto" w:fill="auto"/>
            <w:vAlign w:val="center"/>
          </w:tcPr>
          <w:p w:rsidR="00031BB7" w:rsidRPr="00E750E3" w:rsidRDefault="00031BB7" w:rsidP="00315E3C">
            <w:pPr>
              <w:spacing w:after="0" w:line="240" w:lineRule="auto"/>
              <w:jc w:val="center"/>
              <w:rPr>
                <w:rFonts w:ascii="Times New Roman" w:eastAsia="Times New Roman" w:hAnsi="Times New Roman" w:cs="Times New Roman"/>
                <w:bCs/>
                <w:color w:val="000000"/>
                <w:sz w:val="24"/>
                <w:szCs w:val="24"/>
                <w:lang w:eastAsia="ru-RU"/>
              </w:rPr>
            </w:pPr>
            <w:r w:rsidRPr="00E750E3">
              <w:rPr>
                <w:rFonts w:ascii="Times New Roman" w:eastAsia="Times New Roman" w:hAnsi="Times New Roman" w:cs="Times New Roman"/>
                <w:bCs/>
                <w:color w:val="000000"/>
                <w:sz w:val="24"/>
                <w:szCs w:val="24"/>
                <w:lang w:eastAsia="ru-RU"/>
              </w:rPr>
              <w:t>Всего</w:t>
            </w:r>
          </w:p>
        </w:tc>
        <w:tc>
          <w:tcPr>
            <w:tcW w:w="1843" w:type="dxa"/>
            <w:vMerge w:val="restart"/>
            <w:tcBorders>
              <w:top w:val="nil"/>
              <w:left w:val="nil"/>
              <w:right w:val="single" w:sz="4" w:space="0" w:color="auto"/>
            </w:tcBorders>
            <w:shd w:val="clear" w:color="auto" w:fill="auto"/>
            <w:vAlign w:val="center"/>
          </w:tcPr>
          <w:p w:rsidR="00031BB7" w:rsidRPr="00E750E3" w:rsidRDefault="00031BB7" w:rsidP="00315E3C">
            <w:pPr>
              <w:spacing w:after="0" w:line="240" w:lineRule="auto"/>
              <w:jc w:val="center"/>
              <w:rPr>
                <w:rFonts w:ascii="Times New Roman" w:eastAsia="Times New Roman" w:hAnsi="Times New Roman" w:cs="Times New Roman"/>
                <w:bCs/>
                <w:color w:val="000000"/>
                <w:sz w:val="24"/>
                <w:szCs w:val="24"/>
                <w:lang w:eastAsia="ru-RU"/>
              </w:rPr>
            </w:pPr>
            <w:r w:rsidRPr="00E750E3">
              <w:rPr>
                <w:rFonts w:ascii="Times New Roman" w:eastAsia="Times New Roman" w:hAnsi="Times New Roman" w:cs="Times New Roman"/>
                <w:bCs/>
                <w:color w:val="000000"/>
                <w:sz w:val="24"/>
                <w:szCs w:val="24"/>
                <w:lang w:eastAsia="ru-RU"/>
              </w:rPr>
              <w:t>В</w:t>
            </w:r>
            <w:r>
              <w:rPr>
                <w:rFonts w:ascii="Times New Roman" w:eastAsia="Times New Roman" w:hAnsi="Times New Roman" w:cs="Times New Roman"/>
                <w:bCs/>
                <w:color w:val="000000"/>
                <w:sz w:val="24"/>
                <w:szCs w:val="24"/>
                <w:lang w:eastAsia="ru-RU"/>
              </w:rPr>
              <w:t xml:space="preserve"> </w:t>
            </w:r>
            <w:r w:rsidRPr="00E750E3">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 xml:space="preserve"> </w:t>
            </w:r>
            <w:r w:rsidRPr="00E750E3">
              <w:rPr>
                <w:rFonts w:ascii="Times New Roman" w:eastAsia="Times New Roman" w:hAnsi="Times New Roman" w:cs="Times New Roman"/>
                <w:bCs/>
                <w:color w:val="000000"/>
                <w:sz w:val="24"/>
                <w:szCs w:val="24"/>
                <w:lang w:eastAsia="ru-RU"/>
              </w:rPr>
              <w:t>вариантах</w:t>
            </w:r>
            <w:r>
              <w:rPr>
                <w:rFonts w:ascii="Times New Roman" w:eastAsia="Times New Roman" w:hAnsi="Times New Roman" w:cs="Times New Roman"/>
                <w:bCs/>
                <w:color w:val="000000"/>
                <w:sz w:val="24"/>
                <w:szCs w:val="24"/>
                <w:lang w:eastAsia="ru-RU"/>
              </w:rPr>
              <w:t xml:space="preserve"> </w:t>
            </w:r>
            <w:r w:rsidRPr="00E750E3">
              <w:rPr>
                <w:rFonts w:ascii="Times New Roman" w:eastAsia="Times New Roman" w:hAnsi="Times New Roman" w:cs="Times New Roman"/>
                <w:bCs/>
                <w:color w:val="000000"/>
                <w:sz w:val="24"/>
                <w:szCs w:val="24"/>
                <w:lang w:eastAsia="ru-RU"/>
              </w:rPr>
              <w:t>(</w:t>
            </w:r>
            <w:proofErr w:type="spellStart"/>
            <w:r w:rsidRPr="00E750E3">
              <w:rPr>
                <w:rFonts w:ascii="Times New Roman" w:eastAsia="Times New Roman" w:hAnsi="Times New Roman" w:cs="Times New Roman"/>
                <w:bCs/>
                <w:color w:val="000000"/>
                <w:sz w:val="24"/>
                <w:szCs w:val="24"/>
                <w:lang w:eastAsia="ru-RU"/>
              </w:rPr>
              <w:t>консерватив-ный</w:t>
            </w:r>
            <w:proofErr w:type="spellEnd"/>
            <w:r w:rsidRPr="00E750E3">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E750E3">
              <w:rPr>
                <w:rFonts w:ascii="Times New Roman" w:eastAsia="Times New Roman" w:hAnsi="Times New Roman" w:cs="Times New Roman"/>
                <w:bCs/>
                <w:color w:val="000000"/>
                <w:sz w:val="24"/>
                <w:szCs w:val="24"/>
                <w:lang w:eastAsia="ru-RU"/>
              </w:rPr>
              <w:t>базовый,</w:t>
            </w:r>
            <w:r>
              <w:rPr>
                <w:rFonts w:ascii="Times New Roman" w:eastAsia="Times New Roman" w:hAnsi="Times New Roman" w:cs="Times New Roman"/>
                <w:bCs/>
                <w:color w:val="000000"/>
                <w:sz w:val="24"/>
                <w:szCs w:val="24"/>
                <w:lang w:eastAsia="ru-RU"/>
              </w:rPr>
              <w:t xml:space="preserve"> </w:t>
            </w:r>
            <w:r w:rsidRPr="00E750E3">
              <w:rPr>
                <w:rFonts w:ascii="Times New Roman" w:eastAsia="Times New Roman" w:hAnsi="Times New Roman" w:cs="Times New Roman"/>
                <w:bCs/>
                <w:color w:val="000000"/>
                <w:sz w:val="24"/>
                <w:szCs w:val="24"/>
                <w:lang w:eastAsia="ru-RU"/>
              </w:rPr>
              <w:t>целевой)</w:t>
            </w:r>
          </w:p>
        </w:tc>
        <w:tc>
          <w:tcPr>
            <w:tcW w:w="3714" w:type="dxa"/>
            <w:gridSpan w:val="2"/>
            <w:tcBorders>
              <w:top w:val="nil"/>
              <w:left w:val="nil"/>
              <w:bottom w:val="single" w:sz="4" w:space="0" w:color="auto"/>
              <w:right w:val="single" w:sz="4" w:space="0" w:color="auto"/>
            </w:tcBorders>
            <w:shd w:val="clear" w:color="auto" w:fill="auto"/>
            <w:vAlign w:val="center"/>
          </w:tcPr>
          <w:p w:rsidR="00031BB7" w:rsidRPr="00E750E3" w:rsidRDefault="00031BB7" w:rsidP="00315E3C">
            <w:pPr>
              <w:spacing w:after="0" w:line="240" w:lineRule="auto"/>
              <w:jc w:val="center"/>
              <w:rPr>
                <w:rFonts w:ascii="Times New Roman" w:eastAsia="Times New Roman" w:hAnsi="Times New Roman" w:cs="Times New Roman"/>
                <w:bCs/>
                <w:color w:val="000000"/>
                <w:sz w:val="24"/>
                <w:szCs w:val="24"/>
                <w:lang w:eastAsia="ru-RU"/>
              </w:rPr>
            </w:pPr>
            <w:r w:rsidRPr="00E750E3">
              <w:rPr>
                <w:rFonts w:ascii="Times New Roman" w:eastAsia="Times New Roman" w:hAnsi="Times New Roman" w:cs="Times New Roman"/>
                <w:bCs/>
                <w:color w:val="000000"/>
                <w:sz w:val="24"/>
                <w:szCs w:val="24"/>
                <w:lang w:eastAsia="ru-RU"/>
              </w:rPr>
              <w:t>В</w:t>
            </w:r>
            <w:r>
              <w:rPr>
                <w:rFonts w:ascii="Times New Roman" w:eastAsia="Times New Roman" w:hAnsi="Times New Roman" w:cs="Times New Roman"/>
                <w:bCs/>
                <w:color w:val="000000"/>
                <w:sz w:val="24"/>
                <w:szCs w:val="24"/>
                <w:lang w:eastAsia="ru-RU"/>
              </w:rPr>
              <w:t xml:space="preserve"> </w:t>
            </w:r>
            <w:r w:rsidRPr="00E750E3">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 xml:space="preserve"> </w:t>
            </w:r>
            <w:r w:rsidRPr="00E750E3">
              <w:rPr>
                <w:rFonts w:ascii="Times New Roman" w:eastAsia="Times New Roman" w:hAnsi="Times New Roman" w:cs="Times New Roman"/>
                <w:bCs/>
                <w:color w:val="000000"/>
                <w:sz w:val="24"/>
                <w:szCs w:val="24"/>
                <w:lang w:eastAsia="ru-RU"/>
              </w:rPr>
              <w:t>вариантах</w:t>
            </w:r>
          </w:p>
        </w:tc>
      </w:tr>
      <w:tr w:rsidR="00031BB7" w:rsidRPr="00E750E3" w:rsidTr="00A75424">
        <w:trPr>
          <w:trHeight w:val="1114"/>
        </w:trPr>
        <w:tc>
          <w:tcPr>
            <w:tcW w:w="1990" w:type="dxa"/>
            <w:vMerge/>
            <w:tcBorders>
              <w:left w:val="single" w:sz="4" w:space="0" w:color="auto"/>
              <w:bottom w:val="single" w:sz="4" w:space="0" w:color="auto"/>
              <w:right w:val="single" w:sz="4" w:space="0" w:color="auto"/>
            </w:tcBorders>
            <w:shd w:val="clear" w:color="auto" w:fill="auto"/>
            <w:vAlign w:val="center"/>
          </w:tcPr>
          <w:p w:rsidR="00031BB7" w:rsidRPr="00E750E3" w:rsidRDefault="00031BB7" w:rsidP="00315E3C">
            <w:pPr>
              <w:spacing w:after="0" w:line="240" w:lineRule="auto"/>
              <w:jc w:val="both"/>
              <w:rPr>
                <w:rFonts w:ascii="Times New Roman" w:eastAsia="Times New Roman" w:hAnsi="Times New Roman" w:cs="Times New Roman"/>
                <w:color w:val="000000"/>
                <w:sz w:val="24"/>
                <w:szCs w:val="24"/>
                <w:lang w:eastAsia="ru-RU"/>
              </w:rPr>
            </w:pPr>
          </w:p>
        </w:tc>
        <w:tc>
          <w:tcPr>
            <w:tcW w:w="1984" w:type="dxa"/>
            <w:vMerge/>
            <w:tcBorders>
              <w:left w:val="nil"/>
              <w:bottom w:val="single" w:sz="4" w:space="0" w:color="auto"/>
              <w:right w:val="single" w:sz="4" w:space="0" w:color="auto"/>
            </w:tcBorders>
            <w:shd w:val="clear" w:color="auto" w:fill="auto"/>
            <w:vAlign w:val="center"/>
          </w:tcPr>
          <w:p w:rsidR="00031BB7" w:rsidRPr="00E750E3" w:rsidRDefault="00031BB7" w:rsidP="00315E3C">
            <w:pPr>
              <w:spacing w:after="0" w:line="240" w:lineRule="auto"/>
              <w:jc w:val="center"/>
              <w:rPr>
                <w:rFonts w:ascii="Times New Roman" w:eastAsia="Times New Roman" w:hAnsi="Times New Roman" w:cs="Times New Roman"/>
                <w:bCs/>
                <w:color w:val="000000"/>
                <w:sz w:val="24"/>
                <w:szCs w:val="24"/>
                <w:lang w:eastAsia="ru-RU"/>
              </w:rPr>
            </w:pPr>
          </w:p>
        </w:tc>
        <w:tc>
          <w:tcPr>
            <w:tcW w:w="1843" w:type="dxa"/>
            <w:vMerge/>
            <w:tcBorders>
              <w:left w:val="nil"/>
              <w:bottom w:val="single" w:sz="4" w:space="0" w:color="auto"/>
              <w:right w:val="single" w:sz="4" w:space="0" w:color="auto"/>
            </w:tcBorders>
            <w:shd w:val="clear" w:color="auto" w:fill="auto"/>
            <w:vAlign w:val="center"/>
          </w:tcPr>
          <w:p w:rsidR="00031BB7" w:rsidRPr="00E750E3" w:rsidRDefault="00031BB7" w:rsidP="00315E3C">
            <w:pPr>
              <w:spacing w:after="0" w:line="240" w:lineRule="auto"/>
              <w:jc w:val="center"/>
              <w:rPr>
                <w:rFonts w:ascii="Times New Roman" w:eastAsia="Times New Roman" w:hAnsi="Times New Roman" w:cs="Times New Roman"/>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rsidR="00031BB7" w:rsidRPr="00E750E3" w:rsidRDefault="00031BB7">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spellStart"/>
            <w:r w:rsidRPr="00E750E3">
              <w:rPr>
                <w:rFonts w:ascii="Times New Roman" w:eastAsia="Times New Roman" w:hAnsi="Times New Roman" w:cs="Times New Roman"/>
                <w:bCs/>
                <w:color w:val="000000"/>
                <w:sz w:val="24"/>
                <w:szCs w:val="24"/>
                <w:lang w:eastAsia="ru-RU"/>
              </w:rPr>
              <w:t>консерватив-ный</w:t>
            </w:r>
            <w:proofErr w:type="spellEnd"/>
            <w:r>
              <w:rPr>
                <w:rFonts w:ascii="Times New Roman" w:eastAsia="Times New Roman" w:hAnsi="Times New Roman" w:cs="Times New Roman"/>
                <w:bCs/>
                <w:color w:val="000000"/>
                <w:sz w:val="24"/>
                <w:szCs w:val="24"/>
                <w:lang w:eastAsia="ru-RU"/>
              </w:rPr>
              <w:t xml:space="preserve"> </w:t>
            </w:r>
            <w:r w:rsidRPr="00E750E3">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 xml:space="preserve"> </w:t>
            </w:r>
            <w:r w:rsidRPr="00E750E3">
              <w:rPr>
                <w:rFonts w:ascii="Times New Roman" w:eastAsia="Times New Roman" w:hAnsi="Times New Roman" w:cs="Times New Roman"/>
                <w:bCs/>
                <w:color w:val="000000"/>
                <w:sz w:val="24"/>
                <w:szCs w:val="24"/>
                <w:lang w:eastAsia="ru-RU"/>
              </w:rPr>
              <w:t>базовый</w:t>
            </w:r>
          </w:p>
        </w:tc>
        <w:tc>
          <w:tcPr>
            <w:tcW w:w="1729" w:type="dxa"/>
            <w:tcBorders>
              <w:top w:val="nil"/>
              <w:left w:val="nil"/>
              <w:bottom w:val="single" w:sz="4" w:space="0" w:color="auto"/>
              <w:right w:val="single" w:sz="4" w:space="0" w:color="auto"/>
            </w:tcBorders>
            <w:shd w:val="clear" w:color="auto" w:fill="auto"/>
            <w:vAlign w:val="center"/>
          </w:tcPr>
          <w:p w:rsidR="00031BB7" w:rsidRPr="00E750E3" w:rsidRDefault="00031BB7">
            <w:pPr>
              <w:spacing w:after="0" w:line="240" w:lineRule="auto"/>
              <w:jc w:val="center"/>
              <w:rPr>
                <w:rFonts w:ascii="Times New Roman" w:eastAsia="Times New Roman" w:hAnsi="Times New Roman" w:cs="Times New Roman"/>
                <w:bCs/>
                <w:color w:val="000000"/>
                <w:sz w:val="24"/>
                <w:szCs w:val="24"/>
                <w:lang w:eastAsia="ru-RU"/>
              </w:rPr>
            </w:pPr>
            <w:r w:rsidRPr="00E750E3">
              <w:rPr>
                <w:rFonts w:ascii="Times New Roman" w:eastAsia="Times New Roman" w:hAnsi="Times New Roman" w:cs="Times New Roman"/>
                <w:bCs/>
                <w:color w:val="000000"/>
                <w:sz w:val="24"/>
                <w:szCs w:val="24"/>
                <w:lang w:eastAsia="ru-RU"/>
              </w:rPr>
              <w:t>базовый</w:t>
            </w:r>
            <w:r>
              <w:rPr>
                <w:rFonts w:ascii="Times New Roman" w:eastAsia="Times New Roman" w:hAnsi="Times New Roman" w:cs="Times New Roman"/>
                <w:bCs/>
                <w:color w:val="000000"/>
                <w:sz w:val="24"/>
                <w:szCs w:val="24"/>
                <w:lang w:eastAsia="ru-RU"/>
              </w:rPr>
              <w:t xml:space="preserve"> </w:t>
            </w:r>
            <w:r w:rsidRPr="00E750E3">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 xml:space="preserve"> </w:t>
            </w:r>
            <w:r w:rsidRPr="00E750E3">
              <w:rPr>
                <w:rFonts w:ascii="Times New Roman" w:eastAsia="Times New Roman" w:hAnsi="Times New Roman" w:cs="Times New Roman"/>
                <w:bCs/>
                <w:color w:val="000000"/>
                <w:sz w:val="24"/>
                <w:szCs w:val="24"/>
                <w:lang w:eastAsia="ru-RU"/>
              </w:rPr>
              <w:t>целевой</w:t>
            </w:r>
          </w:p>
        </w:tc>
      </w:tr>
      <w:tr w:rsidR="00D11A67" w:rsidRPr="003136BD" w:rsidTr="00A75424">
        <w:trPr>
          <w:trHeight w:val="905"/>
        </w:trPr>
        <w:tc>
          <w:tcPr>
            <w:tcW w:w="1990" w:type="dxa"/>
            <w:tcBorders>
              <w:top w:val="nil"/>
              <w:left w:val="single" w:sz="4" w:space="0" w:color="auto"/>
              <w:bottom w:val="single" w:sz="4" w:space="0" w:color="auto"/>
              <w:right w:val="single" w:sz="4" w:space="0" w:color="auto"/>
            </w:tcBorders>
            <w:shd w:val="clear" w:color="auto" w:fill="auto"/>
            <w:vAlign w:val="center"/>
          </w:tcPr>
          <w:p w:rsidR="00670397" w:rsidRDefault="00DD3C6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59 </w:t>
            </w:r>
            <w:r w:rsidR="002F5D2E">
              <w:rPr>
                <w:rFonts w:ascii="Times New Roman" w:eastAsia="Times New Roman" w:hAnsi="Times New Roman" w:cs="Times New Roman"/>
                <w:color w:val="000000"/>
                <w:sz w:val="24"/>
                <w:szCs w:val="24"/>
                <w:lang w:eastAsia="ru-RU"/>
              </w:rPr>
              <w:t>субъек</w:t>
            </w:r>
            <w:r w:rsidR="00946F01">
              <w:rPr>
                <w:rFonts w:ascii="Times New Roman" w:eastAsia="Times New Roman" w:hAnsi="Times New Roman" w:cs="Times New Roman"/>
                <w:color w:val="000000"/>
                <w:sz w:val="24"/>
                <w:szCs w:val="24"/>
                <w:lang w:eastAsia="ru-RU"/>
              </w:rPr>
              <w:t>т</w:t>
            </w:r>
            <w:r w:rsidR="002F5D2E">
              <w:rPr>
                <w:rFonts w:ascii="Times New Roman" w:eastAsia="Times New Roman" w:hAnsi="Times New Roman" w:cs="Times New Roman"/>
                <w:color w:val="000000"/>
                <w:sz w:val="24"/>
                <w:szCs w:val="24"/>
                <w:lang w:eastAsia="ru-RU"/>
              </w:rPr>
              <w:t>ов</w:t>
            </w:r>
            <w:r w:rsidR="008C2FC0">
              <w:rPr>
                <w:rFonts w:ascii="Times New Roman" w:eastAsia="Times New Roman" w:hAnsi="Times New Roman" w:cs="Times New Roman"/>
                <w:color w:val="000000"/>
                <w:sz w:val="24"/>
                <w:szCs w:val="24"/>
                <w:lang w:eastAsia="ru-RU"/>
              </w:rPr>
              <w:t xml:space="preserve"> </w:t>
            </w:r>
            <w:r w:rsidR="002F5D2E">
              <w:rPr>
                <w:rFonts w:ascii="Times New Roman" w:eastAsia="Times New Roman" w:hAnsi="Times New Roman" w:cs="Times New Roman"/>
                <w:color w:val="000000"/>
                <w:sz w:val="24"/>
                <w:szCs w:val="24"/>
                <w:lang w:eastAsia="ru-RU"/>
              </w:rPr>
              <w:t>РФ</w:t>
            </w:r>
          </w:p>
          <w:p w:rsidR="00D11A67" w:rsidRPr="003136BD" w:rsidRDefault="00670397" w:rsidP="00D11A67">
            <w:pPr>
              <w:spacing w:after="0" w:line="240" w:lineRule="auto"/>
              <w:jc w:val="center"/>
              <w:rPr>
                <w:rFonts w:ascii="Times New Roman" w:eastAsia="Times New Roman" w:hAnsi="Times New Roman" w:cs="Times New Roman"/>
                <w:color w:val="000000"/>
                <w:sz w:val="24"/>
                <w:szCs w:val="24"/>
                <w:lang w:eastAsia="ru-RU"/>
              </w:rPr>
            </w:pPr>
            <w:r w:rsidRPr="00391FD9">
              <w:rPr>
                <w:rFonts w:ascii="Times New Roman" w:eastAsia="Times New Roman" w:hAnsi="Times New Roman" w:cs="Times New Roman"/>
                <w:i/>
                <w:color w:val="000000"/>
                <w:sz w:val="20"/>
                <w:szCs w:val="24"/>
                <w:lang w:eastAsia="ru-RU"/>
              </w:rPr>
              <w:t>(73%</w:t>
            </w:r>
            <w:r>
              <w:rPr>
                <w:rFonts w:ascii="Times New Roman" w:eastAsia="Times New Roman" w:hAnsi="Times New Roman" w:cs="Times New Roman"/>
                <w:i/>
                <w:color w:val="000000"/>
                <w:sz w:val="20"/>
                <w:szCs w:val="24"/>
                <w:lang w:eastAsia="ru-RU"/>
              </w:rPr>
              <w:t xml:space="preserve"> от общего количества</w:t>
            </w:r>
            <w:r w:rsidRPr="00391FD9">
              <w:rPr>
                <w:rFonts w:ascii="Times New Roman" w:eastAsia="Times New Roman" w:hAnsi="Times New Roman" w:cs="Times New Roman"/>
                <w:i/>
                <w:color w:val="000000"/>
                <w:sz w:val="20"/>
                <w:szCs w:val="24"/>
                <w:lang w:eastAsia="ru-RU"/>
              </w:rPr>
              <w:t>)</w:t>
            </w:r>
          </w:p>
        </w:tc>
        <w:tc>
          <w:tcPr>
            <w:tcW w:w="1984" w:type="dxa"/>
            <w:tcBorders>
              <w:top w:val="nil"/>
              <w:left w:val="nil"/>
              <w:bottom w:val="single" w:sz="4" w:space="0" w:color="auto"/>
              <w:right w:val="single" w:sz="4" w:space="0" w:color="auto"/>
            </w:tcBorders>
            <w:shd w:val="clear" w:color="auto" w:fill="auto"/>
            <w:vAlign w:val="center"/>
          </w:tcPr>
          <w:p w:rsidR="00670397" w:rsidRDefault="00DD3C62" w:rsidP="00315E3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22 субъекта </w:t>
            </w:r>
            <w:r w:rsidR="002F5D2E">
              <w:rPr>
                <w:rFonts w:ascii="Times New Roman" w:eastAsia="Times New Roman" w:hAnsi="Times New Roman" w:cs="Times New Roman"/>
                <w:color w:val="000000"/>
                <w:sz w:val="24"/>
                <w:szCs w:val="24"/>
                <w:lang w:eastAsia="ru-RU"/>
              </w:rPr>
              <w:t>РФ</w:t>
            </w:r>
          </w:p>
          <w:p w:rsidR="00D11A67" w:rsidRPr="00842236" w:rsidRDefault="00670397">
            <w:pPr>
              <w:spacing w:after="0" w:line="240" w:lineRule="auto"/>
              <w:jc w:val="center"/>
              <w:rPr>
                <w:rFonts w:ascii="Times New Roman" w:eastAsia="Times New Roman" w:hAnsi="Times New Roman" w:cs="Times New Roman"/>
                <w:bCs/>
                <w:color w:val="000000"/>
                <w:sz w:val="24"/>
                <w:szCs w:val="24"/>
                <w:lang w:eastAsia="ru-RU"/>
              </w:rPr>
            </w:pPr>
            <w:r w:rsidRPr="0053488E">
              <w:rPr>
                <w:rFonts w:ascii="Times New Roman" w:eastAsia="Times New Roman" w:hAnsi="Times New Roman" w:cs="Times New Roman"/>
                <w:i/>
                <w:color w:val="000000"/>
                <w:sz w:val="20"/>
                <w:szCs w:val="24"/>
                <w:lang w:eastAsia="ru-RU"/>
              </w:rPr>
              <w:t>(</w:t>
            </w:r>
            <w:r>
              <w:rPr>
                <w:rFonts w:ascii="Times New Roman" w:eastAsia="Times New Roman" w:hAnsi="Times New Roman" w:cs="Times New Roman"/>
                <w:i/>
                <w:color w:val="000000"/>
                <w:sz w:val="20"/>
                <w:szCs w:val="24"/>
                <w:lang w:eastAsia="ru-RU"/>
              </w:rPr>
              <w:t>27</w:t>
            </w:r>
            <w:r w:rsidRPr="0053488E">
              <w:rPr>
                <w:rFonts w:ascii="Times New Roman" w:eastAsia="Times New Roman" w:hAnsi="Times New Roman" w:cs="Times New Roman"/>
                <w:i/>
                <w:color w:val="000000"/>
                <w:sz w:val="20"/>
                <w:szCs w:val="24"/>
                <w:lang w:eastAsia="ru-RU"/>
              </w:rPr>
              <w:t>%</w:t>
            </w:r>
            <w:r>
              <w:rPr>
                <w:rFonts w:ascii="Times New Roman" w:eastAsia="Times New Roman" w:hAnsi="Times New Roman" w:cs="Times New Roman"/>
                <w:i/>
                <w:color w:val="000000"/>
                <w:sz w:val="20"/>
                <w:szCs w:val="24"/>
                <w:lang w:eastAsia="ru-RU"/>
              </w:rPr>
              <w:t xml:space="preserve"> от общего количества</w:t>
            </w:r>
            <w:r w:rsidRPr="0053488E">
              <w:rPr>
                <w:rFonts w:ascii="Times New Roman" w:eastAsia="Times New Roman" w:hAnsi="Times New Roman" w:cs="Times New Roman"/>
                <w:i/>
                <w:color w:val="000000"/>
                <w:sz w:val="20"/>
                <w:szCs w:val="24"/>
                <w:lang w:eastAsia="ru-RU"/>
              </w:rPr>
              <w:t>)</w:t>
            </w:r>
          </w:p>
        </w:tc>
        <w:tc>
          <w:tcPr>
            <w:tcW w:w="1843" w:type="dxa"/>
            <w:tcBorders>
              <w:top w:val="nil"/>
              <w:left w:val="nil"/>
              <w:bottom w:val="single" w:sz="4" w:space="0" w:color="auto"/>
              <w:right w:val="single" w:sz="4" w:space="0" w:color="auto"/>
            </w:tcBorders>
            <w:vAlign w:val="center"/>
          </w:tcPr>
          <w:p w:rsidR="00D11A67" w:rsidRDefault="00B67CBB" w:rsidP="00315E3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2F5D2E">
              <w:rPr>
                <w:rFonts w:ascii="Times New Roman" w:eastAsia="Times New Roman" w:hAnsi="Times New Roman" w:cs="Times New Roman"/>
                <w:color w:val="000000"/>
                <w:sz w:val="24"/>
                <w:szCs w:val="24"/>
                <w:lang w:eastAsia="ru-RU"/>
              </w:rPr>
              <w:t>субъек</w:t>
            </w:r>
            <w:r w:rsidR="00946F01">
              <w:rPr>
                <w:rFonts w:ascii="Times New Roman" w:eastAsia="Times New Roman" w:hAnsi="Times New Roman" w:cs="Times New Roman"/>
                <w:color w:val="000000"/>
                <w:sz w:val="24"/>
                <w:szCs w:val="24"/>
                <w:lang w:eastAsia="ru-RU"/>
              </w:rPr>
              <w:t>т</w:t>
            </w:r>
            <w:r w:rsidR="002F5D2E">
              <w:rPr>
                <w:rFonts w:ascii="Times New Roman" w:eastAsia="Times New Roman" w:hAnsi="Times New Roman" w:cs="Times New Roman"/>
                <w:color w:val="000000"/>
                <w:sz w:val="24"/>
                <w:szCs w:val="24"/>
                <w:lang w:eastAsia="ru-RU"/>
              </w:rPr>
              <w:t>ов</w:t>
            </w:r>
            <w:r w:rsidR="008C2FC0">
              <w:rPr>
                <w:rFonts w:ascii="Times New Roman" w:eastAsia="Times New Roman" w:hAnsi="Times New Roman" w:cs="Times New Roman"/>
                <w:color w:val="000000"/>
                <w:sz w:val="24"/>
                <w:szCs w:val="24"/>
                <w:lang w:eastAsia="ru-RU"/>
              </w:rPr>
              <w:t xml:space="preserve"> </w:t>
            </w:r>
            <w:r w:rsidR="002F5D2E">
              <w:rPr>
                <w:rFonts w:ascii="Times New Roman" w:eastAsia="Times New Roman" w:hAnsi="Times New Roman" w:cs="Times New Roman"/>
                <w:color w:val="000000"/>
                <w:sz w:val="24"/>
                <w:szCs w:val="24"/>
                <w:lang w:eastAsia="ru-RU"/>
              </w:rPr>
              <w:t>РФ</w:t>
            </w:r>
          </w:p>
          <w:p w:rsidR="00670397" w:rsidRDefault="00670397">
            <w:pPr>
              <w:spacing w:after="0" w:line="240" w:lineRule="auto"/>
              <w:jc w:val="center"/>
              <w:rPr>
                <w:rFonts w:ascii="Times New Roman" w:eastAsia="Times New Roman" w:hAnsi="Times New Roman" w:cs="Times New Roman"/>
                <w:bCs/>
                <w:color w:val="000000"/>
                <w:sz w:val="24"/>
                <w:szCs w:val="24"/>
                <w:lang w:eastAsia="ru-RU"/>
              </w:rPr>
            </w:pPr>
            <w:r w:rsidRPr="0053488E">
              <w:rPr>
                <w:rFonts w:ascii="Times New Roman" w:eastAsia="Times New Roman" w:hAnsi="Times New Roman" w:cs="Times New Roman"/>
                <w:i/>
                <w:color w:val="000000"/>
                <w:sz w:val="20"/>
                <w:szCs w:val="24"/>
                <w:lang w:eastAsia="ru-RU"/>
              </w:rPr>
              <w:t>(</w:t>
            </w:r>
            <w:r>
              <w:rPr>
                <w:rFonts w:ascii="Times New Roman" w:eastAsia="Times New Roman" w:hAnsi="Times New Roman" w:cs="Times New Roman"/>
                <w:i/>
                <w:color w:val="000000"/>
                <w:sz w:val="20"/>
                <w:szCs w:val="24"/>
                <w:lang w:eastAsia="ru-RU"/>
              </w:rPr>
              <w:t>15</w:t>
            </w:r>
            <w:r w:rsidRPr="0053488E">
              <w:rPr>
                <w:rFonts w:ascii="Times New Roman" w:eastAsia="Times New Roman" w:hAnsi="Times New Roman" w:cs="Times New Roman"/>
                <w:i/>
                <w:color w:val="000000"/>
                <w:sz w:val="20"/>
                <w:szCs w:val="24"/>
                <w:lang w:eastAsia="ru-RU"/>
              </w:rPr>
              <w:t>%</w:t>
            </w:r>
            <w:r>
              <w:rPr>
                <w:rFonts w:ascii="Times New Roman" w:eastAsia="Times New Roman" w:hAnsi="Times New Roman" w:cs="Times New Roman"/>
                <w:i/>
                <w:color w:val="000000"/>
                <w:sz w:val="20"/>
                <w:szCs w:val="24"/>
                <w:lang w:eastAsia="ru-RU"/>
              </w:rPr>
              <w:t xml:space="preserve"> от общего количества</w:t>
            </w:r>
            <w:r w:rsidRPr="0053488E">
              <w:rPr>
                <w:rFonts w:ascii="Times New Roman" w:eastAsia="Times New Roman" w:hAnsi="Times New Roman" w:cs="Times New Roman"/>
                <w:i/>
                <w:color w:val="000000"/>
                <w:sz w:val="20"/>
                <w:szCs w:val="24"/>
                <w:lang w:eastAsia="ru-RU"/>
              </w:rPr>
              <w:t>)</w:t>
            </w:r>
          </w:p>
        </w:tc>
        <w:tc>
          <w:tcPr>
            <w:tcW w:w="1985" w:type="dxa"/>
            <w:tcBorders>
              <w:top w:val="nil"/>
              <w:left w:val="nil"/>
              <w:bottom w:val="single" w:sz="4" w:space="0" w:color="auto"/>
              <w:right w:val="single" w:sz="4" w:space="0" w:color="auto"/>
            </w:tcBorders>
            <w:vAlign w:val="center"/>
          </w:tcPr>
          <w:p w:rsidR="00D11A67" w:rsidRDefault="00B67CBB" w:rsidP="00315E3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2F5D2E">
              <w:rPr>
                <w:rFonts w:ascii="Times New Roman" w:eastAsia="Times New Roman" w:hAnsi="Times New Roman" w:cs="Times New Roman"/>
                <w:color w:val="000000"/>
                <w:sz w:val="24"/>
                <w:szCs w:val="24"/>
                <w:lang w:eastAsia="ru-RU"/>
              </w:rPr>
              <w:t>субъек</w:t>
            </w:r>
            <w:r w:rsidR="00946F01">
              <w:rPr>
                <w:rFonts w:ascii="Times New Roman" w:eastAsia="Times New Roman" w:hAnsi="Times New Roman" w:cs="Times New Roman"/>
                <w:color w:val="000000"/>
                <w:sz w:val="24"/>
                <w:szCs w:val="24"/>
                <w:lang w:eastAsia="ru-RU"/>
              </w:rPr>
              <w:t>т</w:t>
            </w:r>
            <w:r w:rsidR="002F5D2E">
              <w:rPr>
                <w:rFonts w:ascii="Times New Roman" w:eastAsia="Times New Roman" w:hAnsi="Times New Roman" w:cs="Times New Roman"/>
                <w:color w:val="000000"/>
                <w:sz w:val="24"/>
                <w:szCs w:val="24"/>
                <w:lang w:eastAsia="ru-RU"/>
              </w:rPr>
              <w:t>ов</w:t>
            </w:r>
            <w:r w:rsidR="008C2FC0">
              <w:rPr>
                <w:rFonts w:ascii="Times New Roman" w:eastAsia="Times New Roman" w:hAnsi="Times New Roman" w:cs="Times New Roman"/>
                <w:color w:val="000000"/>
                <w:sz w:val="24"/>
                <w:szCs w:val="24"/>
                <w:lang w:eastAsia="ru-RU"/>
              </w:rPr>
              <w:t xml:space="preserve"> </w:t>
            </w:r>
            <w:r w:rsidR="002F5D2E">
              <w:rPr>
                <w:rFonts w:ascii="Times New Roman" w:eastAsia="Times New Roman" w:hAnsi="Times New Roman" w:cs="Times New Roman"/>
                <w:color w:val="000000"/>
                <w:sz w:val="24"/>
                <w:szCs w:val="24"/>
                <w:lang w:eastAsia="ru-RU"/>
              </w:rPr>
              <w:t>РФ</w:t>
            </w:r>
          </w:p>
          <w:p w:rsidR="00670397" w:rsidRDefault="00670397">
            <w:pPr>
              <w:spacing w:after="0" w:line="240" w:lineRule="auto"/>
              <w:jc w:val="center"/>
              <w:rPr>
                <w:rFonts w:ascii="Times New Roman" w:eastAsia="Times New Roman" w:hAnsi="Times New Roman" w:cs="Times New Roman"/>
                <w:bCs/>
                <w:color w:val="000000"/>
                <w:sz w:val="24"/>
                <w:szCs w:val="24"/>
                <w:lang w:eastAsia="ru-RU"/>
              </w:rPr>
            </w:pPr>
            <w:r w:rsidRPr="0053488E">
              <w:rPr>
                <w:rFonts w:ascii="Times New Roman" w:eastAsia="Times New Roman" w:hAnsi="Times New Roman" w:cs="Times New Roman"/>
                <w:i/>
                <w:color w:val="000000"/>
                <w:sz w:val="20"/>
                <w:szCs w:val="24"/>
                <w:lang w:eastAsia="ru-RU"/>
              </w:rPr>
              <w:t>(</w:t>
            </w:r>
            <w:r>
              <w:rPr>
                <w:rFonts w:ascii="Times New Roman" w:eastAsia="Times New Roman" w:hAnsi="Times New Roman" w:cs="Times New Roman"/>
                <w:i/>
                <w:color w:val="000000"/>
                <w:sz w:val="20"/>
                <w:szCs w:val="24"/>
                <w:lang w:eastAsia="ru-RU"/>
              </w:rPr>
              <w:t>11</w:t>
            </w:r>
            <w:r w:rsidRPr="0053488E">
              <w:rPr>
                <w:rFonts w:ascii="Times New Roman" w:eastAsia="Times New Roman" w:hAnsi="Times New Roman" w:cs="Times New Roman"/>
                <w:i/>
                <w:color w:val="000000"/>
                <w:sz w:val="20"/>
                <w:szCs w:val="24"/>
                <w:lang w:eastAsia="ru-RU"/>
              </w:rPr>
              <w:t>%</w:t>
            </w:r>
            <w:r>
              <w:rPr>
                <w:rFonts w:ascii="Times New Roman" w:eastAsia="Times New Roman" w:hAnsi="Times New Roman" w:cs="Times New Roman"/>
                <w:i/>
                <w:color w:val="000000"/>
                <w:sz w:val="20"/>
                <w:szCs w:val="24"/>
                <w:lang w:eastAsia="ru-RU"/>
              </w:rPr>
              <w:t xml:space="preserve"> от общего количества</w:t>
            </w:r>
            <w:r w:rsidRPr="0053488E">
              <w:rPr>
                <w:rFonts w:ascii="Times New Roman" w:eastAsia="Times New Roman" w:hAnsi="Times New Roman" w:cs="Times New Roman"/>
                <w:i/>
                <w:color w:val="000000"/>
                <w:sz w:val="20"/>
                <w:szCs w:val="24"/>
                <w:lang w:eastAsia="ru-RU"/>
              </w:rPr>
              <w:t>)</w:t>
            </w:r>
          </w:p>
        </w:tc>
        <w:tc>
          <w:tcPr>
            <w:tcW w:w="1729" w:type="dxa"/>
            <w:tcBorders>
              <w:top w:val="nil"/>
              <w:left w:val="nil"/>
              <w:bottom w:val="single" w:sz="4" w:space="0" w:color="auto"/>
              <w:right w:val="single" w:sz="4" w:space="0" w:color="auto"/>
            </w:tcBorders>
            <w:vAlign w:val="center"/>
          </w:tcPr>
          <w:p w:rsidR="00D11A67" w:rsidRDefault="00B67CBB" w:rsidP="00315E3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2F5D2E">
              <w:rPr>
                <w:rFonts w:ascii="Times New Roman" w:eastAsia="Times New Roman" w:hAnsi="Times New Roman" w:cs="Times New Roman"/>
                <w:color w:val="000000"/>
                <w:sz w:val="24"/>
                <w:szCs w:val="24"/>
                <w:lang w:eastAsia="ru-RU"/>
              </w:rPr>
              <w:t>субъек</w:t>
            </w:r>
            <w:r>
              <w:rPr>
                <w:rFonts w:ascii="Times New Roman" w:eastAsia="Times New Roman" w:hAnsi="Times New Roman" w:cs="Times New Roman"/>
                <w:color w:val="000000"/>
                <w:sz w:val="24"/>
                <w:szCs w:val="24"/>
                <w:lang w:eastAsia="ru-RU"/>
              </w:rPr>
              <w:t>т РФ</w:t>
            </w:r>
          </w:p>
          <w:p w:rsidR="00670397" w:rsidRDefault="00670397">
            <w:pPr>
              <w:spacing w:after="0" w:line="240" w:lineRule="auto"/>
              <w:jc w:val="center"/>
              <w:rPr>
                <w:rFonts w:ascii="Times New Roman" w:eastAsia="Times New Roman" w:hAnsi="Times New Roman" w:cs="Times New Roman"/>
                <w:bCs/>
                <w:color w:val="000000"/>
                <w:sz w:val="24"/>
                <w:szCs w:val="24"/>
                <w:lang w:eastAsia="ru-RU"/>
              </w:rPr>
            </w:pPr>
            <w:r w:rsidRPr="0053488E">
              <w:rPr>
                <w:rFonts w:ascii="Times New Roman" w:eastAsia="Times New Roman" w:hAnsi="Times New Roman" w:cs="Times New Roman"/>
                <w:i/>
                <w:color w:val="000000"/>
                <w:sz w:val="20"/>
                <w:szCs w:val="24"/>
                <w:lang w:eastAsia="ru-RU"/>
              </w:rPr>
              <w:t>(</w:t>
            </w:r>
            <w:r>
              <w:rPr>
                <w:rFonts w:ascii="Times New Roman" w:eastAsia="Times New Roman" w:hAnsi="Times New Roman" w:cs="Times New Roman"/>
                <w:i/>
                <w:color w:val="000000"/>
                <w:sz w:val="20"/>
                <w:szCs w:val="24"/>
                <w:lang w:eastAsia="ru-RU"/>
              </w:rPr>
              <w:t>1</w:t>
            </w:r>
            <w:r w:rsidRPr="0053488E">
              <w:rPr>
                <w:rFonts w:ascii="Times New Roman" w:eastAsia="Times New Roman" w:hAnsi="Times New Roman" w:cs="Times New Roman"/>
                <w:i/>
                <w:color w:val="000000"/>
                <w:sz w:val="20"/>
                <w:szCs w:val="24"/>
                <w:lang w:eastAsia="ru-RU"/>
              </w:rPr>
              <w:t>%</w:t>
            </w:r>
            <w:r>
              <w:rPr>
                <w:rFonts w:ascii="Times New Roman" w:eastAsia="Times New Roman" w:hAnsi="Times New Roman" w:cs="Times New Roman"/>
                <w:i/>
                <w:color w:val="000000"/>
                <w:sz w:val="20"/>
                <w:szCs w:val="24"/>
                <w:lang w:eastAsia="ru-RU"/>
              </w:rPr>
              <w:t xml:space="preserve"> от общего количества</w:t>
            </w:r>
            <w:r w:rsidRPr="0053488E">
              <w:rPr>
                <w:rFonts w:ascii="Times New Roman" w:eastAsia="Times New Roman" w:hAnsi="Times New Roman" w:cs="Times New Roman"/>
                <w:i/>
                <w:color w:val="000000"/>
                <w:sz w:val="20"/>
                <w:szCs w:val="24"/>
                <w:lang w:eastAsia="ru-RU"/>
              </w:rPr>
              <w:t>)</w:t>
            </w:r>
          </w:p>
        </w:tc>
      </w:tr>
    </w:tbl>
    <w:p w:rsidR="00132D75" w:rsidRDefault="00132D75" w:rsidP="00526D62">
      <w:pPr>
        <w:spacing w:after="0" w:line="276" w:lineRule="auto"/>
        <w:ind w:firstLine="851"/>
        <w:jc w:val="both"/>
        <w:rPr>
          <w:rFonts w:ascii="Times New Roman" w:eastAsia="Times New Roman" w:hAnsi="Times New Roman" w:cs="Times New Roman"/>
          <w:sz w:val="28"/>
          <w:szCs w:val="28"/>
          <w:lang w:eastAsia="ru-RU"/>
        </w:rPr>
      </w:pPr>
    </w:p>
    <w:p w:rsidR="00D11A67" w:rsidRPr="00526D62" w:rsidRDefault="00D11A67" w:rsidP="005D1255">
      <w:pPr>
        <w:pStyle w:val="a4"/>
        <w:numPr>
          <w:ilvl w:val="0"/>
          <w:numId w:val="30"/>
        </w:numPr>
        <w:tabs>
          <w:tab w:val="right" w:pos="426"/>
        </w:tabs>
        <w:spacing w:after="120" w:line="276" w:lineRule="auto"/>
        <w:ind w:left="425" w:hanging="425"/>
        <w:jc w:val="both"/>
        <w:rPr>
          <w:rFonts w:ascii="Times New Roman" w:eastAsia="Times New Roman" w:hAnsi="Times New Roman"/>
          <w:sz w:val="28"/>
          <w:szCs w:val="28"/>
          <w:u w:val="single"/>
          <w:lang w:eastAsia="ru-RU"/>
        </w:rPr>
      </w:pPr>
      <w:r w:rsidRPr="00526D62">
        <w:rPr>
          <w:rFonts w:ascii="Times New Roman" w:eastAsia="Times New Roman" w:hAnsi="Times New Roman"/>
          <w:sz w:val="28"/>
          <w:szCs w:val="28"/>
          <w:u w:val="single"/>
          <w:lang w:eastAsia="ru-RU"/>
        </w:rPr>
        <w:t>Уровень</w:t>
      </w:r>
      <w:r w:rsidR="008C2FC0" w:rsidRPr="00526D62">
        <w:rPr>
          <w:rFonts w:ascii="Times New Roman" w:eastAsia="Times New Roman" w:hAnsi="Times New Roman"/>
          <w:sz w:val="28"/>
          <w:szCs w:val="28"/>
          <w:u w:val="single"/>
          <w:lang w:eastAsia="ru-RU"/>
        </w:rPr>
        <w:t xml:space="preserve"> </w:t>
      </w:r>
      <w:r w:rsidRPr="00526D62">
        <w:rPr>
          <w:rFonts w:ascii="Times New Roman" w:eastAsia="Times New Roman" w:hAnsi="Times New Roman"/>
          <w:sz w:val="28"/>
          <w:szCs w:val="28"/>
          <w:u w:val="single"/>
          <w:lang w:eastAsia="ru-RU"/>
        </w:rPr>
        <w:t>детализации</w:t>
      </w:r>
      <w:r w:rsidR="008C2FC0" w:rsidRPr="00526D62">
        <w:rPr>
          <w:rFonts w:ascii="Times New Roman" w:eastAsia="Times New Roman" w:hAnsi="Times New Roman"/>
          <w:sz w:val="28"/>
          <w:szCs w:val="28"/>
          <w:u w:val="single"/>
          <w:lang w:eastAsia="ru-RU"/>
        </w:rPr>
        <w:t xml:space="preserve"> </w:t>
      </w:r>
      <w:r w:rsidRPr="00526D62">
        <w:rPr>
          <w:rFonts w:ascii="Times New Roman" w:eastAsia="Times New Roman" w:hAnsi="Times New Roman"/>
          <w:sz w:val="28"/>
          <w:szCs w:val="28"/>
          <w:u w:val="single"/>
          <w:lang w:eastAsia="ru-RU"/>
        </w:rPr>
        <w:t>планирования</w:t>
      </w:r>
      <w:r w:rsidR="008C2FC0" w:rsidRPr="00526D62">
        <w:rPr>
          <w:rFonts w:ascii="Times New Roman" w:eastAsia="Times New Roman" w:hAnsi="Times New Roman"/>
          <w:sz w:val="28"/>
          <w:szCs w:val="28"/>
          <w:u w:val="single"/>
          <w:lang w:eastAsia="ru-RU"/>
        </w:rPr>
        <w:t xml:space="preserve"> </w:t>
      </w:r>
      <w:r w:rsidRPr="00526D62">
        <w:rPr>
          <w:rFonts w:ascii="Times New Roman" w:eastAsia="Times New Roman" w:hAnsi="Times New Roman"/>
          <w:sz w:val="28"/>
          <w:szCs w:val="28"/>
          <w:u w:val="single"/>
          <w:lang w:eastAsia="ru-RU"/>
        </w:rPr>
        <w:t>основных</w:t>
      </w:r>
      <w:r w:rsidR="008C2FC0" w:rsidRPr="00526D62">
        <w:rPr>
          <w:rFonts w:ascii="Times New Roman" w:eastAsia="Times New Roman" w:hAnsi="Times New Roman"/>
          <w:sz w:val="28"/>
          <w:szCs w:val="28"/>
          <w:u w:val="single"/>
          <w:lang w:eastAsia="ru-RU"/>
        </w:rPr>
        <w:t xml:space="preserve"> </w:t>
      </w:r>
      <w:r w:rsidRPr="00526D62">
        <w:rPr>
          <w:rFonts w:ascii="Times New Roman" w:eastAsia="Times New Roman" w:hAnsi="Times New Roman"/>
          <w:sz w:val="28"/>
          <w:szCs w:val="28"/>
          <w:u w:val="single"/>
          <w:lang w:eastAsia="ru-RU"/>
        </w:rPr>
        <w:t>параметров</w:t>
      </w:r>
      <w:r w:rsidR="008C2FC0" w:rsidRPr="00526D62">
        <w:rPr>
          <w:rFonts w:ascii="Times New Roman" w:eastAsia="Times New Roman" w:hAnsi="Times New Roman"/>
          <w:sz w:val="28"/>
          <w:szCs w:val="28"/>
          <w:u w:val="single"/>
          <w:lang w:eastAsia="ru-RU"/>
        </w:rPr>
        <w:t xml:space="preserve"> </w:t>
      </w:r>
      <w:r w:rsidRPr="00526D62">
        <w:rPr>
          <w:rFonts w:ascii="Times New Roman" w:eastAsia="Times New Roman" w:hAnsi="Times New Roman"/>
          <w:sz w:val="28"/>
          <w:szCs w:val="28"/>
          <w:u w:val="single"/>
          <w:lang w:eastAsia="ru-RU"/>
        </w:rPr>
        <w:t>бюджетных</w:t>
      </w:r>
      <w:r w:rsidR="008C2FC0" w:rsidRPr="00526D62">
        <w:rPr>
          <w:rFonts w:ascii="Times New Roman" w:eastAsia="Times New Roman" w:hAnsi="Times New Roman"/>
          <w:sz w:val="28"/>
          <w:szCs w:val="28"/>
          <w:u w:val="single"/>
          <w:lang w:eastAsia="ru-RU"/>
        </w:rPr>
        <w:t xml:space="preserve"> </w:t>
      </w:r>
      <w:r w:rsidRPr="00526D62">
        <w:rPr>
          <w:rFonts w:ascii="Times New Roman" w:eastAsia="Times New Roman" w:hAnsi="Times New Roman"/>
          <w:sz w:val="28"/>
          <w:szCs w:val="28"/>
          <w:u w:val="single"/>
          <w:lang w:eastAsia="ru-RU"/>
        </w:rPr>
        <w:t>прогнозов</w:t>
      </w:r>
    </w:p>
    <w:p w:rsidR="00A02233" w:rsidRDefault="004E5F05" w:rsidP="00526D62">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8E4AB6" w:rsidRPr="008E4AB6">
        <w:rPr>
          <w:rFonts w:ascii="Times New Roman" w:eastAsia="Times New Roman" w:hAnsi="Times New Roman"/>
          <w:sz w:val="28"/>
          <w:szCs w:val="28"/>
          <w:lang w:eastAsia="ru-RU"/>
        </w:rPr>
        <w:t>олгосрочно</w:t>
      </w:r>
      <w:r>
        <w:rPr>
          <w:rFonts w:ascii="Times New Roman" w:eastAsia="Times New Roman" w:hAnsi="Times New Roman"/>
          <w:sz w:val="28"/>
          <w:szCs w:val="28"/>
          <w:lang w:eastAsia="ru-RU"/>
        </w:rPr>
        <w:t>е</w:t>
      </w:r>
      <w:r w:rsidR="008C2FC0">
        <w:rPr>
          <w:rFonts w:ascii="Times New Roman" w:eastAsia="Times New Roman" w:hAnsi="Times New Roman"/>
          <w:sz w:val="28"/>
          <w:szCs w:val="28"/>
          <w:lang w:eastAsia="ru-RU"/>
        </w:rPr>
        <w:t xml:space="preserve"> </w:t>
      </w:r>
      <w:r w:rsidR="008E4AB6" w:rsidRPr="008E4AB6">
        <w:rPr>
          <w:rFonts w:ascii="Times New Roman" w:eastAsia="Times New Roman" w:hAnsi="Times New Roman"/>
          <w:sz w:val="28"/>
          <w:szCs w:val="28"/>
          <w:lang w:eastAsia="ru-RU"/>
        </w:rPr>
        <w:t>бюджетно</w:t>
      </w:r>
      <w:r>
        <w:rPr>
          <w:rFonts w:ascii="Times New Roman" w:eastAsia="Times New Roman" w:hAnsi="Times New Roman"/>
          <w:sz w:val="28"/>
          <w:szCs w:val="28"/>
          <w:lang w:eastAsia="ru-RU"/>
        </w:rPr>
        <w:t>е</w:t>
      </w:r>
      <w:r w:rsidR="008C2FC0">
        <w:rPr>
          <w:rFonts w:ascii="Times New Roman" w:eastAsia="Times New Roman" w:hAnsi="Times New Roman"/>
          <w:sz w:val="28"/>
          <w:szCs w:val="28"/>
          <w:lang w:eastAsia="ru-RU"/>
        </w:rPr>
        <w:t xml:space="preserve"> </w:t>
      </w:r>
      <w:r w:rsidR="008E4AB6" w:rsidRPr="008E4AB6">
        <w:rPr>
          <w:rFonts w:ascii="Times New Roman" w:eastAsia="Times New Roman" w:hAnsi="Times New Roman"/>
          <w:sz w:val="28"/>
          <w:szCs w:val="28"/>
          <w:lang w:eastAsia="ru-RU"/>
        </w:rPr>
        <w:t>планировани</w:t>
      </w:r>
      <w:r>
        <w:rPr>
          <w:rFonts w:ascii="Times New Roman" w:eastAsia="Times New Roman" w:hAnsi="Times New Roman"/>
          <w:sz w:val="28"/>
          <w:szCs w:val="28"/>
          <w:lang w:eastAsia="ru-RU"/>
        </w:rPr>
        <w:t>е</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направлено</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w:t>
      </w:r>
      <w:r w:rsidR="008C2FC0">
        <w:rPr>
          <w:rFonts w:ascii="Times New Roman" w:eastAsia="Times New Roman" w:hAnsi="Times New Roman"/>
          <w:sz w:val="28"/>
          <w:szCs w:val="28"/>
          <w:lang w:eastAsia="ru-RU"/>
        </w:rPr>
        <w:t xml:space="preserve"> </w:t>
      </w:r>
      <w:r w:rsidR="008E4AB6" w:rsidRPr="008E4AB6">
        <w:rPr>
          <w:rFonts w:ascii="Times New Roman" w:eastAsia="Times New Roman" w:hAnsi="Times New Roman"/>
          <w:sz w:val="28"/>
          <w:szCs w:val="28"/>
          <w:lang w:eastAsia="ru-RU"/>
        </w:rPr>
        <w:t>обеспечение</w:t>
      </w:r>
      <w:r w:rsidR="008C2FC0">
        <w:rPr>
          <w:rFonts w:ascii="Times New Roman" w:eastAsia="Times New Roman" w:hAnsi="Times New Roman"/>
          <w:sz w:val="28"/>
          <w:szCs w:val="28"/>
          <w:lang w:eastAsia="ru-RU"/>
        </w:rPr>
        <w:t xml:space="preserve"> </w:t>
      </w:r>
      <w:r w:rsidR="008E4AB6" w:rsidRPr="008E4AB6">
        <w:rPr>
          <w:rFonts w:ascii="Times New Roman" w:eastAsia="Times New Roman" w:hAnsi="Times New Roman"/>
          <w:sz w:val="28"/>
          <w:szCs w:val="28"/>
          <w:lang w:eastAsia="ru-RU"/>
        </w:rPr>
        <w:t>предсказуемости</w:t>
      </w:r>
      <w:r w:rsidR="008C2FC0">
        <w:rPr>
          <w:rFonts w:ascii="Times New Roman" w:eastAsia="Times New Roman" w:hAnsi="Times New Roman"/>
          <w:sz w:val="28"/>
          <w:szCs w:val="28"/>
          <w:lang w:eastAsia="ru-RU"/>
        </w:rPr>
        <w:t xml:space="preserve"> </w:t>
      </w:r>
      <w:r w:rsidR="008E4AB6" w:rsidRPr="008E4AB6">
        <w:rPr>
          <w:rFonts w:ascii="Times New Roman" w:eastAsia="Times New Roman" w:hAnsi="Times New Roman"/>
          <w:sz w:val="28"/>
          <w:szCs w:val="28"/>
          <w:lang w:eastAsia="ru-RU"/>
        </w:rPr>
        <w:t>развития</w:t>
      </w:r>
      <w:r w:rsidR="008C2FC0">
        <w:rPr>
          <w:rFonts w:ascii="Times New Roman" w:eastAsia="Times New Roman" w:hAnsi="Times New Roman"/>
          <w:sz w:val="28"/>
          <w:szCs w:val="28"/>
          <w:lang w:eastAsia="ru-RU"/>
        </w:rPr>
        <w:t xml:space="preserve"> </w:t>
      </w:r>
      <w:r w:rsidR="008E4AB6" w:rsidRPr="008E4AB6">
        <w:rPr>
          <w:rFonts w:ascii="Times New Roman" w:eastAsia="Times New Roman" w:hAnsi="Times New Roman"/>
          <w:sz w:val="28"/>
          <w:szCs w:val="28"/>
          <w:lang w:eastAsia="ru-RU"/>
        </w:rPr>
        <w:t>бюджетов</w:t>
      </w:r>
      <w:r w:rsidR="008C2FC0">
        <w:rPr>
          <w:rFonts w:ascii="Times New Roman" w:eastAsia="Times New Roman" w:hAnsi="Times New Roman"/>
          <w:sz w:val="28"/>
          <w:szCs w:val="28"/>
          <w:lang w:eastAsia="ru-RU"/>
        </w:rPr>
        <w:t xml:space="preserve"> </w:t>
      </w:r>
      <w:r w:rsidR="008E4AB6" w:rsidRPr="008E4AB6">
        <w:rPr>
          <w:rFonts w:ascii="Times New Roman" w:eastAsia="Times New Roman" w:hAnsi="Times New Roman"/>
          <w:sz w:val="28"/>
          <w:szCs w:val="28"/>
          <w:lang w:eastAsia="ru-RU"/>
        </w:rPr>
        <w:t>бюджетно</w:t>
      </w:r>
      <w:r>
        <w:rPr>
          <w:rFonts w:ascii="Times New Roman" w:eastAsia="Times New Roman" w:hAnsi="Times New Roman"/>
          <w:sz w:val="28"/>
          <w:szCs w:val="28"/>
          <w:lang w:eastAsia="ru-RU"/>
        </w:rPr>
        <w:t>й</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системы</w:t>
      </w:r>
      <w:r w:rsidR="008C2FC0">
        <w:rPr>
          <w:rFonts w:ascii="Times New Roman" w:eastAsia="Times New Roman" w:hAnsi="Times New Roman"/>
          <w:sz w:val="28"/>
          <w:szCs w:val="28"/>
          <w:lang w:eastAsia="ru-RU"/>
        </w:rPr>
        <w:t xml:space="preserve"> </w:t>
      </w:r>
      <w:r w:rsidR="007E1F77">
        <w:rPr>
          <w:rFonts w:ascii="Times New Roman" w:eastAsia="Times New Roman" w:hAnsi="Times New Roman"/>
          <w:sz w:val="28"/>
          <w:szCs w:val="28"/>
          <w:lang w:eastAsia="ru-RU"/>
        </w:rPr>
        <w:t>РФ</w:t>
      </w:r>
      <w:r>
        <w:rPr>
          <w:rFonts w:ascii="Times New Roman" w:eastAsia="Times New Roman" w:hAnsi="Times New Roman"/>
          <w:sz w:val="28"/>
          <w:szCs w:val="28"/>
          <w:lang w:eastAsia="ru-RU"/>
        </w:rPr>
        <w:t>,</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оценку</w:t>
      </w:r>
      <w:r w:rsidR="008C2FC0">
        <w:rPr>
          <w:rFonts w:ascii="Times New Roman" w:eastAsia="Times New Roman" w:hAnsi="Times New Roman"/>
          <w:sz w:val="28"/>
          <w:szCs w:val="28"/>
          <w:lang w:eastAsia="ru-RU"/>
        </w:rPr>
        <w:t xml:space="preserve"> </w:t>
      </w:r>
      <w:r w:rsidRPr="004E5F05">
        <w:rPr>
          <w:rFonts w:ascii="Times New Roman" w:eastAsia="Times New Roman" w:hAnsi="Times New Roman"/>
          <w:sz w:val="28"/>
          <w:szCs w:val="28"/>
          <w:lang w:eastAsia="ru-RU"/>
        </w:rPr>
        <w:t>долгосрочных</w:t>
      </w:r>
      <w:r w:rsidR="008C2FC0">
        <w:rPr>
          <w:rFonts w:ascii="Times New Roman" w:eastAsia="Times New Roman" w:hAnsi="Times New Roman"/>
          <w:sz w:val="28"/>
          <w:szCs w:val="28"/>
          <w:lang w:eastAsia="ru-RU"/>
        </w:rPr>
        <w:t xml:space="preserve"> </w:t>
      </w:r>
      <w:r w:rsidRPr="004E5F05">
        <w:rPr>
          <w:rFonts w:ascii="Times New Roman" w:eastAsia="Times New Roman" w:hAnsi="Times New Roman"/>
          <w:sz w:val="28"/>
          <w:szCs w:val="28"/>
          <w:lang w:eastAsia="ru-RU"/>
        </w:rPr>
        <w:t>тенденций</w:t>
      </w:r>
      <w:r w:rsidR="008C2FC0">
        <w:rPr>
          <w:rFonts w:ascii="Times New Roman" w:eastAsia="Times New Roman" w:hAnsi="Times New Roman"/>
          <w:sz w:val="28"/>
          <w:szCs w:val="28"/>
          <w:lang w:eastAsia="ru-RU"/>
        </w:rPr>
        <w:t xml:space="preserve"> </w:t>
      </w:r>
      <w:r w:rsidRPr="004E5F05">
        <w:rPr>
          <w:rFonts w:ascii="Times New Roman" w:eastAsia="Times New Roman" w:hAnsi="Times New Roman"/>
          <w:sz w:val="28"/>
          <w:szCs w:val="28"/>
          <w:lang w:eastAsia="ru-RU"/>
        </w:rPr>
        <w:t>изменения</w:t>
      </w:r>
      <w:r w:rsidR="008C2FC0">
        <w:rPr>
          <w:rFonts w:ascii="Times New Roman" w:eastAsia="Times New Roman" w:hAnsi="Times New Roman"/>
          <w:sz w:val="28"/>
          <w:szCs w:val="28"/>
          <w:lang w:eastAsia="ru-RU"/>
        </w:rPr>
        <w:t xml:space="preserve"> </w:t>
      </w:r>
      <w:r w:rsidRPr="004E5F05">
        <w:rPr>
          <w:rFonts w:ascii="Times New Roman" w:eastAsia="Times New Roman" w:hAnsi="Times New Roman"/>
          <w:sz w:val="28"/>
          <w:szCs w:val="28"/>
          <w:lang w:eastAsia="ru-RU"/>
        </w:rPr>
        <w:t>объема</w:t>
      </w:r>
      <w:r w:rsidR="008C2FC0">
        <w:rPr>
          <w:rFonts w:ascii="Times New Roman" w:eastAsia="Times New Roman" w:hAnsi="Times New Roman"/>
          <w:sz w:val="28"/>
          <w:szCs w:val="28"/>
          <w:lang w:eastAsia="ru-RU"/>
        </w:rPr>
        <w:t xml:space="preserve"> </w:t>
      </w:r>
      <w:r w:rsidRPr="004E5F05">
        <w:rPr>
          <w:rFonts w:ascii="Times New Roman" w:eastAsia="Times New Roman" w:hAnsi="Times New Roman"/>
          <w:sz w:val="28"/>
          <w:szCs w:val="28"/>
          <w:lang w:eastAsia="ru-RU"/>
        </w:rPr>
        <w:t>и</w:t>
      </w:r>
      <w:r w:rsidR="008C2FC0">
        <w:rPr>
          <w:rFonts w:ascii="Times New Roman" w:eastAsia="Times New Roman" w:hAnsi="Times New Roman"/>
          <w:sz w:val="28"/>
          <w:szCs w:val="28"/>
          <w:lang w:eastAsia="ru-RU"/>
        </w:rPr>
        <w:t xml:space="preserve"> </w:t>
      </w:r>
      <w:r w:rsidRPr="004E5F05">
        <w:rPr>
          <w:rFonts w:ascii="Times New Roman" w:eastAsia="Times New Roman" w:hAnsi="Times New Roman"/>
          <w:sz w:val="28"/>
          <w:szCs w:val="28"/>
          <w:lang w:eastAsia="ru-RU"/>
        </w:rPr>
        <w:t>структуры</w:t>
      </w:r>
      <w:r w:rsidR="008C2FC0">
        <w:rPr>
          <w:rFonts w:ascii="Times New Roman" w:eastAsia="Times New Roman" w:hAnsi="Times New Roman"/>
          <w:sz w:val="28"/>
          <w:szCs w:val="28"/>
          <w:lang w:eastAsia="ru-RU"/>
        </w:rPr>
        <w:t xml:space="preserve"> </w:t>
      </w:r>
      <w:r w:rsidRPr="004E5F05">
        <w:rPr>
          <w:rFonts w:ascii="Times New Roman" w:eastAsia="Times New Roman" w:hAnsi="Times New Roman"/>
          <w:sz w:val="28"/>
          <w:szCs w:val="28"/>
          <w:lang w:eastAsia="ru-RU"/>
        </w:rPr>
        <w:t>доходов</w:t>
      </w:r>
      <w:r w:rsidR="008C2FC0">
        <w:rPr>
          <w:rFonts w:ascii="Times New Roman" w:eastAsia="Times New Roman" w:hAnsi="Times New Roman"/>
          <w:sz w:val="28"/>
          <w:szCs w:val="28"/>
          <w:lang w:eastAsia="ru-RU"/>
        </w:rPr>
        <w:t xml:space="preserve"> </w:t>
      </w:r>
      <w:r w:rsidRPr="004E5F05">
        <w:rPr>
          <w:rFonts w:ascii="Times New Roman" w:eastAsia="Times New Roman" w:hAnsi="Times New Roman"/>
          <w:sz w:val="28"/>
          <w:szCs w:val="28"/>
          <w:lang w:eastAsia="ru-RU"/>
        </w:rPr>
        <w:t>и</w:t>
      </w:r>
      <w:r w:rsidR="008C2FC0">
        <w:rPr>
          <w:rFonts w:ascii="Times New Roman" w:eastAsia="Times New Roman" w:hAnsi="Times New Roman"/>
          <w:sz w:val="28"/>
          <w:szCs w:val="28"/>
          <w:lang w:eastAsia="ru-RU"/>
        </w:rPr>
        <w:t xml:space="preserve"> </w:t>
      </w:r>
      <w:r w:rsidRPr="004E5F05">
        <w:rPr>
          <w:rFonts w:ascii="Times New Roman" w:eastAsia="Times New Roman" w:hAnsi="Times New Roman"/>
          <w:sz w:val="28"/>
          <w:szCs w:val="28"/>
          <w:lang w:eastAsia="ru-RU"/>
        </w:rPr>
        <w:t>рас</w:t>
      </w:r>
      <w:r>
        <w:rPr>
          <w:rFonts w:ascii="Times New Roman" w:eastAsia="Times New Roman" w:hAnsi="Times New Roman"/>
          <w:sz w:val="28"/>
          <w:szCs w:val="28"/>
          <w:lang w:eastAsia="ru-RU"/>
        </w:rPr>
        <w:t>ходов</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бюджетов.</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Представление</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бюджетном</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прогнозе</w:t>
      </w:r>
      <w:r w:rsidR="008C2FC0">
        <w:rPr>
          <w:rFonts w:ascii="Times New Roman" w:eastAsia="Times New Roman" w:hAnsi="Times New Roman"/>
          <w:sz w:val="28"/>
          <w:szCs w:val="28"/>
          <w:lang w:eastAsia="ru-RU"/>
        </w:rPr>
        <w:t xml:space="preserve"> </w:t>
      </w:r>
      <w:r w:rsidR="00A10AF5">
        <w:rPr>
          <w:rFonts w:ascii="Times New Roman" w:eastAsia="Times New Roman" w:hAnsi="Times New Roman"/>
          <w:sz w:val="28"/>
          <w:szCs w:val="28"/>
          <w:lang w:eastAsia="ru-RU"/>
        </w:rPr>
        <w:t xml:space="preserve">развернутой </w:t>
      </w:r>
      <w:r>
        <w:rPr>
          <w:rFonts w:ascii="Times New Roman" w:eastAsia="Times New Roman" w:hAnsi="Times New Roman"/>
          <w:sz w:val="28"/>
          <w:szCs w:val="28"/>
          <w:lang w:eastAsia="ru-RU"/>
        </w:rPr>
        <w:t>структуры</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доходов</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расходов</w:t>
      </w:r>
      <w:r w:rsidR="00A02233">
        <w:rPr>
          <w:rFonts w:ascii="Times New Roman" w:eastAsia="Times New Roman" w:hAnsi="Times New Roman"/>
          <w:sz w:val="28"/>
          <w:szCs w:val="28"/>
          <w:lang w:eastAsia="ru-RU"/>
        </w:rPr>
        <w:t xml:space="preserve"> </w:t>
      </w:r>
      <w:r w:rsidR="00A062F6">
        <w:rPr>
          <w:rFonts w:ascii="Times New Roman" w:eastAsia="Times New Roman" w:hAnsi="Times New Roman"/>
          <w:sz w:val="28"/>
          <w:szCs w:val="28"/>
          <w:lang w:eastAsia="ru-RU"/>
        </w:rPr>
        <w:t xml:space="preserve">является необходимым условием </w:t>
      </w:r>
      <w:r w:rsidR="00A02233">
        <w:rPr>
          <w:rFonts w:ascii="Times New Roman" w:eastAsia="Times New Roman" w:hAnsi="Times New Roman"/>
          <w:sz w:val="28"/>
          <w:szCs w:val="28"/>
          <w:lang w:eastAsia="ru-RU"/>
        </w:rPr>
        <w:t xml:space="preserve">для качественного анализа и долгосрочного бюджетного планирования. </w:t>
      </w:r>
    </w:p>
    <w:p w:rsidR="00A10AF5" w:rsidRDefault="00A10AF5" w:rsidP="00526D62">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Достаточная (высокая) степень детализации показателей бюджетных прогнозов присутствует только у 20% регионов.</w:t>
      </w:r>
    </w:p>
    <w:p w:rsidR="004E5F05" w:rsidRDefault="004E5F05" w:rsidP="00526D62">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Наиболее</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распространенным</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вариантом</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представления</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детализированной</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информации</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основных</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бюджетных</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характеристиках</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бюджетов</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субъектов</w:t>
      </w:r>
      <w:r w:rsidR="008C2FC0">
        <w:rPr>
          <w:rFonts w:ascii="Times New Roman" w:eastAsia="Times New Roman" w:hAnsi="Times New Roman"/>
          <w:sz w:val="28"/>
          <w:szCs w:val="28"/>
          <w:lang w:eastAsia="ru-RU"/>
        </w:rPr>
        <w:t xml:space="preserve"> </w:t>
      </w:r>
      <w:r w:rsidR="00481E4E">
        <w:rPr>
          <w:rFonts w:ascii="Times New Roman" w:eastAsia="Times New Roman" w:hAnsi="Times New Roman"/>
          <w:sz w:val="28"/>
          <w:szCs w:val="28"/>
          <w:lang w:eastAsia="ru-RU"/>
        </w:rPr>
        <w:t>РФ</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является</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следующая</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структура:</w:t>
      </w:r>
    </w:p>
    <w:p w:rsidR="004E5F05" w:rsidRPr="000437FB" w:rsidRDefault="004E5F05" w:rsidP="00526D62">
      <w:pPr>
        <w:pStyle w:val="a4"/>
        <w:numPr>
          <w:ilvl w:val="0"/>
          <w:numId w:val="29"/>
        </w:numPr>
        <w:tabs>
          <w:tab w:val="right" w:pos="426"/>
          <w:tab w:val="left" w:pos="851"/>
          <w:tab w:val="left" w:pos="993"/>
        </w:tabs>
        <w:spacing w:after="0" w:line="276" w:lineRule="auto"/>
        <w:ind w:left="425" w:hanging="425"/>
        <w:jc w:val="both"/>
        <w:rPr>
          <w:rFonts w:ascii="Times New Roman" w:eastAsia="Times New Roman" w:hAnsi="Times New Roman"/>
          <w:sz w:val="28"/>
          <w:szCs w:val="28"/>
          <w:lang w:eastAsia="ru-RU"/>
        </w:rPr>
      </w:pPr>
      <w:r w:rsidRPr="000437FB">
        <w:rPr>
          <w:rFonts w:ascii="Times New Roman" w:eastAsia="Times New Roman" w:hAnsi="Times New Roman"/>
          <w:sz w:val="28"/>
          <w:szCs w:val="28"/>
          <w:lang w:eastAsia="ru-RU"/>
        </w:rPr>
        <w:t>доходы</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(с</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выделением</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раздела</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налоговых</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и</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неналоговых</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доходов,</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а</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также</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безвозмездных</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поступлений,</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составляющих</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доходную</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базу</w:t>
      </w:r>
      <w:r w:rsidR="008C2FC0" w:rsidRPr="000437FB">
        <w:rPr>
          <w:rFonts w:ascii="Times New Roman" w:eastAsia="Times New Roman" w:hAnsi="Times New Roman"/>
          <w:sz w:val="28"/>
          <w:szCs w:val="28"/>
          <w:lang w:eastAsia="ru-RU"/>
        </w:rPr>
        <w:t xml:space="preserve"> </w:t>
      </w:r>
      <w:r w:rsidR="008404A5" w:rsidRPr="000437FB">
        <w:rPr>
          <w:rFonts w:ascii="Times New Roman" w:eastAsia="Times New Roman" w:hAnsi="Times New Roman"/>
          <w:sz w:val="28"/>
          <w:szCs w:val="28"/>
          <w:lang w:eastAsia="ru-RU"/>
        </w:rPr>
        <w:t xml:space="preserve">бюджета </w:t>
      </w:r>
      <w:r w:rsidRPr="000437FB">
        <w:rPr>
          <w:rFonts w:ascii="Times New Roman" w:eastAsia="Times New Roman" w:hAnsi="Times New Roman"/>
          <w:sz w:val="28"/>
          <w:szCs w:val="28"/>
          <w:lang w:eastAsia="ru-RU"/>
        </w:rPr>
        <w:t>субъекта</w:t>
      </w:r>
      <w:r w:rsidR="00A10AF5" w:rsidRPr="000437FB">
        <w:rPr>
          <w:rFonts w:ascii="Times New Roman" w:eastAsia="Times New Roman" w:hAnsi="Times New Roman"/>
          <w:sz w:val="28"/>
          <w:szCs w:val="28"/>
          <w:lang w:eastAsia="ru-RU"/>
        </w:rPr>
        <w:t xml:space="preserve"> РФ)</w:t>
      </w:r>
      <w:r w:rsidRPr="000437FB">
        <w:rPr>
          <w:rFonts w:ascii="Times New Roman" w:eastAsia="Times New Roman" w:hAnsi="Times New Roman"/>
          <w:sz w:val="28"/>
          <w:szCs w:val="28"/>
          <w:lang w:eastAsia="ru-RU"/>
        </w:rPr>
        <w:t>;</w:t>
      </w:r>
    </w:p>
    <w:p w:rsidR="004E5F05" w:rsidRPr="000437FB" w:rsidRDefault="004E5F05" w:rsidP="00526D62">
      <w:pPr>
        <w:pStyle w:val="a4"/>
        <w:numPr>
          <w:ilvl w:val="0"/>
          <w:numId w:val="29"/>
        </w:numPr>
        <w:tabs>
          <w:tab w:val="right" w:pos="426"/>
          <w:tab w:val="left" w:pos="851"/>
          <w:tab w:val="left" w:pos="993"/>
        </w:tabs>
        <w:spacing w:after="0" w:line="276" w:lineRule="auto"/>
        <w:ind w:left="425" w:hanging="425"/>
        <w:jc w:val="both"/>
        <w:rPr>
          <w:rFonts w:ascii="Times New Roman" w:eastAsia="Times New Roman" w:hAnsi="Times New Roman"/>
          <w:sz w:val="28"/>
          <w:szCs w:val="28"/>
          <w:lang w:eastAsia="ru-RU"/>
        </w:rPr>
      </w:pPr>
      <w:r w:rsidRPr="000437FB">
        <w:rPr>
          <w:rFonts w:ascii="Times New Roman" w:eastAsia="Times New Roman" w:hAnsi="Times New Roman"/>
          <w:sz w:val="28"/>
          <w:szCs w:val="28"/>
          <w:lang w:eastAsia="ru-RU"/>
        </w:rPr>
        <w:t>расходы,</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представленные</w:t>
      </w:r>
      <w:r w:rsidR="00B30EAB" w:rsidRPr="000437FB">
        <w:rPr>
          <w:rFonts w:ascii="Times New Roman" w:eastAsia="Times New Roman" w:hAnsi="Times New Roman"/>
          <w:sz w:val="28"/>
          <w:szCs w:val="28"/>
          <w:lang w:eastAsia="ru-RU"/>
        </w:rPr>
        <w:t>, как правило</w:t>
      </w:r>
      <w:r w:rsidR="008C2FC0" w:rsidRPr="000437FB">
        <w:rPr>
          <w:rFonts w:ascii="Times New Roman" w:eastAsia="Times New Roman" w:hAnsi="Times New Roman"/>
          <w:sz w:val="28"/>
          <w:szCs w:val="28"/>
          <w:lang w:eastAsia="ru-RU"/>
        </w:rPr>
        <w:t xml:space="preserve"> </w:t>
      </w:r>
      <w:r w:rsidR="008404A5" w:rsidRPr="000437FB">
        <w:rPr>
          <w:rFonts w:ascii="Times New Roman" w:eastAsia="Times New Roman" w:hAnsi="Times New Roman"/>
          <w:sz w:val="28"/>
          <w:szCs w:val="28"/>
          <w:lang w:eastAsia="ru-RU"/>
        </w:rPr>
        <w:t xml:space="preserve">общей </w:t>
      </w:r>
      <w:r w:rsidRPr="000437FB">
        <w:rPr>
          <w:rFonts w:ascii="Times New Roman" w:eastAsia="Times New Roman" w:hAnsi="Times New Roman"/>
          <w:sz w:val="28"/>
          <w:szCs w:val="28"/>
          <w:lang w:eastAsia="ru-RU"/>
        </w:rPr>
        <w:t>суммой</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либо</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с</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выделением</w:t>
      </w:r>
      <w:r w:rsidR="008C2FC0" w:rsidRPr="000437FB">
        <w:rPr>
          <w:rFonts w:ascii="Times New Roman" w:eastAsia="Times New Roman" w:hAnsi="Times New Roman"/>
          <w:sz w:val="28"/>
          <w:szCs w:val="28"/>
          <w:lang w:eastAsia="ru-RU"/>
        </w:rPr>
        <w:t xml:space="preserve"> </w:t>
      </w:r>
      <w:r w:rsidRPr="000437FB">
        <w:rPr>
          <w:rFonts w:ascii="Times New Roman" w:eastAsia="Times New Roman" w:hAnsi="Times New Roman"/>
          <w:sz w:val="28"/>
          <w:szCs w:val="28"/>
          <w:lang w:eastAsia="ru-RU"/>
        </w:rPr>
        <w:t>отдельн</w:t>
      </w:r>
      <w:r w:rsidR="00B30EAB" w:rsidRPr="000437FB">
        <w:rPr>
          <w:rFonts w:ascii="Times New Roman" w:eastAsia="Times New Roman" w:hAnsi="Times New Roman"/>
          <w:sz w:val="28"/>
          <w:szCs w:val="28"/>
          <w:lang w:eastAsia="ru-RU"/>
        </w:rPr>
        <w:t xml:space="preserve">ых </w:t>
      </w:r>
      <w:r w:rsidR="003E1E0C" w:rsidRPr="000437FB">
        <w:rPr>
          <w:rFonts w:ascii="Times New Roman" w:eastAsia="Times New Roman" w:hAnsi="Times New Roman"/>
          <w:sz w:val="28"/>
          <w:szCs w:val="28"/>
          <w:lang w:eastAsia="ru-RU"/>
        </w:rPr>
        <w:t>направлений</w:t>
      </w:r>
      <w:r w:rsidRPr="000437FB">
        <w:rPr>
          <w:rFonts w:ascii="Times New Roman" w:eastAsia="Times New Roman" w:hAnsi="Times New Roman"/>
          <w:sz w:val="28"/>
          <w:szCs w:val="28"/>
          <w:lang w:eastAsia="ru-RU"/>
        </w:rPr>
        <w:t>.</w:t>
      </w:r>
    </w:p>
    <w:p w:rsidR="008E4AB6" w:rsidRDefault="008E4AB6" w:rsidP="00526D62">
      <w:pPr>
        <w:spacing w:after="0" w:line="276" w:lineRule="auto"/>
        <w:ind w:firstLine="709"/>
        <w:jc w:val="both"/>
        <w:rPr>
          <w:rFonts w:ascii="Times New Roman" w:eastAsia="Times New Roman" w:hAnsi="Times New Roman"/>
          <w:sz w:val="28"/>
          <w:szCs w:val="28"/>
          <w:lang w:eastAsia="ru-RU"/>
        </w:rPr>
      </w:pPr>
    </w:p>
    <w:p w:rsidR="00A02233" w:rsidRDefault="003357B8" w:rsidP="003357B8">
      <w:pPr>
        <w:spacing w:after="0" w:line="240" w:lineRule="auto"/>
        <w:jc w:val="both"/>
        <w:rPr>
          <w:rFonts w:ascii="Times New Roman" w:eastAsia="Times New Roman" w:hAnsi="Times New Roman" w:cs="Times New Roman"/>
          <w:b/>
          <w:sz w:val="24"/>
          <w:szCs w:val="24"/>
          <w:lang w:eastAsia="ru-RU"/>
        </w:rPr>
      </w:pPr>
      <w:r w:rsidRPr="00E750E3">
        <w:rPr>
          <w:rFonts w:ascii="Times New Roman" w:eastAsia="Times New Roman" w:hAnsi="Times New Roman" w:cs="Times New Roman"/>
          <w:b/>
          <w:sz w:val="24"/>
          <w:szCs w:val="24"/>
          <w:lang w:eastAsia="ru-RU"/>
        </w:rPr>
        <w:t>Таблица</w:t>
      </w:r>
      <w:r w:rsidR="008C2FC0">
        <w:rPr>
          <w:rFonts w:ascii="Times New Roman" w:eastAsia="Times New Roman" w:hAnsi="Times New Roman" w:cs="Times New Roman"/>
          <w:b/>
          <w:sz w:val="24"/>
          <w:szCs w:val="24"/>
          <w:lang w:eastAsia="ru-RU"/>
        </w:rPr>
        <w:t xml:space="preserve"> </w:t>
      </w:r>
      <w:r w:rsidR="00D80263">
        <w:rPr>
          <w:rFonts w:ascii="Times New Roman" w:eastAsia="Times New Roman" w:hAnsi="Times New Roman" w:cs="Times New Roman"/>
          <w:b/>
          <w:sz w:val="24"/>
          <w:szCs w:val="24"/>
          <w:lang w:eastAsia="ru-RU"/>
        </w:rPr>
        <w:t>5</w:t>
      </w:r>
      <w:r w:rsidRPr="00E750E3">
        <w:rPr>
          <w:rFonts w:ascii="Times New Roman" w:eastAsia="Times New Roman" w:hAnsi="Times New Roman" w:cs="Times New Roman"/>
          <w:b/>
          <w:sz w:val="24"/>
          <w:szCs w:val="24"/>
          <w:lang w:eastAsia="ru-RU"/>
        </w:rPr>
        <w:t>.</w:t>
      </w:r>
      <w:r w:rsidR="008C2FC0">
        <w:rPr>
          <w:rFonts w:ascii="Times New Roman" w:eastAsia="Times New Roman" w:hAnsi="Times New Roman" w:cs="Times New Roman"/>
          <w:b/>
          <w:sz w:val="24"/>
          <w:szCs w:val="24"/>
          <w:lang w:eastAsia="ru-RU"/>
        </w:rPr>
        <w:t xml:space="preserve"> </w:t>
      </w:r>
      <w:r w:rsidRPr="00E750E3">
        <w:rPr>
          <w:rFonts w:ascii="Times New Roman" w:eastAsia="Times New Roman" w:hAnsi="Times New Roman" w:cs="Times New Roman"/>
          <w:b/>
          <w:sz w:val="24"/>
          <w:szCs w:val="24"/>
          <w:lang w:eastAsia="ru-RU"/>
        </w:rPr>
        <w:t>Варианты</w:t>
      </w:r>
      <w:r w:rsidR="008C2FC0">
        <w:rPr>
          <w:rFonts w:ascii="Times New Roman" w:eastAsia="Times New Roman" w:hAnsi="Times New Roman" w:cs="Times New Roman"/>
          <w:b/>
          <w:sz w:val="24"/>
          <w:szCs w:val="24"/>
          <w:lang w:eastAsia="ru-RU"/>
        </w:rPr>
        <w:t xml:space="preserve"> </w:t>
      </w:r>
      <w:r w:rsidRPr="00E750E3">
        <w:rPr>
          <w:rFonts w:ascii="Times New Roman" w:eastAsia="Times New Roman" w:hAnsi="Times New Roman" w:cs="Times New Roman"/>
          <w:b/>
          <w:sz w:val="24"/>
          <w:szCs w:val="24"/>
          <w:lang w:eastAsia="ru-RU"/>
        </w:rPr>
        <w:t>детализации</w:t>
      </w:r>
      <w:r w:rsidR="008C2FC0">
        <w:rPr>
          <w:rFonts w:ascii="Times New Roman" w:eastAsia="Times New Roman" w:hAnsi="Times New Roman" w:cs="Times New Roman"/>
          <w:b/>
          <w:sz w:val="24"/>
          <w:szCs w:val="24"/>
          <w:lang w:eastAsia="ru-RU"/>
        </w:rPr>
        <w:t xml:space="preserve"> </w:t>
      </w:r>
      <w:r w:rsidRPr="00E750E3">
        <w:rPr>
          <w:rFonts w:ascii="Times New Roman" w:eastAsia="Times New Roman" w:hAnsi="Times New Roman" w:cs="Times New Roman"/>
          <w:b/>
          <w:sz w:val="24"/>
          <w:szCs w:val="24"/>
          <w:lang w:eastAsia="ru-RU"/>
        </w:rPr>
        <w:t>информации</w:t>
      </w:r>
      <w:r w:rsidR="008C2FC0">
        <w:rPr>
          <w:rFonts w:ascii="Times New Roman" w:eastAsia="Times New Roman" w:hAnsi="Times New Roman" w:cs="Times New Roman"/>
          <w:b/>
          <w:sz w:val="24"/>
          <w:szCs w:val="24"/>
          <w:lang w:eastAsia="ru-RU"/>
        </w:rPr>
        <w:t xml:space="preserve"> </w:t>
      </w:r>
      <w:r w:rsidRPr="00E750E3">
        <w:rPr>
          <w:rFonts w:ascii="Times New Roman" w:eastAsia="Times New Roman" w:hAnsi="Times New Roman" w:cs="Times New Roman"/>
          <w:b/>
          <w:sz w:val="24"/>
          <w:szCs w:val="24"/>
          <w:lang w:eastAsia="ru-RU"/>
        </w:rPr>
        <w:t>о</w:t>
      </w:r>
      <w:r w:rsidR="008C2FC0">
        <w:rPr>
          <w:rFonts w:ascii="Times New Roman" w:eastAsia="Times New Roman" w:hAnsi="Times New Roman" w:cs="Times New Roman"/>
          <w:b/>
          <w:sz w:val="24"/>
          <w:szCs w:val="24"/>
          <w:lang w:eastAsia="ru-RU"/>
        </w:rPr>
        <w:t xml:space="preserve"> </w:t>
      </w:r>
      <w:r w:rsidRPr="00E750E3">
        <w:rPr>
          <w:rFonts w:ascii="Times New Roman" w:eastAsia="Times New Roman" w:hAnsi="Times New Roman" w:cs="Times New Roman"/>
          <w:b/>
          <w:sz w:val="24"/>
          <w:szCs w:val="24"/>
          <w:lang w:eastAsia="ru-RU"/>
        </w:rPr>
        <w:t>доходах,</w:t>
      </w:r>
      <w:r w:rsidR="008C2FC0">
        <w:rPr>
          <w:rFonts w:ascii="Times New Roman" w:eastAsia="Times New Roman" w:hAnsi="Times New Roman" w:cs="Times New Roman"/>
          <w:b/>
          <w:sz w:val="24"/>
          <w:szCs w:val="24"/>
          <w:lang w:eastAsia="ru-RU"/>
        </w:rPr>
        <w:t xml:space="preserve"> </w:t>
      </w:r>
      <w:r w:rsidRPr="00E750E3">
        <w:rPr>
          <w:rFonts w:ascii="Times New Roman" w:eastAsia="Times New Roman" w:hAnsi="Times New Roman" w:cs="Times New Roman"/>
          <w:b/>
          <w:sz w:val="24"/>
          <w:szCs w:val="24"/>
          <w:lang w:eastAsia="ru-RU"/>
        </w:rPr>
        <w:t>расходах</w:t>
      </w:r>
      <w:r w:rsidR="008C2FC0">
        <w:rPr>
          <w:rFonts w:ascii="Times New Roman" w:eastAsia="Times New Roman" w:hAnsi="Times New Roman" w:cs="Times New Roman"/>
          <w:b/>
          <w:sz w:val="24"/>
          <w:szCs w:val="24"/>
          <w:lang w:eastAsia="ru-RU"/>
        </w:rPr>
        <w:t xml:space="preserve"> </w:t>
      </w:r>
      <w:r w:rsidRPr="00E750E3">
        <w:rPr>
          <w:rFonts w:ascii="Times New Roman" w:eastAsia="Times New Roman" w:hAnsi="Times New Roman" w:cs="Times New Roman"/>
          <w:b/>
          <w:sz w:val="24"/>
          <w:szCs w:val="24"/>
          <w:lang w:eastAsia="ru-RU"/>
        </w:rPr>
        <w:t>бюджетного</w:t>
      </w:r>
      <w:r w:rsidR="008C2FC0">
        <w:rPr>
          <w:rFonts w:ascii="Times New Roman" w:eastAsia="Times New Roman" w:hAnsi="Times New Roman" w:cs="Times New Roman"/>
          <w:b/>
          <w:sz w:val="24"/>
          <w:szCs w:val="24"/>
          <w:lang w:eastAsia="ru-RU"/>
        </w:rPr>
        <w:t xml:space="preserve"> </w:t>
      </w:r>
      <w:r w:rsidRPr="00E750E3">
        <w:rPr>
          <w:rFonts w:ascii="Times New Roman" w:eastAsia="Times New Roman" w:hAnsi="Times New Roman" w:cs="Times New Roman"/>
          <w:b/>
          <w:sz w:val="24"/>
          <w:szCs w:val="24"/>
          <w:lang w:eastAsia="ru-RU"/>
        </w:rPr>
        <w:t>прогноза</w:t>
      </w:r>
    </w:p>
    <w:tbl>
      <w:tblPr>
        <w:tblStyle w:val="a3"/>
        <w:tblW w:w="0" w:type="auto"/>
        <w:tblLook w:val="04A0" w:firstRow="1" w:lastRow="0" w:firstColumn="1" w:lastColumn="0" w:noHBand="0" w:noVBand="1"/>
      </w:tblPr>
      <w:tblGrid>
        <w:gridCol w:w="1980"/>
        <w:gridCol w:w="5245"/>
        <w:gridCol w:w="2260"/>
      </w:tblGrid>
      <w:tr w:rsidR="00AD3220" w:rsidTr="00A75424">
        <w:trPr>
          <w:tblHeader/>
        </w:trPr>
        <w:tc>
          <w:tcPr>
            <w:tcW w:w="1980" w:type="dxa"/>
            <w:vAlign w:val="center"/>
          </w:tcPr>
          <w:p w:rsidR="00AD3220" w:rsidRPr="00A75424" w:rsidRDefault="00AD3220" w:rsidP="00A75424">
            <w:pPr>
              <w:spacing w:line="240" w:lineRule="auto"/>
              <w:jc w:val="center"/>
              <w:rPr>
                <w:rFonts w:ascii="Times New Roman" w:eastAsia="Times New Roman" w:hAnsi="Times New Roman" w:cs="Times New Roman"/>
                <w:sz w:val="24"/>
                <w:szCs w:val="24"/>
                <w:lang w:eastAsia="ru-RU"/>
              </w:rPr>
            </w:pPr>
            <w:r w:rsidRPr="00A75424">
              <w:rPr>
                <w:rFonts w:ascii="Times New Roman" w:eastAsia="Times New Roman" w:hAnsi="Times New Roman" w:cs="Times New Roman"/>
                <w:sz w:val="24"/>
                <w:szCs w:val="24"/>
                <w:lang w:eastAsia="ru-RU"/>
              </w:rPr>
              <w:t>Уровень детализации</w:t>
            </w:r>
          </w:p>
        </w:tc>
        <w:tc>
          <w:tcPr>
            <w:tcW w:w="5245" w:type="dxa"/>
            <w:vAlign w:val="center"/>
          </w:tcPr>
          <w:p w:rsidR="00AD3220" w:rsidRPr="00A75424" w:rsidRDefault="00AD3220" w:rsidP="00A75424">
            <w:pPr>
              <w:spacing w:line="240" w:lineRule="auto"/>
              <w:jc w:val="center"/>
              <w:rPr>
                <w:rFonts w:ascii="Times New Roman" w:eastAsia="Times New Roman" w:hAnsi="Times New Roman" w:cs="Times New Roman"/>
                <w:sz w:val="24"/>
                <w:szCs w:val="24"/>
                <w:lang w:eastAsia="ru-RU"/>
              </w:rPr>
            </w:pPr>
            <w:r w:rsidRPr="00A75424">
              <w:rPr>
                <w:rFonts w:ascii="Times New Roman" w:eastAsia="Times New Roman" w:hAnsi="Times New Roman" w:cs="Times New Roman"/>
                <w:sz w:val="24"/>
                <w:szCs w:val="24"/>
                <w:lang w:eastAsia="ru-RU"/>
              </w:rPr>
              <w:t>Степень</w:t>
            </w:r>
            <w:r w:rsidR="003E1E0C">
              <w:rPr>
                <w:rFonts w:ascii="Times New Roman" w:eastAsia="Times New Roman" w:hAnsi="Times New Roman" w:cs="Times New Roman"/>
                <w:sz w:val="24"/>
                <w:szCs w:val="24"/>
                <w:lang w:eastAsia="ru-RU"/>
              </w:rPr>
              <w:t xml:space="preserve"> детализации</w:t>
            </w:r>
          </w:p>
        </w:tc>
        <w:tc>
          <w:tcPr>
            <w:tcW w:w="2260" w:type="dxa"/>
            <w:vAlign w:val="center"/>
          </w:tcPr>
          <w:p w:rsidR="00AD3220" w:rsidRPr="00A75424" w:rsidRDefault="00AD3220" w:rsidP="00A75424">
            <w:pPr>
              <w:spacing w:line="240" w:lineRule="auto"/>
              <w:jc w:val="center"/>
              <w:rPr>
                <w:rFonts w:ascii="Times New Roman" w:eastAsia="Times New Roman" w:hAnsi="Times New Roman" w:cs="Times New Roman"/>
                <w:sz w:val="24"/>
                <w:szCs w:val="24"/>
                <w:lang w:eastAsia="ru-RU"/>
              </w:rPr>
            </w:pPr>
            <w:r w:rsidRPr="00A75424">
              <w:rPr>
                <w:rFonts w:ascii="Times New Roman" w:eastAsia="Times New Roman" w:hAnsi="Times New Roman" w:cs="Times New Roman"/>
                <w:sz w:val="24"/>
                <w:szCs w:val="24"/>
                <w:lang w:eastAsia="ru-RU"/>
              </w:rPr>
              <w:t>Количество субъектов РФ (удельный вес в общем количестве)</w:t>
            </w:r>
          </w:p>
        </w:tc>
      </w:tr>
      <w:tr w:rsidR="00AD3220" w:rsidTr="00A75424">
        <w:tc>
          <w:tcPr>
            <w:tcW w:w="1980" w:type="dxa"/>
          </w:tcPr>
          <w:p w:rsidR="00AD3220" w:rsidRPr="00A75424" w:rsidRDefault="00AD3220" w:rsidP="003357B8">
            <w:pPr>
              <w:spacing w:line="240" w:lineRule="auto"/>
              <w:jc w:val="both"/>
              <w:rPr>
                <w:rFonts w:ascii="Times New Roman" w:eastAsia="Times New Roman" w:hAnsi="Times New Roman" w:cs="Times New Roman"/>
                <w:b/>
                <w:sz w:val="24"/>
                <w:szCs w:val="24"/>
                <w:lang w:eastAsia="ru-RU"/>
              </w:rPr>
            </w:pPr>
            <w:r w:rsidRPr="00A75424">
              <w:rPr>
                <w:rFonts w:ascii="Times New Roman" w:eastAsia="Times New Roman" w:hAnsi="Times New Roman" w:cs="Times New Roman"/>
                <w:b/>
                <w:sz w:val="24"/>
                <w:szCs w:val="24"/>
                <w:lang w:eastAsia="ru-RU"/>
              </w:rPr>
              <w:t>Высокий</w:t>
            </w:r>
          </w:p>
        </w:tc>
        <w:tc>
          <w:tcPr>
            <w:tcW w:w="5245" w:type="dxa"/>
          </w:tcPr>
          <w:p w:rsidR="00AD3220" w:rsidRPr="00A75424" w:rsidRDefault="00AD3220" w:rsidP="00AD3220">
            <w:pPr>
              <w:spacing w:line="240" w:lineRule="auto"/>
              <w:jc w:val="both"/>
              <w:rPr>
                <w:rFonts w:ascii="Times New Roman" w:eastAsia="Times New Roman" w:hAnsi="Times New Roman" w:cs="Times New Roman"/>
                <w:b/>
                <w:sz w:val="24"/>
                <w:szCs w:val="24"/>
                <w:lang w:eastAsia="ru-RU"/>
              </w:rPr>
            </w:pPr>
            <w:r w:rsidRPr="00A75424">
              <w:rPr>
                <w:rFonts w:ascii="Times New Roman" w:eastAsia="Times New Roman" w:hAnsi="Times New Roman" w:cs="Times New Roman"/>
                <w:b/>
                <w:sz w:val="24"/>
                <w:szCs w:val="24"/>
                <w:lang w:eastAsia="ru-RU"/>
              </w:rPr>
              <w:t>Доходы</w:t>
            </w:r>
          </w:p>
          <w:p w:rsidR="00AD3220" w:rsidRPr="00AD3220" w:rsidRDefault="00AD3220" w:rsidP="00AD3220">
            <w:pPr>
              <w:spacing w:line="240" w:lineRule="auto"/>
              <w:ind w:firstLine="320"/>
              <w:jc w:val="both"/>
              <w:rPr>
                <w:rFonts w:ascii="Times New Roman" w:eastAsia="Times New Roman" w:hAnsi="Times New Roman" w:cs="Times New Roman"/>
                <w:sz w:val="24"/>
                <w:szCs w:val="24"/>
                <w:lang w:eastAsia="ru-RU"/>
              </w:rPr>
            </w:pPr>
            <w:r w:rsidRPr="00AD3220">
              <w:rPr>
                <w:rFonts w:ascii="Times New Roman" w:eastAsia="Times New Roman" w:hAnsi="Times New Roman" w:cs="Times New Roman"/>
                <w:sz w:val="24"/>
                <w:szCs w:val="24"/>
                <w:lang w:eastAsia="ru-RU"/>
              </w:rPr>
              <w:t>Налоговые доходы</w:t>
            </w:r>
          </w:p>
          <w:p w:rsidR="00AD3220" w:rsidRPr="00A75424" w:rsidRDefault="003E1E0C" w:rsidP="00AD3220">
            <w:pPr>
              <w:spacing w:line="240" w:lineRule="auto"/>
              <w:ind w:firstLine="745"/>
              <w:jc w:val="both"/>
              <w:rPr>
                <w:rFonts w:ascii="Times New Roman" w:eastAsia="Times New Roman" w:hAnsi="Times New Roman" w:cs="Times New Roman"/>
                <w:i/>
                <w:sz w:val="24"/>
                <w:szCs w:val="24"/>
                <w:lang w:eastAsia="ru-RU"/>
              </w:rPr>
            </w:pPr>
            <w:r w:rsidRPr="00A75424">
              <w:rPr>
                <w:rFonts w:ascii="Times New Roman" w:eastAsia="Times New Roman" w:hAnsi="Times New Roman" w:cs="Times New Roman"/>
                <w:i/>
                <w:sz w:val="24"/>
                <w:szCs w:val="24"/>
                <w:lang w:eastAsia="ru-RU"/>
              </w:rPr>
              <w:t>по идам налогов</w:t>
            </w:r>
          </w:p>
          <w:p w:rsidR="00AD3220" w:rsidRPr="00AD3220" w:rsidRDefault="00AD3220" w:rsidP="00AD3220">
            <w:pPr>
              <w:spacing w:line="240" w:lineRule="auto"/>
              <w:ind w:firstLine="320"/>
              <w:jc w:val="both"/>
              <w:rPr>
                <w:rFonts w:ascii="Times New Roman" w:eastAsia="Times New Roman" w:hAnsi="Times New Roman" w:cs="Times New Roman"/>
                <w:sz w:val="24"/>
                <w:szCs w:val="24"/>
                <w:lang w:eastAsia="ru-RU"/>
              </w:rPr>
            </w:pPr>
            <w:r w:rsidRPr="00AD3220">
              <w:rPr>
                <w:rFonts w:ascii="Times New Roman" w:eastAsia="Times New Roman" w:hAnsi="Times New Roman" w:cs="Times New Roman"/>
                <w:sz w:val="24"/>
                <w:szCs w:val="24"/>
                <w:lang w:eastAsia="ru-RU"/>
              </w:rPr>
              <w:t>Неналоговые доходы</w:t>
            </w:r>
          </w:p>
          <w:p w:rsidR="00AD3220" w:rsidRPr="00AD3220" w:rsidRDefault="00AD3220" w:rsidP="00AD3220">
            <w:pPr>
              <w:spacing w:line="240" w:lineRule="auto"/>
              <w:ind w:firstLine="320"/>
              <w:jc w:val="both"/>
              <w:rPr>
                <w:rFonts w:ascii="Times New Roman" w:eastAsia="Times New Roman" w:hAnsi="Times New Roman" w:cs="Times New Roman"/>
                <w:sz w:val="24"/>
                <w:szCs w:val="24"/>
                <w:lang w:eastAsia="ru-RU"/>
              </w:rPr>
            </w:pPr>
            <w:r w:rsidRPr="00AD3220">
              <w:rPr>
                <w:rFonts w:ascii="Times New Roman" w:eastAsia="Times New Roman" w:hAnsi="Times New Roman" w:cs="Times New Roman"/>
                <w:sz w:val="24"/>
                <w:szCs w:val="24"/>
                <w:lang w:eastAsia="ru-RU"/>
              </w:rPr>
              <w:lastRenderedPageBreak/>
              <w:t>Безвозмездные поступления</w:t>
            </w:r>
          </w:p>
          <w:p w:rsidR="00AD3220" w:rsidRPr="00AD3220" w:rsidRDefault="003E1E0C" w:rsidP="00AD3220">
            <w:pPr>
              <w:spacing w:line="240" w:lineRule="auto"/>
              <w:ind w:firstLine="7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D3220" w:rsidRPr="00AD3220">
              <w:rPr>
                <w:rFonts w:ascii="Times New Roman" w:eastAsia="Times New Roman" w:hAnsi="Times New Roman" w:cs="Times New Roman"/>
                <w:sz w:val="24"/>
                <w:szCs w:val="24"/>
                <w:lang w:eastAsia="ru-RU"/>
              </w:rPr>
              <w:t>отации</w:t>
            </w:r>
          </w:p>
          <w:p w:rsidR="00AD3220" w:rsidRPr="00AD3220" w:rsidRDefault="003E1E0C" w:rsidP="00AD3220">
            <w:pPr>
              <w:spacing w:line="240" w:lineRule="auto"/>
              <w:ind w:firstLine="7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D3220" w:rsidRPr="00AD3220">
              <w:rPr>
                <w:rFonts w:ascii="Times New Roman" w:eastAsia="Times New Roman" w:hAnsi="Times New Roman" w:cs="Times New Roman"/>
                <w:sz w:val="24"/>
                <w:szCs w:val="24"/>
                <w:lang w:eastAsia="ru-RU"/>
              </w:rPr>
              <w:t>убсидии</w:t>
            </w:r>
          </w:p>
          <w:p w:rsidR="00AD3220" w:rsidRDefault="003E1E0C" w:rsidP="00AD3220">
            <w:pPr>
              <w:spacing w:line="240" w:lineRule="auto"/>
              <w:ind w:firstLine="7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D3220" w:rsidRPr="00AD3220">
              <w:rPr>
                <w:rFonts w:ascii="Times New Roman" w:eastAsia="Times New Roman" w:hAnsi="Times New Roman" w:cs="Times New Roman"/>
                <w:sz w:val="24"/>
                <w:szCs w:val="24"/>
                <w:lang w:eastAsia="ru-RU"/>
              </w:rPr>
              <w:t>убвенции</w:t>
            </w:r>
          </w:p>
          <w:p w:rsidR="00AD3220" w:rsidRPr="00A75424" w:rsidRDefault="00AD3220" w:rsidP="00AD3220">
            <w:pPr>
              <w:spacing w:line="240" w:lineRule="auto"/>
              <w:jc w:val="both"/>
              <w:rPr>
                <w:rFonts w:ascii="Times New Roman" w:eastAsia="Times New Roman" w:hAnsi="Times New Roman" w:cs="Times New Roman"/>
                <w:b/>
                <w:sz w:val="24"/>
                <w:szCs w:val="24"/>
                <w:lang w:eastAsia="ru-RU"/>
              </w:rPr>
            </w:pPr>
            <w:r w:rsidRPr="00A75424">
              <w:rPr>
                <w:rFonts w:ascii="Times New Roman" w:eastAsia="Times New Roman" w:hAnsi="Times New Roman" w:cs="Times New Roman"/>
                <w:b/>
                <w:sz w:val="24"/>
                <w:szCs w:val="24"/>
                <w:lang w:eastAsia="ru-RU"/>
              </w:rPr>
              <w:t>Расходы</w:t>
            </w:r>
          </w:p>
          <w:p w:rsidR="00AD3220" w:rsidRDefault="00AD3220" w:rsidP="00A75424">
            <w:pPr>
              <w:spacing w:line="240" w:lineRule="auto"/>
              <w:ind w:left="462"/>
              <w:rPr>
                <w:rFonts w:ascii="Times New Roman" w:eastAsia="Times New Roman" w:hAnsi="Times New Roman" w:cs="Times New Roman"/>
                <w:sz w:val="24"/>
                <w:szCs w:val="24"/>
                <w:lang w:eastAsia="ru-RU"/>
              </w:rPr>
            </w:pPr>
            <w:r w:rsidRPr="00AD3220">
              <w:rPr>
                <w:rFonts w:ascii="Times New Roman" w:eastAsia="Times New Roman" w:hAnsi="Times New Roman" w:cs="Times New Roman"/>
                <w:sz w:val="24"/>
                <w:szCs w:val="24"/>
                <w:lang w:eastAsia="ru-RU"/>
              </w:rPr>
              <w:t>01 «Общегосударственные вопросы»</w:t>
            </w:r>
          </w:p>
          <w:p w:rsidR="003E1E0C" w:rsidRPr="00AD3220" w:rsidRDefault="003E1E0C" w:rsidP="00A75424">
            <w:pPr>
              <w:spacing w:line="240" w:lineRule="auto"/>
              <w:ind w:left="4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02 «Национальная оборона» </w:t>
            </w:r>
          </w:p>
          <w:p w:rsidR="003E1E0C" w:rsidRDefault="003E1E0C" w:rsidP="00A75424">
            <w:pPr>
              <w:spacing w:line="240" w:lineRule="auto"/>
              <w:ind w:left="4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 «Н</w:t>
            </w:r>
            <w:r w:rsidRPr="003E1E0C">
              <w:rPr>
                <w:rFonts w:ascii="Times New Roman" w:eastAsia="Times New Roman" w:hAnsi="Times New Roman" w:cs="Times New Roman"/>
                <w:sz w:val="24"/>
                <w:szCs w:val="24"/>
                <w:lang w:eastAsia="ru-RU"/>
              </w:rPr>
              <w:t>ациональная безопасность и правоохранительная деятельность</w:t>
            </w:r>
            <w:r>
              <w:rPr>
                <w:rFonts w:ascii="Times New Roman" w:eastAsia="Times New Roman" w:hAnsi="Times New Roman" w:cs="Times New Roman"/>
                <w:sz w:val="24"/>
                <w:szCs w:val="24"/>
                <w:lang w:eastAsia="ru-RU"/>
              </w:rPr>
              <w:t>»</w:t>
            </w:r>
          </w:p>
          <w:p w:rsidR="003E1E0C" w:rsidRDefault="003E1E0C" w:rsidP="00A75424">
            <w:pPr>
              <w:spacing w:line="240" w:lineRule="auto"/>
              <w:ind w:left="4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 «Национальная экономика»</w:t>
            </w:r>
          </w:p>
          <w:p w:rsidR="00AD3220" w:rsidRPr="00AD3220" w:rsidRDefault="00AD3220" w:rsidP="00A75424">
            <w:pPr>
              <w:spacing w:line="240" w:lineRule="auto"/>
              <w:ind w:left="462"/>
              <w:rPr>
                <w:rFonts w:ascii="Times New Roman" w:eastAsia="Times New Roman" w:hAnsi="Times New Roman" w:cs="Times New Roman"/>
                <w:sz w:val="24"/>
                <w:szCs w:val="24"/>
                <w:lang w:eastAsia="ru-RU"/>
              </w:rPr>
            </w:pPr>
            <w:r w:rsidRPr="00AD3220">
              <w:rPr>
                <w:rFonts w:ascii="Times New Roman" w:eastAsia="Times New Roman" w:hAnsi="Times New Roman" w:cs="Times New Roman"/>
                <w:sz w:val="24"/>
                <w:szCs w:val="24"/>
                <w:lang w:eastAsia="ru-RU"/>
              </w:rPr>
              <w:t>….</w:t>
            </w:r>
          </w:p>
          <w:p w:rsidR="00AD3220" w:rsidRPr="00AD3220" w:rsidRDefault="00AD3220" w:rsidP="00A75424">
            <w:pPr>
              <w:spacing w:line="240" w:lineRule="auto"/>
              <w:ind w:left="462"/>
              <w:rPr>
                <w:rFonts w:ascii="Times New Roman" w:eastAsia="Times New Roman" w:hAnsi="Times New Roman" w:cs="Times New Roman"/>
                <w:sz w:val="24"/>
                <w:szCs w:val="24"/>
                <w:lang w:eastAsia="ru-RU"/>
              </w:rPr>
            </w:pPr>
            <w:r w:rsidRPr="00AD3220">
              <w:rPr>
                <w:rFonts w:ascii="Times New Roman" w:eastAsia="Times New Roman" w:hAnsi="Times New Roman" w:cs="Times New Roman"/>
                <w:sz w:val="24"/>
                <w:szCs w:val="24"/>
                <w:lang w:eastAsia="ru-RU"/>
              </w:rPr>
              <w:t>13 «Обслуживание государственного (муниципального) долга»</w:t>
            </w:r>
          </w:p>
          <w:p w:rsidR="00AD3220" w:rsidRPr="00A75424" w:rsidRDefault="00AD3220" w:rsidP="00A75424">
            <w:pPr>
              <w:spacing w:line="240" w:lineRule="auto"/>
              <w:ind w:left="462"/>
              <w:rPr>
                <w:rFonts w:ascii="Times New Roman" w:eastAsia="Times New Roman" w:hAnsi="Times New Roman" w:cs="Times New Roman"/>
                <w:sz w:val="24"/>
                <w:szCs w:val="24"/>
                <w:lang w:eastAsia="ru-RU"/>
              </w:rPr>
            </w:pPr>
            <w:r w:rsidRPr="00AD3220">
              <w:rPr>
                <w:rFonts w:ascii="Times New Roman" w:eastAsia="Times New Roman" w:hAnsi="Times New Roman" w:cs="Times New Roman"/>
                <w:sz w:val="24"/>
                <w:szCs w:val="24"/>
                <w:lang w:eastAsia="ru-RU"/>
              </w:rPr>
              <w:t>14 «Межбюджетные трансферты общего характера»</w:t>
            </w:r>
          </w:p>
        </w:tc>
        <w:tc>
          <w:tcPr>
            <w:tcW w:w="2260" w:type="dxa"/>
          </w:tcPr>
          <w:p w:rsidR="00AD3220" w:rsidRPr="00A75424" w:rsidRDefault="00AD3220" w:rsidP="00A75424">
            <w:pPr>
              <w:spacing w:line="240" w:lineRule="auto"/>
              <w:jc w:val="center"/>
              <w:rPr>
                <w:rFonts w:ascii="Times New Roman" w:eastAsia="Times New Roman" w:hAnsi="Times New Roman" w:cs="Times New Roman"/>
                <w:b/>
                <w:sz w:val="24"/>
                <w:szCs w:val="24"/>
                <w:lang w:eastAsia="ru-RU"/>
              </w:rPr>
            </w:pPr>
            <w:r w:rsidRPr="00A75424">
              <w:rPr>
                <w:rFonts w:ascii="Times New Roman" w:eastAsia="Times New Roman" w:hAnsi="Times New Roman" w:cs="Times New Roman"/>
                <w:b/>
                <w:sz w:val="24"/>
                <w:szCs w:val="24"/>
                <w:lang w:eastAsia="ru-RU"/>
              </w:rPr>
              <w:lastRenderedPageBreak/>
              <w:t>16</w:t>
            </w:r>
          </w:p>
          <w:p w:rsidR="00AD3220" w:rsidRPr="00A75424" w:rsidRDefault="00AD3220" w:rsidP="00A75424">
            <w:pPr>
              <w:spacing w:line="240" w:lineRule="auto"/>
              <w:jc w:val="center"/>
              <w:rPr>
                <w:rFonts w:ascii="Times New Roman" w:eastAsia="Times New Roman" w:hAnsi="Times New Roman" w:cs="Times New Roman"/>
                <w:sz w:val="24"/>
                <w:szCs w:val="24"/>
                <w:lang w:eastAsia="ru-RU"/>
              </w:rPr>
            </w:pPr>
            <w:r w:rsidRPr="00E750E3">
              <w:rPr>
                <w:rFonts w:ascii="Times New Roman" w:eastAsia="Times New Roman" w:hAnsi="Times New Roman" w:cs="Times New Roman"/>
                <w:sz w:val="24"/>
                <w:szCs w:val="24"/>
                <w:lang w:eastAsia="ru-RU"/>
              </w:rPr>
              <w:t>(20%)</w:t>
            </w:r>
          </w:p>
        </w:tc>
      </w:tr>
      <w:tr w:rsidR="00AD3220" w:rsidTr="00A75424">
        <w:tc>
          <w:tcPr>
            <w:tcW w:w="1980" w:type="dxa"/>
          </w:tcPr>
          <w:p w:rsidR="00AD3220" w:rsidRDefault="00AD3220" w:rsidP="003357B8">
            <w:p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Средний</w:t>
            </w:r>
          </w:p>
        </w:tc>
        <w:tc>
          <w:tcPr>
            <w:tcW w:w="5245" w:type="dxa"/>
          </w:tcPr>
          <w:p w:rsidR="00AD3220" w:rsidRPr="001A00CF" w:rsidRDefault="00AD3220" w:rsidP="00AD3220">
            <w:pPr>
              <w:spacing w:line="240" w:lineRule="auto"/>
              <w:jc w:val="both"/>
              <w:rPr>
                <w:rFonts w:ascii="Times New Roman" w:eastAsia="Times New Roman" w:hAnsi="Times New Roman" w:cs="Times New Roman"/>
                <w:b/>
                <w:sz w:val="24"/>
                <w:szCs w:val="24"/>
                <w:lang w:eastAsia="ru-RU"/>
              </w:rPr>
            </w:pPr>
            <w:r w:rsidRPr="001A00CF">
              <w:rPr>
                <w:rFonts w:ascii="Times New Roman" w:eastAsia="Times New Roman" w:hAnsi="Times New Roman" w:cs="Times New Roman"/>
                <w:b/>
                <w:sz w:val="24"/>
                <w:szCs w:val="24"/>
                <w:lang w:eastAsia="ru-RU"/>
              </w:rPr>
              <w:t>Доходы</w:t>
            </w:r>
          </w:p>
          <w:p w:rsidR="00AD3220" w:rsidRPr="00AD3220" w:rsidRDefault="00AD3220" w:rsidP="00AD3220">
            <w:pPr>
              <w:spacing w:line="240" w:lineRule="auto"/>
              <w:ind w:firstLine="320"/>
              <w:jc w:val="both"/>
              <w:rPr>
                <w:rFonts w:ascii="Times New Roman" w:eastAsia="Times New Roman" w:hAnsi="Times New Roman" w:cs="Times New Roman"/>
                <w:sz w:val="24"/>
                <w:szCs w:val="24"/>
                <w:lang w:eastAsia="ru-RU"/>
              </w:rPr>
            </w:pPr>
            <w:r w:rsidRPr="00AD3220">
              <w:rPr>
                <w:rFonts w:ascii="Times New Roman" w:eastAsia="Times New Roman" w:hAnsi="Times New Roman" w:cs="Times New Roman"/>
                <w:sz w:val="24"/>
                <w:szCs w:val="24"/>
                <w:lang w:eastAsia="ru-RU"/>
              </w:rPr>
              <w:t>Налоговые доходы</w:t>
            </w:r>
          </w:p>
          <w:p w:rsidR="003E1E0C" w:rsidRPr="005B2733" w:rsidRDefault="003E1E0C" w:rsidP="003E1E0C">
            <w:pPr>
              <w:spacing w:line="240" w:lineRule="auto"/>
              <w:ind w:firstLine="745"/>
              <w:jc w:val="both"/>
              <w:rPr>
                <w:rFonts w:ascii="Times New Roman" w:eastAsia="Times New Roman" w:hAnsi="Times New Roman" w:cs="Times New Roman"/>
                <w:i/>
                <w:sz w:val="24"/>
                <w:szCs w:val="24"/>
                <w:lang w:eastAsia="ru-RU"/>
              </w:rPr>
            </w:pPr>
            <w:r w:rsidRPr="005B2733">
              <w:rPr>
                <w:rFonts w:ascii="Times New Roman" w:eastAsia="Times New Roman" w:hAnsi="Times New Roman" w:cs="Times New Roman"/>
                <w:i/>
                <w:sz w:val="24"/>
                <w:szCs w:val="24"/>
                <w:lang w:eastAsia="ru-RU"/>
              </w:rPr>
              <w:t>по идам налогов</w:t>
            </w:r>
          </w:p>
          <w:p w:rsidR="00AD3220" w:rsidRPr="00AD3220" w:rsidRDefault="00AD3220" w:rsidP="00AD3220">
            <w:pPr>
              <w:spacing w:line="240" w:lineRule="auto"/>
              <w:ind w:firstLine="320"/>
              <w:jc w:val="both"/>
              <w:rPr>
                <w:rFonts w:ascii="Times New Roman" w:eastAsia="Times New Roman" w:hAnsi="Times New Roman" w:cs="Times New Roman"/>
                <w:sz w:val="24"/>
                <w:szCs w:val="24"/>
                <w:lang w:eastAsia="ru-RU"/>
              </w:rPr>
            </w:pPr>
            <w:r w:rsidRPr="00AD3220">
              <w:rPr>
                <w:rFonts w:ascii="Times New Roman" w:eastAsia="Times New Roman" w:hAnsi="Times New Roman" w:cs="Times New Roman"/>
                <w:sz w:val="24"/>
                <w:szCs w:val="24"/>
                <w:lang w:eastAsia="ru-RU"/>
              </w:rPr>
              <w:t>Неналоговые доходы</w:t>
            </w:r>
          </w:p>
          <w:p w:rsidR="00AD3220" w:rsidRPr="00AD3220" w:rsidRDefault="00AD3220" w:rsidP="00AD3220">
            <w:pPr>
              <w:spacing w:line="240" w:lineRule="auto"/>
              <w:ind w:firstLine="320"/>
              <w:jc w:val="both"/>
              <w:rPr>
                <w:rFonts w:ascii="Times New Roman" w:eastAsia="Times New Roman" w:hAnsi="Times New Roman" w:cs="Times New Roman"/>
                <w:sz w:val="24"/>
                <w:szCs w:val="24"/>
                <w:lang w:eastAsia="ru-RU"/>
              </w:rPr>
            </w:pPr>
            <w:r w:rsidRPr="00AD3220">
              <w:rPr>
                <w:rFonts w:ascii="Times New Roman" w:eastAsia="Times New Roman" w:hAnsi="Times New Roman" w:cs="Times New Roman"/>
                <w:sz w:val="24"/>
                <w:szCs w:val="24"/>
                <w:lang w:eastAsia="ru-RU"/>
              </w:rPr>
              <w:t>Безвозмездные поступления</w:t>
            </w:r>
          </w:p>
          <w:p w:rsidR="00AD3220" w:rsidRPr="00AD3220" w:rsidRDefault="003E1E0C" w:rsidP="00AD3220">
            <w:pPr>
              <w:spacing w:line="240" w:lineRule="auto"/>
              <w:ind w:firstLine="7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D3220" w:rsidRPr="00AD3220">
              <w:rPr>
                <w:rFonts w:ascii="Times New Roman" w:eastAsia="Times New Roman" w:hAnsi="Times New Roman" w:cs="Times New Roman"/>
                <w:sz w:val="24"/>
                <w:szCs w:val="24"/>
                <w:lang w:eastAsia="ru-RU"/>
              </w:rPr>
              <w:t>отации</w:t>
            </w:r>
          </w:p>
          <w:p w:rsidR="00AD3220" w:rsidRPr="00AD3220" w:rsidRDefault="003E1E0C" w:rsidP="00AD3220">
            <w:pPr>
              <w:spacing w:line="240" w:lineRule="auto"/>
              <w:ind w:firstLine="7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D3220" w:rsidRPr="00AD3220">
              <w:rPr>
                <w:rFonts w:ascii="Times New Roman" w:eastAsia="Times New Roman" w:hAnsi="Times New Roman" w:cs="Times New Roman"/>
                <w:sz w:val="24"/>
                <w:szCs w:val="24"/>
                <w:lang w:eastAsia="ru-RU"/>
              </w:rPr>
              <w:t>убсидии</w:t>
            </w:r>
          </w:p>
          <w:p w:rsidR="00AD3220" w:rsidRDefault="003E1E0C" w:rsidP="00AD3220">
            <w:pPr>
              <w:spacing w:line="240" w:lineRule="auto"/>
              <w:ind w:firstLine="7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D3220" w:rsidRPr="00AD3220">
              <w:rPr>
                <w:rFonts w:ascii="Times New Roman" w:eastAsia="Times New Roman" w:hAnsi="Times New Roman" w:cs="Times New Roman"/>
                <w:sz w:val="24"/>
                <w:szCs w:val="24"/>
                <w:lang w:eastAsia="ru-RU"/>
              </w:rPr>
              <w:t>убвенции</w:t>
            </w:r>
          </w:p>
          <w:p w:rsidR="00AD3220" w:rsidRPr="001A00CF" w:rsidRDefault="00AD3220" w:rsidP="00AD3220">
            <w:pPr>
              <w:spacing w:line="240" w:lineRule="auto"/>
              <w:jc w:val="both"/>
              <w:rPr>
                <w:rFonts w:ascii="Times New Roman" w:eastAsia="Times New Roman" w:hAnsi="Times New Roman" w:cs="Times New Roman"/>
                <w:b/>
                <w:sz w:val="24"/>
                <w:szCs w:val="24"/>
                <w:lang w:eastAsia="ru-RU"/>
              </w:rPr>
            </w:pPr>
            <w:r w:rsidRPr="001A00CF">
              <w:rPr>
                <w:rFonts w:ascii="Times New Roman" w:eastAsia="Times New Roman" w:hAnsi="Times New Roman" w:cs="Times New Roman"/>
                <w:b/>
                <w:sz w:val="24"/>
                <w:szCs w:val="24"/>
                <w:lang w:eastAsia="ru-RU"/>
              </w:rPr>
              <w:t>Расходы</w:t>
            </w:r>
          </w:p>
          <w:p w:rsidR="00AD3220" w:rsidRDefault="003E1E0C" w:rsidP="00A75424">
            <w:pPr>
              <w:spacing w:line="240" w:lineRule="auto"/>
              <w:ind w:left="462"/>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w:t>
            </w:r>
            <w:r w:rsidR="00AD3220">
              <w:rPr>
                <w:rFonts w:ascii="Times New Roman" w:eastAsia="Times New Roman" w:hAnsi="Times New Roman" w:cs="Times New Roman"/>
                <w:sz w:val="24"/>
                <w:szCs w:val="24"/>
                <w:lang w:eastAsia="ru-RU"/>
              </w:rPr>
              <w:t xml:space="preserve"> том числе </w:t>
            </w:r>
            <w:r w:rsidRPr="00A75424">
              <w:rPr>
                <w:rFonts w:ascii="Times New Roman" w:eastAsia="Times New Roman" w:hAnsi="Times New Roman" w:cs="Times New Roman"/>
                <w:sz w:val="24"/>
                <w:szCs w:val="24"/>
                <w:lang w:eastAsia="ru-RU"/>
              </w:rPr>
              <w:t>отдельные направления расходов</w:t>
            </w:r>
            <w:r>
              <w:rPr>
                <w:rFonts w:ascii="Times New Roman" w:eastAsia="Times New Roman" w:hAnsi="Times New Roman" w:cs="Times New Roman"/>
                <w:sz w:val="24"/>
                <w:szCs w:val="24"/>
                <w:lang w:eastAsia="ru-RU"/>
              </w:rPr>
              <w:t xml:space="preserve"> </w:t>
            </w:r>
            <w:r w:rsidRPr="00A75424">
              <w:rPr>
                <w:rFonts w:ascii="Times New Roman" w:eastAsia="Times New Roman" w:hAnsi="Times New Roman" w:cs="Times New Roman"/>
                <w:i/>
                <w:sz w:val="24"/>
                <w:szCs w:val="24"/>
                <w:lang w:eastAsia="ru-RU"/>
              </w:rPr>
              <w:t>(пример:</w:t>
            </w:r>
            <w:r w:rsidRPr="00A75424">
              <w:rPr>
                <w:i/>
              </w:rPr>
              <w:t xml:space="preserve"> </w:t>
            </w:r>
            <w:r w:rsidRPr="00A75424">
              <w:rPr>
                <w:rFonts w:ascii="Times New Roman" w:eastAsia="Times New Roman" w:hAnsi="Times New Roman" w:cs="Times New Roman"/>
                <w:i/>
                <w:sz w:val="24"/>
                <w:szCs w:val="24"/>
                <w:lang w:eastAsia="ru-RU"/>
              </w:rPr>
              <w:t xml:space="preserve">межбюджетные </w:t>
            </w:r>
            <w:r w:rsidRPr="003E1E0C">
              <w:rPr>
                <w:rFonts w:ascii="Times New Roman" w:eastAsia="Times New Roman" w:hAnsi="Times New Roman" w:cs="Times New Roman"/>
                <w:i/>
                <w:sz w:val="24"/>
                <w:szCs w:val="24"/>
                <w:lang w:eastAsia="ru-RU"/>
              </w:rPr>
              <w:t>трансферты</w:t>
            </w:r>
            <w:r>
              <w:rPr>
                <w:rFonts w:ascii="Times New Roman" w:eastAsia="Times New Roman" w:hAnsi="Times New Roman" w:cs="Times New Roman"/>
                <w:i/>
                <w:sz w:val="24"/>
                <w:szCs w:val="24"/>
                <w:lang w:eastAsia="ru-RU"/>
              </w:rPr>
              <w:t xml:space="preserve">, </w:t>
            </w:r>
            <w:r w:rsidRPr="003E1E0C">
              <w:rPr>
                <w:rFonts w:ascii="Times New Roman" w:eastAsia="Times New Roman" w:hAnsi="Times New Roman" w:cs="Times New Roman"/>
                <w:i/>
                <w:sz w:val="24"/>
                <w:szCs w:val="24"/>
                <w:lang w:eastAsia="ru-RU"/>
              </w:rPr>
              <w:t>расходы на обслуживание государственного долга</w:t>
            </w:r>
            <w:r>
              <w:rPr>
                <w:rFonts w:ascii="Times New Roman" w:eastAsia="Times New Roman" w:hAnsi="Times New Roman" w:cs="Times New Roman"/>
                <w:i/>
                <w:sz w:val="24"/>
                <w:szCs w:val="24"/>
                <w:lang w:eastAsia="ru-RU"/>
              </w:rPr>
              <w:t xml:space="preserve">, </w:t>
            </w:r>
            <w:r w:rsidRPr="003E1E0C">
              <w:rPr>
                <w:rFonts w:ascii="Times New Roman" w:eastAsia="Times New Roman" w:hAnsi="Times New Roman" w:cs="Times New Roman"/>
                <w:i/>
                <w:sz w:val="24"/>
                <w:szCs w:val="24"/>
                <w:lang w:eastAsia="ru-RU"/>
              </w:rPr>
              <w:t>расходы за счет межбюджетных трансфертов и</w:t>
            </w:r>
            <w:r>
              <w:rPr>
                <w:rFonts w:ascii="Times New Roman" w:eastAsia="Times New Roman" w:hAnsi="Times New Roman" w:cs="Times New Roman"/>
                <w:i/>
                <w:sz w:val="24"/>
                <w:szCs w:val="24"/>
                <w:lang w:eastAsia="ru-RU"/>
              </w:rPr>
              <w:t>з</w:t>
            </w:r>
            <w:r w:rsidRPr="003E1E0C">
              <w:rPr>
                <w:rFonts w:ascii="Times New Roman" w:eastAsia="Times New Roman" w:hAnsi="Times New Roman" w:cs="Times New Roman"/>
                <w:i/>
                <w:sz w:val="24"/>
                <w:szCs w:val="24"/>
                <w:lang w:eastAsia="ru-RU"/>
              </w:rPr>
              <w:t xml:space="preserve"> федерального бюджета </w:t>
            </w:r>
            <w:r>
              <w:rPr>
                <w:rFonts w:ascii="Times New Roman" w:eastAsia="Times New Roman" w:hAnsi="Times New Roman" w:cs="Times New Roman"/>
                <w:i/>
                <w:sz w:val="24"/>
                <w:szCs w:val="24"/>
                <w:lang w:eastAsia="ru-RU"/>
              </w:rPr>
              <w:t>и др.</w:t>
            </w:r>
            <w:r w:rsidR="00AD3220">
              <w:rPr>
                <w:rFonts w:ascii="Times New Roman" w:eastAsia="Times New Roman" w:hAnsi="Times New Roman" w:cs="Times New Roman"/>
                <w:sz w:val="24"/>
                <w:szCs w:val="24"/>
                <w:lang w:eastAsia="ru-RU"/>
              </w:rPr>
              <w:t>)</w:t>
            </w:r>
          </w:p>
        </w:tc>
        <w:tc>
          <w:tcPr>
            <w:tcW w:w="2260" w:type="dxa"/>
          </w:tcPr>
          <w:p w:rsidR="00AD3220" w:rsidRPr="00A75424" w:rsidRDefault="00AD3220" w:rsidP="00AD3220">
            <w:pPr>
              <w:spacing w:line="240" w:lineRule="auto"/>
              <w:jc w:val="center"/>
              <w:rPr>
                <w:rFonts w:ascii="Times New Roman" w:eastAsia="Times New Roman" w:hAnsi="Times New Roman" w:cs="Times New Roman"/>
                <w:b/>
                <w:sz w:val="24"/>
                <w:szCs w:val="24"/>
                <w:lang w:eastAsia="ru-RU"/>
              </w:rPr>
            </w:pPr>
            <w:r w:rsidRPr="00A75424">
              <w:rPr>
                <w:rFonts w:ascii="Times New Roman" w:eastAsia="Times New Roman" w:hAnsi="Times New Roman" w:cs="Times New Roman"/>
                <w:b/>
                <w:sz w:val="24"/>
                <w:szCs w:val="24"/>
                <w:lang w:eastAsia="ru-RU"/>
              </w:rPr>
              <w:t>13</w:t>
            </w:r>
          </w:p>
          <w:p w:rsidR="00AD3220" w:rsidRDefault="00AD3220" w:rsidP="00A75424">
            <w:pPr>
              <w:spacing w:line="240" w:lineRule="auto"/>
              <w:jc w:val="center"/>
              <w:rPr>
                <w:rFonts w:ascii="Times New Roman" w:eastAsia="Times New Roman" w:hAnsi="Times New Roman" w:cs="Times New Roman"/>
                <w:b/>
                <w:sz w:val="24"/>
                <w:szCs w:val="24"/>
                <w:lang w:eastAsia="ru-RU"/>
              </w:rPr>
            </w:pPr>
            <w:r w:rsidRPr="00E750E3">
              <w:rPr>
                <w:rFonts w:ascii="Times New Roman" w:eastAsia="Times New Roman" w:hAnsi="Times New Roman" w:cs="Times New Roman"/>
                <w:sz w:val="24"/>
                <w:szCs w:val="24"/>
                <w:lang w:eastAsia="ru-RU"/>
              </w:rPr>
              <w:t>(16%)</w:t>
            </w:r>
          </w:p>
        </w:tc>
      </w:tr>
      <w:tr w:rsidR="00AD3220" w:rsidTr="00A75424">
        <w:tc>
          <w:tcPr>
            <w:tcW w:w="1980" w:type="dxa"/>
          </w:tcPr>
          <w:p w:rsidR="00AD3220" w:rsidRDefault="00AD3220" w:rsidP="003357B8">
            <w:p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Низкий</w:t>
            </w:r>
          </w:p>
        </w:tc>
        <w:tc>
          <w:tcPr>
            <w:tcW w:w="5245" w:type="dxa"/>
          </w:tcPr>
          <w:p w:rsidR="00AD3220" w:rsidRPr="00AD3220" w:rsidRDefault="00AD3220" w:rsidP="00AD3220">
            <w:pPr>
              <w:spacing w:line="240" w:lineRule="auto"/>
              <w:jc w:val="both"/>
              <w:rPr>
                <w:rFonts w:ascii="Times New Roman" w:eastAsia="Times New Roman" w:hAnsi="Times New Roman" w:cs="Times New Roman"/>
                <w:b/>
                <w:sz w:val="24"/>
                <w:szCs w:val="24"/>
                <w:lang w:eastAsia="ru-RU"/>
              </w:rPr>
            </w:pPr>
            <w:r w:rsidRPr="00AD3220">
              <w:rPr>
                <w:rFonts w:ascii="Times New Roman" w:eastAsia="Times New Roman" w:hAnsi="Times New Roman" w:cs="Times New Roman"/>
                <w:b/>
                <w:sz w:val="24"/>
                <w:szCs w:val="24"/>
                <w:lang w:eastAsia="ru-RU"/>
              </w:rPr>
              <w:t>Доходы</w:t>
            </w:r>
          </w:p>
          <w:p w:rsidR="00AD3220" w:rsidRPr="00A75424" w:rsidRDefault="00AD3220" w:rsidP="00AD3220">
            <w:pPr>
              <w:spacing w:line="240" w:lineRule="auto"/>
              <w:ind w:left="320"/>
              <w:jc w:val="both"/>
              <w:rPr>
                <w:rFonts w:ascii="Times New Roman" w:eastAsia="Times New Roman" w:hAnsi="Times New Roman" w:cs="Times New Roman"/>
                <w:sz w:val="24"/>
                <w:szCs w:val="24"/>
                <w:lang w:eastAsia="ru-RU"/>
              </w:rPr>
            </w:pPr>
            <w:r w:rsidRPr="00A75424">
              <w:rPr>
                <w:rFonts w:ascii="Times New Roman" w:eastAsia="Times New Roman" w:hAnsi="Times New Roman" w:cs="Times New Roman"/>
                <w:sz w:val="24"/>
                <w:szCs w:val="24"/>
                <w:lang w:eastAsia="ru-RU"/>
              </w:rPr>
              <w:t>Налоговые и неналоговые доходы</w:t>
            </w:r>
          </w:p>
          <w:p w:rsidR="00AD3220" w:rsidRPr="00A75424" w:rsidRDefault="00AD3220" w:rsidP="00AD3220">
            <w:pPr>
              <w:spacing w:line="240" w:lineRule="auto"/>
              <w:ind w:left="320"/>
              <w:jc w:val="both"/>
              <w:rPr>
                <w:rFonts w:ascii="Times New Roman" w:eastAsia="Times New Roman" w:hAnsi="Times New Roman" w:cs="Times New Roman"/>
                <w:sz w:val="24"/>
                <w:szCs w:val="24"/>
                <w:lang w:eastAsia="ru-RU"/>
              </w:rPr>
            </w:pPr>
            <w:r w:rsidRPr="00A75424">
              <w:rPr>
                <w:rFonts w:ascii="Times New Roman" w:eastAsia="Times New Roman" w:hAnsi="Times New Roman" w:cs="Times New Roman"/>
                <w:sz w:val="24"/>
                <w:szCs w:val="24"/>
                <w:lang w:eastAsia="ru-RU"/>
              </w:rPr>
              <w:t>Безвозмездные поступления</w:t>
            </w:r>
          </w:p>
          <w:p w:rsidR="00AD3220" w:rsidRDefault="00AD3220">
            <w:pPr>
              <w:spacing w:line="240" w:lineRule="auto"/>
              <w:jc w:val="both"/>
              <w:rPr>
                <w:rFonts w:ascii="Times New Roman" w:eastAsia="Times New Roman" w:hAnsi="Times New Roman" w:cs="Times New Roman"/>
                <w:b/>
                <w:sz w:val="24"/>
                <w:szCs w:val="24"/>
                <w:lang w:eastAsia="ru-RU"/>
              </w:rPr>
            </w:pPr>
            <w:r w:rsidRPr="001A00CF">
              <w:rPr>
                <w:rFonts w:ascii="Times New Roman" w:eastAsia="Times New Roman" w:hAnsi="Times New Roman" w:cs="Times New Roman"/>
                <w:b/>
                <w:sz w:val="24"/>
                <w:szCs w:val="24"/>
                <w:lang w:eastAsia="ru-RU"/>
              </w:rPr>
              <w:t>Расходы</w:t>
            </w:r>
          </w:p>
        </w:tc>
        <w:tc>
          <w:tcPr>
            <w:tcW w:w="2260" w:type="dxa"/>
          </w:tcPr>
          <w:p w:rsidR="00AD3220" w:rsidRPr="00A75424" w:rsidRDefault="00AD3220" w:rsidP="00AD3220">
            <w:pPr>
              <w:spacing w:line="240" w:lineRule="auto"/>
              <w:jc w:val="center"/>
              <w:rPr>
                <w:rFonts w:ascii="Times New Roman" w:eastAsia="Times New Roman" w:hAnsi="Times New Roman" w:cs="Times New Roman"/>
                <w:b/>
                <w:sz w:val="24"/>
                <w:szCs w:val="24"/>
                <w:lang w:eastAsia="ru-RU"/>
              </w:rPr>
            </w:pPr>
            <w:r w:rsidRPr="00A75424">
              <w:rPr>
                <w:rFonts w:ascii="Times New Roman" w:eastAsia="Times New Roman" w:hAnsi="Times New Roman" w:cs="Times New Roman"/>
                <w:b/>
                <w:sz w:val="24"/>
                <w:szCs w:val="24"/>
                <w:lang w:eastAsia="ru-RU"/>
              </w:rPr>
              <w:t>52</w:t>
            </w:r>
          </w:p>
          <w:p w:rsidR="00AD3220" w:rsidRDefault="00AD3220" w:rsidP="00A75424">
            <w:pPr>
              <w:spacing w:line="240" w:lineRule="auto"/>
              <w:jc w:val="center"/>
              <w:rPr>
                <w:rFonts w:ascii="Times New Roman" w:eastAsia="Times New Roman" w:hAnsi="Times New Roman" w:cs="Times New Roman"/>
                <w:b/>
                <w:sz w:val="24"/>
                <w:szCs w:val="24"/>
                <w:lang w:eastAsia="ru-RU"/>
              </w:rPr>
            </w:pPr>
            <w:r w:rsidRPr="00E750E3">
              <w:rPr>
                <w:rFonts w:ascii="Times New Roman" w:eastAsia="Times New Roman" w:hAnsi="Times New Roman" w:cs="Times New Roman"/>
                <w:sz w:val="24"/>
                <w:szCs w:val="24"/>
                <w:lang w:eastAsia="ru-RU"/>
              </w:rPr>
              <w:t>(64%)</w:t>
            </w:r>
          </w:p>
        </w:tc>
      </w:tr>
    </w:tbl>
    <w:p w:rsidR="00A02233" w:rsidRDefault="00A02233" w:rsidP="002174A5">
      <w:pPr>
        <w:spacing w:before="120" w:after="120" w:line="276" w:lineRule="auto"/>
        <w:jc w:val="both"/>
        <w:rPr>
          <w:rFonts w:ascii="Times New Roman" w:eastAsia="Times New Roman" w:hAnsi="Times New Roman" w:cs="Times New Roman"/>
          <w:b/>
          <w:sz w:val="24"/>
          <w:szCs w:val="24"/>
          <w:lang w:eastAsia="ru-RU"/>
        </w:rPr>
      </w:pPr>
    </w:p>
    <w:p w:rsidR="003357B8" w:rsidRPr="00526D62" w:rsidRDefault="002C2C08" w:rsidP="005D1255">
      <w:pPr>
        <w:pStyle w:val="a4"/>
        <w:numPr>
          <w:ilvl w:val="0"/>
          <w:numId w:val="35"/>
        </w:numPr>
        <w:tabs>
          <w:tab w:val="right" w:pos="426"/>
        </w:tabs>
        <w:spacing w:after="120" w:line="276" w:lineRule="auto"/>
        <w:ind w:left="425" w:hanging="425"/>
        <w:jc w:val="both"/>
        <w:rPr>
          <w:rFonts w:ascii="Times New Roman" w:eastAsia="Times New Roman" w:hAnsi="Times New Roman" w:cs="Times New Roman"/>
          <w:sz w:val="28"/>
          <w:szCs w:val="28"/>
          <w:u w:val="single"/>
          <w:lang w:eastAsia="ru-RU"/>
        </w:rPr>
      </w:pPr>
      <w:r w:rsidRPr="00526D62">
        <w:rPr>
          <w:rFonts w:ascii="Times New Roman" w:eastAsia="Times New Roman" w:hAnsi="Times New Roman" w:cs="Times New Roman"/>
          <w:sz w:val="28"/>
          <w:szCs w:val="28"/>
          <w:u w:val="single"/>
          <w:lang w:eastAsia="ru-RU"/>
        </w:rPr>
        <w:t>Ежегодная</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актуализация</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бюджет</w:t>
      </w:r>
      <w:r w:rsidR="00946F01" w:rsidRPr="00526D62">
        <w:rPr>
          <w:rFonts w:ascii="Times New Roman" w:eastAsia="Times New Roman" w:hAnsi="Times New Roman" w:cs="Times New Roman"/>
          <w:sz w:val="28"/>
          <w:szCs w:val="28"/>
          <w:u w:val="single"/>
          <w:lang w:eastAsia="ru-RU"/>
        </w:rPr>
        <w:t>н</w:t>
      </w:r>
      <w:r w:rsidRPr="00526D62">
        <w:rPr>
          <w:rFonts w:ascii="Times New Roman" w:eastAsia="Times New Roman" w:hAnsi="Times New Roman" w:cs="Times New Roman"/>
          <w:sz w:val="28"/>
          <w:szCs w:val="28"/>
          <w:u w:val="single"/>
          <w:lang w:eastAsia="ru-RU"/>
        </w:rPr>
        <w:t>ого</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прогноза</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в</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соответствии</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с</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внесенным</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в</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законодательный</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орган</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проектом</w:t>
      </w:r>
      <w:r w:rsidR="008C2FC0" w:rsidRPr="00526D62">
        <w:rPr>
          <w:rFonts w:ascii="Times New Roman" w:eastAsia="Times New Roman" w:hAnsi="Times New Roman" w:cs="Times New Roman"/>
          <w:sz w:val="28"/>
          <w:szCs w:val="28"/>
          <w:u w:val="single"/>
          <w:lang w:eastAsia="ru-RU"/>
        </w:rPr>
        <w:t xml:space="preserve"> </w:t>
      </w:r>
      <w:r w:rsidRPr="00526D62">
        <w:rPr>
          <w:rFonts w:ascii="Times New Roman" w:eastAsia="Times New Roman" w:hAnsi="Times New Roman" w:cs="Times New Roman"/>
          <w:sz w:val="28"/>
          <w:szCs w:val="28"/>
          <w:u w:val="single"/>
          <w:lang w:eastAsia="ru-RU"/>
        </w:rPr>
        <w:t>бюджета</w:t>
      </w:r>
    </w:p>
    <w:p w:rsidR="00EE31E2" w:rsidRDefault="00EE31E2" w:rsidP="00526D62">
      <w:pPr>
        <w:autoSpaceDE w:val="0"/>
        <w:autoSpaceDN w:val="0"/>
        <w:adjustRightInd w:val="0"/>
        <w:spacing w:after="0"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Нормы</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статьи</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170.1</w:t>
      </w:r>
      <w:r w:rsidR="008C2FC0">
        <w:rPr>
          <w:rFonts w:ascii="Times New Roman CYR" w:hAnsi="Times New Roman CYR" w:cs="Times New Roman CYR"/>
          <w:color w:val="000000"/>
          <w:sz w:val="28"/>
          <w:szCs w:val="28"/>
        </w:rPr>
        <w:t xml:space="preserve"> </w:t>
      </w:r>
      <w:r w:rsidR="007E1F77">
        <w:rPr>
          <w:rFonts w:ascii="Times New Roman CYR" w:hAnsi="Times New Roman CYR" w:cs="Times New Roman CYR"/>
          <w:color w:val="000000"/>
          <w:sz w:val="28"/>
          <w:szCs w:val="28"/>
        </w:rPr>
        <w:t>БК РФ</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стали</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распространяться</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на</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субъекты</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РФ</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только</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бюджетного</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цикла</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2017</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года.</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Соответственно</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на</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этот</w:t>
      </w:r>
      <w:r w:rsidR="008C2FC0">
        <w:rPr>
          <w:rFonts w:ascii="Times New Roman CYR" w:hAnsi="Times New Roman CYR" w:cs="Times New Roman CYR"/>
          <w:color w:val="000000"/>
          <w:sz w:val="28"/>
          <w:szCs w:val="28"/>
        </w:rPr>
        <w:t xml:space="preserve"> </w:t>
      </w:r>
      <w:r w:rsidR="00072E36">
        <w:rPr>
          <w:rFonts w:ascii="Times New Roman CYR" w:hAnsi="Times New Roman CYR" w:cs="Times New Roman CYR"/>
          <w:color w:val="000000"/>
          <w:sz w:val="28"/>
          <w:szCs w:val="28"/>
        </w:rPr>
        <w:t>год</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пришелся</w:t>
      </w:r>
      <w:r w:rsidR="008C2FC0">
        <w:rPr>
          <w:rFonts w:ascii="Times New Roman CYR" w:hAnsi="Times New Roman CYR" w:cs="Times New Roman CYR"/>
          <w:color w:val="000000"/>
          <w:sz w:val="28"/>
          <w:szCs w:val="28"/>
        </w:rPr>
        <w:t xml:space="preserve"> </w:t>
      </w:r>
      <w:r w:rsidRPr="002C2C08">
        <w:rPr>
          <w:rFonts w:ascii="Times New Roman" w:hAnsi="Times New Roman" w:cs="Times New Roman"/>
          <w:color w:val="000000"/>
          <w:sz w:val="28"/>
          <w:szCs w:val="28"/>
        </w:rPr>
        <w:t>«</w:t>
      </w:r>
      <w:r>
        <w:rPr>
          <w:rFonts w:ascii="Times New Roman CYR" w:hAnsi="Times New Roman CYR" w:cs="Times New Roman CYR"/>
          <w:color w:val="000000"/>
          <w:sz w:val="28"/>
          <w:szCs w:val="28"/>
        </w:rPr>
        <w:t>пик</w:t>
      </w:r>
      <w:r w:rsidRPr="002C2C08">
        <w:rPr>
          <w:rFonts w:ascii="Times New Roman" w:hAnsi="Times New Roman" w:cs="Times New Roman"/>
          <w:color w:val="000000"/>
          <w:sz w:val="28"/>
          <w:szCs w:val="28"/>
        </w:rPr>
        <w:t>»</w:t>
      </w:r>
      <w:r w:rsidR="008C2FC0">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утверждения</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бюджетных</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прогнозов</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w:t>
      </w:r>
      <w:r w:rsidR="003E1E0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бюджетные</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прогнозы</w:t>
      </w:r>
      <w:r w:rsidR="008C2FC0">
        <w:rPr>
          <w:rFonts w:ascii="Times New Roman CYR" w:hAnsi="Times New Roman CYR" w:cs="Times New Roman CYR"/>
          <w:color w:val="000000"/>
          <w:sz w:val="28"/>
          <w:szCs w:val="28"/>
        </w:rPr>
        <w:t xml:space="preserve"> </w:t>
      </w:r>
      <w:r w:rsidR="003E1E0C">
        <w:rPr>
          <w:rFonts w:ascii="Times New Roman CYR" w:hAnsi="Times New Roman CYR" w:cs="Times New Roman CYR"/>
          <w:color w:val="000000"/>
          <w:sz w:val="28"/>
          <w:szCs w:val="28"/>
        </w:rPr>
        <w:t xml:space="preserve">в этот период </w:t>
      </w:r>
      <w:r>
        <w:rPr>
          <w:rFonts w:ascii="Times New Roman CYR" w:hAnsi="Times New Roman CYR" w:cs="Times New Roman CYR"/>
          <w:color w:val="000000"/>
          <w:sz w:val="28"/>
          <w:szCs w:val="28"/>
        </w:rPr>
        <w:t>были</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впервые</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разработаны</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у</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57</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(70%)</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субъектов</w:t>
      </w:r>
      <w:r w:rsidR="008C2FC0">
        <w:rPr>
          <w:rFonts w:ascii="Times New Roman CYR" w:hAnsi="Times New Roman CYR" w:cs="Times New Roman CYR"/>
          <w:color w:val="000000"/>
          <w:sz w:val="28"/>
          <w:szCs w:val="28"/>
        </w:rPr>
        <w:t xml:space="preserve"> </w:t>
      </w:r>
      <w:r w:rsidR="007E1F77">
        <w:rPr>
          <w:rFonts w:ascii="Times New Roman CYR" w:hAnsi="Times New Roman CYR" w:cs="Times New Roman CYR"/>
          <w:color w:val="000000"/>
          <w:sz w:val="28"/>
          <w:szCs w:val="28"/>
        </w:rPr>
        <w:t>РФ</w:t>
      </w:r>
      <w:r>
        <w:rPr>
          <w:rFonts w:ascii="Times New Roman CYR" w:hAnsi="Times New Roman CYR" w:cs="Times New Roman CYR"/>
          <w:color w:val="000000"/>
          <w:sz w:val="28"/>
          <w:szCs w:val="28"/>
        </w:rPr>
        <w:t>.</w:t>
      </w:r>
    </w:p>
    <w:p w:rsidR="003F17DB" w:rsidRDefault="003F17DB" w:rsidP="00526D62">
      <w:pPr>
        <w:autoSpaceDE w:val="0"/>
        <w:autoSpaceDN w:val="0"/>
        <w:adjustRightInd w:val="0"/>
        <w:spacing w:after="0" w:line="276" w:lineRule="auto"/>
        <w:jc w:val="both"/>
        <w:rPr>
          <w:rFonts w:ascii="Times New Roman CYR" w:hAnsi="Times New Roman CYR" w:cs="Times New Roman CYR"/>
          <w:b/>
          <w:color w:val="000000"/>
          <w:sz w:val="24"/>
          <w:szCs w:val="24"/>
        </w:rPr>
      </w:pPr>
    </w:p>
    <w:p w:rsidR="009F4A4D" w:rsidRDefault="009F4A4D" w:rsidP="00526D62">
      <w:pPr>
        <w:autoSpaceDE w:val="0"/>
        <w:autoSpaceDN w:val="0"/>
        <w:adjustRightInd w:val="0"/>
        <w:spacing w:after="0" w:line="276" w:lineRule="auto"/>
        <w:jc w:val="both"/>
        <w:rPr>
          <w:rFonts w:ascii="Times New Roman CYR" w:hAnsi="Times New Roman CYR" w:cs="Times New Roman CYR"/>
          <w:b/>
          <w:color w:val="000000"/>
          <w:sz w:val="24"/>
          <w:szCs w:val="24"/>
        </w:rPr>
      </w:pPr>
    </w:p>
    <w:p w:rsidR="009F4A4D" w:rsidRDefault="009F4A4D" w:rsidP="00526D62">
      <w:pPr>
        <w:autoSpaceDE w:val="0"/>
        <w:autoSpaceDN w:val="0"/>
        <w:adjustRightInd w:val="0"/>
        <w:spacing w:after="0" w:line="276" w:lineRule="auto"/>
        <w:jc w:val="both"/>
        <w:rPr>
          <w:rFonts w:ascii="Times New Roman CYR" w:hAnsi="Times New Roman CYR" w:cs="Times New Roman CYR"/>
          <w:b/>
          <w:color w:val="000000"/>
          <w:sz w:val="24"/>
          <w:szCs w:val="24"/>
        </w:rPr>
      </w:pPr>
    </w:p>
    <w:p w:rsidR="009F4A4D" w:rsidRDefault="009F4A4D" w:rsidP="00526D62">
      <w:pPr>
        <w:autoSpaceDE w:val="0"/>
        <w:autoSpaceDN w:val="0"/>
        <w:adjustRightInd w:val="0"/>
        <w:spacing w:after="0" w:line="276" w:lineRule="auto"/>
        <w:jc w:val="both"/>
        <w:rPr>
          <w:rFonts w:ascii="Times New Roman CYR" w:hAnsi="Times New Roman CYR" w:cs="Times New Roman CYR"/>
          <w:b/>
          <w:color w:val="000000"/>
          <w:sz w:val="24"/>
          <w:szCs w:val="24"/>
        </w:rPr>
      </w:pPr>
    </w:p>
    <w:p w:rsidR="00EE31E2" w:rsidRPr="00E750E3" w:rsidRDefault="00EE31E2" w:rsidP="00890201">
      <w:pPr>
        <w:autoSpaceDE w:val="0"/>
        <w:autoSpaceDN w:val="0"/>
        <w:adjustRightInd w:val="0"/>
        <w:spacing w:after="0" w:line="240" w:lineRule="auto"/>
        <w:jc w:val="both"/>
        <w:rPr>
          <w:rFonts w:ascii="Times New Roman CYR" w:hAnsi="Times New Roman CYR" w:cs="Times New Roman CYR"/>
          <w:b/>
          <w:color w:val="000000"/>
          <w:sz w:val="24"/>
          <w:szCs w:val="24"/>
        </w:rPr>
      </w:pPr>
      <w:r w:rsidRPr="00E750E3">
        <w:rPr>
          <w:rFonts w:ascii="Times New Roman CYR" w:hAnsi="Times New Roman CYR" w:cs="Times New Roman CYR"/>
          <w:b/>
          <w:color w:val="000000"/>
          <w:sz w:val="24"/>
          <w:szCs w:val="24"/>
        </w:rPr>
        <w:lastRenderedPageBreak/>
        <w:t>Таблица</w:t>
      </w:r>
      <w:r w:rsidR="008C2FC0">
        <w:rPr>
          <w:rFonts w:ascii="Times New Roman CYR" w:hAnsi="Times New Roman CYR" w:cs="Times New Roman CYR"/>
          <w:b/>
          <w:color w:val="000000"/>
          <w:sz w:val="24"/>
          <w:szCs w:val="24"/>
        </w:rPr>
        <w:t xml:space="preserve"> </w:t>
      </w:r>
      <w:r w:rsidR="00D80263">
        <w:rPr>
          <w:rFonts w:ascii="Times New Roman CYR" w:hAnsi="Times New Roman CYR" w:cs="Times New Roman CYR"/>
          <w:b/>
          <w:color w:val="000000"/>
          <w:sz w:val="24"/>
          <w:szCs w:val="24"/>
        </w:rPr>
        <w:t>6</w:t>
      </w:r>
      <w:r w:rsidRPr="00E750E3">
        <w:rPr>
          <w:rFonts w:ascii="Times New Roman CYR" w:hAnsi="Times New Roman CYR" w:cs="Times New Roman CYR"/>
          <w:b/>
          <w:color w:val="000000"/>
          <w:sz w:val="24"/>
          <w:szCs w:val="24"/>
        </w:rPr>
        <w:t>.</w:t>
      </w:r>
      <w:r w:rsidR="008C2FC0">
        <w:rPr>
          <w:rFonts w:ascii="Times New Roman CYR" w:hAnsi="Times New Roman CYR" w:cs="Times New Roman CYR"/>
          <w:b/>
          <w:color w:val="000000"/>
          <w:sz w:val="24"/>
          <w:szCs w:val="24"/>
        </w:rPr>
        <w:t xml:space="preserve"> </w:t>
      </w:r>
      <w:r w:rsidRPr="00E750E3">
        <w:rPr>
          <w:rFonts w:ascii="Times New Roman CYR" w:hAnsi="Times New Roman CYR" w:cs="Times New Roman CYR"/>
          <w:b/>
          <w:color w:val="000000"/>
          <w:sz w:val="24"/>
          <w:szCs w:val="24"/>
        </w:rPr>
        <w:t>Периоды</w:t>
      </w:r>
      <w:r w:rsidR="008C2FC0">
        <w:rPr>
          <w:rFonts w:ascii="Times New Roman CYR" w:hAnsi="Times New Roman CYR" w:cs="Times New Roman CYR"/>
          <w:b/>
          <w:color w:val="000000"/>
          <w:sz w:val="24"/>
          <w:szCs w:val="24"/>
        </w:rPr>
        <w:t xml:space="preserve"> </w:t>
      </w:r>
      <w:r w:rsidRPr="00E750E3">
        <w:rPr>
          <w:rFonts w:ascii="Times New Roman CYR" w:hAnsi="Times New Roman CYR" w:cs="Times New Roman CYR"/>
          <w:b/>
          <w:color w:val="000000"/>
          <w:sz w:val="24"/>
          <w:szCs w:val="24"/>
        </w:rPr>
        <w:t>первоначального</w:t>
      </w:r>
      <w:r w:rsidR="008C2FC0">
        <w:rPr>
          <w:rFonts w:ascii="Times New Roman CYR" w:hAnsi="Times New Roman CYR" w:cs="Times New Roman CYR"/>
          <w:b/>
          <w:color w:val="000000"/>
          <w:sz w:val="24"/>
          <w:szCs w:val="24"/>
        </w:rPr>
        <w:t xml:space="preserve"> </w:t>
      </w:r>
      <w:r w:rsidRPr="00E750E3">
        <w:rPr>
          <w:rFonts w:ascii="Times New Roman CYR" w:hAnsi="Times New Roman CYR" w:cs="Times New Roman CYR"/>
          <w:b/>
          <w:color w:val="000000"/>
          <w:sz w:val="24"/>
          <w:szCs w:val="24"/>
        </w:rPr>
        <w:t>утверждения</w:t>
      </w:r>
      <w:r w:rsidR="008C2FC0">
        <w:rPr>
          <w:rFonts w:ascii="Times New Roman CYR" w:hAnsi="Times New Roman CYR" w:cs="Times New Roman CYR"/>
          <w:b/>
          <w:color w:val="000000"/>
          <w:sz w:val="24"/>
          <w:szCs w:val="24"/>
        </w:rPr>
        <w:t xml:space="preserve"> </w:t>
      </w:r>
      <w:r w:rsidRPr="00E750E3">
        <w:rPr>
          <w:rFonts w:ascii="Times New Roman CYR" w:hAnsi="Times New Roman CYR" w:cs="Times New Roman CYR"/>
          <w:b/>
          <w:color w:val="000000"/>
          <w:sz w:val="24"/>
          <w:szCs w:val="24"/>
        </w:rPr>
        <w:t>бюджетного</w:t>
      </w:r>
      <w:r w:rsidR="008C2FC0">
        <w:rPr>
          <w:rFonts w:ascii="Times New Roman CYR" w:hAnsi="Times New Roman CYR" w:cs="Times New Roman CYR"/>
          <w:b/>
          <w:color w:val="000000"/>
          <w:sz w:val="24"/>
          <w:szCs w:val="24"/>
        </w:rPr>
        <w:t xml:space="preserve"> </w:t>
      </w:r>
      <w:r w:rsidRPr="00E750E3">
        <w:rPr>
          <w:rFonts w:ascii="Times New Roman CYR" w:hAnsi="Times New Roman CYR" w:cs="Times New Roman CYR"/>
          <w:b/>
          <w:color w:val="000000"/>
          <w:sz w:val="24"/>
          <w:szCs w:val="24"/>
        </w:rPr>
        <w:t>прогноза</w:t>
      </w:r>
    </w:p>
    <w:tbl>
      <w:tblPr>
        <w:tblStyle w:val="a3"/>
        <w:tblW w:w="0" w:type="auto"/>
        <w:tblLook w:val="04A0" w:firstRow="1" w:lastRow="0" w:firstColumn="1" w:lastColumn="0" w:noHBand="0" w:noVBand="1"/>
      </w:tblPr>
      <w:tblGrid>
        <w:gridCol w:w="5641"/>
        <w:gridCol w:w="3844"/>
      </w:tblGrid>
      <w:tr w:rsidR="00EE31E2" w:rsidRPr="00E750E3" w:rsidTr="003F17DB">
        <w:tc>
          <w:tcPr>
            <w:tcW w:w="5641" w:type="dxa"/>
            <w:shd w:val="clear" w:color="auto" w:fill="FFFFFF" w:themeFill="background1"/>
          </w:tcPr>
          <w:p w:rsidR="00EE31E2" w:rsidRPr="00E750E3" w:rsidRDefault="00EE31E2" w:rsidP="00EE31E2">
            <w:pPr>
              <w:autoSpaceDE w:val="0"/>
              <w:autoSpaceDN w:val="0"/>
              <w:adjustRightInd w:val="0"/>
              <w:spacing w:line="240" w:lineRule="auto"/>
              <w:jc w:val="both"/>
              <w:rPr>
                <w:rFonts w:ascii="Times New Roman CYR" w:hAnsi="Times New Roman CYR" w:cs="Times New Roman CYR"/>
                <w:color w:val="000000"/>
                <w:sz w:val="24"/>
                <w:szCs w:val="24"/>
              </w:rPr>
            </w:pPr>
            <w:r w:rsidRPr="00E750E3">
              <w:rPr>
                <w:rFonts w:ascii="Times New Roman CYR" w:hAnsi="Times New Roman CYR" w:cs="Times New Roman CYR"/>
                <w:color w:val="000000"/>
                <w:sz w:val="24"/>
                <w:szCs w:val="24"/>
              </w:rPr>
              <w:t>Год</w:t>
            </w:r>
            <w:r w:rsidR="008C2FC0">
              <w:rPr>
                <w:rFonts w:ascii="Times New Roman CYR" w:hAnsi="Times New Roman CYR" w:cs="Times New Roman CYR"/>
                <w:color w:val="000000"/>
                <w:sz w:val="24"/>
                <w:szCs w:val="24"/>
              </w:rPr>
              <w:t xml:space="preserve"> </w:t>
            </w:r>
            <w:r w:rsidRPr="00E750E3">
              <w:rPr>
                <w:rFonts w:ascii="Times New Roman CYR" w:hAnsi="Times New Roman CYR" w:cs="Times New Roman CYR"/>
                <w:color w:val="000000"/>
                <w:sz w:val="24"/>
                <w:szCs w:val="24"/>
              </w:rPr>
              <w:t>первоначального</w:t>
            </w:r>
            <w:r w:rsidR="008C2FC0">
              <w:rPr>
                <w:rFonts w:ascii="Times New Roman CYR" w:hAnsi="Times New Roman CYR" w:cs="Times New Roman CYR"/>
                <w:color w:val="000000"/>
                <w:sz w:val="24"/>
                <w:szCs w:val="24"/>
              </w:rPr>
              <w:t xml:space="preserve"> </w:t>
            </w:r>
            <w:r w:rsidRPr="00E750E3">
              <w:rPr>
                <w:rFonts w:ascii="Times New Roman CYR" w:hAnsi="Times New Roman CYR" w:cs="Times New Roman CYR"/>
                <w:color w:val="000000"/>
                <w:sz w:val="24"/>
                <w:szCs w:val="24"/>
              </w:rPr>
              <w:t>утверждения</w:t>
            </w:r>
            <w:r w:rsidR="008C2FC0">
              <w:rPr>
                <w:rFonts w:ascii="Times New Roman CYR" w:hAnsi="Times New Roman CYR" w:cs="Times New Roman CYR"/>
                <w:color w:val="000000"/>
                <w:sz w:val="24"/>
                <w:szCs w:val="24"/>
              </w:rPr>
              <w:t xml:space="preserve"> </w:t>
            </w:r>
            <w:r w:rsidRPr="00E750E3">
              <w:rPr>
                <w:rFonts w:ascii="Times New Roman CYR" w:hAnsi="Times New Roman CYR" w:cs="Times New Roman CYR"/>
                <w:color w:val="000000"/>
                <w:sz w:val="24"/>
                <w:szCs w:val="24"/>
              </w:rPr>
              <w:t>бюджетного</w:t>
            </w:r>
            <w:r w:rsidR="008C2FC0">
              <w:rPr>
                <w:rFonts w:ascii="Times New Roman CYR" w:hAnsi="Times New Roman CYR" w:cs="Times New Roman CYR"/>
                <w:color w:val="000000"/>
                <w:sz w:val="24"/>
                <w:szCs w:val="24"/>
              </w:rPr>
              <w:t xml:space="preserve"> </w:t>
            </w:r>
            <w:r w:rsidRPr="00E750E3">
              <w:rPr>
                <w:rFonts w:ascii="Times New Roman CYR" w:hAnsi="Times New Roman CYR" w:cs="Times New Roman CYR"/>
                <w:color w:val="000000"/>
                <w:sz w:val="24"/>
                <w:szCs w:val="24"/>
              </w:rPr>
              <w:t>прогноза</w:t>
            </w:r>
          </w:p>
        </w:tc>
        <w:tc>
          <w:tcPr>
            <w:tcW w:w="3844" w:type="dxa"/>
            <w:shd w:val="clear" w:color="auto" w:fill="FFFFFF" w:themeFill="background1"/>
          </w:tcPr>
          <w:p w:rsidR="00EE31E2" w:rsidRPr="00E750E3" w:rsidRDefault="00EE31E2" w:rsidP="00EE31E2">
            <w:pPr>
              <w:spacing w:line="240" w:lineRule="auto"/>
              <w:jc w:val="center"/>
              <w:rPr>
                <w:rFonts w:ascii="Times New Roman" w:eastAsia="Times New Roman" w:hAnsi="Times New Roman" w:cs="Times New Roman"/>
                <w:sz w:val="24"/>
                <w:szCs w:val="24"/>
                <w:lang w:eastAsia="ru-RU"/>
              </w:rPr>
            </w:pPr>
            <w:r w:rsidRPr="00E750E3">
              <w:rPr>
                <w:rFonts w:ascii="Times New Roman" w:eastAsia="Times New Roman" w:hAnsi="Times New Roman" w:cs="Times New Roman"/>
                <w:sz w:val="24"/>
                <w:szCs w:val="24"/>
                <w:lang w:eastAsia="ru-RU"/>
              </w:rPr>
              <w:t>Количество</w:t>
            </w:r>
            <w:r w:rsidR="008C2FC0">
              <w:rPr>
                <w:rFonts w:ascii="Times New Roman" w:eastAsia="Times New Roman" w:hAnsi="Times New Roman" w:cs="Times New Roman"/>
                <w:sz w:val="24"/>
                <w:szCs w:val="24"/>
                <w:lang w:eastAsia="ru-RU"/>
              </w:rPr>
              <w:t xml:space="preserve"> </w:t>
            </w:r>
            <w:r w:rsidRPr="00E750E3">
              <w:rPr>
                <w:rFonts w:ascii="Times New Roman" w:eastAsia="Times New Roman" w:hAnsi="Times New Roman" w:cs="Times New Roman"/>
                <w:sz w:val="24"/>
                <w:szCs w:val="24"/>
                <w:lang w:eastAsia="ru-RU"/>
              </w:rPr>
              <w:t>субъектов</w:t>
            </w:r>
            <w:r w:rsidR="008C2FC0">
              <w:rPr>
                <w:rFonts w:ascii="Times New Roman" w:eastAsia="Times New Roman" w:hAnsi="Times New Roman" w:cs="Times New Roman"/>
                <w:sz w:val="24"/>
                <w:szCs w:val="24"/>
                <w:lang w:eastAsia="ru-RU"/>
              </w:rPr>
              <w:t xml:space="preserve"> </w:t>
            </w:r>
            <w:r w:rsidRPr="00E750E3">
              <w:rPr>
                <w:rFonts w:ascii="Times New Roman" w:eastAsia="Times New Roman" w:hAnsi="Times New Roman" w:cs="Times New Roman"/>
                <w:sz w:val="24"/>
                <w:szCs w:val="24"/>
                <w:lang w:eastAsia="ru-RU"/>
              </w:rPr>
              <w:t>РФ</w:t>
            </w:r>
            <w:r w:rsidR="008C2FC0">
              <w:rPr>
                <w:rFonts w:ascii="Times New Roman" w:eastAsia="Times New Roman" w:hAnsi="Times New Roman" w:cs="Times New Roman"/>
                <w:sz w:val="24"/>
                <w:szCs w:val="24"/>
                <w:lang w:eastAsia="ru-RU"/>
              </w:rPr>
              <w:t xml:space="preserve"> </w:t>
            </w:r>
          </w:p>
          <w:p w:rsidR="00EE31E2" w:rsidRPr="00E750E3" w:rsidRDefault="00EE31E2" w:rsidP="00EE31E2">
            <w:pPr>
              <w:autoSpaceDE w:val="0"/>
              <w:autoSpaceDN w:val="0"/>
              <w:adjustRightInd w:val="0"/>
              <w:spacing w:line="240" w:lineRule="auto"/>
              <w:jc w:val="center"/>
              <w:rPr>
                <w:rFonts w:ascii="Times New Roman CYR" w:hAnsi="Times New Roman CYR" w:cs="Times New Roman CYR"/>
                <w:color w:val="000000"/>
                <w:sz w:val="24"/>
                <w:szCs w:val="24"/>
              </w:rPr>
            </w:pPr>
            <w:r w:rsidRPr="00E750E3">
              <w:rPr>
                <w:rFonts w:ascii="Times New Roman" w:eastAsia="Times New Roman" w:hAnsi="Times New Roman" w:cs="Times New Roman"/>
                <w:sz w:val="24"/>
                <w:szCs w:val="24"/>
                <w:lang w:eastAsia="ru-RU"/>
              </w:rPr>
              <w:t>(уд.</w:t>
            </w:r>
            <w:r w:rsidR="008C2FC0">
              <w:rPr>
                <w:rFonts w:ascii="Times New Roman" w:eastAsia="Times New Roman" w:hAnsi="Times New Roman" w:cs="Times New Roman"/>
                <w:sz w:val="24"/>
                <w:szCs w:val="24"/>
                <w:lang w:eastAsia="ru-RU"/>
              </w:rPr>
              <w:t xml:space="preserve"> </w:t>
            </w:r>
            <w:r w:rsidRPr="00E750E3">
              <w:rPr>
                <w:rFonts w:ascii="Times New Roman" w:eastAsia="Times New Roman" w:hAnsi="Times New Roman" w:cs="Times New Roman"/>
                <w:sz w:val="24"/>
                <w:szCs w:val="24"/>
                <w:lang w:eastAsia="ru-RU"/>
              </w:rPr>
              <w:t>вес</w:t>
            </w:r>
            <w:r w:rsidR="008C2FC0">
              <w:rPr>
                <w:rFonts w:ascii="Times New Roman" w:eastAsia="Times New Roman" w:hAnsi="Times New Roman" w:cs="Times New Roman"/>
                <w:sz w:val="24"/>
                <w:szCs w:val="24"/>
                <w:lang w:eastAsia="ru-RU"/>
              </w:rPr>
              <w:t xml:space="preserve"> </w:t>
            </w:r>
            <w:r w:rsidRPr="00E750E3">
              <w:rPr>
                <w:rFonts w:ascii="Times New Roman" w:eastAsia="Times New Roman" w:hAnsi="Times New Roman" w:cs="Times New Roman"/>
                <w:sz w:val="24"/>
                <w:szCs w:val="24"/>
                <w:lang w:eastAsia="ru-RU"/>
              </w:rPr>
              <w:t>в</w:t>
            </w:r>
            <w:r w:rsidR="008C2FC0">
              <w:rPr>
                <w:rFonts w:ascii="Times New Roman" w:eastAsia="Times New Roman" w:hAnsi="Times New Roman" w:cs="Times New Roman"/>
                <w:sz w:val="24"/>
                <w:szCs w:val="24"/>
                <w:lang w:eastAsia="ru-RU"/>
              </w:rPr>
              <w:t xml:space="preserve"> </w:t>
            </w:r>
            <w:r w:rsidRPr="00E750E3">
              <w:rPr>
                <w:rFonts w:ascii="Times New Roman" w:eastAsia="Times New Roman" w:hAnsi="Times New Roman" w:cs="Times New Roman"/>
                <w:sz w:val="24"/>
                <w:szCs w:val="24"/>
                <w:lang w:eastAsia="ru-RU"/>
              </w:rPr>
              <w:t>общем</w:t>
            </w:r>
            <w:r w:rsidR="008C2FC0">
              <w:rPr>
                <w:rFonts w:ascii="Times New Roman" w:eastAsia="Times New Roman" w:hAnsi="Times New Roman" w:cs="Times New Roman"/>
                <w:sz w:val="24"/>
                <w:szCs w:val="24"/>
                <w:lang w:eastAsia="ru-RU"/>
              </w:rPr>
              <w:t xml:space="preserve"> </w:t>
            </w:r>
            <w:r w:rsidRPr="00E750E3">
              <w:rPr>
                <w:rFonts w:ascii="Times New Roman" w:eastAsia="Times New Roman" w:hAnsi="Times New Roman" w:cs="Times New Roman"/>
                <w:sz w:val="24"/>
                <w:szCs w:val="24"/>
                <w:lang w:eastAsia="ru-RU"/>
              </w:rPr>
              <w:t>количестве)</w:t>
            </w:r>
          </w:p>
        </w:tc>
      </w:tr>
      <w:tr w:rsidR="00EE31E2" w:rsidRPr="00E750E3" w:rsidTr="003F17DB">
        <w:tc>
          <w:tcPr>
            <w:tcW w:w="5641" w:type="dxa"/>
          </w:tcPr>
          <w:p w:rsidR="00EE31E2" w:rsidRPr="00E750E3" w:rsidRDefault="00EE31E2" w:rsidP="00EE31E2">
            <w:pPr>
              <w:autoSpaceDE w:val="0"/>
              <w:autoSpaceDN w:val="0"/>
              <w:adjustRightInd w:val="0"/>
              <w:spacing w:line="240" w:lineRule="auto"/>
              <w:jc w:val="both"/>
              <w:rPr>
                <w:rFonts w:ascii="Times New Roman CYR" w:hAnsi="Times New Roman CYR" w:cs="Times New Roman CYR"/>
                <w:color w:val="000000"/>
                <w:sz w:val="24"/>
                <w:szCs w:val="24"/>
              </w:rPr>
            </w:pPr>
            <w:r w:rsidRPr="00E750E3">
              <w:rPr>
                <w:rFonts w:ascii="Times New Roman CYR" w:hAnsi="Times New Roman CYR" w:cs="Times New Roman CYR"/>
                <w:color w:val="000000"/>
                <w:sz w:val="24"/>
                <w:szCs w:val="24"/>
              </w:rPr>
              <w:t>2015</w:t>
            </w:r>
            <w:r w:rsidR="008C2FC0">
              <w:rPr>
                <w:rFonts w:ascii="Times New Roman CYR" w:hAnsi="Times New Roman CYR" w:cs="Times New Roman CYR"/>
                <w:color w:val="000000"/>
                <w:sz w:val="24"/>
                <w:szCs w:val="24"/>
              </w:rPr>
              <w:t xml:space="preserve"> </w:t>
            </w:r>
            <w:r w:rsidRPr="00E750E3">
              <w:rPr>
                <w:rFonts w:ascii="Times New Roman CYR" w:hAnsi="Times New Roman CYR" w:cs="Times New Roman CYR"/>
                <w:color w:val="000000"/>
                <w:sz w:val="24"/>
                <w:szCs w:val="24"/>
              </w:rPr>
              <w:t>год</w:t>
            </w:r>
          </w:p>
        </w:tc>
        <w:tc>
          <w:tcPr>
            <w:tcW w:w="3844" w:type="dxa"/>
          </w:tcPr>
          <w:p w:rsidR="00EE31E2" w:rsidRPr="00E750E3" w:rsidRDefault="00EE31E2" w:rsidP="00EE31E2">
            <w:pPr>
              <w:autoSpaceDE w:val="0"/>
              <w:autoSpaceDN w:val="0"/>
              <w:adjustRightInd w:val="0"/>
              <w:spacing w:line="240" w:lineRule="auto"/>
              <w:jc w:val="center"/>
              <w:rPr>
                <w:rFonts w:ascii="Times New Roman CYR" w:hAnsi="Times New Roman CYR" w:cs="Times New Roman CYR"/>
                <w:color w:val="000000"/>
                <w:sz w:val="24"/>
                <w:szCs w:val="24"/>
              </w:rPr>
            </w:pPr>
            <w:r w:rsidRPr="00E750E3">
              <w:rPr>
                <w:rFonts w:ascii="Times New Roman CYR" w:hAnsi="Times New Roman CYR" w:cs="Times New Roman CYR"/>
                <w:color w:val="000000"/>
                <w:sz w:val="24"/>
                <w:szCs w:val="24"/>
              </w:rPr>
              <w:t>1</w:t>
            </w:r>
            <w:r w:rsidR="008C2FC0">
              <w:rPr>
                <w:rFonts w:ascii="Times New Roman CYR" w:hAnsi="Times New Roman CYR" w:cs="Times New Roman CYR"/>
                <w:color w:val="000000"/>
                <w:sz w:val="24"/>
                <w:szCs w:val="24"/>
              </w:rPr>
              <w:t xml:space="preserve"> </w:t>
            </w:r>
            <w:r w:rsidR="005142CA" w:rsidRPr="00E750E3">
              <w:rPr>
                <w:rFonts w:ascii="Times New Roman CYR" w:hAnsi="Times New Roman CYR" w:cs="Times New Roman CYR"/>
                <w:color w:val="000000"/>
                <w:sz w:val="24"/>
                <w:szCs w:val="24"/>
              </w:rPr>
              <w:t>(1%)</w:t>
            </w:r>
          </w:p>
        </w:tc>
      </w:tr>
      <w:tr w:rsidR="00EE31E2" w:rsidRPr="00E750E3" w:rsidTr="003F17DB">
        <w:tc>
          <w:tcPr>
            <w:tcW w:w="5641" w:type="dxa"/>
          </w:tcPr>
          <w:p w:rsidR="00EE31E2" w:rsidRPr="00E750E3" w:rsidRDefault="00EE31E2" w:rsidP="00EE31E2">
            <w:pPr>
              <w:autoSpaceDE w:val="0"/>
              <w:autoSpaceDN w:val="0"/>
              <w:adjustRightInd w:val="0"/>
              <w:spacing w:line="240" w:lineRule="auto"/>
              <w:jc w:val="both"/>
              <w:rPr>
                <w:rFonts w:ascii="Times New Roman CYR" w:hAnsi="Times New Roman CYR" w:cs="Times New Roman CYR"/>
                <w:color w:val="000000"/>
                <w:sz w:val="24"/>
                <w:szCs w:val="24"/>
              </w:rPr>
            </w:pPr>
            <w:r w:rsidRPr="00E750E3">
              <w:rPr>
                <w:rFonts w:ascii="Times New Roman CYR" w:hAnsi="Times New Roman CYR" w:cs="Times New Roman CYR"/>
                <w:color w:val="000000"/>
                <w:sz w:val="24"/>
                <w:szCs w:val="24"/>
              </w:rPr>
              <w:t>2016</w:t>
            </w:r>
            <w:r w:rsidR="008C2FC0">
              <w:rPr>
                <w:rFonts w:ascii="Times New Roman CYR" w:hAnsi="Times New Roman CYR" w:cs="Times New Roman CYR"/>
                <w:color w:val="000000"/>
                <w:sz w:val="24"/>
                <w:szCs w:val="24"/>
              </w:rPr>
              <w:t xml:space="preserve"> </w:t>
            </w:r>
            <w:r w:rsidRPr="00E750E3">
              <w:rPr>
                <w:rFonts w:ascii="Times New Roman CYR" w:hAnsi="Times New Roman CYR" w:cs="Times New Roman CYR"/>
                <w:color w:val="000000"/>
                <w:sz w:val="24"/>
                <w:szCs w:val="24"/>
              </w:rPr>
              <w:t>год</w:t>
            </w:r>
          </w:p>
        </w:tc>
        <w:tc>
          <w:tcPr>
            <w:tcW w:w="3844" w:type="dxa"/>
          </w:tcPr>
          <w:p w:rsidR="00EE31E2" w:rsidRPr="00E750E3" w:rsidRDefault="00EE31E2" w:rsidP="005142CA">
            <w:pPr>
              <w:autoSpaceDE w:val="0"/>
              <w:autoSpaceDN w:val="0"/>
              <w:adjustRightInd w:val="0"/>
              <w:spacing w:line="240" w:lineRule="auto"/>
              <w:jc w:val="center"/>
              <w:rPr>
                <w:rFonts w:ascii="Times New Roman CYR" w:hAnsi="Times New Roman CYR" w:cs="Times New Roman CYR"/>
                <w:color w:val="000000"/>
                <w:sz w:val="24"/>
                <w:szCs w:val="24"/>
              </w:rPr>
            </w:pPr>
            <w:r w:rsidRPr="00E750E3">
              <w:rPr>
                <w:rFonts w:ascii="Times New Roman CYR" w:hAnsi="Times New Roman CYR" w:cs="Times New Roman CYR"/>
                <w:color w:val="000000"/>
                <w:sz w:val="24"/>
                <w:szCs w:val="24"/>
              </w:rPr>
              <w:t>10</w:t>
            </w:r>
            <w:r w:rsidR="008C2FC0">
              <w:rPr>
                <w:rFonts w:ascii="Times New Roman CYR" w:hAnsi="Times New Roman CYR" w:cs="Times New Roman CYR"/>
                <w:color w:val="000000"/>
                <w:sz w:val="24"/>
                <w:szCs w:val="24"/>
              </w:rPr>
              <w:t xml:space="preserve"> </w:t>
            </w:r>
            <w:r w:rsidR="005142CA" w:rsidRPr="00E750E3">
              <w:rPr>
                <w:rFonts w:ascii="Times New Roman CYR" w:hAnsi="Times New Roman CYR" w:cs="Times New Roman CYR"/>
                <w:color w:val="000000"/>
                <w:sz w:val="24"/>
                <w:szCs w:val="24"/>
              </w:rPr>
              <w:t>(13%)</w:t>
            </w:r>
          </w:p>
        </w:tc>
      </w:tr>
      <w:tr w:rsidR="00EE31E2" w:rsidRPr="00E750E3" w:rsidTr="003F17DB">
        <w:tc>
          <w:tcPr>
            <w:tcW w:w="5641" w:type="dxa"/>
          </w:tcPr>
          <w:p w:rsidR="00EE31E2" w:rsidRPr="00E750E3" w:rsidRDefault="00EE31E2" w:rsidP="00EE31E2">
            <w:pPr>
              <w:autoSpaceDE w:val="0"/>
              <w:autoSpaceDN w:val="0"/>
              <w:adjustRightInd w:val="0"/>
              <w:spacing w:line="240" w:lineRule="auto"/>
              <w:jc w:val="both"/>
              <w:rPr>
                <w:rFonts w:ascii="Times New Roman CYR" w:hAnsi="Times New Roman CYR" w:cs="Times New Roman CYR"/>
                <w:color w:val="000000"/>
                <w:sz w:val="24"/>
                <w:szCs w:val="24"/>
              </w:rPr>
            </w:pPr>
            <w:r w:rsidRPr="00E750E3">
              <w:rPr>
                <w:rFonts w:ascii="Times New Roman CYR" w:hAnsi="Times New Roman CYR" w:cs="Times New Roman CYR"/>
                <w:color w:val="000000"/>
                <w:sz w:val="24"/>
                <w:szCs w:val="24"/>
              </w:rPr>
              <w:t>2017</w:t>
            </w:r>
            <w:r w:rsidR="008C2FC0">
              <w:rPr>
                <w:rFonts w:ascii="Times New Roman CYR" w:hAnsi="Times New Roman CYR" w:cs="Times New Roman CYR"/>
                <w:color w:val="000000"/>
                <w:sz w:val="24"/>
                <w:szCs w:val="24"/>
              </w:rPr>
              <w:t xml:space="preserve"> </w:t>
            </w:r>
            <w:r w:rsidRPr="00E750E3">
              <w:rPr>
                <w:rFonts w:ascii="Times New Roman CYR" w:hAnsi="Times New Roman CYR" w:cs="Times New Roman CYR"/>
                <w:color w:val="000000"/>
                <w:sz w:val="24"/>
                <w:szCs w:val="24"/>
              </w:rPr>
              <w:t>год</w:t>
            </w:r>
          </w:p>
        </w:tc>
        <w:tc>
          <w:tcPr>
            <w:tcW w:w="3844" w:type="dxa"/>
          </w:tcPr>
          <w:p w:rsidR="00EE31E2" w:rsidRPr="00E750E3" w:rsidRDefault="00EE31E2" w:rsidP="00EE31E2">
            <w:pPr>
              <w:autoSpaceDE w:val="0"/>
              <w:autoSpaceDN w:val="0"/>
              <w:adjustRightInd w:val="0"/>
              <w:spacing w:line="240" w:lineRule="auto"/>
              <w:jc w:val="center"/>
              <w:rPr>
                <w:rFonts w:ascii="Times New Roman CYR" w:hAnsi="Times New Roman CYR" w:cs="Times New Roman CYR"/>
                <w:color w:val="000000"/>
                <w:sz w:val="24"/>
                <w:szCs w:val="24"/>
              </w:rPr>
            </w:pPr>
            <w:r w:rsidRPr="00E750E3">
              <w:rPr>
                <w:rFonts w:ascii="Times New Roman CYR" w:hAnsi="Times New Roman CYR" w:cs="Times New Roman CYR"/>
                <w:color w:val="000000"/>
                <w:sz w:val="24"/>
                <w:szCs w:val="24"/>
              </w:rPr>
              <w:t>57</w:t>
            </w:r>
            <w:r w:rsidR="008C2FC0">
              <w:rPr>
                <w:rFonts w:ascii="Times New Roman CYR" w:hAnsi="Times New Roman CYR" w:cs="Times New Roman CYR"/>
                <w:color w:val="000000"/>
                <w:sz w:val="24"/>
                <w:szCs w:val="24"/>
              </w:rPr>
              <w:t xml:space="preserve"> </w:t>
            </w:r>
            <w:r w:rsidR="005142CA" w:rsidRPr="00E750E3">
              <w:rPr>
                <w:rFonts w:ascii="Times New Roman CYR" w:hAnsi="Times New Roman CYR" w:cs="Times New Roman CYR"/>
                <w:color w:val="000000"/>
                <w:sz w:val="24"/>
                <w:szCs w:val="24"/>
              </w:rPr>
              <w:t>(70%)</w:t>
            </w:r>
          </w:p>
        </w:tc>
      </w:tr>
      <w:tr w:rsidR="00EE31E2" w:rsidRPr="00E750E3" w:rsidTr="003F17DB">
        <w:tc>
          <w:tcPr>
            <w:tcW w:w="5641" w:type="dxa"/>
          </w:tcPr>
          <w:p w:rsidR="00EE31E2" w:rsidRPr="00E750E3" w:rsidRDefault="00EE31E2" w:rsidP="00EE31E2">
            <w:pPr>
              <w:autoSpaceDE w:val="0"/>
              <w:autoSpaceDN w:val="0"/>
              <w:adjustRightInd w:val="0"/>
              <w:spacing w:line="240" w:lineRule="auto"/>
              <w:jc w:val="both"/>
              <w:rPr>
                <w:rFonts w:ascii="Times New Roman CYR" w:hAnsi="Times New Roman CYR" w:cs="Times New Roman CYR"/>
                <w:color w:val="000000"/>
                <w:sz w:val="24"/>
                <w:szCs w:val="24"/>
              </w:rPr>
            </w:pPr>
            <w:r w:rsidRPr="00E750E3">
              <w:rPr>
                <w:rFonts w:ascii="Times New Roman CYR" w:hAnsi="Times New Roman CYR" w:cs="Times New Roman CYR"/>
                <w:color w:val="000000"/>
                <w:sz w:val="24"/>
                <w:szCs w:val="24"/>
              </w:rPr>
              <w:t>2018</w:t>
            </w:r>
            <w:r w:rsidR="008C2FC0">
              <w:rPr>
                <w:rFonts w:ascii="Times New Roman CYR" w:hAnsi="Times New Roman CYR" w:cs="Times New Roman CYR"/>
                <w:color w:val="000000"/>
                <w:sz w:val="24"/>
                <w:szCs w:val="24"/>
              </w:rPr>
              <w:t xml:space="preserve"> </w:t>
            </w:r>
            <w:r w:rsidRPr="00E750E3">
              <w:rPr>
                <w:rFonts w:ascii="Times New Roman CYR" w:hAnsi="Times New Roman CYR" w:cs="Times New Roman CYR"/>
                <w:color w:val="000000"/>
                <w:sz w:val="24"/>
                <w:szCs w:val="24"/>
              </w:rPr>
              <w:t>год</w:t>
            </w:r>
          </w:p>
        </w:tc>
        <w:tc>
          <w:tcPr>
            <w:tcW w:w="3844" w:type="dxa"/>
          </w:tcPr>
          <w:p w:rsidR="00EE31E2" w:rsidRPr="00E750E3" w:rsidRDefault="00EE31E2" w:rsidP="00EE31E2">
            <w:pPr>
              <w:autoSpaceDE w:val="0"/>
              <w:autoSpaceDN w:val="0"/>
              <w:adjustRightInd w:val="0"/>
              <w:spacing w:line="240" w:lineRule="auto"/>
              <w:jc w:val="center"/>
              <w:rPr>
                <w:rFonts w:ascii="Times New Roman CYR" w:hAnsi="Times New Roman CYR" w:cs="Times New Roman CYR"/>
                <w:color w:val="000000"/>
                <w:sz w:val="24"/>
                <w:szCs w:val="24"/>
              </w:rPr>
            </w:pPr>
            <w:r w:rsidRPr="00E750E3">
              <w:rPr>
                <w:rFonts w:ascii="Times New Roman CYR" w:hAnsi="Times New Roman CYR" w:cs="Times New Roman CYR"/>
                <w:color w:val="000000"/>
                <w:sz w:val="24"/>
                <w:szCs w:val="24"/>
              </w:rPr>
              <w:t>4</w:t>
            </w:r>
            <w:r w:rsidR="008C2FC0">
              <w:rPr>
                <w:rFonts w:ascii="Times New Roman CYR" w:hAnsi="Times New Roman CYR" w:cs="Times New Roman CYR"/>
                <w:color w:val="000000"/>
                <w:sz w:val="24"/>
                <w:szCs w:val="24"/>
              </w:rPr>
              <w:t xml:space="preserve"> </w:t>
            </w:r>
            <w:r w:rsidR="005142CA" w:rsidRPr="00E750E3">
              <w:rPr>
                <w:rFonts w:ascii="Times New Roman CYR" w:hAnsi="Times New Roman CYR" w:cs="Times New Roman CYR"/>
                <w:color w:val="000000"/>
                <w:sz w:val="24"/>
                <w:szCs w:val="24"/>
              </w:rPr>
              <w:t>(5%)</w:t>
            </w:r>
          </w:p>
        </w:tc>
      </w:tr>
      <w:tr w:rsidR="00EE31E2" w:rsidRPr="00E750E3" w:rsidTr="003F17DB">
        <w:tc>
          <w:tcPr>
            <w:tcW w:w="5641" w:type="dxa"/>
          </w:tcPr>
          <w:p w:rsidR="00EE31E2" w:rsidRPr="00E750E3" w:rsidRDefault="00EE31E2" w:rsidP="00EE31E2">
            <w:pPr>
              <w:autoSpaceDE w:val="0"/>
              <w:autoSpaceDN w:val="0"/>
              <w:adjustRightInd w:val="0"/>
              <w:spacing w:line="240" w:lineRule="auto"/>
              <w:jc w:val="both"/>
              <w:rPr>
                <w:rFonts w:ascii="Times New Roman CYR" w:hAnsi="Times New Roman CYR" w:cs="Times New Roman CYR"/>
                <w:color w:val="000000"/>
                <w:sz w:val="24"/>
                <w:szCs w:val="24"/>
              </w:rPr>
            </w:pPr>
            <w:r w:rsidRPr="00E750E3">
              <w:rPr>
                <w:rFonts w:ascii="Times New Roman CYR" w:hAnsi="Times New Roman CYR" w:cs="Times New Roman CYR"/>
                <w:color w:val="000000"/>
                <w:sz w:val="24"/>
                <w:szCs w:val="24"/>
              </w:rPr>
              <w:t>2019</w:t>
            </w:r>
            <w:r w:rsidR="008C2FC0">
              <w:rPr>
                <w:rFonts w:ascii="Times New Roman CYR" w:hAnsi="Times New Roman CYR" w:cs="Times New Roman CYR"/>
                <w:color w:val="000000"/>
                <w:sz w:val="24"/>
                <w:szCs w:val="24"/>
              </w:rPr>
              <w:t xml:space="preserve"> </w:t>
            </w:r>
            <w:r w:rsidRPr="00E750E3">
              <w:rPr>
                <w:rFonts w:ascii="Times New Roman CYR" w:hAnsi="Times New Roman CYR" w:cs="Times New Roman CYR"/>
                <w:color w:val="000000"/>
                <w:sz w:val="24"/>
                <w:szCs w:val="24"/>
              </w:rPr>
              <w:t>год</w:t>
            </w:r>
          </w:p>
        </w:tc>
        <w:tc>
          <w:tcPr>
            <w:tcW w:w="3844" w:type="dxa"/>
          </w:tcPr>
          <w:p w:rsidR="00EE31E2" w:rsidRPr="00E750E3" w:rsidRDefault="00EE31E2" w:rsidP="00EE31E2">
            <w:pPr>
              <w:autoSpaceDE w:val="0"/>
              <w:autoSpaceDN w:val="0"/>
              <w:adjustRightInd w:val="0"/>
              <w:spacing w:line="240" w:lineRule="auto"/>
              <w:jc w:val="center"/>
              <w:rPr>
                <w:rFonts w:ascii="Times New Roman CYR" w:hAnsi="Times New Roman CYR" w:cs="Times New Roman CYR"/>
                <w:color w:val="000000"/>
                <w:sz w:val="24"/>
                <w:szCs w:val="24"/>
              </w:rPr>
            </w:pPr>
            <w:r w:rsidRPr="00E750E3">
              <w:rPr>
                <w:rFonts w:ascii="Times New Roman CYR" w:hAnsi="Times New Roman CYR" w:cs="Times New Roman CYR"/>
                <w:color w:val="000000"/>
                <w:sz w:val="24"/>
                <w:szCs w:val="24"/>
              </w:rPr>
              <w:t>1</w:t>
            </w:r>
            <w:r w:rsidR="008C2FC0">
              <w:rPr>
                <w:rFonts w:ascii="Times New Roman CYR" w:hAnsi="Times New Roman CYR" w:cs="Times New Roman CYR"/>
                <w:color w:val="000000"/>
                <w:sz w:val="24"/>
                <w:szCs w:val="24"/>
              </w:rPr>
              <w:t xml:space="preserve"> </w:t>
            </w:r>
            <w:r w:rsidR="005142CA" w:rsidRPr="00E750E3">
              <w:rPr>
                <w:rFonts w:ascii="Times New Roman CYR" w:hAnsi="Times New Roman CYR" w:cs="Times New Roman CYR"/>
                <w:color w:val="000000"/>
                <w:sz w:val="24"/>
                <w:szCs w:val="24"/>
              </w:rPr>
              <w:t>(1%)</w:t>
            </w:r>
          </w:p>
        </w:tc>
      </w:tr>
      <w:tr w:rsidR="00EE31E2" w:rsidRPr="00E750E3" w:rsidTr="003F17DB">
        <w:tc>
          <w:tcPr>
            <w:tcW w:w="5641" w:type="dxa"/>
          </w:tcPr>
          <w:p w:rsidR="00EE31E2" w:rsidRPr="00E750E3" w:rsidRDefault="00EE31E2" w:rsidP="00EE31E2">
            <w:pPr>
              <w:autoSpaceDE w:val="0"/>
              <w:autoSpaceDN w:val="0"/>
              <w:adjustRightInd w:val="0"/>
              <w:spacing w:line="240" w:lineRule="auto"/>
              <w:jc w:val="both"/>
              <w:rPr>
                <w:rFonts w:ascii="Times New Roman CYR" w:hAnsi="Times New Roman CYR" w:cs="Times New Roman CYR"/>
                <w:color w:val="000000"/>
                <w:sz w:val="24"/>
                <w:szCs w:val="24"/>
              </w:rPr>
            </w:pPr>
            <w:r w:rsidRPr="00E750E3">
              <w:rPr>
                <w:rFonts w:ascii="Times New Roman CYR" w:hAnsi="Times New Roman CYR" w:cs="Times New Roman CYR"/>
                <w:color w:val="000000"/>
                <w:sz w:val="24"/>
                <w:szCs w:val="24"/>
              </w:rPr>
              <w:t>2020</w:t>
            </w:r>
            <w:r w:rsidR="008C2FC0">
              <w:rPr>
                <w:rFonts w:ascii="Times New Roman CYR" w:hAnsi="Times New Roman CYR" w:cs="Times New Roman CYR"/>
                <w:color w:val="000000"/>
                <w:sz w:val="24"/>
                <w:szCs w:val="24"/>
              </w:rPr>
              <w:t xml:space="preserve"> </w:t>
            </w:r>
            <w:r w:rsidRPr="00E750E3">
              <w:rPr>
                <w:rFonts w:ascii="Times New Roman CYR" w:hAnsi="Times New Roman CYR" w:cs="Times New Roman CYR"/>
                <w:color w:val="000000"/>
                <w:sz w:val="24"/>
                <w:szCs w:val="24"/>
              </w:rPr>
              <w:t>год</w:t>
            </w:r>
          </w:p>
        </w:tc>
        <w:tc>
          <w:tcPr>
            <w:tcW w:w="3844" w:type="dxa"/>
          </w:tcPr>
          <w:p w:rsidR="00EE31E2" w:rsidRPr="00E750E3" w:rsidRDefault="00EE31E2" w:rsidP="005142CA">
            <w:pPr>
              <w:autoSpaceDE w:val="0"/>
              <w:autoSpaceDN w:val="0"/>
              <w:adjustRightInd w:val="0"/>
              <w:spacing w:line="240" w:lineRule="auto"/>
              <w:jc w:val="center"/>
              <w:rPr>
                <w:rFonts w:ascii="Times New Roman CYR" w:hAnsi="Times New Roman CYR" w:cs="Times New Roman CYR"/>
                <w:color w:val="000000"/>
                <w:sz w:val="24"/>
                <w:szCs w:val="24"/>
              </w:rPr>
            </w:pPr>
            <w:r w:rsidRPr="00E750E3">
              <w:rPr>
                <w:rFonts w:ascii="Times New Roman CYR" w:hAnsi="Times New Roman CYR" w:cs="Times New Roman CYR"/>
                <w:color w:val="000000"/>
                <w:sz w:val="24"/>
                <w:szCs w:val="24"/>
              </w:rPr>
              <w:t>8</w:t>
            </w:r>
            <w:r w:rsidR="008C2FC0">
              <w:rPr>
                <w:rFonts w:ascii="Times New Roman CYR" w:hAnsi="Times New Roman CYR" w:cs="Times New Roman CYR"/>
                <w:color w:val="000000"/>
                <w:sz w:val="24"/>
                <w:szCs w:val="24"/>
              </w:rPr>
              <w:t xml:space="preserve"> </w:t>
            </w:r>
            <w:r w:rsidR="005142CA" w:rsidRPr="00E750E3">
              <w:rPr>
                <w:rFonts w:ascii="Times New Roman CYR" w:hAnsi="Times New Roman CYR" w:cs="Times New Roman CYR"/>
                <w:color w:val="000000"/>
                <w:sz w:val="24"/>
                <w:szCs w:val="24"/>
              </w:rPr>
              <w:t>(10%)</w:t>
            </w:r>
          </w:p>
        </w:tc>
      </w:tr>
    </w:tbl>
    <w:p w:rsidR="00EE31E2" w:rsidRPr="00E750E3" w:rsidRDefault="00EE31E2" w:rsidP="00526D62">
      <w:pPr>
        <w:autoSpaceDE w:val="0"/>
        <w:autoSpaceDN w:val="0"/>
        <w:adjustRightInd w:val="0"/>
        <w:spacing w:after="0" w:line="276" w:lineRule="auto"/>
        <w:jc w:val="both"/>
        <w:rPr>
          <w:rFonts w:ascii="Times New Roman CYR" w:hAnsi="Times New Roman CYR" w:cs="Times New Roman CYR"/>
          <w:color w:val="000000"/>
          <w:sz w:val="24"/>
          <w:szCs w:val="24"/>
        </w:rPr>
      </w:pPr>
    </w:p>
    <w:p w:rsidR="00EE31E2" w:rsidRDefault="00EE31E2" w:rsidP="00526D62">
      <w:pPr>
        <w:autoSpaceDE w:val="0"/>
        <w:autoSpaceDN w:val="0"/>
        <w:adjustRightInd w:val="0"/>
        <w:spacing w:after="0"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7</w:t>
      </w:r>
      <w:r w:rsidR="00B80532">
        <w:rPr>
          <w:rFonts w:ascii="Times New Roman CYR" w:hAnsi="Times New Roman CYR" w:cs="Times New Roman CYR"/>
          <w:color w:val="000000"/>
          <w:sz w:val="28"/>
          <w:szCs w:val="28"/>
        </w:rPr>
        <w:t>3</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регионов,</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утвердивших</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первоначальную</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редакцию</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бюджетного</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прогноза</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до</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2020</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года</w:t>
      </w:r>
      <w:r w:rsidR="00A10AF5">
        <w:rPr>
          <w:rFonts w:ascii="Times New Roman CYR" w:hAnsi="Times New Roman CYR" w:cs="Times New Roman CYR"/>
          <w:color w:val="000000"/>
          <w:sz w:val="28"/>
          <w:szCs w:val="28"/>
        </w:rPr>
        <w:t>,</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актуализацию</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обеспечили</w:t>
      </w:r>
      <w:r w:rsidR="008C2FC0">
        <w:rPr>
          <w:rFonts w:ascii="Times New Roman CYR" w:hAnsi="Times New Roman CYR" w:cs="Times New Roman CYR"/>
          <w:color w:val="000000"/>
          <w:sz w:val="28"/>
          <w:szCs w:val="28"/>
        </w:rPr>
        <w:t xml:space="preserve"> </w:t>
      </w:r>
      <w:r w:rsidR="003E1E0C">
        <w:rPr>
          <w:rFonts w:ascii="Times New Roman CYR" w:hAnsi="Times New Roman CYR" w:cs="Times New Roman CYR"/>
          <w:color w:val="000000"/>
          <w:sz w:val="28"/>
          <w:szCs w:val="28"/>
        </w:rPr>
        <w:t>57</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субъектов</w:t>
      </w:r>
      <w:r w:rsidR="008C2FC0">
        <w:rPr>
          <w:rFonts w:ascii="Times New Roman CYR" w:hAnsi="Times New Roman CYR" w:cs="Times New Roman CYR"/>
          <w:color w:val="000000"/>
          <w:sz w:val="28"/>
          <w:szCs w:val="28"/>
        </w:rPr>
        <w:t xml:space="preserve"> </w:t>
      </w:r>
      <w:r w:rsidR="007E1F77">
        <w:rPr>
          <w:rFonts w:ascii="Times New Roman CYR" w:hAnsi="Times New Roman CYR" w:cs="Times New Roman CYR"/>
          <w:color w:val="000000"/>
          <w:sz w:val="28"/>
          <w:szCs w:val="28"/>
        </w:rPr>
        <w:t>РФ</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w:t>
      </w:r>
      <w:r w:rsidR="003E1E0C">
        <w:rPr>
          <w:rFonts w:ascii="Times New Roman CYR" w:hAnsi="Times New Roman CYR" w:cs="Times New Roman CYR"/>
          <w:color w:val="000000"/>
          <w:sz w:val="28"/>
          <w:szCs w:val="28"/>
        </w:rPr>
        <w:t>78</w:t>
      </w:r>
      <w:r>
        <w:rPr>
          <w:rFonts w:ascii="Times New Roman CYR" w:hAnsi="Times New Roman CYR" w:cs="Times New Roman CYR"/>
          <w:color w:val="000000"/>
          <w:sz w:val="28"/>
          <w:szCs w:val="28"/>
        </w:rPr>
        <w:t>%)</w:t>
      </w:r>
      <w:r w:rsidR="003E1E0C">
        <w:rPr>
          <w:rFonts w:ascii="Times New Roman CYR" w:hAnsi="Times New Roman CYR" w:cs="Times New Roman CYR"/>
          <w:color w:val="000000"/>
          <w:sz w:val="28"/>
          <w:szCs w:val="28"/>
        </w:rPr>
        <w:t>, из них на ежегодной основе – 39 регионов (54%)</w:t>
      </w:r>
      <w:r>
        <w:rPr>
          <w:rFonts w:ascii="Times New Roman CYR" w:hAnsi="Times New Roman CYR" w:cs="Times New Roman CYR"/>
          <w:color w:val="000000"/>
          <w:sz w:val="28"/>
          <w:szCs w:val="28"/>
        </w:rPr>
        <w:t>.</w:t>
      </w:r>
    </w:p>
    <w:p w:rsidR="00EE31E2" w:rsidRDefault="00EE31E2" w:rsidP="00526D62">
      <w:pPr>
        <w:autoSpaceDE w:val="0"/>
        <w:autoSpaceDN w:val="0"/>
        <w:adjustRightInd w:val="0"/>
        <w:spacing w:after="0" w:line="276" w:lineRule="auto"/>
        <w:jc w:val="both"/>
        <w:rPr>
          <w:rFonts w:ascii="Times New Roman CYR" w:hAnsi="Times New Roman CYR" w:cs="Times New Roman CYR"/>
          <w:color w:val="000000"/>
          <w:sz w:val="28"/>
          <w:szCs w:val="28"/>
        </w:rPr>
      </w:pPr>
    </w:p>
    <w:p w:rsidR="00EE31E2" w:rsidRPr="00E750E3" w:rsidRDefault="00EE31E2" w:rsidP="00890201">
      <w:pPr>
        <w:autoSpaceDE w:val="0"/>
        <w:autoSpaceDN w:val="0"/>
        <w:adjustRightInd w:val="0"/>
        <w:spacing w:after="0" w:line="240" w:lineRule="auto"/>
        <w:jc w:val="both"/>
        <w:rPr>
          <w:rFonts w:ascii="Times New Roman CYR" w:hAnsi="Times New Roman CYR" w:cs="Times New Roman CYR"/>
          <w:b/>
          <w:color w:val="000000"/>
          <w:sz w:val="24"/>
          <w:szCs w:val="24"/>
        </w:rPr>
      </w:pPr>
      <w:r w:rsidRPr="00E750E3">
        <w:rPr>
          <w:rFonts w:ascii="Times New Roman CYR" w:hAnsi="Times New Roman CYR" w:cs="Times New Roman CYR"/>
          <w:b/>
          <w:color w:val="000000"/>
          <w:sz w:val="24"/>
          <w:szCs w:val="24"/>
        </w:rPr>
        <w:t>Таблица</w:t>
      </w:r>
      <w:r w:rsidR="008C2FC0">
        <w:rPr>
          <w:rFonts w:ascii="Times New Roman CYR" w:hAnsi="Times New Roman CYR" w:cs="Times New Roman CYR"/>
          <w:b/>
          <w:color w:val="000000"/>
          <w:sz w:val="24"/>
          <w:szCs w:val="24"/>
        </w:rPr>
        <w:t xml:space="preserve"> </w:t>
      </w:r>
      <w:r w:rsidR="00D80263">
        <w:rPr>
          <w:rFonts w:ascii="Times New Roman CYR" w:hAnsi="Times New Roman CYR" w:cs="Times New Roman CYR"/>
          <w:b/>
          <w:color w:val="000000"/>
          <w:sz w:val="24"/>
          <w:szCs w:val="24"/>
        </w:rPr>
        <w:t>7</w:t>
      </w:r>
      <w:r w:rsidRPr="00E750E3">
        <w:rPr>
          <w:rFonts w:ascii="Times New Roman CYR" w:hAnsi="Times New Roman CYR" w:cs="Times New Roman CYR"/>
          <w:b/>
          <w:color w:val="000000"/>
          <w:sz w:val="24"/>
          <w:szCs w:val="24"/>
        </w:rPr>
        <w:t>.</w:t>
      </w:r>
      <w:r w:rsidR="008C2FC0">
        <w:rPr>
          <w:rFonts w:ascii="Times New Roman CYR" w:hAnsi="Times New Roman CYR" w:cs="Times New Roman CYR"/>
          <w:b/>
          <w:color w:val="000000"/>
          <w:sz w:val="24"/>
          <w:szCs w:val="24"/>
        </w:rPr>
        <w:t xml:space="preserve"> </w:t>
      </w:r>
      <w:r w:rsidRPr="00E750E3">
        <w:rPr>
          <w:rFonts w:ascii="Times New Roman CYR" w:hAnsi="Times New Roman CYR" w:cs="Times New Roman CYR"/>
          <w:b/>
          <w:color w:val="000000"/>
          <w:sz w:val="24"/>
          <w:szCs w:val="24"/>
        </w:rPr>
        <w:t>Актуализация</w:t>
      </w:r>
      <w:r w:rsidR="008C2FC0">
        <w:rPr>
          <w:rFonts w:ascii="Times New Roman CYR" w:hAnsi="Times New Roman CYR" w:cs="Times New Roman CYR"/>
          <w:b/>
          <w:color w:val="000000"/>
          <w:sz w:val="24"/>
          <w:szCs w:val="24"/>
        </w:rPr>
        <w:t xml:space="preserve"> </w:t>
      </w:r>
      <w:r w:rsidRPr="00E750E3">
        <w:rPr>
          <w:rFonts w:ascii="Times New Roman CYR" w:hAnsi="Times New Roman CYR" w:cs="Times New Roman CYR"/>
          <w:b/>
          <w:color w:val="000000"/>
          <w:sz w:val="24"/>
          <w:szCs w:val="24"/>
        </w:rPr>
        <w:t>бюджетных</w:t>
      </w:r>
      <w:r w:rsidR="008C2FC0">
        <w:rPr>
          <w:rFonts w:ascii="Times New Roman CYR" w:hAnsi="Times New Roman CYR" w:cs="Times New Roman CYR"/>
          <w:b/>
          <w:color w:val="000000"/>
          <w:sz w:val="24"/>
          <w:szCs w:val="24"/>
        </w:rPr>
        <w:t xml:space="preserve"> </w:t>
      </w:r>
      <w:r w:rsidRPr="00E750E3">
        <w:rPr>
          <w:rFonts w:ascii="Times New Roman CYR" w:hAnsi="Times New Roman CYR" w:cs="Times New Roman CYR"/>
          <w:b/>
          <w:color w:val="000000"/>
          <w:sz w:val="24"/>
          <w:szCs w:val="24"/>
        </w:rPr>
        <w:t>прогнозов,</w:t>
      </w:r>
      <w:r w:rsidR="008C2FC0">
        <w:rPr>
          <w:rFonts w:ascii="Times New Roman CYR" w:hAnsi="Times New Roman CYR" w:cs="Times New Roman CYR"/>
          <w:b/>
          <w:color w:val="000000"/>
          <w:sz w:val="24"/>
          <w:szCs w:val="24"/>
        </w:rPr>
        <w:t xml:space="preserve"> </w:t>
      </w:r>
      <w:r w:rsidRPr="00E750E3">
        <w:rPr>
          <w:rFonts w:ascii="Times New Roman CYR" w:hAnsi="Times New Roman CYR" w:cs="Times New Roman CYR"/>
          <w:b/>
          <w:color w:val="000000"/>
          <w:sz w:val="24"/>
          <w:szCs w:val="24"/>
        </w:rPr>
        <w:t>утвержденных</w:t>
      </w:r>
      <w:r w:rsidR="008C2FC0">
        <w:rPr>
          <w:rFonts w:ascii="Times New Roman CYR" w:hAnsi="Times New Roman CYR" w:cs="Times New Roman CYR"/>
          <w:b/>
          <w:color w:val="000000"/>
          <w:sz w:val="24"/>
          <w:szCs w:val="24"/>
        </w:rPr>
        <w:t xml:space="preserve"> </w:t>
      </w:r>
      <w:r w:rsidRPr="00E750E3">
        <w:rPr>
          <w:rFonts w:ascii="Times New Roman CYR" w:hAnsi="Times New Roman CYR" w:cs="Times New Roman CYR"/>
          <w:b/>
          <w:color w:val="000000"/>
          <w:sz w:val="24"/>
          <w:szCs w:val="24"/>
        </w:rPr>
        <w:t>до</w:t>
      </w:r>
      <w:r w:rsidR="008C2FC0">
        <w:rPr>
          <w:rFonts w:ascii="Times New Roman CYR" w:hAnsi="Times New Roman CYR" w:cs="Times New Roman CYR"/>
          <w:b/>
          <w:color w:val="000000"/>
          <w:sz w:val="24"/>
          <w:szCs w:val="24"/>
        </w:rPr>
        <w:t xml:space="preserve"> </w:t>
      </w:r>
      <w:r w:rsidRPr="00E750E3">
        <w:rPr>
          <w:rFonts w:ascii="Times New Roman CYR" w:hAnsi="Times New Roman CYR" w:cs="Times New Roman CYR"/>
          <w:b/>
          <w:color w:val="000000"/>
          <w:sz w:val="24"/>
          <w:szCs w:val="24"/>
        </w:rPr>
        <w:t>2020</w:t>
      </w:r>
      <w:r w:rsidR="008C2FC0">
        <w:rPr>
          <w:rFonts w:ascii="Times New Roman CYR" w:hAnsi="Times New Roman CYR" w:cs="Times New Roman CYR"/>
          <w:b/>
          <w:color w:val="000000"/>
          <w:sz w:val="24"/>
          <w:szCs w:val="24"/>
        </w:rPr>
        <w:t xml:space="preserve"> </w:t>
      </w:r>
      <w:r w:rsidRPr="00E750E3">
        <w:rPr>
          <w:rFonts w:ascii="Times New Roman CYR" w:hAnsi="Times New Roman CYR" w:cs="Times New Roman CYR"/>
          <w:b/>
          <w:color w:val="000000"/>
          <w:sz w:val="24"/>
          <w:szCs w:val="24"/>
        </w:rPr>
        <w:t>года</w:t>
      </w:r>
    </w:p>
    <w:tbl>
      <w:tblPr>
        <w:tblStyle w:val="a3"/>
        <w:tblW w:w="0" w:type="auto"/>
        <w:tblLook w:val="04A0" w:firstRow="1" w:lastRow="0" w:firstColumn="1" w:lastColumn="0" w:noHBand="0" w:noVBand="1"/>
      </w:tblPr>
      <w:tblGrid>
        <w:gridCol w:w="6594"/>
        <w:gridCol w:w="2891"/>
      </w:tblGrid>
      <w:tr w:rsidR="00EE31E2" w:rsidRPr="00E750E3" w:rsidTr="00A75424">
        <w:trPr>
          <w:tblHeader/>
        </w:trPr>
        <w:tc>
          <w:tcPr>
            <w:tcW w:w="6594" w:type="dxa"/>
            <w:shd w:val="clear" w:color="auto" w:fill="FFFFFF" w:themeFill="background1"/>
            <w:vAlign w:val="center"/>
          </w:tcPr>
          <w:p w:rsidR="00EE31E2" w:rsidRPr="00E750E3" w:rsidRDefault="003E1E0C" w:rsidP="00A75424">
            <w:pPr>
              <w:autoSpaceDE w:val="0"/>
              <w:autoSpaceDN w:val="0"/>
              <w:adjustRightInd w:val="0"/>
              <w:spacing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Показатель</w:t>
            </w:r>
          </w:p>
        </w:tc>
        <w:tc>
          <w:tcPr>
            <w:tcW w:w="2891" w:type="dxa"/>
            <w:shd w:val="clear" w:color="auto" w:fill="FFFFFF" w:themeFill="background1"/>
          </w:tcPr>
          <w:p w:rsidR="00EE31E2" w:rsidRPr="00E750E3" w:rsidRDefault="00EE31E2" w:rsidP="00A75424">
            <w:pPr>
              <w:spacing w:line="240" w:lineRule="auto"/>
              <w:jc w:val="center"/>
              <w:rPr>
                <w:rFonts w:ascii="Times New Roman CYR" w:hAnsi="Times New Roman CYR" w:cs="Times New Roman CYR"/>
                <w:color w:val="000000"/>
                <w:sz w:val="24"/>
                <w:szCs w:val="24"/>
              </w:rPr>
            </w:pPr>
            <w:r w:rsidRPr="00E750E3">
              <w:rPr>
                <w:rFonts w:ascii="Times New Roman" w:eastAsia="Times New Roman" w:hAnsi="Times New Roman" w:cs="Times New Roman"/>
                <w:sz w:val="24"/>
                <w:szCs w:val="24"/>
                <w:lang w:eastAsia="ru-RU"/>
              </w:rPr>
              <w:t>Количество</w:t>
            </w:r>
            <w:r w:rsidR="008C2FC0">
              <w:rPr>
                <w:rFonts w:ascii="Times New Roman" w:eastAsia="Times New Roman" w:hAnsi="Times New Roman" w:cs="Times New Roman"/>
                <w:sz w:val="24"/>
                <w:szCs w:val="24"/>
                <w:lang w:eastAsia="ru-RU"/>
              </w:rPr>
              <w:t xml:space="preserve"> </w:t>
            </w:r>
            <w:r w:rsidRPr="00E750E3">
              <w:rPr>
                <w:rFonts w:ascii="Times New Roman" w:eastAsia="Times New Roman" w:hAnsi="Times New Roman" w:cs="Times New Roman"/>
                <w:sz w:val="24"/>
                <w:szCs w:val="24"/>
                <w:lang w:eastAsia="ru-RU"/>
              </w:rPr>
              <w:t>субъектов</w:t>
            </w:r>
            <w:r w:rsidR="008C2FC0">
              <w:rPr>
                <w:rFonts w:ascii="Times New Roman" w:eastAsia="Times New Roman" w:hAnsi="Times New Roman" w:cs="Times New Roman"/>
                <w:sz w:val="24"/>
                <w:szCs w:val="24"/>
                <w:lang w:eastAsia="ru-RU"/>
              </w:rPr>
              <w:t xml:space="preserve"> </w:t>
            </w:r>
            <w:r w:rsidRPr="00E750E3">
              <w:rPr>
                <w:rFonts w:ascii="Times New Roman" w:eastAsia="Times New Roman" w:hAnsi="Times New Roman" w:cs="Times New Roman"/>
                <w:sz w:val="24"/>
                <w:szCs w:val="24"/>
                <w:lang w:eastAsia="ru-RU"/>
              </w:rPr>
              <w:t>РФ</w:t>
            </w:r>
            <w:r w:rsidR="008C2FC0">
              <w:rPr>
                <w:rFonts w:ascii="Times New Roman" w:eastAsia="Times New Roman" w:hAnsi="Times New Roman" w:cs="Times New Roman"/>
                <w:sz w:val="24"/>
                <w:szCs w:val="24"/>
                <w:lang w:eastAsia="ru-RU"/>
              </w:rPr>
              <w:t xml:space="preserve"> </w:t>
            </w:r>
            <w:r w:rsidRPr="00E750E3">
              <w:rPr>
                <w:rFonts w:ascii="Times New Roman" w:eastAsia="Times New Roman" w:hAnsi="Times New Roman" w:cs="Times New Roman"/>
                <w:sz w:val="24"/>
                <w:szCs w:val="24"/>
                <w:lang w:eastAsia="ru-RU"/>
              </w:rPr>
              <w:t>(уд.</w:t>
            </w:r>
            <w:r w:rsidR="008C2FC0">
              <w:rPr>
                <w:rFonts w:ascii="Times New Roman" w:eastAsia="Times New Roman" w:hAnsi="Times New Roman" w:cs="Times New Roman"/>
                <w:sz w:val="24"/>
                <w:szCs w:val="24"/>
                <w:lang w:eastAsia="ru-RU"/>
              </w:rPr>
              <w:t xml:space="preserve"> </w:t>
            </w:r>
            <w:r w:rsidRPr="00E750E3">
              <w:rPr>
                <w:rFonts w:ascii="Times New Roman" w:eastAsia="Times New Roman" w:hAnsi="Times New Roman" w:cs="Times New Roman"/>
                <w:sz w:val="24"/>
                <w:szCs w:val="24"/>
                <w:lang w:eastAsia="ru-RU"/>
              </w:rPr>
              <w:t>вес</w:t>
            </w:r>
            <w:r w:rsidR="008C2FC0">
              <w:rPr>
                <w:rFonts w:ascii="Times New Roman" w:eastAsia="Times New Roman" w:hAnsi="Times New Roman" w:cs="Times New Roman"/>
                <w:sz w:val="24"/>
                <w:szCs w:val="24"/>
                <w:lang w:eastAsia="ru-RU"/>
              </w:rPr>
              <w:t xml:space="preserve"> </w:t>
            </w:r>
            <w:r w:rsidRPr="00E750E3">
              <w:rPr>
                <w:rFonts w:ascii="Times New Roman" w:eastAsia="Times New Roman" w:hAnsi="Times New Roman" w:cs="Times New Roman"/>
                <w:sz w:val="24"/>
                <w:szCs w:val="24"/>
                <w:lang w:eastAsia="ru-RU"/>
              </w:rPr>
              <w:t>в</w:t>
            </w:r>
            <w:r w:rsidR="008C2FC0">
              <w:rPr>
                <w:rFonts w:ascii="Times New Roman" w:eastAsia="Times New Roman" w:hAnsi="Times New Roman" w:cs="Times New Roman"/>
                <w:sz w:val="24"/>
                <w:szCs w:val="24"/>
                <w:lang w:eastAsia="ru-RU"/>
              </w:rPr>
              <w:t xml:space="preserve"> </w:t>
            </w:r>
            <w:r w:rsidRPr="00E750E3">
              <w:rPr>
                <w:rFonts w:ascii="Times New Roman" w:eastAsia="Times New Roman" w:hAnsi="Times New Roman" w:cs="Times New Roman"/>
                <w:sz w:val="24"/>
                <w:szCs w:val="24"/>
                <w:lang w:eastAsia="ru-RU"/>
              </w:rPr>
              <w:t>количестве</w:t>
            </w:r>
            <w:r w:rsidR="008C2FC0">
              <w:rPr>
                <w:rFonts w:ascii="Times New Roman" w:eastAsia="Times New Roman" w:hAnsi="Times New Roman" w:cs="Times New Roman"/>
                <w:sz w:val="24"/>
                <w:szCs w:val="24"/>
                <w:lang w:eastAsia="ru-RU"/>
              </w:rPr>
              <w:t xml:space="preserve"> </w:t>
            </w:r>
            <w:r w:rsidR="005142CA" w:rsidRPr="00E750E3">
              <w:rPr>
                <w:rFonts w:ascii="Times New Roman" w:eastAsia="Times New Roman" w:hAnsi="Times New Roman" w:cs="Times New Roman"/>
                <w:sz w:val="24"/>
                <w:szCs w:val="24"/>
                <w:lang w:eastAsia="ru-RU"/>
              </w:rPr>
              <w:t>субъектов</w:t>
            </w:r>
            <w:r w:rsidR="008C2FC0">
              <w:rPr>
                <w:rFonts w:ascii="Times New Roman" w:eastAsia="Times New Roman" w:hAnsi="Times New Roman" w:cs="Times New Roman"/>
                <w:sz w:val="24"/>
                <w:szCs w:val="24"/>
                <w:lang w:eastAsia="ru-RU"/>
              </w:rPr>
              <w:t xml:space="preserve"> </w:t>
            </w:r>
            <w:r w:rsidR="005142CA" w:rsidRPr="00E750E3">
              <w:rPr>
                <w:rFonts w:ascii="Times New Roman" w:eastAsia="Times New Roman" w:hAnsi="Times New Roman" w:cs="Times New Roman"/>
                <w:sz w:val="24"/>
                <w:szCs w:val="24"/>
                <w:lang w:eastAsia="ru-RU"/>
              </w:rPr>
              <w:t>РФ,</w:t>
            </w:r>
            <w:r w:rsidR="008C2FC0">
              <w:rPr>
                <w:rFonts w:ascii="Times New Roman" w:eastAsia="Times New Roman" w:hAnsi="Times New Roman" w:cs="Times New Roman"/>
                <w:sz w:val="24"/>
                <w:szCs w:val="24"/>
                <w:lang w:eastAsia="ru-RU"/>
              </w:rPr>
              <w:t xml:space="preserve"> </w:t>
            </w:r>
            <w:r w:rsidR="005142CA" w:rsidRPr="00E750E3">
              <w:rPr>
                <w:rFonts w:ascii="Times New Roman" w:eastAsia="Times New Roman" w:hAnsi="Times New Roman" w:cs="Times New Roman"/>
                <w:sz w:val="24"/>
                <w:szCs w:val="24"/>
                <w:lang w:eastAsia="ru-RU"/>
              </w:rPr>
              <w:t>утвердивших</w:t>
            </w:r>
            <w:r w:rsidR="008C2FC0">
              <w:rPr>
                <w:rFonts w:ascii="Times New Roman" w:eastAsia="Times New Roman" w:hAnsi="Times New Roman" w:cs="Times New Roman"/>
                <w:sz w:val="24"/>
                <w:szCs w:val="24"/>
                <w:lang w:eastAsia="ru-RU"/>
              </w:rPr>
              <w:t xml:space="preserve"> </w:t>
            </w:r>
            <w:r w:rsidR="005142CA" w:rsidRPr="00E750E3">
              <w:rPr>
                <w:rFonts w:ascii="Times New Roman" w:eastAsia="Times New Roman" w:hAnsi="Times New Roman" w:cs="Times New Roman"/>
                <w:sz w:val="24"/>
                <w:szCs w:val="24"/>
                <w:lang w:eastAsia="ru-RU"/>
              </w:rPr>
              <w:t>бюджетные</w:t>
            </w:r>
            <w:r w:rsidR="008C2FC0">
              <w:rPr>
                <w:rFonts w:ascii="Times New Roman" w:eastAsia="Times New Roman" w:hAnsi="Times New Roman" w:cs="Times New Roman"/>
                <w:sz w:val="24"/>
                <w:szCs w:val="24"/>
                <w:lang w:eastAsia="ru-RU"/>
              </w:rPr>
              <w:t xml:space="preserve"> </w:t>
            </w:r>
            <w:r w:rsidR="005142CA" w:rsidRPr="00E750E3">
              <w:rPr>
                <w:rFonts w:ascii="Times New Roman" w:eastAsia="Times New Roman" w:hAnsi="Times New Roman" w:cs="Times New Roman"/>
                <w:sz w:val="24"/>
                <w:szCs w:val="24"/>
                <w:lang w:eastAsia="ru-RU"/>
              </w:rPr>
              <w:t>прогнозы</w:t>
            </w:r>
            <w:r w:rsidR="008C2FC0">
              <w:rPr>
                <w:rFonts w:ascii="Times New Roman" w:eastAsia="Times New Roman" w:hAnsi="Times New Roman" w:cs="Times New Roman"/>
                <w:sz w:val="24"/>
                <w:szCs w:val="24"/>
                <w:lang w:eastAsia="ru-RU"/>
              </w:rPr>
              <w:t xml:space="preserve"> </w:t>
            </w:r>
            <w:r w:rsidR="005142CA" w:rsidRPr="00E750E3">
              <w:rPr>
                <w:rFonts w:ascii="Times New Roman" w:eastAsia="Times New Roman" w:hAnsi="Times New Roman" w:cs="Times New Roman"/>
                <w:sz w:val="24"/>
                <w:szCs w:val="24"/>
                <w:lang w:eastAsia="ru-RU"/>
              </w:rPr>
              <w:t>до</w:t>
            </w:r>
            <w:r w:rsidR="008C2FC0">
              <w:rPr>
                <w:rFonts w:ascii="Times New Roman" w:eastAsia="Times New Roman" w:hAnsi="Times New Roman" w:cs="Times New Roman"/>
                <w:sz w:val="24"/>
                <w:szCs w:val="24"/>
                <w:lang w:eastAsia="ru-RU"/>
              </w:rPr>
              <w:t xml:space="preserve"> </w:t>
            </w:r>
            <w:r w:rsidR="005142CA" w:rsidRPr="00E750E3">
              <w:rPr>
                <w:rFonts w:ascii="Times New Roman" w:eastAsia="Times New Roman" w:hAnsi="Times New Roman" w:cs="Times New Roman"/>
                <w:sz w:val="24"/>
                <w:szCs w:val="24"/>
                <w:lang w:eastAsia="ru-RU"/>
              </w:rPr>
              <w:t>2020</w:t>
            </w:r>
            <w:r w:rsidR="008C2FC0">
              <w:rPr>
                <w:rFonts w:ascii="Times New Roman" w:eastAsia="Times New Roman" w:hAnsi="Times New Roman" w:cs="Times New Roman"/>
                <w:sz w:val="24"/>
                <w:szCs w:val="24"/>
                <w:lang w:eastAsia="ru-RU"/>
              </w:rPr>
              <w:t xml:space="preserve"> </w:t>
            </w:r>
            <w:r w:rsidR="005142CA" w:rsidRPr="00E750E3">
              <w:rPr>
                <w:rFonts w:ascii="Times New Roman" w:eastAsia="Times New Roman" w:hAnsi="Times New Roman" w:cs="Times New Roman"/>
                <w:sz w:val="24"/>
                <w:szCs w:val="24"/>
                <w:lang w:eastAsia="ru-RU"/>
              </w:rPr>
              <w:t>года</w:t>
            </w:r>
            <w:r w:rsidRPr="00E750E3">
              <w:rPr>
                <w:rFonts w:ascii="Times New Roman" w:eastAsia="Times New Roman" w:hAnsi="Times New Roman" w:cs="Times New Roman"/>
                <w:sz w:val="24"/>
                <w:szCs w:val="24"/>
                <w:lang w:eastAsia="ru-RU"/>
              </w:rPr>
              <w:t>)</w:t>
            </w:r>
          </w:p>
        </w:tc>
      </w:tr>
      <w:tr w:rsidR="00B30EAB" w:rsidRPr="00E750E3" w:rsidTr="00A75424">
        <w:tc>
          <w:tcPr>
            <w:tcW w:w="6594" w:type="dxa"/>
            <w:vAlign w:val="center"/>
          </w:tcPr>
          <w:p w:rsidR="00B30EAB" w:rsidRPr="00A75424" w:rsidRDefault="00B30EAB" w:rsidP="00A75424">
            <w:pPr>
              <w:pStyle w:val="a4"/>
              <w:numPr>
                <w:ilvl w:val="0"/>
                <w:numId w:val="24"/>
              </w:numPr>
              <w:tabs>
                <w:tab w:val="left" w:pos="313"/>
              </w:tabs>
              <w:autoSpaceDE w:val="0"/>
              <w:autoSpaceDN w:val="0"/>
              <w:adjustRightInd w:val="0"/>
              <w:spacing w:line="240" w:lineRule="auto"/>
              <w:ind w:left="0" w:firstLine="0"/>
              <w:jc w:val="both"/>
              <w:rPr>
                <w:rFonts w:ascii="Times New Roman CYR" w:hAnsi="Times New Roman CYR" w:cs="Times New Roman CYR"/>
                <w:b/>
                <w:color w:val="000000"/>
                <w:sz w:val="24"/>
                <w:szCs w:val="24"/>
              </w:rPr>
            </w:pPr>
            <w:r w:rsidRPr="00A75424">
              <w:rPr>
                <w:rFonts w:ascii="Times New Roman CYR" w:hAnsi="Times New Roman CYR" w:cs="Times New Roman CYR"/>
                <w:b/>
                <w:color w:val="000000"/>
                <w:sz w:val="24"/>
                <w:szCs w:val="24"/>
              </w:rPr>
              <w:t>Обеспечена актуализация бюджетных прогнозов</w:t>
            </w:r>
          </w:p>
        </w:tc>
        <w:tc>
          <w:tcPr>
            <w:tcW w:w="2891" w:type="dxa"/>
          </w:tcPr>
          <w:p w:rsidR="00B30EAB" w:rsidRPr="00A75424" w:rsidRDefault="00595ED8" w:rsidP="00F577F5">
            <w:pPr>
              <w:autoSpaceDE w:val="0"/>
              <w:autoSpaceDN w:val="0"/>
              <w:adjustRightInd w:val="0"/>
              <w:spacing w:line="240" w:lineRule="auto"/>
              <w:jc w:val="center"/>
              <w:rPr>
                <w:rFonts w:ascii="Times New Roman CYR" w:hAnsi="Times New Roman CYR" w:cs="Times New Roman CYR"/>
                <w:b/>
                <w:color w:val="000000"/>
                <w:sz w:val="24"/>
                <w:szCs w:val="24"/>
              </w:rPr>
            </w:pPr>
            <w:r w:rsidRPr="00A75424">
              <w:rPr>
                <w:rFonts w:ascii="Times New Roman CYR" w:hAnsi="Times New Roman CYR" w:cs="Times New Roman CYR"/>
                <w:b/>
                <w:color w:val="000000"/>
                <w:sz w:val="24"/>
                <w:szCs w:val="24"/>
              </w:rPr>
              <w:t xml:space="preserve">57 </w:t>
            </w:r>
            <w:r w:rsidR="00B30EAB" w:rsidRPr="00A75424">
              <w:rPr>
                <w:rFonts w:ascii="Times New Roman CYR" w:hAnsi="Times New Roman CYR" w:cs="Times New Roman CYR"/>
                <w:b/>
                <w:color w:val="000000"/>
                <w:sz w:val="24"/>
                <w:szCs w:val="24"/>
              </w:rPr>
              <w:t>(7</w:t>
            </w:r>
            <w:r w:rsidRPr="00A75424">
              <w:rPr>
                <w:rFonts w:ascii="Times New Roman CYR" w:hAnsi="Times New Roman CYR" w:cs="Times New Roman CYR"/>
                <w:b/>
                <w:color w:val="000000"/>
                <w:sz w:val="24"/>
                <w:szCs w:val="24"/>
              </w:rPr>
              <w:t>8</w:t>
            </w:r>
            <w:r w:rsidR="00B30EAB" w:rsidRPr="00A75424">
              <w:rPr>
                <w:rFonts w:ascii="Times New Roman CYR" w:hAnsi="Times New Roman CYR" w:cs="Times New Roman CYR"/>
                <w:b/>
                <w:color w:val="000000"/>
                <w:sz w:val="24"/>
                <w:szCs w:val="24"/>
              </w:rPr>
              <w:t>%)</w:t>
            </w:r>
          </w:p>
        </w:tc>
      </w:tr>
      <w:tr w:rsidR="00B30EAB" w:rsidRPr="00E750E3" w:rsidTr="00A75424">
        <w:trPr>
          <w:trHeight w:val="303"/>
        </w:trPr>
        <w:tc>
          <w:tcPr>
            <w:tcW w:w="6594" w:type="dxa"/>
            <w:vAlign w:val="center"/>
          </w:tcPr>
          <w:p w:rsidR="00B30EAB" w:rsidRPr="00A75424" w:rsidRDefault="00E823DD" w:rsidP="00A75424">
            <w:pPr>
              <w:autoSpaceDE w:val="0"/>
              <w:autoSpaceDN w:val="0"/>
              <w:adjustRightInd w:val="0"/>
              <w:spacing w:line="240" w:lineRule="auto"/>
              <w:ind w:firstLine="454"/>
              <w:jc w:val="both"/>
              <w:rPr>
                <w:rFonts w:ascii="Times New Roman CYR" w:hAnsi="Times New Roman CYR" w:cs="Times New Roman CYR"/>
                <w:i/>
                <w:color w:val="000000"/>
                <w:sz w:val="24"/>
                <w:szCs w:val="24"/>
              </w:rPr>
            </w:pPr>
            <w:r>
              <w:rPr>
                <w:rFonts w:ascii="Times New Roman CYR" w:hAnsi="Times New Roman CYR" w:cs="Times New Roman CYR"/>
                <w:i/>
                <w:color w:val="000000"/>
                <w:sz w:val="24"/>
                <w:szCs w:val="24"/>
              </w:rPr>
              <w:t>в</w:t>
            </w:r>
            <w:r w:rsidR="00B30EAB" w:rsidRPr="00A75424">
              <w:rPr>
                <w:rFonts w:ascii="Times New Roman CYR" w:hAnsi="Times New Roman CYR" w:cs="Times New Roman CYR"/>
                <w:i/>
                <w:color w:val="000000"/>
                <w:sz w:val="24"/>
                <w:szCs w:val="24"/>
              </w:rPr>
              <w:t xml:space="preserve"> том числе</w:t>
            </w:r>
          </w:p>
        </w:tc>
        <w:tc>
          <w:tcPr>
            <w:tcW w:w="2891" w:type="dxa"/>
          </w:tcPr>
          <w:p w:rsidR="00B30EAB" w:rsidRPr="00B30EAB" w:rsidRDefault="00B30EAB" w:rsidP="005142CA">
            <w:pPr>
              <w:autoSpaceDE w:val="0"/>
              <w:autoSpaceDN w:val="0"/>
              <w:adjustRightInd w:val="0"/>
              <w:spacing w:line="240" w:lineRule="auto"/>
              <w:jc w:val="center"/>
              <w:rPr>
                <w:rFonts w:ascii="Times New Roman CYR" w:hAnsi="Times New Roman CYR" w:cs="Times New Roman CYR"/>
                <w:color w:val="000000"/>
                <w:sz w:val="24"/>
                <w:szCs w:val="24"/>
              </w:rPr>
            </w:pPr>
          </w:p>
        </w:tc>
      </w:tr>
      <w:tr w:rsidR="00B30EAB" w:rsidRPr="00E750E3" w:rsidTr="00A75424">
        <w:tc>
          <w:tcPr>
            <w:tcW w:w="6594" w:type="dxa"/>
            <w:vAlign w:val="center"/>
          </w:tcPr>
          <w:p w:rsidR="00B30EAB" w:rsidRPr="00A75424" w:rsidRDefault="0030097A" w:rsidP="00A75424">
            <w:pPr>
              <w:autoSpaceDE w:val="0"/>
              <w:autoSpaceDN w:val="0"/>
              <w:adjustRightInd w:val="0"/>
              <w:spacing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w:t>
            </w:r>
            <w:r w:rsidR="00B30EAB" w:rsidRPr="00A75424">
              <w:rPr>
                <w:rFonts w:ascii="Times New Roman CYR" w:hAnsi="Times New Roman CYR" w:cs="Times New Roman CYR"/>
                <w:color w:val="000000"/>
                <w:sz w:val="24"/>
                <w:szCs w:val="24"/>
              </w:rPr>
              <w:t>жегодная</w:t>
            </w:r>
          </w:p>
        </w:tc>
        <w:tc>
          <w:tcPr>
            <w:tcW w:w="2891" w:type="dxa"/>
          </w:tcPr>
          <w:p w:rsidR="00B30EAB" w:rsidRPr="00B30EAB" w:rsidRDefault="00595ED8" w:rsidP="00F577F5">
            <w:pPr>
              <w:autoSpaceDE w:val="0"/>
              <w:autoSpaceDN w:val="0"/>
              <w:adjustRightInd w:val="0"/>
              <w:spacing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39</w:t>
            </w:r>
            <w:r w:rsidR="00B30EAB" w:rsidRPr="00B30EAB">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54</w:t>
            </w:r>
            <w:r w:rsidR="00B30EAB" w:rsidRPr="00B30EAB">
              <w:rPr>
                <w:rFonts w:ascii="Times New Roman CYR" w:hAnsi="Times New Roman CYR" w:cs="Times New Roman CYR"/>
                <w:color w:val="000000"/>
                <w:sz w:val="24"/>
                <w:szCs w:val="24"/>
              </w:rPr>
              <w:t>%)</w:t>
            </w:r>
          </w:p>
        </w:tc>
      </w:tr>
      <w:tr w:rsidR="00B30EAB" w:rsidRPr="00E750E3" w:rsidTr="00A75424">
        <w:tc>
          <w:tcPr>
            <w:tcW w:w="6594" w:type="dxa"/>
            <w:vAlign w:val="center"/>
          </w:tcPr>
          <w:p w:rsidR="00B30EAB" w:rsidRPr="00A75424" w:rsidRDefault="0030097A" w:rsidP="00A75424">
            <w:pPr>
              <w:autoSpaceDE w:val="0"/>
              <w:autoSpaceDN w:val="0"/>
              <w:adjustRightInd w:val="0"/>
              <w:spacing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w:t>
            </w:r>
            <w:r w:rsidR="00B30EAB" w:rsidRPr="00A75424">
              <w:rPr>
                <w:rFonts w:ascii="Times New Roman CYR" w:hAnsi="Times New Roman CYR" w:cs="Times New Roman CYR"/>
                <w:color w:val="000000"/>
                <w:sz w:val="24"/>
                <w:szCs w:val="24"/>
              </w:rPr>
              <w:t>ериодическая (1 раз в 2-3 года)</w:t>
            </w:r>
          </w:p>
        </w:tc>
        <w:tc>
          <w:tcPr>
            <w:tcW w:w="2891" w:type="dxa"/>
          </w:tcPr>
          <w:p w:rsidR="00B30EAB" w:rsidRPr="00B30EAB" w:rsidRDefault="00B30EAB" w:rsidP="00F577F5">
            <w:pPr>
              <w:autoSpaceDE w:val="0"/>
              <w:autoSpaceDN w:val="0"/>
              <w:adjustRightInd w:val="0"/>
              <w:spacing w:line="240" w:lineRule="auto"/>
              <w:jc w:val="center"/>
              <w:rPr>
                <w:rFonts w:ascii="Times New Roman CYR" w:hAnsi="Times New Roman CYR" w:cs="Times New Roman CYR"/>
                <w:color w:val="000000"/>
                <w:sz w:val="24"/>
                <w:szCs w:val="24"/>
              </w:rPr>
            </w:pPr>
            <w:r w:rsidRPr="00B30EAB">
              <w:rPr>
                <w:rFonts w:ascii="Times New Roman CYR" w:hAnsi="Times New Roman CYR" w:cs="Times New Roman CYR"/>
                <w:color w:val="000000"/>
                <w:sz w:val="24"/>
                <w:szCs w:val="24"/>
              </w:rPr>
              <w:t>1</w:t>
            </w:r>
            <w:r w:rsidR="00595ED8">
              <w:rPr>
                <w:rFonts w:ascii="Times New Roman CYR" w:hAnsi="Times New Roman CYR" w:cs="Times New Roman CYR"/>
                <w:color w:val="000000"/>
                <w:sz w:val="24"/>
                <w:szCs w:val="24"/>
              </w:rPr>
              <w:t>8</w:t>
            </w:r>
            <w:r w:rsidR="0030097A">
              <w:rPr>
                <w:rFonts w:ascii="Times New Roman CYR" w:hAnsi="Times New Roman CYR" w:cs="Times New Roman CYR"/>
                <w:color w:val="000000"/>
                <w:sz w:val="24"/>
                <w:szCs w:val="24"/>
              </w:rPr>
              <w:t xml:space="preserve"> </w:t>
            </w:r>
            <w:r w:rsidRPr="00B30EAB">
              <w:rPr>
                <w:rFonts w:ascii="Times New Roman CYR" w:hAnsi="Times New Roman CYR" w:cs="Times New Roman CYR"/>
                <w:color w:val="000000"/>
                <w:sz w:val="24"/>
                <w:szCs w:val="24"/>
              </w:rPr>
              <w:t>(2</w:t>
            </w:r>
            <w:r w:rsidR="00595ED8">
              <w:rPr>
                <w:rFonts w:ascii="Times New Roman CYR" w:hAnsi="Times New Roman CYR" w:cs="Times New Roman CYR"/>
                <w:color w:val="000000"/>
                <w:sz w:val="24"/>
                <w:szCs w:val="24"/>
              </w:rPr>
              <w:t>5</w:t>
            </w:r>
            <w:r w:rsidRPr="00B30EAB">
              <w:rPr>
                <w:rFonts w:ascii="Times New Roman CYR" w:hAnsi="Times New Roman CYR" w:cs="Times New Roman CYR"/>
                <w:color w:val="000000"/>
                <w:sz w:val="24"/>
                <w:szCs w:val="24"/>
              </w:rPr>
              <w:t>%)</w:t>
            </w:r>
          </w:p>
        </w:tc>
      </w:tr>
      <w:tr w:rsidR="00EE74E1" w:rsidRPr="00E750E3" w:rsidTr="00A75424">
        <w:tc>
          <w:tcPr>
            <w:tcW w:w="6594" w:type="dxa"/>
            <w:vAlign w:val="center"/>
          </w:tcPr>
          <w:p w:rsidR="00EE74E1" w:rsidRPr="00A75424" w:rsidRDefault="00EE74E1" w:rsidP="00A75424">
            <w:pPr>
              <w:pStyle w:val="a4"/>
              <w:numPr>
                <w:ilvl w:val="0"/>
                <w:numId w:val="24"/>
              </w:numPr>
              <w:autoSpaceDE w:val="0"/>
              <w:autoSpaceDN w:val="0"/>
              <w:adjustRightInd w:val="0"/>
              <w:spacing w:line="240" w:lineRule="auto"/>
              <w:ind w:left="454" w:hanging="425"/>
              <w:jc w:val="both"/>
              <w:rPr>
                <w:rFonts w:ascii="Times New Roman CYR" w:hAnsi="Times New Roman CYR" w:cs="Times New Roman CYR"/>
                <w:b/>
                <w:color w:val="000000"/>
                <w:sz w:val="24"/>
                <w:szCs w:val="24"/>
              </w:rPr>
            </w:pPr>
            <w:r w:rsidRPr="00A75424">
              <w:rPr>
                <w:rFonts w:ascii="Times New Roman CYR" w:hAnsi="Times New Roman CYR" w:cs="Times New Roman CYR"/>
                <w:b/>
                <w:color w:val="000000"/>
                <w:sz w:val="24"/>
                <w:szCs w:val="24"/>
              </w:rPr>
              <w:t>Отсутствует</w:t>
            </w:r>
            <w:r w:rsidR="008C2FC0" w:rsidRPr="00A75424">
              <w:rPr>
                <w:rFonts w:ascii="Times New Roman CYR" w:hAnsi="Times New Roman CYR" w:cs="Times New Roman CYR"/>
                <w:b/>
                <w:color w:val="000000"/>
                <w:sz w:val="24"/>
                <w:szCs w:val="24"/>
              </w:rPr>
              <w:t xml:space="preserve"> </w:t>
            </w:r>
            <w:r w:rsidRPr="00A75424">
              <w:rPr>
                <w:rFonts w:ascii="Times New Roman CYR" w:hAnsi="Times New Roman CYR" w:cs="Times New Roman CYR"/>
                <w:b/>
                <w:color w:val="000000"/>
                <w:sz w:val="24"/>
                <w:szCs w:val="24"/>
              </w:rPr>
              <w:t>актуализация</w:t>
            </w:r>
            <w:r w:rsidR="008C2FC0" w:rsidRPr="00A75424">
              <w:rPr>
                <w:rFonts w:ascii="Times New Roman CYR" w:hAnsi="Times New Roman CYR" w:cs="Times New Roman CYR"/>
                <w:b/>
                <w:color w:val="000000"/>
                <w:sz w:val="24"/>
                <w:szCs w:val="24"/>
              </w:rPr>
              <w:t xml:space="preserve"> </w:t>
            </w:r>
            <w:r w:rsidRPr="00A75424">
              <w:rPr>
                <w:rFonts w:ascii="Times New Roman CYR" w:hAnsi="Times New Roman CYR" w:cs="Times New Roman CYR"/>
                <w:b/>
                <w:color w:val="000000"/>
                <w:sz w:val="24"/>
                <w:szCs w:val="24"/>
              </w:rPr>
              <w:t>бюджетных</w:t>
            </w:r>
            <w:r w:rsidR="008C2FC0" w:rsidRPr="00A75424">
              <w:rPr>
                <w:rFonts w:ascii="Times New Roman CYR" w:hAnsi="Times New Roman CYR" w:cs="Times New Roman CYR"/>
                <w:b/>
                <w:color w:val="000000"/>
                <w:sz w:val="24"/>
                <w:szCs w:val="24"/>
              </w:rPr>
              <w:t xml:space="preserve"> </w:t>
            </w:r>
            <w:r w:rsidRPr="00A75424">
              <w:rPr>
                <w:rFonts w:ascii="Times New Roman CYR" w:hAnsi="Times New Roman CYR" w:cs="Times New Roman CYR"/>
                <w:b/>
                <w:color w:val="000000"/>
                <w:sz w:val="24"/>
                <w:szCs w:val="24"/>
              </w:rPr>
              <w:t>прогнозов</w:t>
            </w:r>
          </w:p>
        </w:tc>
        <w:tc>
          <w:tcPr>
            <w:tcW w:w="2891" w:type="dxa"/>
          </w:tcPr>
          <w:p w:rsidR="00EE74E1" w:rsidRPr="00A75424" w:rsidRDefault="00595ED8" w:rsidP="00F577F5">
            <w:pPr>
              <w:autoSpaceDE w:val="0"/>
              <w:autoSpaceDN w:val="0"/>
              <w:adjustRightInd w:val="0"/>
              <w:spacing w:line="240" w:lineRule="auto"/>
              <w:jc w:val="center"/>
              <w:rPr>
                <w:rFonts w:ascii="Times New Roman CYR" w:hAnsi="Times New Roman CYR" w:cs="Times New Roman CYR"/>
                <w:b/>
                <w:color w:val="000000"/>
                <w:sz w:val="24"/>
                <w:szCs w:val="24"/>
              </w:rPr>
            </w:pPr>
            <w:r w:rsidRPr="00A75424">
              <w:rPr>
                <w:rFonts w:ascii="Times New Roman CYR" w:hAnsi="Times New Roman CYR" w:cs="Times New Roman CYR"/>
                <w:b/>
                <w:color w:val="000000"/>
                <w:sz w:val="24"/>
                <w:szCs w:val="24"/>
              </w:rPr>
              <w:t>16</w:t>
            </w:r>
            <w:r w:rsidR="0030097A" w:rsidRPr="00A75424">
              <w:rPr>
                <w:rFonts w:ascii="Times New Roman CYR" w:hAnsi="Times New Roman CYR" w:cs="Times New Roman CYR"/>
                <w:b/>
                <w:color w:val="000000"/>
                <w:sz w:val="24"/>
                <w:szCs w:val="24"/>
              </w:rPr>
              <w:t xml:space="preserve"> </w:t>
            </w:r>
            <w:r w:rsidR="00B80532" w:rsidRPr="00A75424">
              <w:rPr>
                <w:rFonts w:ascii="Times New Roman CYR" w:hAnsi="Times New Roman CYR" w:cs="Times New Roman CYR"/>
                <w:b/>
                <w:color w:val="000000"/>
                <w:sz w:val="24"/>
                <w:szCs w:val="24"/>
              </w:rPr>
              <w:t>(2</w:t>
            </w:r>
            <w:r w:rsidRPr="00A75424">
              <w:rPr>
                <w:rFonts w:ascii="Times New Roman CYR" w:hAnsi="Times New Roman CYR" w:cs="Times New Roman CYR"/>
                <w:b/>
                <w:color w:val="000000"/>
                <w:sz w:val="24"/>
                <w:szCs w:val="24"/>
              </w:rPr>
              <w:t>2</w:t>
            </w:r>
            <w:r w:rsidR="00EE74E1" w:rsidRPr="00A75424">
              <w:rPr>
                <w:rFonts w:ascii="Times New Roman CYR" w:hAnsi="Times New Roman CYR" w:cs="Times New Roman CYR"/>
                <w:b/>
                <w:color w:val="000000"/>
                <w:sz w:val="24"/>
                <w:szCs w:val="24"/>
              </w:rPr>
              <w:t>%)</w:t>
            </w:r>
          </w:p>
        </w:tc>
      </w:tr>
    </w:tbl>
    <w:p w:rsidR="002C2C08" w:rsidRDefault="002C2C08" w:rsidP="00526D62">
      <w:pPr>
        <w:spacing w:after="0" w:line="276" w:lineRule="auto"/>
        <w:jc w:val="both"/>
        <w:rPr>
          <w:rFonts w:ascii="Times New Roman" w:eastAsia="Times New Roman" w:hAnsi="Times New Roman"/>
          <w:b/>
          <w:sz w:val="28"/>
          <w:szCs w:val="28"/>
          <w:lang w:eastAsia="ru-RU"/>
        </w:rPr>
      </w:pPr>
    </w:p>
    <w:p w:rsidR="00AA7AF1" w:rsidRPr="00526D62" w:rsidRDefault="00AA7AF1" w:rsidP="005D1255">
      <w:pPr>
        <w:pStyle w:val="a4"/>
        <w:numPr>
          <w:ilvl w:val="0"/>
          <w:numId w:val="35"/>
        </w:numPr>
        <w:tabs>
          <w:tab w:val="right" w:pos="426"/>
        </w:tabs>
        <w:spacing w:after="120" w:line="276" w:lineRule="auto"/>
        <w:ind w:left="0" w:firstLine="0"/>
        <w:jc w:val="both"/>
        <w:rPr>
          <w:rFonts w:ascii="Times New Roman" w:eastAsia="Times New Roman" w:hAnsi="Times New Roman"/>
          <w:sz w:val="28"/>
          <w:szCs w:val="28"/>
          <w:u w:val="single"/>
          <w:lang w:eastAsia="ru-RU"/>
        </w:rPr>
      </w:pPr>
      <w:r w:rsidRPr="00526D62">
        <w:rPr>
          <w:rFonts w:ascii="Times New Roman" w:eastAsia="Times New Roman" w:hAnsi="Times New Roman"/>
          <w:sz w:val="28"/>
          <w:szCs w:val="28"/>
          <w:u w:val="single"/>
          <w:lang w:eastAsia="ru-RU"/>
        </w:rPr>
        <w:t>Периодичность</w:t>
      </w:r>
      <w:r w:rsidR="008C2FC0" w:rsidRPr="00526D62">
        <w:rPr>
          <w:rFonts w:ascii="Times New Roman" w:eastAsia="Times New Roman" w:hAnsi="Times New Roman"/>
          <w:sz w:val="28"/>
          <w:szCs w:val="28"/>
          <w:u w:val="single"/>
          <w:lang w:eastAsia="ru-RU"/>
        </w:rPr>
        <w:t xml:space="preserve"> </w:t>
      </w:r>
      <w:r w:rsidRPr="00526D62">
        <w:rPr>
          <w:rFonts w:ascii="Times New Roman" w:eastAsia="Times New Roman" w:hAnsi="Times New Roman"/>
          <w:sz w:val="28"/>
          <w:szCs w:val="28"/>
          <w:u w:val="single"/>
          <w:lang w:eastAsia="ru-RU"/>
        </w:rPr>
        <w:t>бюджетного</w:t>
      </w:r>
      <w:r w:rsidR="008C2FC0" w:rsidRPr="00526D62">
        <w:rPr>
          <w:rFonts w:ascii="Times New Roman" w:eastAsia="Times New Roman" w:hAnsi="Times New Roman"/>
          <w:sz w:val="28"/>
          <w:szCs w:val="28"/>
          <w:u w:val="single"/>
          <w:lang w:eastAsia="ru-RU"/>
        </w:rPr>
        <w:t xml:space="preserve"> </w:t>
      </w:r>
      <w:r w:rsidRPr="00526D62">
        <w:rPr>
          <w:rFonts w:ascii="Times New Roman" w:eastAsia="Times New Roman" w:hAnsi="Times New Roman"/>
          <w:sz w:val="28"/>
          <w:szCs w:val="28"/>
          <w:u w:val="single"/>
          <w:lang w:eastAsia="ru-RU"/>
        </w:rPr>
        <w:t>прогноза</w:t>
      </w:r>
      <w:r w:rsidR="008C2FC0" w:rsidRPr="00526D62">
        <w:rPr>
          <w:rFonts w:ascii="Times New Roman" w:eastAsia="Times New Roman" w:hAnsi="Times New Roman"/>
          <w:sz w:val="28"/>
          <w:szCs w:val="28"/>
          <w:u w:val="single"/>
          <w:lang w:eastAsia="ru-RU"/>
        </w:rPr>
        <w:t xml:space="preserve"> </w:t>
      </w:r>
    </w:p>
    <w:p w:rsidR="00AA7AF1" w:rsidRPr="00D157A5" w:rsidRDefault="00AA7AF1" w:rsidP="00526D62">
      <w:pPr>
        <w:spacing w:after="0" w:line="276" w:lineRule="auto"/>
        <w:jc w:val="both"/>
        <w:rPr>
          <w:rFonts w:ascii="Times New Roman" w:eastAsia="Times New Roman" w:hAnsi="Times New Roman"/>
          <w:sz w:val="28"/>
          <w:szCs w:val="28"/>
          <w:lang w:eastAsia="ru-RU"/>
        </w:rPr>
      </w:pPr>
      <w:r w:rsidRPr="00D157A5">
        <w:rPr>
          <w:rFonts w:ascii="Times New Roman" w:eastAsia="Times New Roman" w:hAnsi="Times New Roman"/>
          <w:sz w:val="28"/>
          <w:szCs w:val="28"/>
          <w:lang w:eastAsia="ru-RU"/>
        </w:rPr>
        <w:t>Из</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81</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утвержденного</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бюджетного</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прогноза</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74</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(более</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91%)</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содержат</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распределение</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прогнозных</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показателей</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по</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годам.</w:t>
      </w:r>
      <w:r w:rsidR="008C2FC0">
        <w:rPr>
          <w:rFonts w:ascii="Times New Roman" w:eastAsia="Times New Roman" w:hAnsi="Times New Roman"/>
          <w:sz w:val="28"/>
          <w:szCs w:val="28"/>
          <w:lang w:eastAsia="ru-RU"/>
        </w:rPr>
        <w:t xml:space="preserve"> </w:t>
      </w:r>
    </w:p>
    <w:p w:rsidR="00AA7AF1" w:rsidRPr="00D157A5" w:rsidRDefault="002018FC" w:rsidP="00526D62">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4 (5%)</w:t>
      </w:r>
      <w:r w:rsidR="00FB594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регионах</w:t>
      </w:r>
      <w:r w:rsidR="00FB594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бюджетные прогнозы р</w:t>
      </w:r>
      <w:r w:rsidR="00AA7AF1" w:rsidRPr="00D157A5">
        <w:rPr>
          <w:rFonts w:ascii="Times New Roman" w:eastAsia="Times New Roman" w:hAnsi="Times New Roman"/>
          <w:sz w:val="28"/>
          <w:szCs w:val="28"/>
          <w:lang w:eastAsia="ru-RU"/>
        </w:rPr>
        <w:t>азработаны</w:t>
      </w:r>
      <w:r w:rsidR="008C2FC0">
        <w:rPr>
          <w:rFonts w:ascii="Times New Roman" w:eastAsia="Times New Roman" w:hAnsi="Times New Roman"/>
          <w:sz w:val="28"/>
          <w:szCs w:val="28"/>
          <w:lang w:eastAsia="ru-RU"/>
        </w:rPr>
        <w:t xml:space="preserve"> </w:t>
      </w:r>
      <w:r w:rsidR="00AA7AF1" w:rsidRPr="00D157A5">
        <w:rPr>
          <w:rFonts w:ascii="Times New Roman" w:eastAsia="Times New Roman" w:hAnsi="Times New Roman"/>
          <w:sz w:val="28"/>
          <w:szCs w:val="28"/>
          <w:lang w:eastAsia="ru-RU"/>
        </w:rPr>
        <w:t>с</w:t>
      </w:r>
      <w:r w:rsidR="008C2F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годовым инте</w:t>
      </w:r>
      <w:r w:rsidR="00A10AF5">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валом </w:t>
      </w:r>
      <w:r w:rsidR="00AA7AF1" w:rsidRPr="00D157A5">
        <w:rPr>
          <w:rFonts w:ascii="Times New Roman" w:eastAsia="Times New Roman" w:hAnsi="Times New Roman"/>
          <w:sz w:val="28"/>
          <w:szCs w:val="28"/>
          <w:lang w:eastAsia="ru-RU"/>
        </w:rPr>
        <w:t>до</w:t>
      </w:r>
      <w:r w:rsidR="008C2FC0">
        <w:rPr>
          <w:rFonts w:ascii="Times New Roman" w:eastAsia="Times New Roman" w:hAnsi="Times New Roman"/>
          <w:sz w:val="28"/>
          <w:szCs w:val="28"/>
          <w:lang w:eastAsia="ru-RU"/>
        </w:rPr>
        <w:t xml:space="preserve"> </w:t>
      </w:r>
      <w:r w:rsidR="00AA7AF1" w:rsidRPr="00D157A5">
        <w:rPr>
          <w:rFonts w:ascii="Times New Roman" w:eastAsia="Times New Roman" w:hAnsi="Times New Roman"/>
          <w:sz w:val="28"/>
          <w:szCs w:val="28"/>
          <w:lang w:eastAsia="ru-RU"/>
        </w:rPr>
        <w:t>2023-2025</w:t>
      </w:r>
      <w:r w:rsidR="008C2FC0">
        <w:rPr>
          <w:rFonts w:ascii="Times New Roman" w:eastAsia="Times New Roman" w:hAnsi="Times New Roman"/>
          <w:sz w:val="28"/>
          <w:szCs w:val="28"/>
          <w:lang w:eastAsia="ru-RU"/>
        </w:rPr>
        <w:t xml:space="preserve"> </w:t>
      </w:r>
      <w:r w:rsidR="00AA7AF1" w:rsidRPr="00D157A5">
        <w:rPr>
          <w:rFonts w:ascii="Times New Roman" w:eastAsia="Times New Roman" w:hAnsi="Times New Roman"/>
          <w:sz w:val="28"/>
          <w:szCs w:val="28"/>
          <w:lang w:eastAsia="ru-RU"/>
        </w:rPr>
        <w:t>гг.,</w:t>
      </w:r>
      <w:r w:rsidR="008C2FC0">
        <w:rPr>
          <w:rFonts w:ascii="Times New Roman" w:eastAsia="Times New Roman" w:hAnsi="Times New Roman"/>
          <w:sz w:val="28"/>
          <w:szCs w:val="28"/>
          <w:lang w:eastAsia="ru-RU"/>
        </w:rPr>
        <w:t xml:space="preserve"> </w:t>
      </w:r>
      <w:r w:rsidR="00AA7AF1" w:rsidRPr="00D157A5">
        <w:rPr>
          <w:rFonts w:ascii="Times New Roman" w:eastAsia="Times New Roman" w:hAnsi="Times New Roman"/>
          <w:sz w:val="28"/>
          <w:szCs w:val="28"/>
          <w:lang w:eastAsia="ru-RU"/>
        </w:rPr>
        <w:t>а</w:t>
      </w:r>
      <w:r w:rsidR="008C2FC0">
        <w:rPr>
          <w:rFonts w:ascii="Times New Roman" w:eastAsia="Times New Roman" w:hAnsi="Times New Roman"/>
          <w:sz w:val="28"/>
          <w:szCs w:val="28"/>
          <w:lang w:eastAsia="ru-RU"/>
        </w:rPr>
        <w:t xml:space="preserve"> </w:t>
      </w:r>
      <w:r w:rsidR="00AA7AF1" w:rsidRPr="00D157A5">
        <w:rPr>
          <w:rFonts w:ascii="Times New Roman" w:eastAsia="Times New Roman" w:hAnsi="Times New Roman"/>
          <w:sz w:val="28"/>
          <w:szCs w:val="28"/>
          <w:lang w:eastAsia="ru-RU"/>
        </w:rPr>
        <w:t>затем</w:t>
      </w:r>
      <w:r w:rsidR="008C2FC0">
        <w:rPr>
          <w:rFonts w:ascii="Times New Roman" w:eastAsia="Times New Roman" w:hAnsi="Times New Roman"/>
          <w:sz w:val="28"/>
          <w:szCs w:val="28"/>
          <w:lang w:eastAsia="ru-RU"/>
        </w:rPr>
        <w:t xml:space="preserve"> </w:t>
      </w:r>
      <w:r w:rsidR="00AA7AF1" w:rsidRPr="00D157A5">
        <w:rPr>
          <w:rFonts w:ascii="Times New Roman" w:eastAsia="Times New Roman" w:hAnsi="Times New Roman"/>
          <w:sz w:val="28"/>
          <w:szCs w:val="28"/>
          <w:lang w:eastAsia="ru-RU"/>
        </w:rPr>
        <w:t>содержат</w:t>
      </w:r>
      <w:r w:rsidR="008C2FC0">
        <w:rPr>
          <w:rFonts w:ascii="Times New Roman" w:eastAsia="Times New Roman" w:hAnsi="Times New Roman"/>
          <w:sz w:val="28"/>
          <w:szCs w:val="28"/>
          <w:lang w:eastAsia="ru-RU"/>
        </w:rPr>
        <w:t xml:space="preserve"> </w:t>
      </w:r>
      <w:r w:rsidR="00AA7AF1">
        <w:rPr>
          <w:rFonts w:ascii="Times New Roman" w:eastAsia="Times New Roman" w:hAnsi="Times New Roman"/>
          <w:sz w:val="28"/>
          <w:szCs w:val="28"/>
          <w:lang w:eastAsia="ru-RU"/>
        </w:rPr>
        <w:t>сводные</w:t>
      </w:r>
      <w:r w:rsidR="008C2FC0">
        <w:rPr>
          <w:rFonts w:ascii="Times New Roman" w:eastAsia="Times New Roman" w:hAnsi="Times New Roman"/>
          <w:sz w:val="28"/>
          <w:szCs w:val="28"/>
          <w:lang w:eastAsia="ru-RU"/>
        </w:rPr>
        <w:t xml:space="preserve"> </w:t>
      </w:r>
      <w:r w:rsidR="00AA7AF1" w:rsidRPr="00D157A5">
        <w:rPr>
          <w:rFonts w:ascii="Times New Roman" w:eastAsia="Times New Roman" w:hAnsi="Times New Roman"/>
          <w:sz w:val="28"/>
          <w:szCs w:val="28"/>
          <w:lang w:eastAsia="ru-RU"/>
        </w:rPr>
        <w:t>показатели</w:t>
      </w:r>
      <w:r w:rsidR="00A20B1B">
        <w:rPr>
          <w:rFonts w:ascii="Times New Roman" w:eastAsia="Times New Roman" w:hAnsi="Times New Roman"/>
          <w:sz w:val="28"/>
          <w:szCs w:val="28"/>
          <w:lang w:eastAsia="ru-RU"/>
        </w:rPr>
        <w:t xml:space="preserve"> </w:t>
      </w:r>
      <w:r w:rsidR="00AA7AF1">
        <w:rPr>
          <w:rFonts w:ascii="Times New Roman" w:eastAsia="Times New Roman" w:hAnsi="Times New Roman"/>
          <w:sz w:val="28"/>
          <w:szCs w:val="28"/>
          <w:lang w:eastAsia="ru-RU"/>
        </w:rPr>
        <w:t>за</w:t>
      </w:r>
      <w:r w:rsidR="008C2FC0">
        <w:rPr>
          <w:rFonts w:ascii="Times New Roman" w:eastAsia="Times New Roman" w:hAnsi="Times New Roman"/>
          <w:sz w:val="28"/>
          <w:szCs w:val="28"/>
          <w:lang w:eastAsia="ru-RU"/>
        </w:rPr>
        <w:t xml:space="preserve"> </w:t>
      </w:r>
      <w:r w:rsidR="00AA7AF1">
        <w:rPr>
          <w:rFonts w:ascii="Times New Roman" w:eastAsia="Times New Roman" w:hAnsi="Times New Roman"/>
          <w:sz w:val="28"/>
          <w:szCs w:val="28"/>
          <w:lang w:eastAsia="ru-RU"/>
        </w:rPr>
        <w:t>5-6</w:t>
      </w:r>
      <w:r w:rsidR="008C2FC0">
        <w:rPr>
          <w:rFonts w:ascii="Times New Roman" w:eastAsia="Times New Roman" w:hAnsi="Times New Roman"/>
          <w:sz w:val="28"/>
          <w:szCs w:val="28"/>
          <w:lang w:eastAsia="ru-RU"/>
        </w:rPr>
        <w:t xml:space="preserve"> </w:t>
      </w:r>
      <w:r w:rsidR="00AA7AF1">
        <w:rPr>
          <w:rFonts w:ascii="Times New Roman" w:eastAsia="Times New Roman" w:hAnsi="Times New Roman"/>
          <w:sz w:val="28"/>
          <w:szCs w:val="28"/>
          <w:lang w:eastAsia="ru-RU"/>
        </w:rPr>
        <w:t>летний</w:t>
      </w:r>
      <w:r w:rsidR="008C2FC0">
        <w:rPr>
          <w:rFonts w:ascii="Times New Roman" w:eastAsia="Times New Roman" w:hAnsi="Times New Roman"/>
          <w:sz w:val="28"/>
          <w:szCs w:val="28"/>
          <w:lang w:eastAsia="ru-RU"/>
        </w:rPr>
        <w:t xml:space="preserve"> </w:t>
      </w:r>
      <w:r w:rsidR="00AA7AF1" w:rsidRPr="00D157A5">
        <w:rPr>
          <w:rFonts w:ascii="Times New Roman" w:eastAsia="Times New Roman" w:hAnsi="Times New Roman"/>
          <w:sz w:val="28"/>
          <w:szCs w:val="28"/>
          <w:lang w:eastAsia="ru-RU"/>
        </w:rPr>
        <w:t>период.</w:t>
      </w:r>
    </w:p>
    <w:p w:rsidR="00AA7AF1" w:rsidRDefault="00AA7AF1" w:rsidP="00526D62">
      <w:pPr>
        <w:spacing w:after="0" w:line="276" w:lineRule="auto"/>
        <w:jc w:val="both"/>
        <w:rPr>
          <w:rFonts w:ascii="Times New Roman" w:eastAsia="Times New Roman" w:hAnsi="Times New Roman"/>
          <w:sz w:val="28"/>
          <w:szCs w:val="28"/>
          <w:lang w:eastAsia="ru-RU"/>
        </w:rPr>
      </w:pPr>
      <w:r w:rsidRPr="00D157A5">
        <w:rPr>
          <w:rFonts w:ascii="Times New Roman" w:eastAsia="Times New Roman" w:hAnsi="Times New Roman"/>
          <w:sz w:val="28"/>
          <w:szCs w:val="28"/>
          <w:lang w:eastAsia="ru-RU"/>
        </w:rPr>
        <w:t>В</w:t>
      </w:r>
      <w:r w:rsidR="008C2FC0">
        <w:rPr>
          <w:rFonts w:ascii="Times New Roman" w:eastAsia="Times New Roman" w:hAnsi="Times New Roman"/>
          <w:sz w:val="28"/>
          <w:szCs w:val="28"/>
          <w:lang w:eastAsia="ru-RU"/>
        </w:rPr>
        <w:t xml:space="preserve"> </w:t>
      </w:r>
      <w:r w:rsidR="002018FC">
        <w:rPr>
          <w:rFonts w:ascii="Times New Roman" w:eastAsia="Times New Roman" w:hAnsi="Times New Roman"/>
          <w:sz w:val="28"/>
          <w:szCs w:val="28"/>
          <w:lang w:eastAsia="ru-RU"/>
        </w:rPr>
        <w:t>3 (4%) субъектах РФ</w:t>
      </w:r>
      <w:r w:rsidR="00FB5945">
        <w:rPr>
          <w:rFonts w:ascii="Times New Roman" w:eastAsia="Times New Roman" w:hAnsi="Times New Roman"/>
          <w:sz w:val="28"/>
          <w:szCs w:val="28"/>
          <w:lang w:eastAsia="ru-RU"/>
        </w:rPr>
        <w:t xml:space="preserve"> </w:t>
      </w:r>
      <w:r w:rsidR="002018FC">
        <w:rPr>
          <w:rFonts w:ascii="Times New Roman" w:eastAsia="Times New Roman" w:hAnsi="Times New Roman"/>
          <w:sz w:val="28"/>
          <w:szCs w:val="28"/>
          <w:lang w:eastAsia="ru-RU"/>
        </w:rPr>
        <w:t xml:space="preserve">интервал </w:t>
      </w:r>
      <w:r w:rsidRPr="00D157A5">
        <w:rPr>
          <w:rFonts w:ascii="Times New Roman" w:eastAsia="Times New Roman" w:hAnsi="Times New Roman"/>
          <w:sz w:val="28"/>
          <w:szCs w:val="28"/>
          <w:lang w:eastAsia="ru-RU"/>
        </w:rPr>
        <w:t>бюджетного</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прогноз</w:t>
      </w:r>
      <w:r w:rsidR="002018FC">
        <w:rPr>
          <w:rFonts w:ascii="Times New Roman" w:eastAsia="Times New Roman" w:hAnsi="Times New Roman"/>
          <w:sz w:val="28"/>
          <w:szCs w:val="28"/>
          <w:lang w:eastAsia="ru-RU"/>
        </w:rPr>
        <w:t>иро</w:t>
      </w:r>
      <w:r w:rsidR="008D60BC">
        <w:rPr>
          <w:rFonts w:ascii="Times New Roman" w:eastAsia="Times New Roman" w:hAnsi="Times New Roman"/>
          <w:sz w:val="28"/>
          <w:szCs w:val="28"/>
          <w:lang w:eastAsia="ru-RU"/>
        </w:rPr>
        <w:t>в</w:t>
      </w:r>
      <w:r w:rsidR="002018FC">
        <w:rPr>
          <w:rFonts w:ascii="Times New Roman" w:eastAsia="Times New Roman" w:hAnsi="Times New Roman"/>
          <w:sz w:val="28"/>
          <w:szCs w:val="28"/>
          <w:lang w:eastAsia="ru-RU"/>
        </w:rPr>
        <w:t>ания</w:t>
      </w:r>
      <w:r w:rsidR="00FB5945">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составляет</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3-5</w:t>
      </w:r>
      <w:r w:rsidR="008C2FC0">
        <w:rPr>
          <w:rFonts w:ascii="Times New Roman" w:eastAsia="Times New Roman" w:hAnsi="Times New Roman"/>
          <w:sz w:val="28"/>
          <w:szCs w:val="28"/>
          <w:lang w:eastAsia="ru-RU"/>
        </w:rPr>
        <w:t xml:space="preserve"> </w:t>
      </w:r>
      <w:r w:rsidRPr="00D157A5">
        <w:rPr>
          <w:rFonts w:ascii="Times New Roman" w:eastAsia="Times New Roman" w:hAnsi="Times New Roman"/>
          <w:sz w:val="28"/>
          <w:szCs w:val="28"/>
          <w:lang w:eastAsia="ru-RU"/>
        </w:rPr>
        <w:t>лет</w:t>
      </w:r>
      <w:r w:rsidR="00A75424">
        <w:rPr>
          <w:rFonts w:ascii="Times New Roman" w:eastAsia="Times New Roman" w:hAnsi="Times New Roman"/>
          <w:sz w:val="28"/>
          <w:szCs w:val="28"/>
          <w:lang w:eastAsia="ru-RU"/>
        </w:rPr>
        <w:t xml:space="preserve"> на всем горизонте</w:t>
      </w:r>
      <w:r w:rsidRPr="00D157A5">
        <w:rPr>
          <w:rFonts w:ascii="Times New Roman" w:eastAsia="Times New Roman" w:hAnsi="Times New Roman"/>
          <w:sz w:val="28"/>
          <w:szCs w:val="28"/>
          <w:lang w:eastAsia="ru-RU"/>
        </w:rPr>
        <w:t>.</w:t>
      </w:r>
      <w:r w:rsidR="008C2FC0">
        <w:rPr>
          <w:rFonts w:ascii="Times New Roman" w:eastAsia="Times New Roman" w:hAnsi="Times New Roman"/>
          <w:sz w:val="28"/>
          <w:szCs w:val="28"/>
          <w:lang w:eastAsia="ru-RU"/>
        </w:rPr>
        <w:t xml:space="preserve"> </w:t>
      </w:r>
    </w:p>
    <w:p w:rsidR="005D1255" w:rsidRPr="00D157A5" w:rsidRDefault="005D1255" w:rsidP="00526D62">
      <w:pPr>
        <w:spacing w:after="0" w:line="276" w:lineRule="auto"/>
        <w:jc w:val="both"/>
        <w:rPr>
          <w:rFonts w:ascii="Times New Roman" w:eastAsia="Times New Roman" w:hAnsi="Times New Roman"/>
          <w:sz w:val="28"/>
          <w:szCs w:val="28"/>
          <w:lang w:eastAsia="ru-RU"/>
        </w:rPr>
      </w:pPr>
    </w:p>
    <w:p w:rsidR="00AA7AF1" w:rsidRPr="00526D62" w:rsidRDefault="00E750E3" w:rsidP="005D1255">
      <w:pPr>
        <w:pStyle w:val="a4"/>
        <w:numPr>
          <w:ilvl w:val="0"/>
          <w:numId w:val="35"/>
        </w:numPr>
        <w:tabs>
          <w:tab w:val="right" w:pos="426"/>
        </w:tabs>
        <w:spacing w:after="120" w:line="276" w:lineRule="auto"/>
        <w:ind w:left="425" w:hanging="425"/>
        <w:jc w:val="both"/>
        <w:rPr>
          <w:rFonts w:ascii="Times New Roman" w:eastAsia="Times New Roman" w:hAnsi="Times New Roman"/>
          <w:color w:val="000000" w:themeColor="text1"/>
          <w:sz w:val="28"/>
          <w:szCs w:val="28"/>
          <w:u w:val="single"/>
          <w:lang w:eastAsia="ru-RU"/>
        </w:rPr>
      </w:pPr>
      <w:r w:rsidRPr="00526D62">
        <w:rPr>
          <w:rFonts w:ascii="Times New Roman" w:eastAsia="Times New Roman" w:hAnsi="Times New Roman" w:cs="Times New Roman"/>
          <w:color w:val="000000" w:themeColor="text1"/>
          <w:sz w:val="28"/>
          <w:szCs w:val="28"/>
          <w:u w:val="single"/>
          <w:lang w:eastAsia="ru-RU"/>
        </w:rPr>
        <w:t>Включение</w:t>
      </w:r>
      <w:r w:rsidR="008C2FC0" w:rsidRPr="00526D62">
        <w:rPr>
          <w:rFonts w:ascii="Times New Roman" w:eastAsia="Times New Roman" w:hAnsi="Times New Roman" w:cs="Times New Roman"/>
          <w:color w:val="000000" w:themeColor="text1"/>
          <w:sz w:val="28"/>
          <w:szCs w:val="28"/>
          <w:u w:val="single"/>
          <w:lang w:eastAsia="ru-RU"/>
        </w:rPr>
        <w:t xml:space="preserve"> </w:t>
      </w:r>
      <w:r w:rsidRPr="00526D62">
        <w:rPr>
          <w:rFonts w:ascii="Times New Roman" w:eastAsia="Times New Roman" w:hAnsi="Times New Roman" w:cs="Times New Roman"/>
          <w:color w:val="000000" w:themeColor="text1"/>
          <w:sz w:val="28"/>
          <w:szCs w:val="28"/>
          <w:u w:val="single"/>
          <w:lang w:eastAsia="ru-RU"/>
        </w:rPr>
        <w:t>в</w:t>
      </w:r>
      <w:r w:rsidR="008C2FC0" w:rsidRPr="00526D62">
        <w:rPr>
          <w:rFonts w:ascii="Times New Roman" w:eastAsia="Times New Roman" w:hAnsi="Times New Roman" w:cs="Times New Roman"/>
          <w:color w:val="000000" w:themeColor="text1"/>
          <w:sz w:val="28"/>
          <w:szCs w:val="28"/>
          <w:u w:val="single"/>
          <w:lang w:eastAsia="ru-RU"/>
        </w:rPr>
        <w:t xml:space="preserve"> </w:t>
      </w:r>
      <w:r w:rsidRPr="00526D62">
        <w:rPr>
          <w:rFonts w:ascii="Times New Roman" w:eastAsia="Times New Roman" w:hAnsi="Times New Roman" w:cs="Times New Roman"/>
          <w:color w:val="000000" w:themeColor="text1"/>
          <w:sz w:val="28"/>
          <w:szCs w:val="28"/>
          <w:u w:val="single"/>
          <w:lang w:eastAsia="ru-RU"/>
        </w:rPr>
        <w:t>бюджетный</w:t>
      </w:r>
      <w:r w:rsidR="008C2FC0" w:rsidRPr="00526D62">
        <w:rPr>
          <w:rFonts w:ascii="Times New Roman" w:eastAsia="Times New Roman" w:hAnsi="Times New Roman" w:cs="Times New Roman"/>
          <w:color w:val="000000" w:themeColor="text1"/>
          <w:sz w:val="28"/>
          <w:szCs w:val="28"/>
          <w:u w:val="single"/>
          <w:lang w:eastAsia="ru-RU"/>
        </w:rPr>
        <w:t xml:space="preserve"> </w:t>
      </w:r>
      <w:r w:rsidRPr="00526D62">
        <w:rPr>
          <w:rFonts w:ascii="Times New Roman" w:eastAsia="Times New Roman" w:hAnsi="Times New Roman" w:cs="Times New Roman"/>
          <w:color w:val="000000" w:themeColor="text1"/>
          <w:sz w:val="28"/>
          <w:szCs w:val="28"/>
          <w:u w:val="single"/>
          <w:lang w:eastAsia="ru-RU"/>
        </w:rPr>
        <w:t>прогноз</w:t>
      </w:r>
      <w:r w:rsidR="008C2FC0" w:rsidRPr="00526D62">
        <w:rPr>
          <w:rFonts w:ascii="Times New Roman" w:eastAsia="Times New Roman" w:hAnsi="Times New Roman" w:cs="Times New Roman"/>
          <w:color w:val="000000" w:themeColor="text1"/>
          <w:sz w:val="28"/>
          <w:szCs w:val="28"/>
          <w:u w:val="single"/>
          <w:lang w:eastAsia="ru-RU"/>
        </w:rPr>
        <w:t xml:space="preserve"> </w:t>
      </w:r>
      <w:r w:rsidR="00A75424" w:rsidRPr="00526D62">
        <w:rPr>
          <w:rFonts w:ascii="Times New Roman" w:eastAsia="Times New Roman" w:hAnsi="Times New Roman" w:cs="Times New Roman"/>
          <w:color w:val="000000" w:themeColor="text1"/>
          <w:sz w:val="28"/>
          <w:szCs w:val="28"/>
          <w:u w:val="single"/>
          <w:lang w:eastAsia="ru-RU"/>
        </w:rPr>
        <w:t xml:space="preserve">распределения </w:t>
      </w:r>
      <w:r w:rsidRPr="00526D62">
        <w:rPr>
          <w:rFonts w:ascii="Times New Roman" w:eastAsia="Times New Roman" w:hAnsi="Times New Roman" w:cs="Times New Roman"/>
          <w:color w:val="000000" w:themeColor="text1"/>
          <w:sz w:val="28"/>
          <w:szCs w:val="28"/>
          <w:u w:val="single"/>
          <w:lang w:eastAsia="ru-RU"/>
        </w:rPr>
        <w:t>межбюджетных</w:t>
      </w:r>
      <w:r w:rsidR="008C2FC0" w:rsidRPr="00526D62">
        <w:rPr>
          <w:rFonts w:ascii="Times New Roman" w:eastAsia="Times New Roman" w:hAnsi="Times New Roman" w:cs="Times New Roman"/>
          <w:color w:val="000000" w:themeColor="text1"/>
          <w:sz w:val="28"/>
          <w:szCs w:val="28"/>
          <w:u w:val="single"/>
          <w:lang w:eastAsia="ru-RU"/>
        </w:rPr>
        <w:t xml:space="preserve"> </w:t>
      </w:r>
      <w:r w:rsidR="0030097A" w:rsidRPr="00526D62">
        <w:rPr>
          <w:rFonts w:ascii="Times New Roman" w:eastAsia="Times New Roman" w:hAnsi="Times New Roman" w:cs="Times New Roman"/>
          <w:color w:val="000000" w:themeColor="text1"/>
          <w:sz w:val="28"/>
          <w:szCs w:val="28"/>
          <w:u w:val="single"/>
          <w:lang w:eastAsia="ru-RU"/>
        </w:rPr>
        <w:t>трансфертов</w:t>
      </w:r>
    </w:p>
    <w:p w:rsidR="002174A5" w:rsidRDefault="0046308B" w:rsidP="00526D62">
      <w:pPr>
        <w:pStyle w:val="a4"/>
        <w:spacing w:after="0" w:line="276" w:lineRule="auto"/>
        <w:ind w:left="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По</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результатам</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анализа</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бюджетных</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прогнозов</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ни</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один</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из</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них</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не</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содержит</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распределенные</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по</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муниципальным</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образованиям</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межбюджетные</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трансферты.</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11</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субъектов</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РФ</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(13%)</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утвердили</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в</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рамках</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бюджетных</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прогнозов</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общий</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объем</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межбюджетных</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трансфертов</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без</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распределения</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по</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муниципальным</w:t>
      </w:r>
      <w:r w:rsidR="008C2FC0">
        <w:rPr>
          <w:rFonts w:ascii="Times New Roman" w:eastAsia="Times New Roman" w:hAnsi="Times New Roman"/>
          <w:color w:val="000000" w:themeColor="text1"/>
          <w:sz w:val="28"/>
          <w:szCs w:val="28"/>
          <w:lang w:eastAsia="ru-RU"/>
        </w:rPr>
        <w:t xml:space="preserve"> </w:t>
      </w:r>
      <w:r w:rsidR="00226F4E">
        <w:rPr>
          <w:rFonts w:ascii="Times New Roman" w:eastAsia="Times New Roman" w:hAnsi="Times New Roman"/>
          <w:color w:val="000000" w:themeColor="text1"/>
          <w:sz w:val="28"/>
          <w:szCs w:val="28"/>
          <w:lang w:eastAsia="ru-RU"/>
        </w:rPr>
        <w:t>образованиям.</w:t>
      </w:r>
    </w:p>
    <w:p w:rsidR="005D1255" w:rsidRDefault="005D1255" w:rsidP="00526D62">
      <w:pPr>
        <w:pStyle w:val="a4"/>
        <w:spacing w:after="0" w:line="276" w:lineRule="auto"/>
        <w:ind w:left="0"/>
        <w:jc w:val="both"/>
        <w:rPr>
          <w:rFonts w:ascii="Times New Roman" w:eastAsia="Times New Roman" w:hAnsi="Times New Roman"/>
          <w:color w:val="000000" w:themeColor="text1"/>
          <w:sz w:val="28"/>
          <w:szCs w:val="28"/>
          <w:lang w:eastAsia="ru-RU"/>
        </w:rPr>
      </w:pPr>
    </w:p>
    <w:p w:rsidR="0046308B" w:rsidRPr="002174A5" w:rsidRDefault="00226F4E" w:rsidP="005D1255">
      <w:pPr>
        <w:pStyle w:val="a4"/>
        <w:numPr>
          <w:ilvl w:val="0"/>
          <w:numId w:val="35"/>
        </w:numPr>
        <w:tabs>
          <w:tab w:val="right" w:pos="426"/>
        </w:tabs>
        <w:spacing w:after="120" w:line="276" w:lineRule="auto"/>
        <w:ind w:left="425" w:hanging="425"/>
        <w:jc w:val="both"/>
        <w:rPr>
          <w:rFonts w:ascii="Times New Roman" w:eastAsia="Times New Roman" w:hAnsi="Times New Roman"/>
          <w:color w:val="000000" w:themeColor="text1"/>
          <w:sz w:val="28"/>
          <w:szCs w:val="28"/>
          <w:lang w:eastAsia="ru-RU"/>
        </w:rPr>
      </w:pPr>
      <w:r w:rsidRPr="00391FD9">
        <w:rPr>
          <w:rFonts w:ascii="Times New Roman" w:eastAsia="Times New Roman" w:hAnsi="Times New Roman"/>
          <w:color w:val="000000" w:themeColor="text1"/>
          <w:sz w:val="28"/>
          <w:szCs w:val="28"/>
          <w:u w:val="single"/>
          <w:lang w:eastAsia="ru-RU"/>
        </w:rPr>
        <w:lastRenderedPageBreak/>
        <w:t>О</w:t>
      </w:r>
      <w:r w:rsidRPr="00391FD9">
        <w:rPr>
          <w:rFonts w:ascii="Times New Roman" w:eastAsia="Times New Roman" w:hAnsi="Times New Roman" w:cs="Times New Roman"/>
          <w:sz w:val="28"/>
          <w:szCs w:val="28"/>
          <w:u w:val="single"/>
          <w:lang w:eastAsia="ru-RU"/>
        </w:rPr>
        <w:t>писание</w:t>
      </w:r>
      <w:r w:rsidR="008C2FC0" w:rsidRPr="00391FD9">
        <w:rPr>
          <w:rFonts w:ascii="Times New Roman" w:eastAsia="Times New Roman" w:hAnsi="Times New Roman" w:cs="Times New Roman"/>
          <w:sz w:val="28"/>
          <w:szCs w:val="28"/>
          <w:u w:val="single"/>
          <w:lang w:eastAsia="ru-RU"/>
        </w:rPr>
        <w:t xml:space="preserve"> </w:t>
      </w:r>
      <w:r w:rsidRPr="00391FD9">
        <w:rPr>
          <w:rFonts w:ascii="Times New Roman" w:eastAsia="Times New Roman" w:hAnsi="Times New Roman" w:cs="Times New Roman"/>
          <w:sz w:val="28"/>
          <w:szCs w:val="28"/>
          <w:u w:val="single"/>
          <w:lang w:eastAsia="ru-RU"/>
        </w:rPr>
        <w:t>системных</w:t>
      </w:r>
      <w:r w:rsidR="008C2FC0" w:rsidRPr="00391FD9">
        <w:rPr>
          <w:rFonts w:ascii="Times New Roman" w:eastAsia="Times New Roman" w:hAnsi="Times New Roman" w:cs="Times New Roman"/>
          <w:sz w:val="28"/>
          <w:szCs w:val="28"/>
          <w:u w:val="single"/>
          <w:lang w:eastAsia="ru-RU"/>
        </w:rPr>
        <w:t xml:space="preserve"> </w:t>
      </w:r>
      <w:r w:rsidRPr="00391FD9">
        <w:rPr>
          <w:rFonts w:ascii="Times New Roman" w:eastAsia="Times New Roman" w:hAnsi="Times New Roman" w:cs="Times New Roman"/>
          <w:sz w:val="28"/>
          <w:szCs w:val="28"/>
          <w:u w:val="single"/>
          <w:lang w:eastAsia="ru-RU"/>
        </w:rPr>
        <w:t>действий,</w:t>
      </w:r>
      <w:r w:rsidR="008C2FC0" w:rsidRPr="00391FD9">
        <w:rPr>
          <w:rFonts w:ascii="Times New Roman" w:eastAsia="Times New Roman" w:hAnsi="Times New Roman" w:cs="Times New Roman"/>
          <w:sz w:val="28"/>
          <w:szCs w:val="28"/>
          <w:u w:val="single"/>
          <w:lang w:eastAsia="ru-RU"/>
        </w:rPr>
        <w:t xml:space="preserve"> </w:t>
      </w:r>
      <w:r w:rsidRPr="00391FD9">
        <w:rPr>
          <w:rFonts w:ascii="Times New Roman" w:eastAsia="Times New Roman" w:hAnsi="Times New Roman" w:cs="Times New Roman"/>
          <w:sz w:val="28"/>
          <w:szCs w:val="28"/>
          <w:u w:val="single"/>
          <w:lang w:eastAsia="ru-RU"/>
        </w:rPr>
        <w:t>направленных</w:t>
      </w:r>
      <w:r w:rsidR="008C2FC0" w:rsidRPr="00391FD9">
        <w:rPr>
          <w:rFonts w:ascii="Times New Roman" w:eastAsia="Times New Roman" w:hAnsi="Times New Roman" w:cs="Times New Roman"/>
          <w:sz w:val="28"/>
          <w:szCs w:val="28"/>
          <w:u w:val="single"/>
          <w:lang w:eastAsia="ru-RU"/>
        </w:rPr>
        <w:t xml:space="preserve"> </w:t>
      </w:r>
      <w:r w:rsidRPr="00391FD9">
        <w:rPr>
          <w:rFonts w:ascii="Times New Roman" w:eastAsia="Times New Roman" w:hAnsi="Times New Roman" w:cs="Times New Roman"/>
          <w:sz w:val="28"/>
          <w:szCs w:val="28"/>
          <w:u w:val="single"/>
          <w:lang w:eastAsia="ru-RU"/>
        </w:rPr>
        <w:t>на</w:t>
      </w:r>
      <w:r w:rsidR="008C2FC0" w:rsidRPr="00391FD9">
        <w:rPr>
          <w:rFonts w:ascii="Times New Roman" w:eastAsia="Times New Roman" w:hAnsi="Times New Roman" w:cs="Times New Roman"/>
          <w:sz w:val="28"/>
          <w:szCs w:val="28"/>
          <w:u w:val="single"/>
          <w:lang w:eastAsia="ru-RU"/>
        </w:rPr>
        <w:t xml:space="preserve"> </w:t>
      </w:r>
      <w:r w:rsidRPr="00391FD9">
        <w:rPr>
          <w:rFonts w:ascii="Times New Roman" w:eastAsia="Times New Roman" w:hAnsi="Times New Roman" w:cs="Times New Roman"/>
          <w:sz w:val="28"/>
          <w:szCs w:val="28"/>
          <w:u w:val="single"/>
          <w:lang w:eastAsia="ru-RU"/>
        </w:rPr>
        <w:t>обеспечение</w:t>
      </w:r>
      <w:r w:rsidR="008C2FC0" w:rsidRPr="00391FD9">
        <w:rPr>
          <w:rFonts w:ascii="Times New Roman" w:eastAsia="Times New Roman" w:hAnsi="Times New Roman" w:cs="Times New Roman"/>
          <w:sz w:val="28"/>
          <w:szCs w:val="28"/>
          <w:u w:val="single"/>
          <w:lang w:eastAsia="ru-RU"/>
        </w:rPr>
        <w:t xml:space="preserve"> </w:t>
      </w:r>
      <w:r w:rsidRPr="00391FD9">
        <w:rPr>
          <w:rFonts w:ascii="Times New Roman" w:eastAsia="Times New Roman" w:hAnsi="Times New Roman" w:cs="Times New Roman"/>
          <w:sz w:val="28"/>
          <w:szCs w:val="28"/>
          <w:u w:val="single"/>
          <w:lang w:eastAsia="ru-RU"/>
        </w:rPr>
        <w:t>сбалансированности</w:t>
      </w:r>
      <w:r w:rsidR="008C2FC0" w:rsidRPr="00391FD9">
        <w:rPr>
          <w:rFonts w:ascii="Times New Roman" w:eastAsia="Times New Roman" w:hAnsi="Times New Roman" w:cs="Times New Roman"/>
          <w:sz w:val="28"/>
          <w:szCs w:val="28"/>
          <w:u w:val="single"/>
          <w:lang w:eastAsia="ru-RU"/>
        </w:rPr>
        <w:t xml:space="preserve"> </w:t>
      </w:r>
      <w:r w:rsidRPr="00391FD9">
        <w:rPr>
          <w:rFonts w:ascii="Times New Roman" w:eastAsia="Times New Roman" w:hAnsi="Times New Roman" w:cs="Times New Roman"/>
          <w:sz w:val="28"/>
          <w:szCs w:val="28"/>
          <w:u w:val="single"/>
          <w:lang w:eastAsia="ru-RU"/>
        </w:rPr>
        <w:t>бюджетов,</w:t>
      </w:r>
      <w:r w:rsidR="008C2FC0" w:rsidRPr="00391FD9">
        <w:rPr>
          <w:rFonts w:ascii="Times New Roman" w:eastAsia="Times New Roman" w:hAnsi="Times New Roman" w:cs="Times New Roman"/>
          <w:sz w:val="28"/>
          <w:szCs w:val="28"/>
          <w:u w:val="single"/>
          <w:lang w:eastAsia="ru-RU"/>
        </w:rPr>
        <w:t xml:space="preserve"> </w:t>
      </w:r>
      <w:r w:rsidRPr="00391FD9">
        <w:rPr>
          <w:rFonts w:ascii="Times New Roman" w:eastAsia="Times New Roman" w:hAnsi="Times New Roman" w:cs="Times New Roman"/>
          <w:sz w:val="28"/>
          <w:szCs w:val="28"/>
          <w:u w:val="single"/>
          <w:lang w:eastAsia="ru-RU"/>
        </w:rPr>
        <w:t>повышение</w:t>
      </w:r>
      <w:r w:rsidR="008C2FC0" w:rsidRPr="00391FD9">
        <w:rPr>
          <w:rFonts w:ascii="Times New Roman" w:eastAsia="Times New Roman" w:hAnsi="Times New Roman" w:cs="Times New Roman"/>
          <w:sz w:val="28"/>
          <w:szCs w:val="28"/>
          <w:u w:val="single"/>
          <w:lang w:eastAsia="ru-RU"/>
        </w:rPr>
        <w:t xml:space="preserve"> </w:t>
      </w:r>
      <w:r w:rsidRPr="00391FD9">
        <w:rPr>
          <w:rFonts w:ascii="Times New Roman" w:eastAsia="Times New Roman" w:hAnsi="Times New Roman" w:cs="Times New Roman"/>
          <w:sz w:val="28"/>
          <w:szCs w:val="28"/>
          <w:u w:val="single"/>
          <w:lang w:eastAsia="ru-RU"/>
        </w:rPr>
        <w:t>эффективности</w:t>
      </w:r>
      <w:r w:rsidR="008C2FC0" w:rsidRPr="00391FD9">
        <w:rPr>
          <w:rFonts w:ascii="Times New Roman" w:eastAsia="Times New Roman" w:hAnsi="Times New Roman" w:cs="Times New Roman"/>
          <w:sz w:val="28"/>
          <w:szCs w:val="28"/>
          <w:u w:val="single"/>
          <w:lang w:eastAsia="ru-RU"/>
        </w:rPr>
        <w:t xml:space="preserve"> </w:t>
      </w:r>
      <w:r w:rsidRPr="00391FD9">
        <w:rPr>
          <w:rFonts w:ascii="Times New Roman" w:eastAsia="Times New Roman" w:hAnsi="Times New Roman" w:cs="Times New Roman"/>
          <w:sz w:val="28"/>
          <w:szCs w:val="28"/>
          <w:u w:val="single"/>
          <w:lang w:eastAsia="ru-RU"/>
        </w:rPr>
        <w:t>соответствующей</w:t>
      </w:r>
      <w:r w:rsidR="008C2FC0" w:rsidRPr="00391FD9">
        <w:rPr>
          <w:rFonts w:ascii="Times New Roman" w:eastAsia="Times New Roman" w:hAnsi="Times New Roman" w:cs="Times New Roman"/>
          <w:sz w:val="28"/>
          <w:szCs w:val="28"/>
          <w:u w:val="single"/>
          <w:lang w:eastAsia="ru-RU"/>
        </w:rPr>
        <w:t xml:space="preserve"> </w:t>
      </w:r>
      <w:r w:rsidRPr="00391FD9">
        <w:rPr>
          <w:rFonts w:ascii="Times New Roman" w:eastAsia="Times New Roman" w:hAnsi="Times New Roman" w:cs="Times New Roman"/>
          <w:sz w:val="28"/>
          <w:szCs w:val="28"/>
          <w:u w:val="single"/>
          <w:lang w:eastAsia="ru-RU"/>
        </w:rPr>
        <w:t>работы</w:t>
      </w:r>
    </w:p>
    <w:p w:rsidR="00AA7AF1" w:rsidRDefault="00226F4E" w:rsidP="00526D62">
      <w:pPr>
        <w:spacing w:after="0" w:line="276"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со</w:t>
      </w:r>
      <w:r w:rsidR="00946F01">
        <w:rPr>
          <w:rFonts w:ascii="Times New Roman" w:eastAsia="Times New Roman" w:hAnsi="Times New Roman"/>
          <w:color w:val="000000" w:themeColor="text1"/>
          <w:sz w:val="28"/>
          <w:szCs w:val="28"/>
          <w:lang w:eastAsia="ru-RU"/>
        </w:rPr>
        <w:t>о</w:t>
      </w:r>
      <w:r>
        <w:rPr>
          <w:rFonts w:ascii="Times New Roman" w:eastAsia="Times New Roman" w:hAnsi="Times New Roman"/>
          <w:color w:val="000000" w:themeColor="text1"/>
          <w:sz w:val="28"/>
          <w:szCs w:val="28"/>
          <w:lang w:eastAsia="ru-RU"/>
        </w:rPr>
        <w:t>тветствии</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с</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Методическими</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рекомендациями</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бюджетный</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прогноз</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должен</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разъяснять</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основные</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подходы</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и</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результаты</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прогнозирования</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долгосрочных</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тенденций</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развития</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бюджетной</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системы,</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предоставлять</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информацию</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механизм</w:t>
      </w:r>
      <w:r w:rsidRPr="00226F4E">
        <w:rPr>
          <w:rFonts w:ascii="Times New Roman" w:eastAsia="Times New Roman" w:hAnsi="Times New Roman"/>
          <w:color w:val="000000" w:themeColor="text1"/>
          <w:sz w:val="28"/>
          <w:szCs w:val="28"/>
          <w:lang w:eastAsia="ru-RU"/>
        </w:rPr>
        <w:t>ах</w:t>
      </w:r>
      <w:r w:rsidR="00AA7AF1" w:rsidRPr="00226F4E">
        <w:rPr>
          <w:rFonts w:ascii="Times New Roman" w:eastAsia="Times New Roman" w:hAnsi="Times New Roman"/>
          <w:color w:val="000000" w:themeColor="text1"/>
          <w:sz w:val="28"/>
          <w:szCs w:val="28"/>
          <w:lang w:eastAsia="ru-RU"/>
        </w:rPr>
        <w:t>,</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обеспечивающи</w:t>
      </w:r>
      <w:r w:rsidRPr="00226F4E">
        <w:rPr>
          <w:rFonts w:ascii="Times New Roman" w:eastAsia="Times New Roman" w:hAnsi="Times New Roman"/>
          <w:color w:val="000000" w:themeColor="text1"/>
          <w:sz w:val="28"/>
          <w:szCs w:val="28"/>
          <w:lang w:eastAsia="ru-RU"/>
        </w:rPr>
        <w:t>х</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достижение</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сбалансированности</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бюджетов</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и</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мер,</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направленных</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на</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повышение</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бюджетной</w:t>
      </w:r>
      <w:r w:rsidR="008C2FC0">
        <w:rPr>
          <w:rFonts w:ascii="Times New Roman" w:eastAsia="Times New Roman" w:hAnsi="Times New Roman"/>
          <w:color w:val="000000" w:themeColor="text1"/>
          <w:sz w:val="28"/>
          <w:szCs w:val="28"/>
          <w:lang w:eastAsia="ru-RU"/>
        </w:rPr>
        <w:t xml:space="preserve"> </w:t>
      </w:r>
      <w:r w:rsidR="00AA7AF1" w:rsidRPr="00226F4E">
        <w:rPr>
          <w:rFonts w:ascii="Times New Roman" w:eastAsia="Times New Roman" w:hAnsi="Times New Roman"/>
          <w:color w:val="000000" w:themeColor="text1"/>
          <w:sz w:val="28"/>
          <w:szCs w:val="28"/>
          <w:lang w:eastAsia="ru-RU"/>
        </w:rPr>
        <w:t>устойчивости.</w:t>
      </w:r>
      <w:r w:rsidR="008C2FC0">
        <w:rPr>
          <w:rFonts w:ascii="Times New Roman" w:eastAsia="Times New Roman" w:hAnsi="Times New Roman"/>
          <w:color w:val="000000" w:themeColor="text1"/>
          <w:sz w:val="28"/>
          <w:szCs w:val="28"/>
          <w:lang w:eastAsia="ru-RU"/>
        </w:rPr>
        <w:t xml:space="preserve"> </w:t>
      </w:r>
    </w:p>
    <w:p w:rsidR="00FA5706" w:rsidRDefault="00FA5706" w:rsidP="00526D62">
      <w:pPr>
        <w:spacing w:after="0" w:line="276" w:lineRule="auto"/>
        <w:jc w:val="both"/>
        <w:rPr>
          <w:rFonts w:ascii="Times New Roman CYR" w:hAnsi="Times New Roman CYR" w:cs="Times New Roman CYR"/>
          <w:color w:val="000000"/>
          <w:sz w:val="28"/>
          <w:szCs w:val="28"/>
        </w:rPr>
      </w:pPr>
      <w:r>
        <w:rPr>
          <w:rFonts w:ascii="Times New Roman" w:eastAsia="Times New Roman" w:hAnsi="Times New Roman"/>
          <w:color w:val="000000" w:themeColor="text1"/>
          <w:sz w:val="28"/>
          <w:szCs w:val="28"/>
          <w:lang w:eastAsia="ru-RU"/>
        </w:rPr>
        <w:t>Особенно</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это</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актуально</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условиях</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высокой</w:t>
      </w:r>
      <w:r w:rsidR="008C2FC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неопредел</w:t>
      </w:r>
      <w:r w:rsidR="00946F01">
        <w:rPr>
          <w:rFonts w:ascii="Times New Roman" w:eastAsia="Times New Roman" w:hAnsi="Times New Roman"/>
          <w:color w:val="000000" w:themeColor="text1"/>
          <w:sz w:val="28"/>
          <w:szCs w:val="28"/>
          <w:lang w:eastAsia="ru-RU"/>
        </w:rPr>
        <w:t>е</w:t>
      </w:r>
      <w:r>
        <w:rPr>
          <w:rFonts w:ascii="Times New Roman" w:eastAsia="Times New Roman" w:hAnsi="Times New Roman"/>
          <w:color w:val="000000" w:themeColor="text1"/>
          <w:sz w:val="28"/>
          <w:szCs w:val="28"/>
          <w:lang w:eastAsia="ru-RU"/>
        </w:rPr>
        <w:t>нности</w:t>
      </w:r>
      <w:r w:rsidR="008C2FC0">
        <w:rPr>
          <w:rFonts w:ascii="Times New Roman" w:eastAsia="Times New Roman" w:hAnsi="Times New Roman"/>
          <w:color w:val="000000" w:themeColor="text1"/>
          <w:sz w:val="28"/>
          <w:szCs w:val="28"/>
          <w:lang w:eastAsia="ru-RU"/>
        </w:rPr>
        <w:t xml:space="preserve"> </w:t>
      </w:r>
      <w:r w:rsidR="00C47CCA">
        <w:rPr>
          <w:rFonts w:ascii="Times New Roman CYR" w:hAnsi="Times New Roman CYR" w:cs="Times New Roman CYR"/>
          <w:color w:val="000000"/>
          <w:sz w:val="28"/>
          <w:szCs w:val="28"/>
        </w:rPr>
        <w:t>внешних</w:t>
      </w:r>
      <w:r w:rsidR="008C2FC0">
        <w:rPr>
          <w:rFonts w:ascii="Times New Roman CYR" w:hAnsi="Times New Roman CYR" w:cs="Times New Roman CYR"/>
          <w:color w:val="000000"/>
          <w:sz w:val="28"/>
          <w:szCs w:val="28"/>
        </w:rPr>
        <w:t xml:space="preserve"> </w:t>
      </w:r>
      <w:r w:rsidR="00C47CCA">
        <w:rPr>
          <w:rFonts w:ascii="Times New Roman CYR" w:hAnsi="Times New Roman CYR" w:cs="Times New Roman CYR"/>
          <w:color w:val="000000"/>
          <w:sz w:val="28"/>
          <w:szCs w:val="28"/>
        </w:rPr>
        <w:t>и</w:t>
      </w:r>
      <w:r w:rsidR="008C2FC0">
        <w:rPr>
          <w:rFonts w:ascii="Times New Roman CYR" w:hAnsi="Times New Roman CYR" w:cs="Times New Roman CYR"/>
          <w:color w:val="000000"/>
          <w:sz w:val="28"/>
          <w:szCs w:val="28"/>
        </w:rPr>
        <w:t xml:space="preserve"> </w:t>
      </w:r>
      <w:r w:rsidR="00C47CCA">
        <w:rPr>
          <w:rFonts w:ascii="Times New Roman CYR" w:hAnsi="Times New Roman CYR" w:cs="Times New Roman CYR"/>
          <w:color w:val="000000"/>
          <w:sz w:val="28"/>
          <w:szCs w:val="28"/>
        </w:rPr>
        <w:t>внутренних</w:t>
      </w:r>
      <w:r w:rsidR="008C2FC0">
        <w:rPr>
          <w:rFonts w:ascii="Times New Roman CYR" w:hAnsi="Times New Roman CYR" w:cs="Times New Roman CYR"/>
          <w:color w:val="000000"/>
          <w:sz w:val="28"/>
          <w:szCs w:val="28"/>
        </w:rPr>
        <w:t xml:space="preserve"> </w:t>
      </w:r>
      <w:r w:rsidR="00C47CCA">
        <w:rPr>
          <w:rFonts w:ascii="Times New Roman CYR" w:hAnsi="Times New Roman CYR" w:cs="Times New Roman CYR"/>
          <w:color w:val="000000"/>
          <w:sz w:val="28"/>
          <w:szCs w:val="28"/>
        </w:rPr>
        <w:t>факторов,</w:t>
      </w:r>
      <w:r w:rsidR="008C2FC0">
        <w:rPr>
          <w:rFonts w:ascii="Times New Roman CYR" w:hAnsi="Times New Roman CYR" w:cs="Times New Roman CYR"/>
          <w:color w:val="000000"/>
          <w:sz w:val="28"/>
          <w:szCs w:val="28"/>
        </w:rPr>
        <w:t xml:space="preserve"> </w:t>
      </w:r>
      <w:r w:rsidR="00C47CCA">
        <w:rPr>
          <w:rFonts w:ascii="Times New Roman CYR" w:hAnsi="Times New Roman CYR" w:cs="Times New Roman CYR"/>
          <w:color w:val="000000"/>
          <w:sz w:val="28"/>
          <w:szCs w:val="28"/>
        </w:rPr>
        <w:t>определяющих</w:t>
      </w:r>
      <w:r w:rsidR="008C2FC0">
        <w:rPr>
          <w:rFonts w:ascii="Times New Roman CYR" w:hAnsi="Times New Roman CYR" w:cs="Times New Roman CYR"/>
          <w:color w:val="000000"/>
          <w:sz w:val="28"/>
          <w:szCs w:val="28"/>
        </w:rPr>
        <w:t xml:space="preserve"> </w:t>
      </w:r>
      <w:r w:rsidR="00C47CCA">
        <w:rPr>
          <w:rFonts w:ascii="Times New Roman CYR" w:hAnsi="Times New Roman CYR" w:cs="Times New Roman CYR"/>
          <w:color w:val="000000"/>
          <w:sz w:val="28"/>
          <w:szCs w:val="28"/>
        </w:rPr>
        <w:t>и</w:t>
      </w:r>
      <w:r w:rsidR="008C2FC0">
        <w:rPr>
          <w:rFonts w:ascii="Times New Roman CYR" w:hAnsi="Times New Roman CYR" w:cs="Times New Roman CYR"/>
          <w:color w:val="000000"/>
          <w:sz w:val="28"/>
          <w:szCs w:val="28"/>
        </w:rPr>
        <w:t xml:space="preserve"> </w:t>
      </w:r>
      <w:r w:rsidR="00C47CCA">
        <w:rPr>
          <w:rFonts w:ascii="Times New Roman CYR" w:hAnsi="Times New Roman CYR" w:cs="Times New Roman CYR"/>
          <w:color w:val="000000"/>
          <w:sz w:val="28"/>
          <w:szCs w:val="28"/>
        </w:rPr>
        <w:t>влияющих</w:t>
      </w:r>
      <w:r w:rsidR="008C2FC0">
        <w:rPr>
          <w:rFonts w:ascii="Times New Roman CYR" w:hAnsi="Times New Roman CYR" w:cs="Times New Roman CYR"/>
          <w:color w:val="000000"/>
          <w:sz w:val="28"/>
          <w:szCs w:val="28"/>
        </w:rPr>
        <w:t xml:space="preserve"> </w:t>
      </w:r>
      <w:r w:rsidR="00C47CCA">
        <w:rPr>
          <w:rFonts w:ascii="Times New Roman CYR" w:hAnsi="Times New Roman CYR" w:cs="Times New Roman CYR"/>
          <w:color w:val="000000"/>
          <w:sz w:val="28"/>
          <w:szCs w:val="28"/>
        </w:rPr>
        <w:t>на</w:t>
      </w:r>
      <w:r w:rsidR="008C2FC0">
        <w:rPr>
          <w:rFonts w:ascii="Times New Roman CYR" w:hAnsi="Times New Roman CYR" w:cs="Times New Roman CYR"/>
          <w:color w:val="000000"/>
          <w:sz w:val="28"/>
          <w:szCs w:val="28"/>
        </w:rPr>
        <w:t xml:space="preserve"> </w:t>
      </w:r>
      <w:r w:rsidR="00C47CCA">
        <w:rPr>
          <w:rFonts w:ascii="Times New Roman CYR" w:hAnsi="Times New Roman CYR" w:cs="Times New Roman CYR"/>
          <w:color w:val="000000"/>
          <w:sz w:val="28"/>
          <w:szCs w:val="28"/>
        </w:rPr>
        <w:t>социально-</w:t>
      </w:r>
      <w:r>
        <w:rPr>
          <w:rFonts w:ascii="Times New Roman CYR" w:hAnsi="Times New Roman CYR" w:cs="Times New Roman CYR"/>
          <w:color w:val="000000"/>
          <w:sz w:val="28"/>
          <w:szCs w:val="28"/>
        </w:rPr>
        <w:t>экономическое</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развитие</w:t>
      </w:r>
      <w:r w:rsidR="008C2FC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региона.</w:t>
      </w:r>
      <w:r w:rsidR="00EE7F9A">
        <w:rPr>
          <w:rFonts w:ascii="Times New Roman CYR" w:hAnsi="Times New Roman CYR" w:cs="Times New Roman CYR"/>
          <w:color w:val="000000"/>
          <w:sz w:val="28"/>
          <w:szCs w:val="28"/>
        </w:rPr>
        <w:t xml:space="preserve"> </w:t>
      </w:r>
    </w:p>
    <w:p w:rsidR="00FA5706" w:rsidRDefault="00EE7F9A" w:rsidP="00526D62">
      <w:pPr>
        <w:spacing w:after="0"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бюджетных прогнозах </w:t>
      </w:r>
      <w:r w:rsidR="00201CCA">
        <w:rPr>
          <w:rFonts w:ascii="Times New Roman CYR" w:hAnsi="Times New Roman CYR" w:cs="Times New Roman CYR"/>
          <w:color w:val="000000"/>
          <w:sz w:val="28"/>
          <w:szCs w:val="28"/>
        </w:rPr>
        <w:t>большей части</w:t>
      </w:r>
      <w:r>
        <w:rPr>
          <w:rFonts w:ascii="Times New Roman CYR" w:hAnsi="Times New Roman CYR" w:cs="Times New Roman CYR"/>
          <w:color w:val="000000"/>
          <w:sz w:val="28"/>
          <w:szCs w:val="28"/>
        </w:rPr>
        <w:t xml:space="preserve"> субъектов РФ меры </w:t>
      </w:r>
      <w:r w:rsidR="00FA5706">
        <w:rPr>
          <w:rFonts w:ascii="Times New Roman CYR" w:hAnsi="Times New Roman CYR" w:cs="Times New Roman CYR"/>
          <w:color w:val="000000"/>
          <w:sz w:val="28"/>
          <w:szCs w:val="28"/>
        </w:rPr>
        <w:t>налоговой,</w:t>
      </w:r>
      <w:r w:rsidR="008C2FC0">
        <w:rPr>
          <w:rFonts w:ascii="Times New Roman CYR" w:hAnsi="Times New Roman CYR" w:cs="Times New Roman CYR"/>
          <w:color w:val="000000"/>
          <w:sz w:val="28"/>
          <w:szCs w:val="28"/>
        </w:rPr>
        <w:t xml:space="preserve"> </w:t>
      </w:r>
      <w:r w:rsidR="00FA5706">
        <w:rPr>
          <w:rFonts w:ascii="Times New Roman CYR" w:hAnsi="Times New Roman CYR" w:cs="Times New Roman CYR"/>
          <w:color w:val="000000"/>
          <w:sz w:val="28"/>
          <w:szCs w:val="28"/>
        </w:rPr>
        <w:t>бюджетной</w:t>
      </w:r>
      <w:r w:rsidR="008C2FC0">
        <w:rPr>
          <w:rFonts w:ascii="Times New Roman CYR" w:hAnsi="Times New Roman CYR" w:cs="Times New Roman CYR"/>
          <w:color w:val="000000"/>
          <w:sz w:val="28"/>
          <w:szCs w:val="28"/>
        </w:rPr>
        <w:t xml:space="preserve"> </w:t>
      </w:r>
      <w:r w:rsidR="00FA5706">
        <w:rPr>
          <w:rFonts w:ascii="Times New Roman CYR" w:hAnsi="Times New Roman CYR" w:cs="Times New Roman CYR"/>
          <w:color w:val="000000"/>
          <w:sz w:val="28"/>
          <w:szCs w:val="28"/>
        </w:rPr>
        <w:t>политики,</w:t>
      </w:r>
      <w:r w:rsidR="008C2FC0">
        <w:rPr>
          <w:rFonts w:ascii="Times New Roman CYR" w:hAnsi="Times New Roman CYR" w:cs="Times New Roman CYR"/>
          <w:color w:val="000000"/>
          <w:sz w:val="28"/>
          <w:szCs w:val="28"/>
        </w:rPr>
        <w:t xml:space="preserve"> </w:t>
      </w:r>
      <w:r w:rsidR="00FA5706">
        <w:rPr>
          <w:rFonts w:ascii="Times New Roman CYR" w:hAnsi="Times New Roman CYR" w:cs="Times New Roman CYR"/>
          <w:color w:val="000000"/>
          <w:sz w:val="28"/>
          <w:szCs w:val="28"/>
        </w:rPr>
        <w:t>а</w:t>
      </w:r>
      <w:r w:rsidR="008C2FC0">
        <w:rPr>
          <w:rFonts w:ascii="Times New Roman CYR" w:hAnsi="Times New Roman CYR" w:cs="Times New Roman CYR"/>
          <w:color w:val="000000"/>
          <w:sz w:val="28"/>
          <w:szCs w:val="28"/>
        </w:rPr>
        <w:t xml:space="preserve"> </w:t>
      </w:r>
      <w:r w:rsidR="00FA5706">
        <w:rPr>
          <w:rFonts w:ascii="Times New Roman CYR" w:hAnsi="Times New Roman CYR" w:cs="Times New Roman CYR"/>
          <w:color w:val="000000"/>
          <w:sz w:val="28"/>
          <w:szCs w:val="28"/>
        </w:rPr>
        <w:t>также</w:t>
      </w:r>
      <w:r w:rsidR="008C2FC0">
        <w:rPr>
          <w:rFonts w:ascii="Times New Roman CYR" w:hAnsi="Times New Roman CYR" w:cs="Times New Roman CYR"/>
          <w:color w:val="000000"/>
          <w:sz w:val="28"/>
          <w:szCs w:val="28"/>
        </w:rPr>
        <w:t xml:space="preserve"> </w:t>
      </w:r>
      <w:r w:rsidR="00FA5706">
        <w:rPr>
          <w:rFonts w:ascii="Times New Roman CYR" w:hAnsi="Times New Roman CYR" w:cs="Times New Roman CYR"/>
          <w:color w:val="000000"/>
          <w:sz w:val="28"/>
          <w:szCs w:val="28"/>
        </w:rPr>
        <w:t>политики</w:t>
      </w:r>
      <w:r w:rsidR="008C2FC0">
        <w:rPr>
          <w:rFonts w:ascii="Times New Roman CYR" w:hAnsi="Times New Roman CYR" w:cs="Times New Roman CYR"/>
          <w:color w:val="000000"/>
          <w:sz w:val="28"/>
          <w:szCs w:val="28"/>
        </w:rPr>
        <w:t xml:space="preserve"> </w:t>
      </w:r>
      <w:r w:rsidR="00FA5706">
        <w:rPr>
          <w:rFonts w:ascii="Times New Roman CYR" w:hAnsi="Times New Roman CYR" w:cs="Times New Roman CYR"/>
          <w:color w:val="000000"/>
          <w:sz w:val="28"/>
          <w:szCs w:val="28"/>
        </w:rPr>
        <w:t>в</w:t>
      </w:r>
      <w:r w:rsidR="008C2FC0">
        <w:rPr>
          <w:rFonts w:ascii="Times New Roman CYR" w:hAnsi="Times New Roman CYR" w:cs="Times New Roman CYR"/>
          <w:color w:val="000000"/>
          <w:sz w:val="28"/>
          <w:szCs w:val="28"/>
        </w:rPr>
        <w:t xml:space="preserve"> </w:t>
      </w:r>
      <w:r w:rsidR="00FA5706">
        <w:rPr>
          <w:rFonts w:ascii="Times New Roman CYR" w:hAnsi="Times New Roman CYR" w:cs="Times New Roman CYR"/>
          <w:color w:val="000000"/>
          <w:sz w:val="28"/>
          <w:szCs w:val="28"/>
        </w:rPr>
        <w:t>области</w:t>
      </w:r>
      <w:r w:rsidR="008C2FC0">
        <w:rPr>
          <w:rFonts w:ascii="Times New Roman CYR" w:hAnsi="Times New Roman CYR" w:cs="Times New Roman CYR"/>
          <w:color w:val="000000"/>
          <w:sz w:val="28"/>
          <w:szCs w:val="28"/>
        </w:rPr>
        <w:t xml:space="preserve"> </w:t>
      </w:r>
      <w:r w:rsidR="00FA5706">
        <w:rPr>
          <w:rFonts w:ascii="Times New Roman CYR" w:hAnsi="Times New Roman CYR" w:cs="Times New Roman CYR"/>
          <w:color w:val="000000"/>
          <w:sz w:val="28"/>
          <w:szCs w:val="28"/>
        </w:rPr>
        <w:t>управления</w:t>
      </w:r>
      <w:r w:rsidR="008C2FC0">
        <w:rPr>
          <w:rFonts w:ascii="Times New Roman CYR" w:hAnsi="Times New Roman CYR" w:cs="Times New Roman CYR"/>
          <w:color w:val="000000"/>
          <w:sz w:val="28"/>
          <w:szCs w:val="28"/>
        </w:rPr>
        <w:t xml:space="preserve"> </w:t>
      </w:r>
      <w:r w:rsidR="00FA5706">
        <w:rPr>
          <w:rFonts w:ascii="Times New Roman CYR" w:hAnsi="Times New Roman CYR" w:cs="Times New Roman CYR"/>
          <w:color w:val="000000"/>
          <w:sz w:val="28"/>
          <w:szCs w:val="28"/>
        </w:rPr>
        <w:t>государственным</w:t>
      </w:r>
      <w:r w:rsidR="008C2FC0">
        <w:rPr>
          <w:rFonts w:ascii="Times New Roman CYR" w:hAnsi="Times New Roman CYR" w:cs="Times New Roman CYR"/>
          <w:color w:val="000000"/>
          <w:sz w:val="28"/>
          <w:szCs w:val="28"/>
        </w:rPr>
        <w:t xml:space="preserve"> </w:t>
      </w:r>
      <w:r w:rsidR="00FA5706">
        <w:rPr>
          <w:rFonts w:ascii="Times New Roman CYR" w:hAnsi="Times New Roman CYR" w:cs="Times New Roman CYR"/>
          <w:color w:val="000000"/>
          <w:sz w:val="28"/>
          <w:szCs w:val="28"/>
        </w:rPr>
        <w:t>долгом,</w:t>
      </w:r>
      <w:r>
        <w:rPr>
          <w:rFonts w:ascii="Times New Roman CYR" w:hAnsi="Times New Roman CYR" w:cs="Times New Roman CYR"/>
          <w:color w:val="000000"/>
          <w:sz w:val="28"/>
          <w:szCs w:val="28"/>
        </w:rPr>
        <w:t xml:space="preserve"> предусматривают</w:t>
      </w:r>
      <w:r>
        <w:rPr>
          <w:rFonts w:ascii="Times New Roman CYR" w:hAnsi="Times New Roman CYR" w:cs="Times New Roman CYR"/>
          <w:color w:val="000000"/>
          <w:sz w:val="28"/>
          <w:szCs w:val="28"/>
        </w:rPr>
        <w:t>:</w:t>
      </w:r>
    </w:p>
    <w:p w:rsidR="00EE7F9A" w:rsidRDefault="00EE7F9A" w:rsidP="00526D62">
      <w:pPr>
        <w:spacing w:after="0"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области налоговой политики:</w:t>
      </w:r>
    </w:p>
    <w:p w:rsidR="00EE7F9A" w:rsidRPr="00451987" w:rsidRDefault="00EE7F9A" w:rsidP="00526D62">
      <w:pPr>
        <w:pStyle w:val="a4"/>
        <w:numPr>
          <w:ilvl w:val="0"/>
          <w:numId w:val="25"/>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расширение налогового потенциала на основе роста предпринимательской и инвестиционной деятельности, денежных доходов населения</w:t>
      </w:r>
      <w:r w:rsidR="00201CCA" w:rsidRPr="00451987">
        <w:rPr>
          <w:rFonts w:ascii="Times New Roman CYR" w:hAnsi="Times New Roman CYR" w:cs="Times New Roman CYR"/>
          <w:color w:val="000000"/>
          <w:sz w:val="28"/>
          <w:szCs w:val="28"/>
        </w:rPr>
        <w:t>;</w:t>
      </w:r>
    </w:p>
    <w:p w:rsidR="00EE7F9A" w:rsidRPr="00451987" w:rsidRDefault="00EE7F9A" w:rsidP="00526D62">
      <w:pPr>
        <w:pStyle w:val="a4"/>
        <w:numPr>
          <w:ilvl w:val="0"/>
          <w:numId w:val="25"/>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противодействие уклонению от уплаты налоговых платежей</w:t>
      </w:r>
      <w:r w:rsidR="00201CCA" w:rsidRPr="00451987">
        <w:rPr>
          <w:rFonts w:ascii="Times New Roman CYR" w:hAnsi="Times New Roman CYR" w:cs="Times New Roman CYR"/>
          <w:color w:val="000000"/>
          <w:sz w:val="28"/>
          <w:szCs w:val="28"/>
        </w:rPr>
        <w:t>,</w:t>
      </w:r>
      <w:r w:rsidRPr="00451987">
        <w:rPr>
          <w:rFonts w:ascii="Times New Roman CYR" w:hAnsi="Times New Roman CYR" w:cs="Times New Roman CYR"/>
          <w:color w:val="000000"/>
          <w:sz w:val="28"/>
          <w:szCs w:val="28"/>
        </w:rPr>
        <w:t xml:space="preserve"> выявлени</w:t>
      </w:r>
      <w:r w:rsidR="00201CCA" w:rsidRPr="00451987">
        <w:rPr>
          <w:rFonts w:ascii="Times New Roman CYR" w:hAnsi="Times New Roman CYR" w:cs="Times New Roman CYR"/>
          <w:color w:val="000000"/>
          <w:sz w:val="28"/>
          <w:szCs w:val="28"/>
        </w:rPr>
        <w:t>е</w:t>
      </w:r>
      <w:r w:rsidRPr="00451987">
        <w:rPr>
          <w:rFonts w:ascii="Times New Roman CYR" w:hAnsi="Times New Roman CYR" w:cs="Times New Roman CYR"/>
          <w:color w:val="000000"/>
          <w:sz w:val="28"/>
          <w:szCs w:val="28"/>
        </w:rPr>
        <w:t xml:space="preserve"> сокрытия налогооблагаемой базы</w:t>
      </w:r>
      <w:r w:rsidR="00201CCA" w:rsidRPr="00451987">
        <w:rPr>
          <w:rFonts w:ascii="Times New Roman CYR" w:hAnsi="Times New Roman CYR" w:cs="Times New Roman CYR"/>
          <w:color w:val="000000"/>
          <w:sz w:val="28"/>
          <w:szCs w:val="28"/>
        </w:rPr>
        <w:t>;</w:t>
      </w:r>
    </w:p>
    <w:p w:rsidR="00EE7F9A" w:rsidRPr="00451987" w:rsidRDefault="00EE7F9A" w:rsidP="00526D62">
      <w:pPr>
        <w:pStyle w:val="a4"/>
        <w:numPr>
          <w:ilvl w:val="0"/>
          <w:numId w:val="25"/>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проведение оценки налоговых расходов</w:t>
      </w:r>
      <w:r w:rsidR="00201CCA" w:rsidRPr="00451987">
        <w:rPr>
          <w:rFonts w:ascii="Times New Roman CYR" w:hAnsi="Times New Roman CYR" w:cs="Times New Roman CYR"/>
          <w:color w:val="000000"/>
          <w:sz w:val="28"/>
          <w:szCs w:val="28"/>
        </w:rPr>
        <w:t>;</w:t>
      </w:r>
    </w:p>
    <w:p w:rsidR="00EE7F9A" w:rsidRPr="00451987" w:rsidRDefault="00EE7F9A" w:rsidP="00526D62">
      <w:pPr>
        <w:pStyle w:val="a4"/>
        <w:numPr>
          <w:ilvl w:val="0"/>
          <w:numId w:val="25"/>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повышение эффективности управления имущественным комплексом и земельными ресурсами</w:t>
      </w:r>
      <w:r w:rsidR="00201CCA" w:rsidRPr="00451987">
        <w:rPr>
          <w:rFonts w:ascii="Times New Roman CYR" w:hAnsi="Times New Roman CYR" w:cs="Times New Roman CYR"/>
          <w:color w:val="000000"/>
          <w:sz w:val="28"/>
          <w:szCs w:val="28"/>
        </w:rPr>
        <w:t>;</w:t>
      </w:r>
    </w:p>
    <w:p w:rsidR="00EE7F9A" w:rsidRPr="00451987" w:rsidRDefault="00EE7F9A" w:rsidP="00526D62">
      <w:pPr>
        <w:pStyle w:val="a4"/>
        <w:numPr>
          <w:ilvl w:val="0"/>
          <w:numId w:val="25"/>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реализацию комплекса мер по обеспечению полноты учета объектов налогообложения</w:t>
      </w:r>
      <w:r w:rsidR="00201CCA" w:rsidRPr="00451987">
        <w:rPr>
          <w:rFonts w:ascii="Times New Roman CYR" w:hAnsi="Times New Roman CYR" w:cs="Times New Roman CYR"/>
          <w:color w:val="000000"/>
          <w:sz w:val="28"/>
          <w:szCs w:val="28"/>
        </w:rPr>
        <w:t>;</w:t>
      </w:r>
    </w:p>
    <w:p w:rsidR="00EE7F9A" w:rsidRPr="00451987" w:rsidRDefault="00EE7F9A" w:rsidP="00526D62">
      <w:pPr>
        <w:pStyle w:val="a4"/>
        <w:numPr>
          <w:ilvl w:val="0"/>
          <w:numId w:val="25"/>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 xml:space="preserve">усиление работы по легализации заработной платы работающего населения, дополнительному привлечению граждан к декларированию полученных доходов, в том числе от сдачи в аренду недвижимости, продажи недвижимости, транспортных средств, акций и </w:t>
      </w:r>
      <w:r w:rsidR="00775C21" w:rsidRPr="00451987">
        <w:rPr>
          <w:rFonts w:ascii="Times New Roman CYR" w:hAnsi="Times New Roman CYR" w:cs="Times New Roman CYR"/>
          <w:color w:val="000000"/>
          <w:sz w:val="28"/>
          <w:szCs w:val="28"/>
        </w:rPr>
        <w:t>др.</w:t>
      </w:r>
      <w:r w:rsidR="00201CCA" w:rsidRPr="00451987">
        <w:rPr>
          <w:rFonts w:ascii="Times New Roman CYR" w:hAnsi="Times New Roman CYR" w:cs="Times New Roman CYR"/>
          <w:color w:val="000000"/>
          <w:sz w:val="28"/>
          <w:szCs w:val="28"/>
        </w:rPr>
        <w:t>;</w:t>
      </w:r>
    </w:p>
    <w:p w:rsidR="00EE7F9A" w:rsidRPr="00451987" w:rsidRDefault="00EE7F9A" w:rsidP="00526D62">
      <w:pPr>
        <w:pStyle w:val="a4"/>
        <w:numPr>
          <w:ilvl w:val="0"/>
          <w:numId w:val="25"/>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повышение уровня собираемости платежей в бюджет и сокращение задолженности по их уплате</w:t>
      </w:r>
      <w:r w:rsidR="00201CCA" w:rsidRPr="00451987">
        <w:rPr>
          <w:rFonts w:ascii="Times New Roman CYR" w:hAnsi="Times New Roman CYR" w:cs="Times New Roman CYR"/>
          <w:color w:val="000000"/>
          <w:sz w:val="28"/>
          <w:szCs w:val="28"/>
        </w:rPr>
        <w:t>;</w:t>
      </w:r>
    </w:p>
    <w:p w:rsidR="00EE7F9A" w:rsidRPr="00451987" w:rsidRDefault="00EE7F9A" w:rsidP="00526D62">
      <w:pPr>
        <w:pStyle w:val="a4"/>
        <w:numPr>
          <w:ilvl w:val="0"/>
          <w:numId w:val="25"/>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активизацию работы по повышению поступлений от всех мер принудительного взыскания задолженности, обеспечение роста эффективности взыскания</w:t>
      </w:r>
      <w:r w:rsidR="00201CCA" w:rsidRPr="00451987">
        <w:rPr>
          <w:rFonts w:ascii="Times New Roman CYR" w:hAnsi="Times New Roman CYR" w:cs="Times New Roman CYR"/>
          <w:color w:val="000000"/>
          <w:sz w:val="28"/>
          <w:szCs w:val="28"/>
        </w:rPr>
        <w:t>;</w:t>
      </w:r>
    </w:p>
    <w:p w:rsidR="00EE7F9A" w:rsidRPr="00451987" w:rsidRDefault="00EE7F9A" w:rsidP="00526D62">
      <w:pPr>
        <w:pStyle w:val="a4"/>
        <w:numPr>
          <w:ilvl w:val="0"/>
          <w:numId w:val="25"/>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совершенствование налогового администрирования,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r w:rsidR="00A10AF5" w:rsidRPr="00451987">
        <w:rPr>
          <w:rFonts w:ascii="Times New Roman CYR" w:hAnsi="Times New Roman CYR" w:cs="Times New Roman CYR"/>
          <w:color w:val="000000"/>
          <w:sz w:val="28"/>
          <w:szCs w:val="28"/>
        </w:rPr>
        <w:t>.</w:t>
      </w:r>
    </w:p>
    <w:p w:rsidR="00EE7F9A" w:rsidRDefault="00201CCA" w:rsidP="00526D62">
      <w:pPr>
        <w:spacing w:after="0"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области бюджетной политики:</w:t>
      </w:r>
    </w:p>
    <w:p w:rsidR="00201CCA" w:rsidRPr="00451987" w:rsidRDefault="00201CCA"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ограничение темпа роста бюджетных расходов;</w:t>
      </w:r>
    </w:p>
    <w:p w:rsidR="00201CCA" w:rsidRPr="00451987" w:rsidRDefault="00201CCA"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lastRenderedPageBreak/>
        <w:t>обеспечение сбалансированного распределения имеющихся финансовых ресурсов между текущими социальными расходами и расходами на развитие;</w:t>
      </w:r>
    </w:p>
    <w:p w:rsidR="00201CCA" w:rsidRPr="00451987" w:rsidRDefault="00201CCA"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минимизацию дефицита;</w:t>
      </w:r>
    </w:p>
    <w:p w:rsidR="00201CCA" w:rsidRPr="00451987" w:rsidRDefault="00201CCA"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развитие системы организации закупок товаров, работ и услуг для государственных (муниципальных) нужд путем планирования закупок на этапе составления проекта бюджета на очередной финансовый год и плановый период с применением механизма нормирования в сфере закупок;</w:t>
      </w:r>
    </w:p>
    <w:p w:rsidR="00201CCA" w:rsidRPr="00451987" w:rsidRDefault="00201CCA"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повышение эффективности мер социальной поддержки населения в результате введения критерия нуждаемости и проведения анализа результативности предоставления конкретных видов поддержки;</w:t>
      </w:r>
    </w:p>
    <w:p w:rsidR="00201CCA" w:rsidRPr="00451987" w:rsidRDefault="00201CCA"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 xml:space="preserve">повышение эффективности оказания государственных (муниципальных) услуг, в том числе за счет </w:t>
      </w:r>
      <w:r w:rsidR="00451987">
        <w:rPr>
          <w:rFonts w:ascii="Times New Roman CYR" w:hAnsi="Times New Roman CYR" w:cs="Times New Roman CYR"/>
          <w:color w:val="000000"/>
          <w:sz w:val="28"/>
          <w:szCs w:val="28"/>
        </w:rPr>
        <w:t>(1) </w:t>
      </w:r>
      <w:r w:rsidRPr="00451987">
        <w:rPr>
          <w:rFonts w:ascii="Times New Roman CYR" w:hAnsi="Times New Roman CYR" w:cs="Times New Roman CYR"/>
          <w:color w:val="000000"/>
          <w:sz w:val="28"/>
          <w:szCs w:val="28"/>
        </w:rPr>
        <w:t xml:space="preserve">планирования расходов на выполнение государственных (муниципальных) заданий на основе базовых нормативов затрат; </w:t>
      </w:r>
      <w:r w:rsidR="00451987">
        <w:rPr>
          <w:rFonts w:ascii="Times New Roman CYR" w:hAnsi="Times New Roman CYR" w:cs="Times New Roman CYR"/>
          <w:color w:val="000000"/>
          <w:sz w:val="28"/>
          <w:szCs w:val="28"/>
        </w:rPr>
        <w:t>(2) </w:t>
      </w:r>
      <w:r w:rsidRPr="00451987">
        <w:rPr>
          <w:rFonts w:ascii="Times New Roman CYR" w:hAnsi="Times New Roman CYR" w:cs="Times New Roman CYR"/>
          <w:color w:val="000000"/>
          <w:sz w:val="28"/>
          <w:szCs w:val="28"/>
        </w:rPr>
        <w:t>включения в нормативные затраты по содержанию имущества только затрат на имущество, используемое для выполнения государственного (муни</w:t>
      </w:r>
      <w:r w:rsidR="00A10AF5" w:rsidRPr="00451987">
        <w:rPr>
          <w:rFonts w:ascii="Times New Roman CYR" w:hAnsi="Times New Roman CYR" w:cs="Times New Roman CYR"/>
          <w:color w:val="000000"/>
          <w:sz w:val="28"/>
          <w:szCs w:val="28"/>
        </w:rPr>
        <w:t xml:space="preserve">ципального) задания; </w:t>
      </w:r>
      <w:r w:rsidR="00451987">
        <w:rPr>
          <w:rFonts w:ascii="Times New Roman CYR" w:hAnsi="Times New Roman CYR" w:cs="Times New Roman CYR"/>
          <w:color w:val="000000"/>
          <w:sz w:val="28"/>
          <w:szCs w:val="28"/>
        </w:rPr>
        <w:t>(3) </w:t>
      </w:r>
      <w:r w:rsidR="00A10AF5" w:rsidRPr="00451987">
        <w:rPr>
          <w:rFonts w:ascii="Times New Roman CYR" w:hAnsi="Times New Roman CYR" w:cs="Times New Roman CYR"/>
          <w:color w:val="000000"/>
          <w:sz w:val="28"/>
          <w:szCs w:val="28"/>
        </w:rPr>
        <w:t>привлечени</w:t>
      </w:r>
      <w:r w:rsidR="00451987">
        <w:rPr>
          <w:rFonts w:ascii="Times New Roman CYR" w:hAnsi="Times New Roman CYR" w:cs="Times New Roman CYR"/>
          <w:color w:val="000000"/>
          <w:sz w:val="28"/>
          <w:szCs w:val="28"/>
        </w:rPr>
        <w:t>я</w:t>
      </w:r>
      <w:r w:rsidR="00A10AF5" w:rsidRPr="00451987">
        <w:rPr>
          <w:rFonts w:ascii="Times New Roman CYR" w:hAnsi="Times New Roman CYR" w:cs="Times New Roman CYR"/>
          <w:color w:val="000000"/>
          <w:sz w:val="28"/>
          <w:szCs w:val="28"/>
        </w:rPr>
        <w:t xml:space="preserve"> </w:t>
      </w:r>
      <w:r w:rsidRPr="00451987">
        <w:rPr>
          <w:rFonts w:ascii="Times New Roman CYR" w:hAnsi="Times New Roman CYR" w:cs="Times New Roman CYR"/>
          <w:color w:val="000000"/>
          <w:sz w:val="28"/>
          <w:szCs w:val="28"/>
        </w:rPr>
        <w:t>некоммерческих организаций социальной направленности к оказанию государственных (муниципальных) услуг;</w:t>
      </w:r>
    </w:p>
    <w:p w:rsidR="00201CCA" w:rsidRPr="00451987" w:rsidRDefault="00201CCA"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совершенствование инструментов программно-целевого планирования и управления путем планирования мероприятий государственных (муниципальных) программ с учетом приоритетов социально-экономического развития и реальных финансовых возможностей бюджетов, развити</w:t>
      </w:r>
      <w:r w:rsidR="00A10AF5" w:rsidRPr="00451987">
        <w:rPr>
          <w:rFonts w:ascii="Times New Roman CYR" w:hAnsi="Times New Roman CYR" w:cs="Times New Roman CYR"/>
          <w:color w:val="000000"/>
          <w:sz w:val="28"/>
          <w:szCs w:val="28"/>
        </w:rPr>
        <w:t>е</w:t>
      </w:r>
      <w:r w:rsidRPr="00451987">
        <w:rPr>
          <w:rFonts w:ascii="Times New Roman CYR" w:hAnsi="Times New Roman CYR" w:cs="Times New Roman CYR"/>
          <w:color w:val="000000"/>
          <w:sz w:val="28"/>
          <w:szCs w:val="28"/>
        </w:rPr>
        <w:t xml:space="preserve"> механизма проектного</w:t>
      </w:r>
      <w:r w:rsidR="00A10AF5" w:rsidRPr="00451987">
        <w:rPr>
          <w:rFonts w:ascii="Times New Roman CYR" w:hAnsi="Times New Roman CYR" w:cs="Times New Roman CYR"/>
          <w:color w:val="000000"/>
          <w:sz w:val="28"/>
          <w:szCs w:val="28"/>
        </w:rPr>
        <w:t xml:space="preserve"> управления, дальнейшее</w:t>
      </w:r>
      <w:r w:rsidRPr="00451987">
        <w:rPr>
          <w:rFonts w:ascii="Times New Roman CYR" w:hAnsi="Times New Roman CYR" w:cs="Times New Roman CYR"/>
          <w:color w:val="000000"/>
          <w:sz w:val="28"/>
          <w:szCs w:val="28"/>
        </w:rPr>
        <w:t xml:space="preserve"> совершенствовани</w:t>
      </w:r>
      <w:r w:rsidR="00A10AF5" w:rsidRPr="00451987">
        <w:rPr>
          <w:rFonts w:ascii="Times New Roman CYR" w:hAnsi="Times New Roman CYR" w:cs="Times New Roman CYR"/>
          <w:color w:val="000000"/>
          <w:sz w:val="28"/>
          <w:szCs w:val="28"/>
        </w:rPr>
        <w:t>е</w:t>
      </w:r>
      <w:r w:rsidRPr="00451987">
        <w:rPr>
          <w:rFonts w:ascii="Times New Roman CYR" w:hAnsi="Times New Roman CYR" w:cs="Times New Roman CYR"/>
          <w:color w:val="000000"/>
          <w:sz w:val="28"/>
          <w:szCs w:val="28"/>
        </w:rPr>
        <w:t xml:space="preserve"> системы оценки эффективности реализации государственных (муниципальных) программ;</w:t>
      </w:r>
    </w:p>
    <w:p w:rsidR="00201CCA" w:rsidRPr="00451987" w:rsidRDefault="00201CCA"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 xml:space="preserve">обеспечение прозрачности и открытости государственных финансов для общества; </w:t>
      </w:r>
    </w:p>
    <w:p w:rsidR="00A75424" w:rsidRDefault="00201CCA"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содействие в обеспечении сбалансированности местных бюджетов;</w:t>
      </w:r>
    </w:p>
    <w:p w:rsidR="00A75424" w:rsidRDefault="00A75424"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451987">
        <w:rPr>
          <w:rFonts w:ascii="Times New Roman CYR" w:hAnsi="Times New Roman CYR" w:cs="Times New Roman CYR"/>
          <w:color w:val="000000"/>
          <w:sz w:val="28"/>
          <w:szCs w:val="28"/>
        </w:rPr>
        <w:t>стимулирование органов местного самоуправления в увеличении собственной доходной базы</w:t>
      </w:r>
      <w:r w:rsidR="00451987">
        <w:rPr>
          <w:rFonts w:ascii="Times New Roman CYR" w:hAnsi="Times New Roman CYR" w:cs="Times New Roman CYR"/>
          <w:color w:val="000000"/>
          <w:sz w:val="28"/>
          <w:szCs w:val="28"/>
        </w:rPr>
        <w:t>;</w:t>
      </w:r>
    </w:p>
    <w:p w:rsidR="00A75424" w:rsidRDefault="00A75424"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A75424">
        <w:rPr>
          <w:rFonts w:ascii="Times New Roman CYR" w:hAnsi="Times New Roman CYR" w:cs="Times New Roman CYR"/>
          <w:color w:val="000000"/>
          <w:sz w:val="28"/>
          <w:szCs w:val="28"/>
        </w:rPr>
        <w:t>повышение эффективности предоставления целевых межбюджетных трансфертов</w:t>
      </w:r>
      <w:r w:rsidR="00451987">
        <w:rPr>
          <w:rFonts w:ascii="Times New Roman CYR" w:hAnsi="Times New Roman CYR" w:cs="Times New Roman CYR"/>
          <w:color w:val="000000"/>
          <w:sz w:val="28"/>
          <w:szCs w:val="28"/>
        </w:rPr>
        <w:t>.</w:t>
      </w:r>
    </w:p>
    <w:p w:rsidR="00201CCA" w:rsidRDefault="00201CCA" w:rsidP="00526D62">
      <w:pPr>
        <w:spacing w:after="0"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области </w:t>
      </w:r>
      <w:r w:rsidR="00A75424">
        <w:rPr>
          <w:rFonts w:ascii="Times New Roman CYR" w:hAnsi="Times New Roman CYR" w:cs="Times New Roman CYR"/>
          <w:color w:val="000000"/>
          <w:sz w:val="28"/>
          <w:szCs w:val="28"/>
        </w:rPr>
        <w:t>долговой политики</w:t>
      </w:r>
      <w:r>
        <w:rPr>
          <w:rFonts w:ascii="Times New Roman CYR" w:hAnsi="Times New Roman CYR" w:cs="Times New Roman CYR"/>
          <w:color w:val="000000"/>
          <w:sz w:val="28"/>
          <w:szCs w:val="28"/>
        </w:rPr>
        <w:t>:</w:t>
      </w:r>
    </w:p>
    <w:p w:rsidR="00201CCA" w:rsidRPr="00201CCA" w:rsidRDefault="00201CCA"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201CCA">
        <w:rPr>
          <w:rFonts w:ascii="Times New Roman CYR" w:hAnsi="Times New Roman CYR" w:cs="Times New Roman CYR"/>
          <w:color w:val="000000"/>
          <w:sz w:val="28"/>
          <w:szCs w:val="28"/>
        </w:rPr>
        <w:t>поддержание оптимального уровня государственного внутреннего долга;</w:t>
      </w:r>
    </w:p>
    <w:p w:rsidR="00201CCA" w:rsidRPr="00201CCA" w:rsidRDefault="00201CCA"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201CCA">
        <w:rPr>
          <w:rFonts w:ascii="Times New Roman CYR" w:hAnsi="Times New Roman CYR" w:cs="Times New Roman CYR"/>
          <w:color w:val="000000"/>
          <w:sz w:val="28"/>
          <w:szCs w:val="28"/>
        </w:rPr>
        <w:t>снижение уровня долговой нагрузки</w:t>
      </w:r>
      <w:r>
        <w:rPr>
          <w:rFonts w:ascii="Times New Roman CYR" w:hAnsi="Times New Roman CYR" w:cs="Times New Roman CYR"/>
          <w:color w:val="000000"/>
          <w:sz w:val="28"/>
          <w:szCs w:val="28"/>
        </w:rPr>
        <w:t>;</w:t>
      </w:r>
    </w:p>
    <w:p w:rsidR="00201CCA" w:rsidRDefault="00201CCA" w:rsidP="00526D62">
      <w:pPr>
        <w:pStyle w:val="a4"/>
        <w:numPr>
          <w:ilvl w:val="0"/>
          <w:numId w:val="27"/>
        </w:numPr>
        <w:tabs>
          <w:tab w:val="right" w:pos="426"/>
        </w:tabs>
        <w:spacing w:after="0" w:line="276" w:lineRule="auto"/>
        <w:ind w:left="425" w:hanging="425"/>
        <w:jc w:val="both"/>
        <w:rPr>
          <w:rFonts w:ascii="Times New Roman CYR" w:hAnsi="Times New Roman CYR" w:cs="Times New Roman CYR"/>
          <w:color w:val="000000"/>
          <w:sz w:val="28"/>
          <w:szCs w:val="28"/>
        </w:rPr>
      </w:pPr>
      <w:r w:rsidRPr="00201CCA">
        <w:rPr>
          <w:rFonts w:ascii="Times New Roman CYR" w:hAnsi="Times New Roman CYR" w:cs="Times New Roman CYR"/>
          <w:color w:val="000000"/>
          <w:sz w:val="28"/>
          <w:szCs w:val="28"/>
        </w:rPr>
        <w:t>обеспечение замещения коммерческих кредитов кредитами, предоставляемыми из федерального бюджета</w:t>
      </w:r>
      <w:r>
        <w:rPr>
          <w:rFonts w:ascii="Times New Roman CYR" w:hAnsi="Times New Roman CYR" w:cs="Times New Roman CYR"/>
          <w:color w:val="000000"/>
          <w:sz w:val="28"/>
          <w:szCs w:val="28"/>
        </w:rPr>
        <w:t>.</w:t>
      </w:r>
    </w:p>
    <w:p w:rsidR="00201CCA" w:rsidRDefault="00DE3FDF" w:rsidP="00526D62">
      <w:pPr>
        <w:spacing w:after="0"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качестве положительной практики необходимо отметить планируемые субъектами РФ в рамках бюджетного прогноза изменения политики налоговых льгот в части стимулирования налогоплательщиков к обновлению основных фондов, уточнения параметров льгот для резидентов территорий опережающего экономического развития, индустриальных промышленных парков, инвесторов, реализующих приоритетные инвестиционные проекты, участников концессионных соглашений и проектов ГЧП.</w:t>
      </w:r>
    </w:p>
    <w:p w:rsidR="002015E4" w:rsidRPr="00451987" w:rsidRDefault="002015E4" w:rsidP="00526D62">
      <w:pPr>
        <w:spacing w:after="0"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д</w:t>
      </w:r>
      <w:r w:rsidRPr="00451987">
        <w:rPr>
          <w:rFonts w:ascii="Times New Roman CYR" w:hAnsi="Times New Roman CYR" w:cs="Times New Roman CYR"/>
          <w:color w:val="000000"/>
          <w:sz w:val="28"/>
          <w:szCs w:val="28"/>
        </w:rPr>
        <w:t xml:space="preserve">ля обеспечения стабильности налоговой нагрузки и стимулирования притока на территорию </w:t>
      </w:r>
      <w:r>
        <w:rPr>
          <w:rFonts w:ascii="Times New Roman CYR" w:hAnsi="Times New Roman CYR" w:cs="Times New Roman CYR"/>
          <w:color w:val="000000"/>
          <w:sz w:val="28"/>
          <w:szCs w:val="28"/>
        </w:rPr>
        <w:t xml:space="preserve">региона </w:t>
      </w:r>
      <w:r w:rsidRPr="00451987">
        <w:rPr>
          <w:rFonts w:ascii="Times New Roman CYR" w:hAnsi="Times New Roman CYR" w:cs="Times New Roman CYR"/>
          <w:color w:val="000000"/>
          <w:sz w:val="28"/>
          <w:szCs w:val="28"/>
        </w:rPr>
        <w:t>иностранн</w:t>
      </w:r>
      <w:r>
        <w:rPr>
          <w:rFonts w:ascii="Times New Roman CYR" w:hAnsi="Times New Roman CYR" w:cs="Times New Roman CYR"/>
          <w:color w:val="000000"/>
          <w:sz w:val="28"/>
          <w:szCs w:val="28"/>
        </w:rPr>
        <w:t xml:space="preserve">ой рабочей силы </w:t>
      </w:r>
      <w:r w:rsidR="00451987">
        <w:rPr>
          <w:rFonts w:ascii="Times New Roman CYR" w:hAnsi="Times New Roman CYR" w:cs="Times New Roman CYR"/>
          <w:color w:val="000000"/>
          <w:sz w:val="28"/>
          <w:szCs w:val="28"/>
        </w:rPr>
        <w:t>в бюджетных прогнозах предусматривается</w:t>
      </w:r>
      <w:r w:rsidR="00451987" w:rsidRPr="00451987">
        <w:rPr>
          <w:rFonts w:ascii="Times New Roman CYR" w:hAnsi="Times New Roman CYR" w:cs="Times New Roman CYR"/>
          <w:color w:val="000000"/>
          <w:sz w:val="28"/>
          <w:szCs w:val="28"/>
        </w:rPr>
        <w:t xml:space="preserve"> </w:t>
      </w:r>
      <w:r w:rsidRPr="00451987">
        <w:rPr>
          <w:rFonts w:ascii="Times New Roman CYR" w:hAnsi="Times New Roman CYR" w:cs="Times New Roman CYR"/>
          <w:color w:val="000000"/>
          <w:sz w:val="28"/>
          <w:szCs w:val="28"/>
        </w:rPr>
        <w:t>сохранение коэффициента, отражающего региональные особенности рынка труда, применяемого в целях налогообложения доходов иностранных граждан, осуществляющих трудовую деятельность по найму на основании патента.</w:t>
      </w:r>
    </w:p>
    <w:p w:rsidR="00190856" w:rsidRDefault="001C0E53" w:rsidP="00526D62">
      <w:pPr>
        <w:spacing w:after="0"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Описание</w:t>
      </w:r>
      <w:r w:rsidRPr="00451987">
        <w:rPr>
          <w:rFonts w:ascii="Times New Roman CYR" w:hAnsi="Times New Roman CYR" w:cs="Times New Roman CYR"/>
          <w:color w:val="000000"/>
          <w:sz w:val="28"/>
          <w:szCs w:val="28"/>
        </w:rPr>
        <w:t xml:space="preserve"> налоговой политики </w:t>
      </w:r>
      <w:r>
        <w:rPr>
          <w:rFonts w:ascii="Times New Roman CYR" w:hAnsi="Times New Roman CYR" w:cs="Times New Roman CYR"/>
          <w:color w:val="000000"/>
          <w:sz w:val="28"/>
          <w:szCs w:val="28"/>
        </w:rPr>
        <w:t>включа</w:t>
      </w:r>
      <w:r w:rsidR="00A10AF5">
        <w:rPr>
          <w:rFonts w:ascii="Times New Roman CYR" w:hAnsi="Times New Roman CYR" w:cs="Times New Roman CYR"/>
          <w:color w:val="000000"/>
          <w:sz w:val="28"/>
          <w:szCs w:val="28"/>
        </w:rPr>
        <w:t>е</w:t>
      </w:r>
      <w:r>
        <w:rPr>
          <w:rFonts w:ascii="Times New Roman CYR" w:hAnsi="Times New Roman CYR" w:cs="Times New Roman CYR"/>
          <w:color w:val="000000"/>
          <w:sz w:val="28"/>
          <w:szCs w:val="28"/>
        </w:rPr>
        <w:t xml:space="preserve">т </w:t>
      </w:r>
      <w:r w:rsidR="00A10AF5">
        <w:rPr>
          <w:rFonts w:ascii="Times New Roman CYR" w:hAnsi="Times New Roman CYR" w:cs="Times New Roman CYR"/>
          <w:color w:val="000000"/>
          <w:sz w:val="28"/>
          <w:szCs w:val="28"/>
        </w:rPr>
        <w:t xml:space="preserve">также </w:t>
      </w:r>
      <w:r>
        <w:rPr>
          <w:rFonts w:ascii="Times New Roman CYR" w:hAnsi="Times New Roman CYR" w:cs="Times New Roman CYR"/>
          <w:color w:val="000000"/>
          <w:sz w:val="28"/>
          <w:szCs w:val="28"/>
        </w:rPr>
        <w:t>меры, направленн</w:t>
      </w:r>
      <w:r w:rsidR="002015E4">
        <w:rPr>
          <w:rFonts w:ascii="Times New Roman CYR" w:hAnsi="Times New Roman CYR" w:cs="Times New Roman CYR"/>
          <w:color w:val="000000"/>
          <w:sz w:val="28"/>
          <w:szCs w:val="28"/>
        </w:rPr>
        <w:t>ые на повышение</w:t>
      </w:r>
      <w:r w:rsidR="00A10AF5">
        <w:rPr>
          <w:rFonts w:ascii="Times New Roman CYR" w:hAnsi="Times New Roman CYR" w:cs="Times New Roman CYR"/>
          <w:color w:val="000000"/>
          <w:sz w:val="28"/>
          <w:szCs w:val="28"/>
        </w:rPr>
        <w:t xml:space="preserve"> доходной базы местных бюджетов (выявле</w:t>
      </w:r>
      <w:r w:rsidR="00DE3FDF" w:rsidRPr="00451987">
        <w:rPr>
          <w:rFonts w:ascii="Times New Roman CYR" w:hAnsi="Times New Roman CYR" w:cs="Times New Roman CYR"/>
          <w:color w:val="000000"/>
          <w:sz w:val="28"/>
          <w:szCs w:val="28"/>
        </w:rPr>
        <w:t>ни</w:t>
      </w:r>
      <w:r w:rsidR="002015E4" w:rsidRPr="00451987">
        <w:rPr>
          <w:rFonts w:ascii="Times New Roman CYR" w:hAnsi="Times New Roman CYR" w:cs="Times New Roman CYR"/>
          <w:color w:val="000000"/>
          <w:sz w:val="28"/>
          <w:szCs w:val="28"/>
        </w:rPr>
        <w:t>е</w:t>
      </w:r>
      <w:r w:rsidR="00FB5945">
        <w:rPr>
          <w:rFonts w:ascii="Times New Roman CYR" w:hAnsi="Times New Roman CYR" w:cs="Times New Roman CYR"/>
          <w:color w:val="000000"/>
          <w:sz w:val="28"/>
          <w:szCs w:val="28"/>
        </w:rPr>
        <w:t xml:space="preserve"> </w:t>
      </w:r>
      <w:r w:rsidR="00DE3FDF" w:rsidRPr="00451987">
        <w:rPr>
          <w:rFonts w:ascii="Times New Roman CYR" w:hAnsi="Times New Roman CYR" w:cs="Times New Roman CYR"/>
          <w:color w:val="000000"/>
          <w:sz w:val="28"/>
          <w:szCs w:val="28"/>
        </w:rPr>
        <w:t>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w:t>
      </w:r>
      <w:r w:rsidR="00190856" w:rsidRPr="00190856">
        <w:rPr>
          <w:rFonts w:ascii="Times New Roman CYR" w:hAnsi="Times New Roman CYR" w:cs="Times New Roman CYR"/>
          <w:color w:val="000000"/>
          <w:sz w:val="28"/>
          <w:szCs w:val="28"/>
        </w:rPr>
        <w:t>бходимых для исчисления налогов, ра</w:t>
      </w:r>
      <w:r w:rsidR="00190856" w:rsidRPr="0069718F">
        <w:rPr>
          <w:rFonts w:ascii="Times New Roman CYR" w:hAnsi="Times New Roman CYR" w:cs="Times New Roman CYR"/>
          <w:color w:val="000000"/>
          <w:sz w:val="28"/>
          <w:szCs w:val="28"/>
        </w:rPr>
        <w:t>звитие малых форматов торговли</w:t>
      </w:r>
      <w:r w:rsidR="00A10AF5">
        <w:rPr>
          <w:rFonts w:ascii="Times New Roman CYR" w:hAnsi="Times New Roman CYR" w:cs="Times New Roman CYR"/>
          <w:color w:val="000000"/>
          <w:sz w:val="28"/>
          <w:szCs w:val="28"/>
        </w:rPr>
        <w:t xml:space="preserve"> и пр</w:t>
      </w:r>
      <w:r w:rsidR="00190856" w:rsidRPr="0069718F">
        <w:rPr>
          <w:rFonts w:ascii="Times New Roman CYR" w:hAnsi="Times New Roman CYR" w:cs="Times New Roman CYR"/>
          <w:color w:val="000000"/>
          <w:sz w:val="28"/>
          <w:szCs w:val="28"/>
        </w:rPr>
        <w:t>.</w:t>
      </w:r>
      <w:r w:rsidR="00A10AF5">
        <w:rPr>
          <w:rFonts w:ascii="Times New Roman CYR" w:hAnsi="Times New Roman CYR" w:cs="Times New Roman CYR"/>
          <w:color w:val="000000"/>
          <w:sz w:val="28"/>
          <w:szCs w:val="28"/>
        </w:rPr>
        <w:t>).</w:t>
      </w:r>
    </w:p>
    <w:p w:rsidR="00363EA9" w:rsidRDefault="00363EA9" w:rsidP="00526D62">
      <w:pPr>
        <w:spacing w:after="0" w:line="276" w:lineRule="auto"/>
        <w:jc w:val="both"/>
        <w:rPr>
          <w:rFonts w:ascii="Times New Roman CYR" w:hAnsi="Times New Roman CYR" w:cs="Times New Roman CYR"/>
          <w:color w:val="000000"/>
          <w:sz w:val="28"/>
          <w:szCs w:val="28"/>
        </w:rPr>
      </w:pPr>
    </w:p>
    <w:tbl>
      <w:tblPr>
        <w:tblStyle w:val="Smalltable"/>
        <w:tblW w:w="9495" w:type="dxa"/>
        <w:jc w:val="center"/>
        <w:tblInd w:w="0" w:type="dxa"/>
        <w:tblLook w:val="04A0" w:firstRow="1" w:lastRow="0" w:firstColumn="1" w:lastColumn="0" w:noHBand="0" w:noVBand="1"/>
      </w:tblPr>
      <w:tblGrid>
        <w:gridCol w:w="9495"/>
      </w:tblGrid>
      <w:tr w:rsidR="00391FD9" w:rsidRPr="00E0414B" w:rsidTr="003F17DB">
        <w:trPr>
          <w:trHeight w:val="246"/>
          <w:jc w:val="center"/>
        </w:trPr>
        <w:tc>
          <w:tcPr>
            <w:tcW w:w="9495" w:type="dxa"/>
            <w:shd w:val="clear" w:color="auto" w:fill="auto"/>
          </w:tcPr>
          <w:p w:rsidR="00190856" w:rsidRPr="008B06F7" w:rsidRDefault="00190856" w:rsidP="00DE3FDF">
            <w:pPr>
              <w:pStyle w:val="GraphTitle"/>
              <w:rPr>
                <w:rFonts w:ascii="Times New Roman" w:hAnsi="Times New Roman"/>
                <w:b/>
                <w:sz w:val="24"/>
                <w:szCs w:val="20"/>
                <w:lang w:val="ru-RU"/>
              </w:rPr>
            </w:pPr>
            <w:r>
              <w:rPr>
                <w:rFonts w:ascii="Times New Roman" w:hAnsi="Times New Roman" w:cs="Times New Roman"/>
                <w:b/>
                <w:sz w:val="24"/>
                <w:szCs w:val="20"/>
                <w:lang w:val="ru-RU"/>
              </w:rPr>
              <w:t xml:space="preserve">Качественные показатели содержания бюджетных прогнозов субъектов </w:t>
            </w:r>
            <w:r w:rsidR="007E1F77">
              <w:rPr>
                <w:rFonts w:ascii="Times New Roman" w:hAnsi="Times New Roman" w:cs="Times New Roman"/>
                <w:b/>
                <w:sz w:val="24"/>
                <w:szCs w:val="20"/>
                <w:lang w:val="ru-RU"/>
              </w:rPr>
              <w:t>РФ</w:t>
            </w:r>
          </w:p>
        </w:tc>
      </w:tr>
      <w:tr w:rsidR="00391FD9" w:rsidRPr="00E65DE3" w:rsidTr="003F17DB">
        <w:trPr>
          <w:trHeight w:hRule="exact" w:val="34"/>
          <w:jc w:val="center"/>
        </w:trPr>
        <w:tc>
          <w:tcPr>
            <w:tcW w:w="9495" w:type="dxa"/>
            <w:tcBorders>
              <w:bottom w:val="single" w:sz="4" w:space="0" w:color="auto"/>
            </w:tcBorders>
            <w:shd w:val="clear" w:color="auto" w:fill="auto"/>
          </w:tcPr>
          <w:p w:rsidR="00391FD9" w:rsidRPr="00E65DE3" w:rsidRDefault="00391FD9" w:rsidP="00DE3FDF">
            <w:pPr>
              <w:pStyle w:val="TabText"/>
              <w:rPr>
                <w:rFonts w:ascii="Times New Roman" w:hAnsi="Times New Roman" w:cs="Times New Roman"/>
                <w:lang w:val="ru-RU"/>
              </w:rPr>
            </w:pPr>
          </w:p>
        </w:tc>
      </w:tr>
      <w:tr w:rsidR="00391FD9" w:rsidRPr="00E65DE3" w:rsidTr="003F17DB">
        <w:tblPrEx>
          <w:tblCellMar>
            <w:left w:w="108" w:type="dxa"/>
            <w:right w:w="108" w:type="dxa"/>
          </w:tblCellMar>
        </w:tblPrEx>
        <w:trPr>
          <w:trHeight w:val="2739"/>
          <w:jc w:val="center"/>
        </w:trPr>
        <w:tc>
          <w:tcPr>
            <w:tcW w:w="9495" w:type="dxa"/>
            <w:tcBorders>
              <w:top w:val="single" w:sz="4" w:space="0" w:color="auto"/>
              <w:bottom w:val="single" w:sz="4" w:space="0" w:color="auto"/>
            </w:tcBorders>
            <w:shd w:val="clear" w:color="auto" w:fill="auto"/>
            <w:tcMar>
              <w:left w:w="0" w:type="nil"/>
              <w:right w:w="0" w:type="nil"/>
            </w:tcMar>
          </w:tcPr>
          <w:p w:rsidR="00391FD9" w:rsidRPr="006C43A7" w:rsidRDefault="00890560" w:rsidP="00DE3FDF">
            <w:pPr>
              <w:pStyle w:val="TabText"/>
              <w:jc w:val="center"/>
              <w:rPr>
                <w:rFonts w:ascii="Century" w:hAnsi="Century" w:cs="Times New Roman"/>
                <w:lang w:val="ru-RU"/>
              </w:rPr>
            </w:pPr>
            <w:r>
              <w:rPr>
                <w:noProof/>
                <w:lang w:val="ru-RU" w:bidi="ar-SA"/>
              </w:rPr>
              <w:drawing>
                <wp:inline distT="0" distB="0" distL="0" distR="0" wp14:anchorId="665DBF8E" wp14:editId="358A9FB3">
                  <wp:extent cx="6029325" cy="2600076"/>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91FD9" w:rsidRPr="00E0414B" w:rsidTr="003F17DB">
        <w:trPr>
          <w:trHeight w:val="246"/>
          <w:jc w:val="center"/>
        </w:trPr>
        <w:tc>
          <w:tcPr>
            <w:tcW w:w="9495" w:type="dxa"/>
            <w:tcBorders>
              <w:top w:val="single" w:sz="4" w:space="0" w:color="auto"/>
            </w:tcBorders>
            <w:shd w:val="clear" w:color="auto" w:fill="auto"/>
          </w:tcPr>
          <w:p w:rsidR="00391FD9" w:rsidRPr="00E939A0" w:rsidRDefault="00391FD9" w:rsidP="00DE3FDF">
            <w:pPr>
              <w:pStyle w:val="SourceLarge"/>
              <w:spacing w:after="0"/>
              <w:rPr>
                <w:rFonts w:ascii="Times New Roman" w:hAnsi="Times New Roman" w:cs="Times New Roman"/>
                <w:i/>
                <w:sz w:val="14"/>
                <w:szCs w:val="14"/>
                <w:lang w:val="ru-RU"/>
              </w:rPr>
            </w:pPr>
            <w:r w:rsidRPr="00E939A0">
              <w:rPr>
                <w:rFonts w:ascii="Times New Roman" w:hAnsi="Times New Roman" w:cs="Times New Roman"/>
                <w:i/>
                <w:sz w:val="14"/>
                <w:szCs w:val="14"/>
                <w:lang w:val="ru-RU"/>
              </w:rPr>
              <w:t>Источник:</w:t>
            </w:r>
            <w:r w:rsidR="00FB5945">
              <w:rPr>
                <w:rFonts w:ascii="Times New Roman" w:hAnsi="Times New Roman" w:cs="Times New Roman"/>
                <w:i/>
                <w:sz w:val="14"/>
                <w:szCs w:val="14"/>
              </w:rPr>
              <w:t xml:space="preserve"> </w:t>
            </w:r>
            <w:r w:rsidR="0032482D">
              <w:rPr>
                <w:rFonts w:ascii="Times New Roman" w:hAnsi="Times New Roman" w:cs="Times New Roman"/>
                <w:i/>
                <w:sz w:val="14"/>
                <w:szCs w:val="14"/>
                <w:lang w:val="ru-RU"/>
              </w:rPr>
              <w:t xml:space="preserve">оценка </w:t>
            </w:r>
            <w:r w:rsidRPr="00E939A0">
              <w:rPr>
                <w:rFonts w:ascii="Times New Roman" w:hAnsi="Times New Roman" w:cs="Times New Roman"/>
                <w:i/>
                <w:sz w:val="14"/>
                <w:szCs w:val="14"/>
                <w:lang w:val="ru-RU"/>
              </w:rPr>
              <w:t>Минфин</w:t>
            </w:r>
            <w:r w:rsidR="0032482D">
              <w:rPr>
                <w:rFonts w:ascii="Times New Roman" w:hAnsi="Times New Roman" w:cs="Times New Roman"/>
                <w:i/>
                <w:sz w:val="14"/>
                <w:szCs w:val="14"/>
                <w:lang w:val="ru-RU"/>
              </w:rPr>
              <w:t>а</w:t>
            </w:r>
            <w:r w:rsidRPr="00E939A0">
              <w:rPr>
                <w:rFonts w:ascii="Times New Roman" w:hAnsi="Times New Roman" w:cs="Times New Roman"/>
                <w:i/>
                <w:sz w:val="14"/>
                <w:szCs w:val="14"/>
                <w:lang w:val="ru-RU"/>
              </w:rPr>
              <w:t xml:space="preserve"> России</w:t>
            </w:r>
          </w:p>
          <w:p w:rsidR="00391FD9" w:rsidRPr="009D6FC8" w:rsidRDefault="00391FD9" w:rsidP="00DE3FDF">
            <w:pPr>
              <w:pStyle w:val="SourceLarge"/>
              <w:spacing w:after="120"/>
              <w:rPr>
                <w:rFonts w:ascii="Times New Roman" w:hAnsi="Times New Roman" w:cs="Times New Roman"/>
                <w:i/>
                <w:lang w:val="ru-RU"/>
              </w:rPr>
            </w:pPr>
          </w:p>
        </w:tc>
      </w:tr>
    </w:tbl>
    <w:p w:rsidR="00363EA9" w:rsidRDefault="00363EA9" w:rsidP="00CE748E">
      <w:pPr>
        <w:spacing w:after="120" w:line="276" w:lineRule="auto"/>
        <w:jc w:val="both"/>
        <w:rPr>
          <w:rFonts w:ascii="Times New Roman" w:eastAsia="Times New Roman" w:hAnsi="Times New Roman" w:cs="Times New Roman"/>
          <w:b/>
          <w:sz w:val="28"/>
          <w:szCs w:val="28"/>
          <w:lang w:val="en-US" w:eastAsia="ru-RU"/>
        </w:rPr>
      </w:pPr>
    </w:p>
    <w:p w:rsidR="00857F7D" w:rsidRPr="008369C0" w:rsidRDefault="00857F7D" w:rsidP="00CE748E">
      <w:pPr>
        <w:spacing w:after="120" w:line="276" w:lineRule="auto"/>
        <w:jc w:val="both"/>
        <w:rPr>
          <w:rFonts w:ascii="Times New Roman" w:eastAsia="Times New Roman" w:hAnsi="Times New Roman" w:cs="Times New Roman"/>
          <w:b/>
          <w:sz w:val="28"/>
          <w:szCs w:val="28"/>
          <w:lang w:eastAsia="ru-RU"/>
        </w:rPr>
      </w:pPr>
      <w:r w:rsidRPr="008369C0">
        <w:rPr>
          <w:rFonts w:ascii="Times New Roman" w:eastAsia="Times New Roman" w:hAnsi="Times New Roman" w:cs="Times New Roman"/>
          <w:b/>
          <w:sz w:val="28"/>
          <w:szCs w:val="28"/>
          <w:lang w:val="en-US" w:eastAsia="ru-RU"/>
        </w:rPr>
        <w:t>III</w:t>
      </w:r>
      <w:r w:rsidRPr="008369C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0D1AAE">
        <w:rPr>
          <w:rFonts w:ascii="Times New Roman" w:eastAsia="Times New Roman" w:hAnsi="Times New Roman" w:cs="Times New Roman"/>
          <w:b/>
          <w:sz w:val="28"/>
          <w:szCs w:val="28"/>
          <w:lang w:eastAsia="ru-RU"/>
        </w:rPr>
        <w:t>Отражение ключевых р</w:t>
      </w:r>
      <w:r w:rsidRPr="008369C0">
        <w:rPr>
          <w:rFonts w:ascii="Times New Roman" w:eastAsia="Times New Roman" w:hAnsi="Times New Roman" w:cs="Times New Roman"/>
          <w:b/>
          <w:sz w:val="28"/>
          <w:szCs w:val="28"/>
          <w:lang w:eastAsia="ru-RU"/>
        </w:rPr>
        <w:t>иск</w:t>
      </w:r>
      <w:r w:rsidR="000D1AAE">
        <w:rPr>
          <w:rFonts w:ascii="Times New Roman" w:eastAsia="Times New Roman" w:hAnsi="Times New Roman" w:cs="Times New Roman"/>
          <w:b/>
          <w:sz w:val="28"/>
          <w:szCs w:val="28"/>
          <w:lang w:eastAsia="ru-RU"/>
        </w:rPr>
        <w:t>ов</w:t>
      </w:r>
      <w:r>
        <w:rPr>
          <w:rFonts w:ascii="Times New Roman" w:eastAsia="Times New Roman" w:hAnsi="Times New Roman" w:cs="Times New Roman"/>
          <w:b/>
          <w:sz w:val="28"/>
          <w:szCs w:val="28"/>
          <w:lang w:eastAsia="ru-RU"/>
        </w:rPr>
        <w:t xml:space="preserve"> </w:t>
      </w:r>
      <w:r w:rsidRPr="008369C0">
        <w:rPr>
          <w:rFonts w:ascii="Times New Roman" w:eastAsia="Times New Roman" w:hAnsi="Times New Roman" w:cs="Times New Roman"/>
          <w:b/>
          <w:sz w:val="28"/>
          <w:szCs w:val="28"/>
          <w:lang w:eastAsia="ru-RU"/>
        </w:rPr>
        <w:t>бюджетного</w:t>
      </w:r>
      <w:r>
        <w:rPr>
          <w:rFonts w:ascii="Times New Roman" w:eastAsia="Times New Roman" w:hAnsi="Times New Roman" w:cs="Times New Roman"/>
          <w:b/>
          <w:sz w:val="28"/>
          <w:szCs w:val="28"/>
          <w:lang w:eastAsia="ru-RU"/>
        </w:rPr>
        <w:t xml:space="preserve"> </w:t>
      </w:r>
      <w:r w:rsidRPr="008369C0">
        <w:rPr>
          <w:rFonts w:ascii="Times New Roman" w:eastAsia="Times New Roman" w:hAnsi="Times New Roman" w:cs="Times New Roman"/>
          <w:b/>
          <w:sz w:val="28"/>
          <w:szCs w:val="28"/>
          <w:lang w:eastAsia="ru-RU"/>
        </w:rPr>
        <w:t>прогноза</w:t>
      </w:r>
    </w:p>
    <w:p w:rsidR="00857F7D" w:rsidRPr="008369C0" w:rsidRDefault="00857F7D" w:rsidP="00CE748E">
      <w:pPr>
        <w:spacing w:after="0" w:line="276" w:lineRule="auto"/>
        <w:jc w:val="both"/>
        <w:rPr>
          <w:rFonts w:ascii="Times New Roman" w:eastAsia="Times New Roman" w:hAnsi="Times New Roman" w:cs="Times New Roman"/>
          <w:sz w:val="28"/>
          <w:szCs w:val="28"/>
          <w:lang w:eastAsia="ru-RU"/>
        </w:rPr>
      </w:pPr>
      <w:r w:rsidRPr="008369C0">
        <w:rPr>
          <w:rFonts w:ascii="Times New Roman" w:eastAsia="Times New Roman" w:hAnsi="Times New Roman" w:cs="Times New Roman"/>
          <w:sz w:val="28"/>
          <w:szCs w:val="28"/>
          <w:lang w:eastAsia="ru-RU"/>
        </w:rPr>
        <w:t>Достижение</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прогнозных</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значений</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бюджетного</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прогноза</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субъекта</w:t>
      </w:r>
      <w:r>
        <w:rPr>
          <w:rFonts w:ascii="Times New Roman" w:eastAsia="Times New Roman" w:hAnsi="Times New Roman" w:cs="Times New Roman"/>
          <w:sz w:val="28"/>
          <w:szCs w:val="28"/>
          <w:lang w:eastAsia="ru-RU"/>
        </w:rPr>
        <w:t xml:space="preserve"> </w:t>
      </w:r>
      <w:r w:rsidR="007E1F77">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подвержено</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влиянию</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широкого</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спектра</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факторов,</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характеризующихся</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неопределенностью.</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Снижение</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негативных</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последствий</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таких</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lastRenderedPageBreak/>
        <w:t>факторов</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возможно</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посредством</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определения</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рисков</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бюджетного</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прогноза</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субъекта</w:t>
      </w:r>
      <w:r>
        <w:rPr>
          <w:rFonts w:ascii="Times New Roman" w:eastAsia="Times New Roman" w:hAnsi="Times New Roman" w:cs="Times New Roman"/>
          <w:sz w:val="28"/>
          <w:szCs w:val="28"/>
          <w:lang w:eastAsia="ru-RU"/>
        </w:rPr>
        <w:t xml:space="preserve"> </w:t>
      </w:r>
      <w:r w:rsidR="007E1F77">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разработки</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превентивных</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направленных</w:t>
      </w:r>
      <w:r>
        <w:rPr>
          <w:rFonts w:ascii="Times New Roman" w:eastAsia="Times New Roman" w:hAnsi="Times New Roman" w:cs="Times New Roman"/>
          <w:sz w:val="28"/>
          <w:szCs w:val="28"/>
          <w:lang w:eastAsia="ru-RU"/>
        </w:rPr>
        <w:t xml:space="preserve"> на </w:t>
      </w:r>
      <w:r w:rsidRPr="008369C0">
        <w:rPr>
          <w:rFonts w:ascii="Times New Roman" w:eastAsia="Times New Roman" w:hAnsi="Times New Roman" w:cs="Times New Roman"/>
          <w:sz w:val="28"/>
          <w:szCs w:val="28"/>
          <w:lang w:eastAsia="ru-RU"/>
        </w:rPr>
        <w:t>предотвращение</w:t>
      </w:r>
      <w:r>
        <w:rPr>
          <w:rFonts w:ascii="Times New Roman" w:eastAsia="Times New Roman" w:hAnsi="Times New Roman" w:cs="Times New Roman"/>
          <w:sz w:val="28"/>
          <w:szCs w:val="28"/>
          <w:lang w:eastAsia="ru-RU"/>
        </w:rPr>
        <w:t xml:space="preserve"> </w:t>
      </w:r>
      <w:r w:rsidRPr="00BF3980">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рисковых</w:t>
      </w:r>
      <w:r>
        <w:rPr>
          <w:rFonts w:ascii="Times New Roman" w:eastAsia="Times New Roman" w:hAnsi="Times New Roman" w:cs="Times New Roman"/>
          <w:sz w:val="28"/>
          <w:szCs w:val="28"/>
          <w:lang w:eastAsia="ru-RU"/>
        </w:rPr>
        <w:t xml:space="preserve"> событий</w:t>
      </w:r>
      <w:r w:rsidRPr="008369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sidRPr="008369C0">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информации,</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представленной</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Минфин</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России</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органами</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государственной</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власти</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субъектов</w:t>
      </w:r>
      <w:r>
        <w:rPr>
          <w:rFonts w:ascii="Times New Roman" w:eastAsia="Times New Roman" w:hAnsi="Times New Roman" w:cs="Times New Roman"/>
          <w:sz w:val="28"/>
          <w:szCs w:val="28"/>
          <w:lang w:eastAsia="ru-RU"/>
        </w:rPr>
        <w:t xml:space="preserve"> </w:t>
      </w:r>
      <w:r w:rsidR="007E1F77">
        <w:rPr>
          <w:rFonts w:ascii="Times New Roman" w:eastAsia="Times New Roman" w:hAnsi="Times New Roman" w:cs="Times New Roman"/>
          <w:sz w:val="28"/>
          <w:szCs w:val="28"/>
          <w:lang w:eastAsia="ru-RU"/>
        </w:rPr>
        <w:t>РФ</w:t>
      </w:r>
      <w:r w:rsidRPr="008369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бюджетные</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прогнозы</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только</w:t>
      </w:r>
      <w:r w:rsidR="00173E64">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субъектов</w:t>
      </w:r>
      <w:r>
        <w:rPr>
          <w:rFonts w:ascii="Times New Roman" w:eastAsia="Times New Roman" w:hAnsi="Times New Roman" w:cs="Times New Roman"/>
          <w:sz w:val="28"/>
          <w:szCs w:val="28"/>
          <w:lang w:eastAsia="ru-RU"/>
        </w:rPr>
        <w:t xml:space="preserve"> </w:t>
      </w:r>
      <w:proofErr w:type="gramStart"/>
      <w:r w:rsidR="007E1F77">
        <w:rPr>
          <w:rFonts w:ascii="Times New Roman" w:eastAsia="Times New Roman" w:hAnsi="Times New Roman" w:cs="Times New Roman"/>
          <w:sz w:val="28"/>
          <w:szCs w:val="28"/>
          <w:lang w:eastAsia="ru-RU"/>
        </w:rPr>
        <w:t>РФ</w:t>
      </w:r>
      <w:r w:rsidR="00173E64">
        <w:rPr>
          <w:rFonts w:ascii="Times New Roman" w:eastAsia="Times New Roman" w:hAnsi="Times New Roman" w:cs="Times New Roman"/>
          <w:sz w:val="28"/>
          <w:szCs w:val="28"/>
          <w:lang w:eastAsia="ru-RU"/>
        </w:rPr>
        <w:br/>
      </w:r>
      <w:r w:rsidRPr="008369C0">
        <w:rPr>
          <w:rFonts w:ascii="Times New Roman" w:eastAsia="Times New Roman" w:hAnsi="Times New Roman" w:cs="Times New Roman"/>
          <w:sz w:val="28"/>
          <w:szCs w:val="28"/>
          <w:lang w:eastAsia="ru-RU"/>
        </w:rPr>
        <w:t>(</w:t>
      </w:r>
      <w:proofErr w:type="gramEnd"/>
      <w:r w:rsidRPr="008369C0">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региона)</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содержат</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описание</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рисков</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8369C0">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p>
    <w:p w:rsidR="00857F7D" w:rsidRDefault="00857F7D" w:rsidP="00CE748E">
      <w:pPr>
        <w:pStyle w:val="a4"/>
        <w:tabs>
          <w:tab w:val="left" w:pos="0"/>
        </w:tabs>
        <w:spacing w:after="0" w:line="276" w:lineRule="auto"/>
        <w:ind w:left="426"/>
        <w:contextualSpacing w:val="0"/>
        <w:jc w:val="both"/>
        <w:rPr>
          <w:rFonts w:ascii="Times New Roman" w:eastAsia="Times New Roman" w:hAnsi="Times New Roman" w:cs="Times New Roman"/>
          <w:bCs/>
          <w:sz w:val="28"/>
          <w:szCs w:val="28"/>
          <w:lang w:eastAsia="ru-RU"/>
        </w:rPr>
      </w:pPr>
    </w:p>
    <w:tbl>
      <w:tblPr>
        <w:tblStyle w:val="a3"/>
        <w:tblW w:w="9498" w:type="dxa"/>
        <w:tblInd w:w="-5" w:type="dxa"/>
        <w:tblLook w:val="04A0" w:firstRow="1" w:lastRow="0" w:firstColumn="1" w:lastColumn="0" w:noHBand="0" w:noVBand="1"/>
      </w:tblPr>
      <w:tblGrid>
        <w:gridCol w:w="554"/>
        <w:gridCol w:w="2498"/>
        <w:gridCol w:w="6446"/>
      </w:tblGrid>
      <w:tr w:rsidR="00857F7D" w:rsidRPr="002A033D" w:rsidTr="00CE2F86">
        <w:tc>
          <w:tcPr>
            <w:tcW w:w="554" w:type="dxa"/>
            <w:vAlign w:val="center"/>
          </w:tcPr>
          <w:p w:rsidR="00857F7D" w:rsidRPr="002A033D" w:rsidRDefault="00857F7D" w:rsidP="00CE2F86">
            <w:pPr>
              <w:pStyle w:val="a4"/>
              <w:tabs>
                <w:tab w:val="left" w:pos="0"/>
              </w:tabs>
              <w:spacing w:line="240" w:lineRule="auto"/>
              <w:ind w:left="0"/>
              <w:contextualSpacing w:val="0"/>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2A033D">
              <w:rPr>
                <w:rFonts w:ascii="Times New Roman" w:eastAsia="Times New Roman" w:hAnsi="Times New Roman" w:cs="Times New Roman"/>
                <w:bCs/>
                <w:sz w:val="24"/>
                <w:szCs w:val="24"/>
                <w:lang w:eastAsia="ru-RU"/>
              </w:rPr>
              <w:t>п/п</w:t>
            </w:r>
          </w:p>
        </w:tc>
        <w:tc>
          <w:tcPr>
            <w:tcW w:w="2498" w:type="dxa"/>
            <w:vAlign w:val="center"/>
          </w:tcPr>
          <w:p w:rsidR="00857F7D" w:rsidRPr="002A033D" w:rsidRDefault="00857F7D" w:rsidP="00CE2F86">
            <w:pPr>
              <w:pStyle w:val="a4"/>
              <w:tabs>
                <w:tab w:val="left" w:pos="0"/>
              </w:tabs>
              <w:spacing w:line="240" w:lineRule="auto"/>
              <w:ind w:left="0"/>
              <w:contextualSpacing w:val="0"/>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bCs/>
                <w:sz w:val="24"/>
                <w:szCs w:val="24"/>
                <w:lang w:eastAsia="ru-RU"/>
              </w:rPr>
              <w:t>Категория</w:t>
            </w:r>
            <w:r>
              <w:rPr>
                <w:rFonts w:ascii="Times New Roman" w:eastAsia="Times New Roman" w:hAnsi="Times New Roman" w:cs="Times New Roman"/>
                <w:bCs/>
                <w:sz w:val="24"/>
                <w:szCs w:val="24"/>
                <w:lang w:eastAsia="ru-RU"/>
              </w:rPr>
              <w:t xml:space="preserve"> </w:t>
            </w:r>
            <w:r w:rsidRPr="002A033D">
              <w:rPr>
                <w:rFonts w:ascii="Times New Roman" w:eastAsia="Times New Roman" w:hAnsi="Times New Roman" w:cs="Times New Roman"/>
                <w:bCs/>
                <w:sz w:val="24"/>
                <w:szCs w:val="24"/>
                <w:lang w:eastAsia="ru-RU"/>
              </w:rPr>
              <w:t>рисков</w:t>
            </w:r>
            <w:r>
              <w:rPr>
                <w:rFonts w:ascii="Times New Roman" w:eastAsia="Times New Roman" w:hAnsi="Times New Roman" w:cs="Times New Roman"/>
                <w:bCs/>
                <w:sz w:val="24"/>
                <w:szCs w:val="24"/>
                <w:lang w:eastAsia="ru-RU"/>
              </w:rPr>
              <w:t xml:space="preserve"> </w:t>
            </w:r>
            <w:r w:rsidRPr="00AE5396">
              <w:rPr>
                <w:rFonts w:ascii="Times New Roman" w:eastAsia="Times New Roman" w:hAnsi="Times New Roman" w:cs="Times New Roman"/>
                <w:bCs/>
                <w:lang w:eastAsia="ru-RU"/>
              </w:rPr>
              <w:t>(количество субъектов РФ, указавших наличие данных рисков)</w:t>
            </w:r>
          </w:p>
        </w:tc>
        <w:tc>
          <w:tcPr>
            <w:tcW w:w="6446" w:type="dxa"/>
          </w:tcPr>
          <w:p w:rsidR="00857F7D" w:rsidRDefault="00857F7D" w:rsidP="00CE2F86">
            <w:pPr>
              <w:pStyle w:val="a4"/>
              <w:tabs>
                <w:tab w:val="left" w:pos="0"/>
              </w:tabs>
              <w:spacing w:line="240" w:lineRule="auto"/>
              <w:ind w:left="0"/>
              <w:contextualSpacing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Подкатегория рисков</w:t>
            </w:r>
          </w:p>
          <w:p w:rsidR="00857F7D" w:rsidRPr="002A033D" w:rsidRDefault="00857F7D" w:rsidP="00CE2F86">
            <w:pPr>
              <w:pStyle w:val="a4"/>
              <w:tabs>
                <w:tab w:val="left" w:pos="0"/>
              </w:tabs>
              <w:spacing w:line="240" w:lineRule="auto"/>
              <w:ind w:left="0"/>
              <w:contextualSpacing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субъектов РФ, указавших наличие данных рисков)</w:t>
            </w:r>
          </w:p>
        </w:tc>
      </w:tr>
      <w:tr w:rsidR="00857F7D" w:rsidRPr="002A033D" w:rsidTr="00CE2F86">
        <w:tc>
          <w:tcPr>
            <w:tcW w:w="554" w:type="dxa"/>
            <w:vAlign w:val="center"/>
          </w:tcPr>
          <w:p w:rsidR="00857F7D" w:rsidRPr="002A033D" w:rsidRDefault="00857F7D" w:rsidP="00CE2F86">
            <w:pPr>
              <w:tabs>
                <w:tab w:val="left" w:pos="0"/>
              </w:tabs>
              <w:spacing w:line="240" w:lineRule="auto"/>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bCs/>
                <w:sz w:val="24"/>
                <w:szCs w:val="24"/>
                <w:lang w:eastAsia="ru-RU"/>
              </w:rPr>
              <w:t>1</w:t>
            </w:r>
          </w:p>
        </w:tc>
        <w:tc>
          <w:tcPr>
            <w:tcW w:w="2498" w:type="dxa"/>
            <w:vAlign w:val="center"/>
          </w:tcPr>
          <w:p w:rsidR="00857F7D" w:rsidRPr="002A033D" w:rsidRDefault="00857F7D" w:rsidP="00CE2F86">
            <w:pPr>
              <w:pStyle w:val="a4"/>
              <w:tabs>
                <w:tab w:val="left" w:pos="0"/>
              </w:tabs>
              <w:spacing w:line="240" w:lineRule="auto"/>
              <w:ind w:left="0"/>
              <w:contextualSpacing w:val="0"/>
              <w:jc w:val="center"/>
              <w:rPr>
                <w:rFonts w:ascii="Times New Roman" w:eastAsia="Times New Roman" w:hAnsi="Times New Roman" w:cs="Times New Roman"/>
                <w:sz w:val="24"/>
                <w:szCs w:val="24"/>
                <w:lang w:eastAsia="ru-RU"/>
              </w:rPr>
            </w:pPr>
            <w:r w:rsidRPr="002A033D">
              <w:rPr>
                <w:rFonts w:ascii="Times New Roman" w:eastAsia="Times New Roman" w:hAnsi="Times New Roman" w:cs="Times New Roman"/>
                <w:sz w:val="24"/>
                <w:szCs w:val="24"/>
                <w:lang w:eastAsia="ru-RU"/>
              </w:rPr>
              <w:t>бюджетные</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налоговые</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риски</w:t>
            </w:r>
          </w:p>
          <w:p w:rsidR="00857F7D" w:rsidRPr="002A033D" w:rsidRDefault="00857F7D" w:rsidP="00CE2F86">
            <w:pPr>
              <w:pStyle w:val="a4"/>
              <w:tabs>
                <w:tab w:val="left" w:pos="0"/>
              </w:tabs>
              <w:spacing w:line="240" w:lineRule="auto"/>
              <w:ind w:left="0"/>
              <w:contextualSpacing w:val="0"/>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sz w:val="24"/>
                <w:szCs w:val="24"/>
                <w:lang w:eastAsia="ru-RU"/>
              </w:rPr>
              <w:t>(40)</w:t>
            </w:r>
          </w:p>
        </w:tc>
        <w:tc>
          <w:tcPr>
            <w:tcW w:w="6446" w:type="dxa"/>
          </w:tcPr>
          <w:p w:rsidR="00857F7D" w:rsidRPr="00ED2F9C" w:rsidRDefault="00857F7D" w:rsidP="00CE2F86">
            <w:pPr>
              <w:tabs>
                <w:tab w:val="left" w:pos="0"/>
              </w:tabs>
              <w:spacing w:line="240" w:lineRule="auto"/>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о</w:t>
            </w:r>
            <w:r w:rsidRPr="00ED2F9C">
              <w:rPr>
                <w:rFonts w:ascii="Times New Roman" w:eastAsia="Times New Roman" w:hAnsi="Times New Roman" w:cs="Times New Roman"/>
                <w:sz w:val="24"/>
                <w:szCs w:val="24"/>
                <w:lang w:eastAsia="ru-RU"/>
              </w:rPr>
              <w:t>бщий риск изменения федерального законодательства</w:t>
            </w:r>
            <w:r>
              <w:rPr>
                <w:rFonts w:ascii="Times New Roman" w:eastAsia="Times New Roman" w:hAnsi="Times New Roman" w:cs="Times New Roman"/>
                <w:sz w:val="24"/>
                <w:szCs w:val="24"/>
                <w:lang w:eastAsia="ru-RU"/>
              </w:rPr>
              <w:t xml:space="preserve"> (24)</w:t>
            </w:r>
          </w:p>
          <w:p w:rsidR="00857F7D" w:rsidRPr="00ED2F9C" w:rsidRDefault="00857F7D" w:rsidP="00CE2F86">
            <w:pPr>
              <w:tabs>
                <w:tab w:val="left" w:pos="0"/>
              </w:tabs>
              <w:spacing w:line="240" w:lineRule="auto"/>
              <w:jc w:val="both"/>
              <w:rPr>
                <w:rFonts w:ascii="Times New Roman" w:eastAsia="Times New Roman" w:hAnsi="Times New Roman" w:cs="Times New Roman"/>
                <w:sz w:val="24"/>
                <w:szCs w:val="24"/>
                <w:lang w:eastAsia="ru-RU"/>
              </w:rPr>
            </w:pPr>
            <w:r>
              <w:t>– </w:t>
            </w:r>
            <w:r>
              <w:rPr>
                <w:rFonts w:ascii="Times New Roman" w:eastAsia="Times New Roman" w:hAnsi="Times New Roman" w:cs="Times New Roman"/>
                <w:sz w:val="24"/>
                <w:szCs w:val="24"/>
                <w:lang w:eastAsia="ru-RU"/>
              </w:rPr>
              <w:t>у</w:t>
            </w:r>
            <w:r w:rsidRPr="00ED2F9C">
              <w:rPr>
                <w:rFonts w:ascii="Times New Roman" w:eastAsia="Times New Roman" w:hAnsi="Times New Roman" w:cs="Times New Roman"/>
                <w:sz w:val="24"/>
                <w:szCs w:val="24"/>
                <w:lang w:eastAsia="ru-RU"/>
              </w:rPr>
              <w:t>становление (передача) новых расходных обязательств субъектов РФ</w:t>
            </w:r>
            <w:r>
              <w:rPr>
                <w:rFonts w:ascii="Times New Roman" w:eastAsia="Times New Roman" w:hAnsi="Times New Roman" w:cs="Times New Roman"/>
                <w:sz w:val="24"/>
                <w:szCs w:val="24"/>
                <w:lang w:eastAsia="ru-RU"/>
              </w:rPr>
              <w:t xml:space="preserve"> (21)</w:t>
            </w:r>
          </w:p>
          <w:p w:rsidR="00857F7D" w:rsidRPr="00ED2F9C" w:rsidRDefault="00857F7D" w:rsidP="00CE2F86">
            <w:pPr>
              <w:tabs>
                <w:tab w:val="left" w:pos="0"/>
              </w:tabs>
              <w:spacing w:line="240" w:lineRule="auto"/>
              <w:jc w:val="both"/>
              <w:rPr>
                <w:rFonts w:ascii="Times New Roman" w:eastAsia="Times New Roman" w:hAnsi="Times New Roman" w:cs="Times New Roman"/>
                <w:sz w:val="24"/>
                <w:szCs w:val="24"/>
                <w:lang w:eastAsia="ru-RU"/>
              </w:rPr>
            </w:pPr>
            <w:r>
              <w:t>– </w:t>
            </w:r>
            <w:r>
              <w:rPr>
                <w:rFonts w:ascii="Times New Roman" w:eastAsia="Times New Roman" w:hAnsi="Times New Roman" w:cs="Times New Roman"/>
                <w:sz w:val="24"/>
                <w:szCs w:val="24"/>
                <w:lang w:eastAsia="ru-RU"/>
              </w:rPr>
              <w:t>с</w:t>
            </w:r>
            <w:r w:rsidRPr="00ED2F9C">
              <w:rPr>
                <w:rFonts w:ascii="Times New Roman" w:eastAsia="Times New Roman" w:hAnsi="Times New Roman" w:cs="Times New Roman"/>
                <w:sz w:val="24"/>
                <w:szCs w:val="24"/>
                <w:lang w:eastAsia="ru-RU"/>
              </w:rPr>
              <w:t>окращение МБТ из федерального бюджета</w:t>
            </w:r>
            <w:r>
              <w:rPr>
                <w:rFonts w:ascii="Times New Roman" w:eastAsia="Times New Roman" w:hAnsi="Times New Roman" w:cs="Times New Roman"/>
                <w:sz w:val="24"/>
                <w:szCs w:val="24"/>
                <w:lang w:eastAsia="ru-RU"/>
              </w:rPr>
              <w:t xml:space="preserve"> (16)</w:t>
            </w:r>
          </w:p>
          <w:p w:rsidR="00857F7D" w:rsidRPr="00ED2F9C" w:rsidRDefault="00857F7D" w:rsidP="00CE2F86">
            <w:pPr>
              <w:tabs>
                <w:tab w:val="left" w:pos="0"/>
              </w:tabs>
              <w:spacing w:line="240" w:lineRule="auto"/>
              <w:jc w:val="both"/>
              <w:rPr>
                <w:rFonts w:ascii="Times New Roman" w:eastAsia="Times New Roman" w:hAnsi="Times New Roman" w:cs="Times New Roman"/>
                <w:sz w:val="24"/>
                <w:szCs w:val="24"/>
                <w:lang w:eastAsia="ru-RU"/>
              </w:rPr>
            </w:pPr>
            <w:r>
              <w:t>– </w:t>
            </w:r>
            <w:r>
              <w:rPr>
                <w:rFonts w:ascii="Times New Roman" w:eastAsia="Times New Roman" w:hAnsi="Times New Roman" w:cs="Times New Roman"/>
                <w:sz w:val="24"/>
                <w:szCs w:val="24"/>
                <w:lang w:eastAsia="ru-RU"/>
              </w:rPr>
              <w:t>с</w:t>
            </w:r>
            <w:r w:rsidRPr="00ED2F9C">
              <w:rPr>
                <w:rFonts w:ascii="Times New Roman" w:eastAsia="Times New Roman" w:hAnsi="Times New Roman" w:cs="Times New Roman"/>
                <w:sz w:val="24"/>
                <w:szCs w:val="24"/>
                <w:lang w:eastAsia="ru-RU"/>
              </w:rPr>
              <w:t>нижение доходной базы бюджетов субъектов РФ</w:t>
            </w:r>
            <w:r>
              <w:rPr>
                <w:rFonts w:ascii="Times New Roman" w:eastAsia="Times New Roman" w:hAnsi="Times New Roman" w:cs="Times New Roman"/>
                <w:sz w:val="24"/>
                <w:szCs w:val="24"/>
                <w:lang w:eastAsia="ru-RU"/>
              </w:rPr>
              <w:t xml:space="preserve"> (9)</w:t>
            </w:r>
          </w:p>
          <w:p w:rsidR="00857F7D" w:rsidRPr="002A033D" w:rsidRDefault="00857F7D" w:rsidP="00CE2F86">
            <w:pPr>
              <w:tabs>
                <w:tab w:val="left" w:pos="0"/>
              </w:tabs>
              <w:spacing w:line="240" w:lineRule="auto"/>
              <w:jc w:val="both"/>
              <w:rPr>
                <w:rFonts w:ascii="Times New Roman" w:eastAsia="Times New Roman" w:hAnsi="Times New Roman" w:cs="Times New Roman"/>
                <w:sz w:val="24"/>
                <w:szCs w:val="24"/>
                <w:lang w:eastAsia="ru-RU"/>
              </w:rPr>
            </w:pPr>
            <w:r>
              <w:t>– </w:t>
            </w:r>
            <w:r>
              <w:rPr>
                <w:rFonts w:ascii="Times New Roman" w:eastAsia="Times New Roman" w:hAnsi="Times New Roman" w:cs="Times New Roman"/>
                <w:sz w:val="24"/>
                <w:szCs w:val="24"/>
                <w:lang w:eastAsia="ru-RU"/>
              </w:rPr>
              <w:t>п</w:t>
            </w:r>
            <w:r w:rsidRPr="00ED2F9C">
              <w:rPr>
                <w:rFonts w:ascii="Times New Roman" w:eastAsia="Times New Roman" w:hAnsi="Times New Roman" w:cs="Times New Roman"/>
                <w:sz w:val="24"/>
                <w:szCs w:val="24"/>
                <w:lang w:eastAsia="ru-RU"/>
              </w:rPr>
              <w:t>рочие риски федерального уровня</w:t>
            </w:r>
            <w:r>
              <w:rPr>
                <w:rFonts w:ascii="Times New Roman" w:eastAsia="Times New Roman" w:hAnsi="Times New Roman" w:cs="Times New Roman"/>
                <w:sz w:val="24"/>
                <w:szCs w:val="24"/>
                <w:lang w:eastAsia="ru-RU"/>
              </w:rPr>
              <w:t xml:space="preserve"> (4)</w:t>
            </w:r>
          </w:p>
        </w:tc>
      </w:tr>
      <w:tr w:rsidR="00857F7D" w:rsidRPr="002A033D" w:rsidTr="00CE2F86">
        <w:tc>
          <w:tcPr>
            <w:tcW w:w="554" w:type="dxa"/>
            <w:vAlign w:val="center"/>
          </w:tcPr>
          <w:p w:rsidR="00857F7D" w:rsidRPr="002A033D" w:rsidRDefault="00857F7D" w:rsidP="00CE2F86">
            <w:pPr>
              <w:tabs>
                <w:tab w:val="left" w:pos="0"/>
              </w:tabs>
              <w:spacing w:line="240" w:lineRule="auto"/>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bCs/>
                <w:sz w:val="24"/>
                <w:szCs w:val="24"/>
                <w:lang w:eastAsia="ru-RU"/>
              </w:rPr>
              <w:t>2</w:t>
            </w:r>
          </w:p>
        </w:tc>
        <w:tc>
          <w:tcPr>
            <w:tcW w:w="2498" w:type="dxa"/>
            <w:vAlign w:val="center"/>
          </w:tcPr>
          <w:p w:rsidR="00857F7D" w:rsidRPr="002A033D" w:rsidRDefault="00857F7D" w:rsidP="00CE2F86">
            <w:pPr>
              <w:pStyle w:val="a4"/>
              <w:tabs>
                <w:tab w:val="left" w:pos="0"/>
              </w:tabs>
              <w:spacing w:line="240" w:lineRule="auto"/>
              <w:ind w:left="0"/>
              <w:contextualSpacing w:val="0"/>
              <w:jc w:val="center"/>
              <w:rPr>
                <w:rFonts w:ascii="Times New Roman" w:eastAsia="Times New Roman" w:hAnsi="Times New Roman" w:cs="Times New Roman"/>
                <w:sz w:val="24"/>
                <w:szCs w:val="24"/>
                <w:lang w:eastAsia="ru-RU"/>
              </w:rPr>
            </w:pPr>
            <w:r w:rsidRPr="002A033D">
              <w:rPr>
                <w:rFonts w:ascii="Times New Roman" w:eastAsia="Times New Roman" w:hAnsi="Times New Roman" w:cs="Times New Roman"/>
                <w:sz w:val="24"/>
                <w:szCs w:val="24"/>
                <w:lang w:eastAsia="ru-RU"/>
              </w:rPr>
              <w:t>макроэкономические</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риски</w:t>
            </w:r>
          </w:p>
          <w:p w:rsidR="00857F7D" w:rsidRPr="002A033D" w:rsidRDefault="00857F7D" w:rsidP="00CE2F86">
            <w:pPr>
              <w:pStyle w:val="a4"/>
              <w:tabs>
                <w:tab w:val="left" w:pos="0"/>
              </w:tabs>
              <w:spacing w:line="240" w:lineRule="auto"/>
              <w:ind w:left="0"/>
              <w:contextualSpacing w:val="0"/>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sz w:val="24"/>
                <w:szCs w:val="24"/>
                <w:lang w:eastAsia="ru-RU"/>
              </w:rPr>
              <w:t>(36)</w:t>
            </w:r>
          </w:p>
        </w:tc>
        <w:tc>
          <w:tcPr>
            <w:tcW w:w="6446" w:type="dxa"/>
          </w:tcPr>
          <w:p w:rsidR="00857F7D" w:rsidRPr="00ED2F9C"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и</w:t>
            </w:r>
            <w:r w:rsidRPr="00ED2F9C">
              <w:rPr>
                <w:rFonts w:ascii="Times New Roman" w:eastAsia="Times New Roman" w:hAnsi="Times New Roman" w:cs="Times New Roman"/>
                <w:sz w:val="24"/>
                <w:szCs w:val="24"/>
                <w:lang w:eastAsia="ru-RU"/>
              </w:rPr>
              <w:t>зменение (ухудшение) об</w:t>
            </w:r>
            <w:r>
              <w:rPr>
                <w:rFonts w:ascii="Times New Roman" w:eastAsia="Times New Roman" w:hAnsi="Times New Roman" w:cs="Times New Roman"/>
                <w:sz w:val="24"/>
                <w:szCs w:val="24"/>
                <w:lang w:eastAsia="ru-RU"/>
              </w:rPr>
              <w:t>щ</w:t>
            </w:r>
            <w:r w:rsidRPr="00ED2F9C">
              <w:rPr>
                <w:rFonts w:ascii="Times New Roman" w:eastAsia="Times New Roman" w:hAnsi="Times New Roman" w:cs="Times New Roman"/>
                <w:sz w:val="24"/>
                <w:szCs w:val="24"/>
                <w:lang w:eastAsia="ru-RU"/>
              </w:rPr>
              <w:t>еэкономической ситуации</w:t>
            </w:r>
            <w:r>
              <w:rPr>
                <w:rFonts w:ascii="Times New Roman" w:eastAsia="Times New Roman" w:hAnsi="Times New Roman" w:cs="Times New Roman"/>
                <w:sz w:val="24"/>
                <w:szCs w:val="24"/>
                <w:lang w:eastAsia="ru-RU"/>
              </w:rPr>
              <w:t xml:space="preserve"> (18)</w:t>
            </w:r>
          </w:p>
          <w:p w:rsidR="00857F7D" w:rsidRPr="00ED2F9C"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и</w:t>
            </w:r>
            <w:r w:rsidRPr="00ED2F9C">
              <w:rPr>
                <w:rFonts w:ascii="Times New Roman" w:eastAsia="Times New Roman" w:hAnsi="Times New Roman" w:cs="Times New Roman"/>
                <w:sz w:val="24"/>
                <w:szCs w:val="24"/>
                <w:lang w:eastAsia="ru-RU"/>
              </w:rPr>
              <w:t>нфляция (превышение прогнозируемого уровня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недостижение</w:t>
            </w:r>
            <w:proofErr w:type="spellEnd"/>
            <w:r>
              <w:rPr>
                <w:rFonts w:ascii="Times New Roman" w:eastAsia="Times New Roman" w:hAnsi="Times New Roman" w:cs="Times New Roman"/>
                <w:sz w:val="24"/>
                <w:szCs w:val="24"/>
                <w:lang w:eastAsia="ru-RU"/>
              </w:rPr>
              <w:t xml:space="preserve"> прогнозируемого уровня, давление</w:t>
            </w:r>
            <w:r w:rsidRPr="00ED2F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(12)</w:t>
            </w:r>
          </w:p>
          <w:p w:rsidR="00857F7D" w:rsidRPr="00ED2F9C"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с</w:t>
            </w:r>
            <w:r w:rsidRPr="00ED2F9C">
              <w:rPr>
                <w:rFonts w:ascii="Times New Roman" w:eastAsia="Times New Roman" w:hAnsi="Times New Roman" w:cs="Times New Roman"/>
                <w:sz w:val="24"/>
                <w:szCs w:val="24"/>
                <w:lang w:eastAsia="ru-RU"/>
              </w:rPr>
              <w:t>нижение темпов социально-экономического развития Российской Федерации</w:t>
            </w:r>
            <w:r>
              <w:rPr>
                <w:rFonts w:ascii="Times New Roman" w:eastAsia="Times New Roman" w:hAnsi="Times New Roman" w:cs="Times New Roman"/>
                <w:sz w:val="24"/>
                <w:szCs w:val="24"/>
                <w:lang w:eastAsia="ru-RU"/>
              </w:rPr>
              <w:t xml:space="preserve"> (7)</w:t>
            </w:r>
          </w:p>
          <w:p w:rsidR="00857F7D" w:rsidRPr="00ED2F9C"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с</w:t>
            </w:r>
            <w:r w:rsidRPr="00ED2F9C">
              <w:rPr>
                <w:rFonts w:ascii="Times New Roman" w:eastAsia="Times New Roman" w:hAnsi="Times New Roman" w:cs="Times New Roman"/>
                <w:sz w:val="24"/>
                <w:szCs w:val="24"/>
                <w:lang w:eastAsia="ru-RU"/>
              </w:rPr>
              <w:t>нижение конкурентоспособности экономики и производительности труда</w:t>
            </w:r>
            <w:r>
              <w:rPr>
                <w:rFonts w:ascii="Times New Roman" w:eastAsia="Times New Roman" w:hAnsi="Times New Roman" w:cs="Times New Roman"/>
                <w:sz w:val="24"/>
                <w:szCs w:val="24"/>
                <w:lang w:eastAsia="ru-RU"/>
              </w:rPr>
              <w:t xml:space="preserve"> (6)</w:t>
            </w:r>
          </w:p>
          <w:p w:rsidR="00857F7D" w:rsidRPr="00ED2F9C"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волатильность ц</w:t>
            </w:r>
            <w:r w:rsidRPr="00ED2F9C">
              <w:rPr>
                <w:rFonts w:ascii="Times New Roman" w:eastAsia="Times New Roman" w:hAnsi="Times New Roman" w:cs="Times New Roman"/>
                <w:sz w:val="24"/>
                <w:szCs w:val="24"/>
                <w:lang w:eastAsia="ru-RU"/>
              </w:rPr>
              <w:t>ен на углеводороды</w:t>
            </w:r>
            <w:r>
              <w:rPr>
                <w:rFonts w:ascii="Times New Roman" w:eastAsia="Times New Roman" w:hAnsi="Times New Roman" w:cs="Times New Roman"/>
                <w:sz w:val="24"/>
                <w:szCs w:val="24"/>
                <w:lang w:eastAsia="ru-RU"/>
              </w:rPr>
              <w:t xml:space="preserve"> (3)</w:t>
            </w:r>
          </w:p>
          <w:p w:rsidR="00857F7D" w:rsidRPr="00ED2F9C"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п</w:t>
            </w:r>
            <w:r w:rsidRPr="00ED2F9C">
              <w:rPr>
                <w:rFonts w:ascii="Times New Roman" w:eastAsia="Times New Roman" w:hAnsi="Times New Roman" w:cs="Times New Roman"/>
                <w:sz w:val="24"/>
                <w:szCs w:val="24"/>
                <w:lang w:eastAsia="ru-RU"/>
              </w:rPr>
              <w:t>олитически</w:t>
            </w:r>
            <w:r>
              <w:rPr>
                <w:rFonts w:ascii="Times New Roman" w:eastAsia="Times New Roman" w:hAnsi="Times New Roman" w:cs="Times New Roman"/>
                <w:sz w:val="24"/>
                <w:szCs w:val="24"/>
                <w:lang w:eastAsia="ru-RU"/>
              </w:rPr>
              <w:t>е риски (3)</w:t>
            </w:r>
          </w:p>
          <w:p w:rsidR="00857F7D" w:rsidRPr="002A033D"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п</w:t>
            </w:r>
            <w:r w:rsidRPr="00ED2F9C">
              <w:rPr>
                <w:rFonts w:ascii="Times New Roman" w:eastAsia="Times New Roman" w:hAnsi="Times New Roman" w:cs="Times New Roman"/>
                <w:sz w:val="24"/>
                <w:szCs w:val="24"/>
                <w:lang w:eastAsia="ru-RU"/>
              </w:rPr>
              <w:t>рочие макроэкономические риски</w:t>
            </w:r>
            <w:r>
              <w:rPr>
                <w:rFonts w:ascii="Times New Roman" w:eastAsia="Times New Roman" w:hAnsi="Times New Roman" w:cs="Times New Roman"/>
                <w:sz w:val="24"/>
                <w:szCs w:val="24"/>
                <w:lang w:eastAsia="ru-RU"/>
              </w:rPr>
              <w:t xml:space="preserve"> (3)</w:t>
            </w:r>
          </w:p>
        </w:tc>
      </w:tr>
      <w:tr w:rsidR="00857F7D" w:rsidRPr="002A033D" w:rsidTr="00CE2F86">
        <w:tc>
          <w:tcPr>
            <w:tcW w:w="554" w:type="dxa"/>
            <w:vAlign w:val="center"/>
          </w:tcPr>
          <w:p w:rsidR="00857F7D" w:rsidRPr="002A033D" w:rsidRDefault="00857F7D" w:rsidP="00CE2F86">
            <w:pPr>
              <w:tabs>
                <w:tab w:val="left" w:pos="0"/>
              </w:tabs>
              <w:spacing w:line="240" w:lineRule="auto"/>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bCs/>
                <w:sz w:val="24"/>
                <w:szCs w:val="24"/>
                <w:lang w:eastAsia="ru-RU"/>
              </w:rPr>
              <w:t>3</w:t>
            </w:r>
          </w:p>
        </w:tc>
        <w:tc>
          <w:tcPr>
            <w:tcW w:w="2498" w:type="dxa"/>
            <w:vAlign w:val="center"/>
          </w:tcPr>
          <w:p w:rsidR="00857F7D" w:rsidRPr="002A033D" w:rsidRDefault="00857F7D" w:rsidP="00CE2F86">
            <w:pPr>
              <w:pStyle w:val="a4"/>
              <w:tabs>
                <w:tab w:val="left" w:pos="0"/>
              </w:tabs>
              <w:spacing w:line="240" w:lineRule="auto"/>
              <w:ind w:left="0"/>
              <w:contextualSpacing w:val="0"/>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sz w:val="24"/>
                <w:szCs w:val="24"/>
                <w:lang w:eastAsia="ru-RU"/>
              </w:rPr>
              <w:t>риски</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реализации</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долговой</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политики</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(31)</w:t>
            </w:r>
          </w:p>
        </w:tc>
        <w:tc>
          <w:tcPr>
            <w:tcW w:w="6446" w:type="dxa"/>
          </w:tcPr>
          <w:p w:rsidR="00857F7D" w:rsidRPr="002135F7"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у</w:t>
            </w:r>
            <w:r w:rsidRPr="002135F7">
              <w:rPr>
                <w:rFonts w:ascii="Times New Roman" w:eastAsia="Times New Roman" w:hAnsi="Times New Roman" w:cs="Times New Roman"/>
                <w:sz w:val="24"/>
                <w:szCs w:val="24"/>
                <w:lang w:eastAsia="ru-RU"/>
              </w:rPr>
              <w:t>худшение условий для заимствований</w:t>
            </w:r>
            <w:r>
              <w:rPr>
                <w:rFonts w:ascii="Times New Roman" w:eastAsia="Times New Roman" w:hAnsi="Times New Roman" w:cs="Times New Roman"/>
                <w:sz w:val="24"/>
                <w:szCs w:val="24"/>
                <w:lang w:eastAsia="ru-RU"/>
              </w:rPr>
              <w:t xml:space="preserve"> (27)</w:t>
            </w:r>
          </w:p>
          <w:p w:rsidR="00857F7D" w:rsidRPr="002135F7"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р</w:t>
            </w:r>
            <w:r w:rsidRPr="002135F7">
              <w:rPr>
                <w:rFonts w:ascii="Times New Roman" w:eastAsia="Times New Roman" w:hAnsi="Times New Roman" w:cs="Times New Roman"/>
                <w:sz w:val="24"/>
                <w:szCs w:val="24"/>
                <w:lang w:eastAsia="ru-RU"/>
              </w:rPr>
              <w:t>ост долговой нагрузки</w:t>
            </w:r>
            <w:r>
              <w:rPr>
                <w:rFonts w:ascii="Times New Roman" w:eastAsia="Times New Roman" w:hAnsi="Times New Roman" w:cs="Times New Roman"/>
                <w:sz w:val="24"/>
                <w:szCs w:val="24"/>
                <w:lang w:eastAsia="ru-RU"/>
              </w:rPr>
              <w:t xml:space="preserve"> (9)</w:t>
            </w:r>
          </w:p>
          <w:p w:rsidR="00857F7D" w:rsidRPr="002135F7"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р</w:t>
            </w:r>
            <w:r w:rsidRPr="002135F7">
              <w:rPr>
                <w:rFonts w:ascii="Times New Roman" w:eastAsia="Times New Roman" w:hAnsi="Times New Roman" w:cs="Times New Roman"/>
                <w:sz w:val="24"/>
                <w:szCs w:val="24"/>
                <w:lang w:eastAsia="ru-RU"/>
              </w:rPr>
              <w:t>иск невозможности рефинансироваться</w:t>
            </w:r>
            <w:r>
              <w:rPr>
                <w:rFonts w:ascii="Times New Roman" w:eastAsia="Times New Roman" w:hAnsi="Times New Roman" w:cs="Times New Roman"/>
                <w:sz w:val="24"/>
                <w:szCs w:val="24"/>
                <w:lang w:eastAsia="ru-RU"/>
              </w:rPr>
              <w:t xml:space="preserve"> (3)</w:t>
            </w:r>
          </w:p>
          <w:p w:rsidR="00857F7D" w:rsidRPr="002A033D" w:rsidRDefault="00857F7D" w:rsidP="00CE2F86">
            <w:pPr>
              <w:pStyle w:val="a4"/>
              <w:tabs>
                <w:tab w:val="left" w:pos="0"/>
              </w:tabs>
              <w:spacing w:line="240" w:lineRule="auto"/>
              <w:ind w:left="0"/>
              <w:contextualSpacing w:val="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п</w:t>
            </w:r>
            <w:r w:rsidRPr="002135F7">
              <w:rPr>
                <w:rFonts w:ascii="Times New Roman" w:eastAsia="Times New Roman" w:hAnsi="Times New Roman" w:cs="Times New Roman"/>
                <w:sz w:val="24"/>
                <w:szCs w:val="24"/>
                <w:lang w:eastAsia="ru-RU"/>
              </w:rPr>
              <w:t>рочие риски в сфере долговой политики</w:t>
            </w:r>
            <w:r>
              <w:rPr>
                <w:rFonts w:ascii="Times New Roman" w:eastAsia="Times New Roman" w:hAnsi="Times New Roman" w:cs="Times New Roman"/>
                <w:sz w:val="24"/>
                <w:szCs w:val="24"/>
                <w:lang w:eastAsia="ru-RU"/>
              </w:rPr>
              <w:t xml:space="preserve"> (2)</w:t>
            </w:r>
          </w:p>
        </w:tc>
      </w:tr>
      <w:tr w:rsidR="00857F7D" w:rsidRPr="002A033D" w:rsidTr="00CE2F86">
        <w:tc>
          <w:tcPr>
            <w:tcW w:w="554" w:type="dxa"/>
            <w:vAlign w:val="center"/>
          </w:tcPr>
          <w:p w:rsidR="00857F7D" w:rsidRPr="002A033D" w:rsidRDefault="00857F7D" w:rsidP="00CE2F86">
            <w:pPr>
              <w:tabs>
                <w:tab w:val="left" w:pos="0"/>
              </w:tabs>
              <w:spacing w:line="240" w:lineRule="auto"/>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bCs/>
                <w:sz w:val="24"/>
                <w:szCs w:val="24"/>
                <w:lang w:eastAsia="ru-RU"/>
              </w:rPr>
              <w:t>4</w:t>
            </w:r>
          </w:p>
        </w:tc>
        <w:tc>
          <w:tcPr>
            <w:tcW w:w="2498" w:type="dxa"/>
            <w:vAlign w:val="center"/>
          </w:tcPr>
          <w:p w:rsidR="00857F7D" w:rsidRPr="002A033D" w:rsidRDefault="00857F7D" w:rsidP="00CE2F86">
            <w:pPr>
              <w:pStyle w:val="a4"/>
              <w:tabs>
                <w:tab w:val="left" w:pos="0"/>
              </w:tabs>
              <w:spacing w:line="240" w:lineRule="auto"/>
              <w:ind w:left="0"/>
              <w:contextualSpacing w:val="0"/>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sz w:val="24"/>
                <w:szCs w:val="24"/>
                <w:lang w:eastAsia="ru-RU"/>
              </w:rPr>
              <w:t>операционные</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риски</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(26)</w:t>
            </w:r>
          </w:p>
        </w:tc>
        <w:tc>
          <w:tcPr>
            <w:tcW w:w="6446" w:type="dxa"/>
          </w:tcPr>
          <w:p w:rsidR="00857F7D" w:rsidRPr="002135F7"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р</w:t>
            </w:r>
            <w:r w:rsidRPr="002135F7">
              <w:rPr>
                <w:rFonts w:ascii="Times New Roman" w:eastAsia="Times New Roman" w:hAnsi="Times New Roman" w:cs="Times New Roman"/>
                <w:sz w:val="24"/>
                <w:szCs w:val="24"/>
                <w:lang w:eastAsia="ru-RU"/>
              </w:rPr>
              <w:t>иски, связанные с образованием дефицита регионального бюджета</w:t>
            </w:r>
            <w:r>
              <w:rPr>
                <w:rFonts w:ascii="Times New Roman" w:eastAsia="Times New Roman" w:hAnsi="Times New Roman" w:cs="Times New Roman"/>
                <w:sz w:val="24"/>
                <w:szCs w:val="24"/>
                <w:lang w:eastAsia="ru-RU"/>
              </w:rPr>
              <w:t xml:space="preserve">, в том числе вследствие </w:t>
            </w:r>
            <w:proofErr w:type="spellStart"/>
            <w:r>
              <w:rPr>
                <w:rFonts w:ascii="Times New Roman" w:eastAsia="Times New Roman" w:hAnsi="Times New Roman" w:cs="Times New Roman"/>
                <w:sz w:val="24"/>
                <w:szCs w:val="24"/>
                <w:lang w:eastAsia="ru-RU"/>
              </w:rPr>
              <w:t>недостижения</w:t>
            </w:r>
            <w:proofErr w:type="spellEnd"/>
            <w:r>
              <w:rPr>
                <w:rFonts w:ascii="Times New Roman" w:eastAsia="Times New Roman" w:hAnsi="Times New Roman" w:cs="Times New Roman"/>
                <w:sz w:val="24"/>
                <w:szCs w:val="24"/>
                <w:lang w:eastAsia="ru-RU"/>
              </w:rPr>
              <w:t xml:space="preserve"> плановых показателей по доходам и расходам (16)</w:t>
            </w:r>
          </w:p>
          <w:p w:rsidR="00857F7D" w:rsidRPr="002135F7"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н</w:t>
            </w:r>
            <w:r w:rsidRPr="002135F7">
              <w:rPr>
                <w:rFonts w:ascii="Times New Roman" w:eastAsia="Times New Roman" w:hAnsi="Times New Roman" w:cs="Times New Roman"/>
                <w:sz w:val="24"/>
                <w:szCs w:val="24"/>
                <w:lang w:eastAsia="ru-RU"/>
              </w:rPr>
              <w:t>енадлежащее исполнение (неисполнение) обязанностей участников бюджетного процесса</w:t>
            </w:r>
            <w:r>
              <w:rPr>
                <w:rFonts w:ascii="Times New Roman" w:eastAsia="Times New Roman" w:hAnsi="Times New Roman" w:cs="Times New Roman"/>
                <w:sz w:val="24"/>
                <w:szCs w:val="24"/>
                <w:lang w:eastAsia="ru-RU"/>
              </w:rPr>
              <w:t xml:space="preserve"> (4)</w:t>
            </w:r>
          </w:p>
          <w:p w:rsidR="00857F7D" w:rsidRPr="002135F7"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риски в сфере и</w:t>
            </w:r>
            <w:r w:rsidRPr="002135F7">
              <w:rPr>
                <w:rFonts w:ascii="Times New Roman" w:eastAsia="Times New Roman" w:hAnsi="Times New Roman" w:cs="Times New Roman"/>
                <w:sz w:val="24"/>
                <w:szCs w:val="24"/>
                <w:lang w:eastAsia="ru-RU"/>
              </w:rPr>
              <w:t>нвестиционн</w:t>
            </w:r>
            <w:r>
              <w:rPr>
                <w:rFonts w:ascii="Times New Roman" w:eastAsia="Times New Roman" w:hAnsi="Times New Roman" w:cs="Times New Roman"/>
                <w:sz w:val="24"/>
                <w:szCs w:val="24"/>
                <w:lang w:eastAsia="ru-RU"/>
              </w:rPr>
              <w:t>ой</w:t>
            </w:r>
            <w:r w:rsidRPr="002135F7">
              <w:rPr>
                <w:rFonts w:ascii="Times New Roman" w:eastAsia="Times New Roman" w:hAnsi="Times New Roman" w:cs="Times New Roman"/>
                <w:sz w:val="24"/>
                <w:szCs w:val="24"/>
                <w:lang w:eastAsia="ru-RU"/>
              </w:rPr>
              <w:t xml:space="preserve"> деятельност</w:t>
            </w:r>
            <w:r>
              <w:rPr>
                <w:rFonts w:ascii="Times New Roman" w:eastAsia="Times New Roman" w:hAnsi="Times New Roman" w:cs="Times New Roman"/>
                <w:sz w:val="24"/>
                <w:szCs w:val="24"/>
                <w:lang w:eastAsia="ru-RU"/>
              </w:rPr>
              <w:t>и (3)</w:t>
            </w:r>
          </w:p>
          <w:p w:rsidR="00857F7D" w:rsidRPr="002135F7"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н</w:t>
            </w:r>
            <w:r w:rsidRPr="002135F7">
              <w:rPr>
                <w:rFonts w:ascii="Times New Roman" w:eastAsia="Times New Roman" w:hAnsi="Times New Roman" w:cs="Times New Roman"/>
                <w:sz w:val="24"/>
                <w:szCs w:val="24"/>
                <w:lang w:eastAsia="ru-RU"/>
              </w:rPr>
              <w:t>енадлежащее исполнение (неисполнение) обязанностей налогоплательщиков</w:t>
            </w:r>
            <w:r>
              <w:rPr>
                <w:rFonts w:ascii="Times New Roman" w:eastAsia="Times New Roman" w:hAnsi="Times New Roman" w:cs="Times New Roman"/>
                <w:sz w:val="24"/>
                <w:szCs w:val="24"/>
                <w:lang w:eastAsia="ru-RU"/>
              </w:rPr>
              <w:t xml:space="preserve"> (3)</w:t>
            </w:r>
          </w:p>
          <w:p w:rsidR="00857F7D" w:rsidRPr="002135F7"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н</w:t>
            </w:r>
            <w:r w:rsidRPr="002135F7">
              <w:rPr>
                <w:rFonts w:ascii="Times New Roman" w:eastAsia="Times New Roman" w:hAnsi="Times New Roman" w:cs="Times New Roman"/>
                <w:sz w:val="24"/>
                <w:szCs w:val="24"/>
                <w:lang w:eastAsia="ru-RU"/>
              </w:rPr>
              <w:t>еисполнение гарантированных обязательств заемщиками</w:t>
            </w:r>
            <w:r>
              <w:rPr>
                <w:rFonts w:ascii="Times New Roman" w:eastAsia="Times New Roman" w:hAnsi="Times New Roman" w:cs="Times New Roman"/>
                <w:sz w:val="24"/>
                <w:szCs w:val="24"/>
                <w:lang w:eastAsia="ru-RU"/>
              </w:rPr>
              <w:t xml:space="preserve"> (3)</w:t>
            </w:r>
          </w:p>
          <w:p w:rsidR="00857F7D" w:rsidRPr="002A033D"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прочие операционные риски (13)</w:t>
            </w:r>
          </w:p>
        </w:tc>
      </w:tr>
      <w:tr w:rsidR="00857F7D" w:rsidRPr="002A033D" w:rsidTr="00CE2F86">
        <w:tc>
          <w:tcPr>
            <w:tcW w:w="554" w:type="dxa"/>
            <w:vAlign w:val="center"/>
          </w:tcPr>
          <w:p w:rsidR="00857F7D" w:rsidRPr="002A033D" w:rsidRDefault="00857F7D" w:rsidP="00CE2F86">
            <w:pPr>
              <w:tabs>
                <w:tab w:val="left" w:pos="0"/>
              </w:tabs>
              <w:spacing w:line="240" w:lineRule="auto"/>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bCs/>
                <w:sz w:val="24"/>
                <w:szCs w:val="24"/>
                <w:lang w:eastAsia="ru-RU"/>
              </w:rPr>
              <w:t>5</w:t>
            </w:r>
          </w:p>
        </w:tc>
        <w:tc>
          <w:tcPr>
            <w:tcW w:w="2498" w:type="dxa"/>
            <w:vAlign w:val="center"/>
          </w:tcPr>
          <w:p w:rsidR="00857F7D" w:rsidRPr="002A033D" w:rsidRDefault="00857F7D" w:rsidP="00CE2F86">
            <w:pPr>
              <w:pStyle w:val="a4"/>
              <w:tabs>
                <w:tab w:val="left" w:pos="0"/>
              </w:tabs>
              <w:spacing w:line="240" w:lineRule="auto"/>
              <w:ind w:left="0"/>
              <w:contextualSpacing w:val="0"/>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sz w:val="24"/>
                <w:szCs w:val="24"/>
                <w:lang w:eastAsia="ru-RU"/>
              </w:rPr>
              <w:t>риски</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социально-экономического</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развития</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региона</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(22)</w:t>
            </w:r>
          </w:p>
        </w:tc>
        <w:tc>
          <w:tcPr>
            <w:tcW w:w="6446" w:type="dxa"/>
          </w:tcPr>
          <w:p w:rsidR="00857F7D" w:rsidRPr="00D777F0"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с</w:t>
            </w:r>
            <w:r w:rsidRPr="00D777F0">
              <w:rPr>
                <w:rFonts w:ascii="Times New Roman" w:eastAsia="Times New Roman" w:hAnsi="Times New Roman" w:cs="Times New Roman"/>
                <w:sz w:val="24"/>
                <w:szCs w:val="24"/>
                <w:lang w:eastAsia="ru-RU"/>
              </w:rPr>
              <w:t>окращение (отсутствие интенсивного роста) инвестиций в основной капитал</w:t>
            </w:r>
            <w:r>
              <w:rPr>
                <w:rFonts w:ascii="Times New Roman" w:eastAsia="Times New Roman" w:hAnsi="Times New Roman" w:cs="Times New Roman"/>
                <w:sz w:val="24"/>
                <w:szCs w:val="24"/>
                <w:lang w:eastAsia="ru-RU"/>
              </w:rPr>
              <w:t xml:space="preserve"> (10)</w:t>
            </w:r>
          </w:p>
          <w:p w:rsidR="00857F7D" w:rsidRPr="00D777F0"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и</w:t>
            </w:r>
            <w:r w:rsidRPr="00D777F0">
              <w:rPr>
                <w:rFonts w:ascii="Times New Roman" w:eastAsia="Times New Roman" w:hAnsi="Times New Roman" w:cs="Times New Roman"/>
                <w:sz w:val="24"/>
                <w:szCs w:val="24"/>
                <w:lang w:eastAsia="ru-RU"/>
              </w:rPr>
              <w:t>зменение конъюнктуры рынка налогоплательщиков</w:t>
            </w:r>
            <w:r>
              <w:rPr>
                <w:rFonts w:ascii="Times New Roman" w:eastAsia="Times New Roman" w:hAnsi="Times New Roman" w:cs="Times New Roman"/>
                <w:sz w:val="24"/>
                <w:szCs w:val="24"/>
                <w:lang w:eastAsia="ru-RU"/>
              </w:rPr>
              <w:t xml:space="preserve"> (7)</w:t>
            </w:r>
          </w:p>
          <w:p w:rsidR="00857F7D" w:rsidRPr="00D777F0"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о</w:t>
            </w:r>
            <w:r w:rsidRPr="00D777F0">
              <w:rPr>
                <w:rFonts w:ascii="Times New Roman" w:eastAsia="Times New Roman" w:hAnsi="Times New Roman" w:cs="Times New Roman"/>
                <w:sz w:val="24"/>
                <w:szCs w:val="24"/>
                <w:lang w:eastAsia="ru-RU"/>
              </w:rPr>
              <w:t>бщее ухудшение ситуации в СЭР региона</w:t>
            </w:r>
            <w:r>
              <w:rPr>
                <w:rFonts w:ascii="Times New Roman" w:eastAsia="Times New Roman" w:hAnsi="Times New Roman" w:cs="Times New Roman"/>
                <w:sz w:val="24"/>
                <w:szCs w:val="24"/>
                <w:lang w:eastAsia="ru-RU"/>
              </w:rPr>
              <w:t xml:space="preserve"> (5)</w:t>
            </w:r>
          </w:p>
          <w:p w:rsidR="00857F7D"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и</w:t>
            </w:r>
            <w:r w:rsidRPr="00D777F0">
              <w:rPr>
                <w:rFonts w:ascii="Times New Roman" w:eastAsia="Times New Roman" w:hAnsi="Times New Roman" w:cs="Times New Roman"/>
                <w:sz w:val="24"/>
                <w:szCs w:val="24"/>
                <w:lang w:eastAsia="ru-RU"/>
              </w:rPr>
              <w:t>зменения в финансово-хо</w:t>
            </w:r>
            <w:r>
              <w:rPr>
                <w:rFonts w:ascii="Times New Roman" w:eastAsia="Times New Roman" w:hAnsi="Times New Roman" w:cs="Times New Roman"/>
                <w:sz w:val="24"/>
                <w:szCs w:val="24"/>
                <w:lang w:eastAsia="ru-RU"/>
              </w:rPr>
              <w:t>з</w:t>
            </w:r>
            <w:r w:rsidRPr="00D777F0">
              <w:rPr>
                <w:rFonts w:ascii="Times New Roman" w:eastAsia="Times New Roman" w:hAnsi="Times New Roman" w:cs="Times New Roman"/>
                <w:sz w:val="24"/>
                <w:szCs w:val="24"/>
                <w:lang w:eastAsia="ru-RU"/>
              </w:rPr>
              <w:t>яйственной деятельности налогоплательщиков</w:t>
            </w:r>
            <w:r>
              <w:rPr>
                <w:rFonts w:ascii="Times New Roman" w:eastAsia="Times New Roman" w:hAnsi="Times New Roman" w:cs="Times New Roman"/>
                <w:sz w:val="24"/>
                <w:szCs w:val="24"/>
                <w:lang w:eastAsia="ru-RU"/>
              </w:rPr>
              <w:t xml:space="preserve"> (4)</w:t>
            </w:r>
          </w:p>
          <w:p w:rsidR="00857F7D" w:rsidRPr="002A033D"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п</w:t>
            </w:r>
            <w:r w:rsidRPr="00D777F0">
              <w:rPr>
                <w:rFonts w:ascii="Times New Roman" w:eastAsia="Times New Roman" w:hAnsi="Times New Roman" w:cs="Times New Roman"/>
                <w:sz w:val="24"/>
                <w:szCs w:val="24"/>
                <w:lang w:eastAsia="ru-RU"/>
              </w:rPr>
              <w:t>рочие риски, обусловленные внутренними условиями СЭР региона</w:t>
            </w:r>
            <w:r>
              <w:rPr>
                <w:rFonts w:ascii="Times New Roman" w:eastAsia="Times New Roman" w:hAnsi="Times New Roman" w:cs="Times New Roman"/>
                <w:sz w:val="24"/>
                <w:szCs w:val="24"/>
                <w:lang w:eastAsia="ru-RU"/>
              </w:rPr>
              <w:t xml:space="preserve"> (4)</w:t>
            </w:r>
          </w:p>
        </w:tc>
      </w:tr>
      <w:tr w:rsidR="00857F7D" w:rsidRPr="002A033D" w:rsidTr="00CE2F86">
        <w:tc>
          <w:tcPr>
            <w:tcW w:w="554" w:type="dxa"/>
            <w:vAlign w:val="center"/>
          </w:tcPr>
          <w:p w:rsidR="00857F7D" w:rsidRPr="002A033D" w:rsidRDefault="00857F7D" w:rsidP="00CE2F86">
            <w:pPr>
              <w:tabs>
                <w:tab w:val="left" w:pos="0"/>
              </w:tabs>
              <w:spacing w:line="240" w:lineRule="auto"/>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bCs/>
                <w:sz w:val="24"/>
                <w:szCs w:val="24"/>
                <w:lang w:eastAsia="ru-RU"/>
              </w:rPr>
              <w:lastRenderedPageBreak/>
              <w:t>6</w:t>
            </w:r>
          </w:p>
        </w:tc>
        <w:tc>
          <w:tcPr>
            <w:tcW w:w="2498" w:type="dxa"/>
            <w:vAlign w:val="center"/>
          </w:tcPr>
          <w:p w:rsidR="00857F7D" w:rsidRPr="002A033D" w:rsidRDefault="00857F7D" w:rsidP="00CE2F86">
            <w:pPr>
              <w:pStyle w:val="a4"/>
              <w:tabs>
                <w:tab w:val="left" w:pos="0"/>
              </w:tabs>
              <w:spacing w:line="240" w:lineRule="auto"/>
              <w:ind w:left="0"/>
              <w:contextualSpacing w:val="0"/>
              <w:jc w:val="center"/>
              <w:rPr>
                <w:rFonts w:ascii="Times New Roman" w:eastAsia="Times New Roman" w:hAnsi="Times New Roman" w:cs="Times New Roman"/>
                <w:bCs/>
                <w:sz w:val="24"/>
                <w:szCs w:val="24"/>
                <w:lang w:eastAsia="ru-RU"/>
              </w:rPr>
            </w:pPr>
            <w:r w:rsidRPr="002A033D">
              <w:rPr>
                <w:rFonts w:ascii="Times New Roman" w:eastAsia="Times New Roman" w:hAnsi="Times New Roman" w:cs="Times New Roman"/>
                <w:sz w:val="24"/>
                <w:szCs w:val="24"/>
                <w:lang w:eastAsia="ru-RU"/>
              </w:rPr>
              <w:t>демографические</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риски</w:t>
            </w:r>
            <w:r>
              <w:rPr>
                <w:rFonts w:ascii="Times New Roman" w:eastAsia="Times New Roman" w:hAnsi="Times New Roman" w:cs="Times New Roman"/>
                <w:sz w:val="24"/>
                <w:szCs w:val="24"/>
                <w:lang w:eastAsia="ru-RU"/>
              </w:rPr>
              <w:t xml:space="preserve"> </w:t>
            </w:r>
            <w:r w:rsidRPr="002A033D">
              <w:rPr>
                <w:rFonts w:ascii="Times New Roman" w:eastAsia="Times New Roman" w:hAnsi="Times New Roman" w:cs="Times New Roman"/>
                <w:sz w:val="24"/>
                <w:szCs w:val="24"/>
                <w:lang w:eastAsia="ru-RU"/>
              </w:rPr>
              <w:t>(12)</w:t>
            </w:r>
          </w:p>
        </w:tc>
        <w:tc>
          <w:tcPr>
            <w:tcW w:w="6446" w:type="dxa"/>
          </w:tcPr>
          <w:p w:rsidR="00857F7D" w:rsidRPr="00717D00"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с</w:t>
            </w:r>
            <w:r w:rsidRPr="00717D00">
              <w:rPr>
                <w:rFonts w:ascii="Times New Roman" w:eastAsia="Times New Roman" w:hAnsi="Times New Roman" w:cs="Times New Roman"/>
                <w:sz w:val="24"/>
                <w:szCs w:val="24"/>
                <w:lang w:eastAsia="ru-RU"/>
              </w:rPr>
              <w:t>окращение численности населения трудоспособного возраста</w:t>
            </w:r>
            <w:r>
              <w:rPr>
                <w:rFonts w:ascii="Times New Roman" w:eastAsia="Times New Roman" w:hAnsi="Times New Roman" w:cs="Times New Roman"/>
                <w:sz w:val="24"/>
                <w:szCs w:val="24"/>
                <w:lang w:eastAsia="ru-RU"/>
              </w:rPr>
              <w:t xml:space="preserve"> (7)</w:t>
            </w:r>
          </w:p>
          <w:p w:rsidR="00857F7D" w:rsidRPr="00717D00"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с</w:t>
            </w:r>
            <w:r w:rsidRPr="00717D00">
              <w:rPr>
                <w:rFonts w:ascii="Times New Roman" w:eastAsia="Times New Roman" w:hAnsi="Times New Roman" w:cs="Times New Roman"/>
                <w:sz w:val="24"/>
                <w:szCs w:val="24"/>
                <w:lang w:eastAsia="ru-RU"/>
              </w:rPr>
              <w:t>нижение занятости экономически активного населения</w:t>
            </w:r>
            <w:r>
              <w:rPr>
                <w:rFonts w:ascii="Times New Roman" w:eastAsia="Times New Roman" w:hAnsi="Times New Roman" w:cs="Times New Roman"/>
                <w:sz w:val="24"/>
                <w:szCs w:val="24"/>
                <w:lang w:eastAsia="ru-RU"/>
              </w:rPr>
              <w:t xml:space="preserve"> (2)</w:t>
            </w:r>
          </w:p>
          <w:p w:rsidR="00857F7D" w:rsidRPr="002A033D" w:rsidRDefault="00857F7D" w:rsidP="00CE2F86">
            <w:pPr>
              <w:pStyle w:val="a4"/>
              <w:tabs>
                <w:tab w:val="left" w:pos="0"/>
              </w:tabs>
              <w:spacing w:line="240" w:lineRule="auto"/>
              <w:ind w:left="0"/>
              <w:jc w:val="both"/>
              <w:rPr>
                <w:rFonts w:ascii="Times New Roman" w:eastAsia="Times New Roman" w:hAnsi="Times New Roman" w:cs="Times New Roman"/>
                <w:sz w:val="24"/>
                <w:szCs w:val="24"/>
                <w:lang w:eastAsia="ru-RU"/>
              </w:rPr>
            </w:pPr>
            <w:r>
              <w:t>–</w:t>
            </w:r>
            <w:r>
              <w:rPr>
                <w:rFonts w:ascii="Times New Roman" w:eastAsia="Times New Roman" w:hAnsi="Times New Roman" w:cs="Times New Roman"/>
                <w:sz w:val="24"/>
                <w:szCs w:val="24"/>
                <w:lang w:eastAsia="ru-RU"/>
              </w:rPr>
              <w:t> прочие демографические риски (5)</w:t>
            </w:r>
          </w:p>
        </w:tc>
      </w:tr>
    </w:tbl>
    <w:p w:rsidR="00857F7D" w:rsidRDefault="00857F7D" w:rsidP="00CE748E">
      <w:pPr>
        <w:spacing w:after="0" w:line="276" w:lineRule="auto"/>
        <w:jc w:val="both"/>
        <w:rPr>
          <w:rFonts w:ascii="Times New Roman" w:eastAsia="Times New Roman" w:hAnsi="Times New Roman" w:cs="Times New Roman"/>
          <w:i/>
          <w:sz w:val="28"/>
          <w:szCs w:val="28"/>
          <w:lang w:eastAsia="ru-RU"/>
        </w:rPr>
      </w:pPr>
    </w:p>
    <w:p w:rsidR="00857F7D" w:rsidRPr="006253B8" w:rsidRDefault="00857F7D" w:rsidP="00FD5C08">
      <w:pPr>
        <w:spacing w:after="120" w:line="276" w:lineRule="auto"/>
        <w:jc w:val="both"/>
        <w:rPr>
          <w:rFonts w:ascii="Times New Roman" w:eastAsia="Times New Roman" w:hAnsi="Times New Roman" w:cs="Times New Roman"/>
          <w:i/>
          <w:sz w:val="28"/>
          <w:szCs w:val="28"/>
          <w:lang w:eastAsia="ru-RU"/>
        </w:rPr>
      </w:pPr>
      <w:r w:rsidRPr="006253B8">
        <w:rPr>
          <w:rFonts w:ascii="Times New Roman" w:eastAsia="Times New Roman" w:hAnsi="Times New Roman" w:cs="Times New Roman"/>
          <w:i/>
          <w:sz w:val="28"/>
          <w:szCs w:val="28"/>
          <w:lang w:eastAsia="ru-RU"/>
        </w:rPr>
        <w:t>Бюджетные</w:t>
      </w:r>
      <w:r>
        <w:rPr>
          <w:rFonts w:ascii="Times New Roman" w:eastAsia="Times New Roman" w:hAnsi="Times New Roman" w:cs="Times New Roman"/>
          <w:i/>
          <w:sz w:val="28"/>
          <w:szCs w:val="28"/>
          <w:lang w:eastAsia="ru-RU"/>
        </w:rPr>
        <w:t xml:space="preserve"> </w:t>
      </w:r>
      <w:r w:rsidRPr="006253B8">
        <w:rPr>
          <w:rFonts w:ascii="Times New Roman" w:eastAsia="Times New Roman" w:hAnsi="Times New Roman" w:cs="Times New Roman"/>
          <w:i/>
          <w:sz w:val="28"/>
          <w:szCs w:val="28"/>
          <w:lang w:eastAsia="ru-RU"/>
        </w:rPr>
        <w:t>и</w:t>
      </w:r>
      <w:r>
        <w:rPr>
          <w:rFonts w:ascii="Times New Roman" w:eastAsia="Times New Roman" w:hAnsi="Times New Roman" w:cs="Times New Roman"/>
          <w:i/>
          <w:sz w:val="28"/>
          <w:szCs w:val="28"/>
          <w:lang w:eastAsia="ru-RU"/>
        </w:rPr>
        <w:t xml:space="preserve"> </w:t>
      </w:r>
      <w:r w:rsidRPr="006253B8">
        <w:rPr>
          <w:rFonts w:ascii="Times New Roman" w:eastAsia="Times New Roman" w:hAnsi="Times New Roman" w:cs="Times New Roman"/>
          <w:i/>
          <w:sz w:val="28"/>
          <w:szCs w:val="28"/>
          <w:lang w:eastAsia="ru-RU"/>
        </w:rPr>
        <w:t>налоговые</w:t>
      </w:r>
      <w:r>
        <w:rPr>
          <w:rFonts w:ascii="Times New Roman" w:eastAsia="Times New Roman" w:hAnsi="Times New Roman" w:cs="Times New Roman"/>
          <w:i/>
          <w:sz w:val="28"/>
          <w:szCs w:val="28"/>
          <w:lang w:eastAsia="ru-RU"/>
        </w:rPr>
        <w:t xml:space="preserve"> </w:t>
      </w:r>
      <w:r w:rsidRPr="006253B8">
        <w:rPr>
          <w:rFonts w:ascii="Times New Roman" w:eastAsia="Times New Roman" w:hAnsi="Times New Roman" w:cs="Times New Roman"/>
          <w:i/>
          <w:sz w:val="28"/>
          <w:szCs w:val="28"/>
          <w:lang w:eastAsia="ru-RU"/>
        </w:rPr>
        <w:t>риски</w:t>
      </w:r>
      <w:r>
        <w:rPr>
          <w:rFonts w:ascii="Times New Roman" w:eastAsia="Times New Roman" w:hAnsi="Times New Roman" w:cs="Times New Roman"/>
          <w:i/>
          <w:sz w:val="28"/>
          <w:szCs w:val="28"/>
          <w:lang w:eastAsia="ru-RU"/>
        </w:rPr>
        <w:t xml:space="preserve"> </w:t>
      </w:r>
      <w:r w:rsidRPr="006253B8">
        <w:rPr>
          <w:rFonts w:ascii="Times New Roman" w:eastAsia="Times New Roman" w:hAnsi="Times New Roman" w:cs="Times New Roman"/>
          <w:i/>
          <w:sz w:val="28"/>
          <w:szCs w:val="28"/>
          <w:lang w:eastAsia="ru-RU"/>
        </w:rPr>
        <w:t>федерального</w:t>
      </w:r>
      <w:r>
        <w:rPr>
          <w:rFonts w:ascii="Times New Roman" w:eastAsia="Times New Roman" w:hAnsi="Times New Roman" w:cs="Times New Roman"/>
          <w:i/>
          <w:sz w:val="28"/>
          <w:szCs w:val="28"/>
          <w:lang w:eastAsia="ru-RU"/>
        </w:rPr>
        <w:t xml:space="preserve"> </w:t>
      </w:r>
      <w:r w:rsidRPr="006253B8">
        <w:rPr>
          <w:rFonts w:ascii="Times New Roman" w:eastAsia="Times New Roman" w:hAnsi="Times New Roman" w:cs="Times New Roman"/>
          <w:i/>
          <w:sz w:val="28"/>
          <w:szCs w:val="28"/>
          <w:lang w:eastAsia="ru-RU"/>
        </w:rPr>
        <w:t>уровня</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sidRPr="00ED2F9C">
        <w:rPr>
          <w:rFonts w:ascii="Times New Roman" w:eastAsia="Times New Roman" w:hAnsi="Times New Roman" w:cs="Times New Roman"/>
          <w:sz w:val="28"/>
          <w:szCs w:val="28"/>
          <w:lang w:eastAsia="ru-RU"/>
        </w:rPr>
        <w:t>Бюджетные и налоговые риски федерального</w:t>
      </w:r>
      <w:r>
        <w:rPr>
          <w:rFonts w:ascii="Times New Roman" w:eastAsia="Times New Roman" w:hAnsi="Times New Roman" w:cs="Times New Roman"/>
          <w:sz w:val="28"/>
          <w:szCs w:val="28"/>
          <w:lang w:eastAsia="ru-RU"/>
        </w:rPr>
        <w:t xml:space="preserve"> уровня</w:t>
      </w:r>
      <w:r w:rsidRPr="00ED2F9C">
        <w:rPr>
          <w:rFonts w:ascii="Times New Roman" w:eastAsia="Times New Roman" w:hAnsi="Times New Roman" w:cs="Times New Roman"/>
          <w:sz w:val="28"/>
          <w:szCs w:val="28"/>
          <w:lang w:eastAsia="ru-RU"/>
        </w:rPr>
        <w:t xml:space="preserve"> </w:t>
      </w:r>
      <w:r>
        <w:t>–</w:t>
      </w:r>
      <w:r w:rsidRPr="00ED2F9C">
        <w:rPr>
          <w:rFonts w:ascii="Times New Roman" w:eastAsia="Times New Roman" w:hAnsi="Times New Roman" w:cs="Times New Roman"/>
          <w:sz w:val="28"/>
          <w:szCs w:val="28"/>
          <w:lang w:eastAsia="ru-RU"/>
        </w:rPr>
        <w:t xml:space="preserve"> риски, обусловленные изменениями бюджетного законодательства и законодательства о налогах и сборах Российской Федерации, приводящие к снижению объема доходов и (или) росту объема расходов бюджета субъекта </w:t>
      </w:r>
      <w:r w:rsidR="007E1F77">
        <w:rPr>
          <w:rFonts w:ascii="Times New Roman" w:eastAsia="Times New Roman" w:hAnsi="Times New Roman" w:cs="Times New Roman"/>
          <w:sz w:val="28"/>
          <w:szCs w:val="28"/>
          <w:lang w:eastAsia="ru-RU"/>
        </w:rPr>
        <w:t>РФ</w:t>
      </w:r>
      <w:r w:rsidRPr="00ED2F9C">
        <w:rPr>
          <w:rFonts w:ascii="Times New Roman" w:eastAsia="Times New Roman" w:hAnsi="Times New Roman" w:cs="Times New Roman"/>
          <w:sz w:val="28"/>
          <w:szCs w:val="28"/>
          <w:lang w:eastAsia="ru-RU"/>
        </w:rPr>
        <w:t>.</w:t>
      </w:r>
    </w:p>
    <w:p w:rsidR="00857F7D" w:rsidRPr="006253B8" w:rsidRDefault="00857F7D" w:rsidP="00CE748E">
      <w:pPr>
        <w:spacing w:after="0" w:line="276" w:lineRule="auto"/>
        <w:jc w:val="both"/>
        <w:rPr>
          <w:rFonts w:ascii="Times New Roman" w:eastAsia="Times New Roman" w:hAnsi="Times New Roman" w:cs="Times New Roman"/>
          <w:sz w:val="28"/>
          <w:szCs w:val="28"/>
          <w:lang w:eastAsia="ru-RU"/>
        </w:rPr>
      </w:pPr>
      <w:r w:rsidRPr="00ED2F9C">
        <w:rPr>
          <w:rFonts w:ascii="Times New Roman" w:eastAsia="Times New Roman" w:hAnsi="Times New Roman" w:cs="Times New Roman"/>
          <w:sz w:val="28"/>
          <w:szCs w:val="28"/>
          <w:lang w:eastAsia="ru-RU"/>
        </w:rPr>
        <w:t xml:space="preserve">Бюджетные и налоговые риски федерального уровня являются самой выделяемой категорией рисков в бюджетных прогнозах субъектов </w:t>
      </w:r>
      <w:r w:rsidR="007E1F77">
        <w:rPr>
          <w:rFonts w:ascii="Times New Roman" w:eastAsia="Times New Roman" w:hAnsi="Times New Roman" w:cs="Times New Roman"/>
          <w:sz w:val="28"/>
          <w:szCs w:val="28"/>
          <w:lang w:eastAsia="ru-RU"/>
        </w:rPr>
        <w:t>РФ</w:t>
      </w:r>
      <w:r w:rsidR="006405C0">
        <w:rPr>
          <w:rFonts w:ascii="Times New Roman" w:eastAsia="Times New Roman" w:hAnsi="Times New Roman" w:cs="Times New Roman"/>
          <w:sz w:val="28"/>
          <w:szCs w:val="28"/>
          <w:lang w:eastAsia="ru-RU"/>
        </w:rPr>
        <w:br/>
      </w:r>
      <w:r w:rsidRPr="00ED2F9C">
        <w:rPr>
          <w:rFonts w:ascii="Times New Roman" w:eastAsia="Times New Roman" w:hAnsi="Times New Roman" w:cs="Times New Roman"/>
          <w:sz w:val="28"/>
          <w:szCs w:val="28"/>
          <w:lang w:eastAsia="ru-RU"/>
        </w:rPr>
        <w:t xml:space="preserve">(40 субъектов </w:t>
      </w:r>
      <w:r w:rsidR="007E1F77">
        <w:rPr>
          <w:rFonts w:ascii="Times New Roman" w:eastAsia="Times New Roman" w:hAnsi="Times New Roman" w:cs="Times New Roman"/>
          <w:sz w:val="28"/>
          <w:szCs w:val="28"/>
          <w:lang w:eastAsia="ru-RU"/>
        </w:rPr>
        <w:t>РФ</w:t>
      </w:r>
      <w:r w:rsidRPr="00ED2F9C">
        <w:rPr>
          <w:rFonts w:ascii="Times New Roman" w:eastAsia="Times New Roman" w:hAnsi="Times New Roman" w:cs="Times New Roman"/>
          <w:sz w:val="28"/>
          <w:szCs w:val="28"/>
          <w:lang w:eastAsia="ru-RU"/>
        </w:rPr>
        <w:t>). Основной мерой, применяемой для снижения рисков федерального уровня, особенно риска изменения бюджетного и налогового законодательства</w:t>
      </w:r>
      <w:r w:rsidRPr="006253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проведение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законодательства,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целью</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оперативного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реагирования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указанные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изменения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своевременного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учета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формировании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внесении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региональный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бюджеты</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муниципальных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образований.</w:t>
      </w:r>
    </w:p>
    <w:p w:rsidR="00857F7D" w:rsidRPr="006253B8" w:rsidRDefault="00857F7D" w:rsidP="00CE748E">
      <w:pPr>
        <w:pStyle w:val="afe"/>
        <w:spacing w:line="276" w:lineRule="auto"/>
        <w:jc w:val="both"/>
        <w:rPr>
          <w:rFonts w:eastAsia="Times New Roman" w:cs="Times New Roman"/>
          <w:color w:val="auto"/>
          <w:sz w:val="28"/>
          <w:szCs w:val="28"/>
          <w:lang w:eastAsia="ru-RU"/>
        </w:rPr>
      </w:pPr>
      <w:r>
        <w:rPr>
          <w:rFonts w:eastAsia="Times New Roman" w:cs="Times New Roman"/>
          <w:color w:val="auto"/>
          <w:sz w:val="28"/>
          <w:szCs w:val="28"/>
          <w:lang w:eastAsia="ru-RU"/>
        </w:rPr>
        <w:t xml:space="preserve">Изменение федерального законодательства может потенциально нести в себе следующие риски для бюджетов регионов: </w:t>
      </w:r>
      <w:r w:rsidRPr="006253B8">
        <w:rPr>
          <w:rFonts w:eastAsia="Times New Roman" w:cs="Times New Roman"/>
          <w:color w:val="auto"/>
          <w:sz w:val="28"/>
          <w:szCs w:val="28"/>
          <w:lang w:eastAsia="ru-RU"/>
        </w:rPr>
        <w:t>установлени</w:t>
      </w:r>
      <w:r>
        <w:rPr>
          <w:rFonts w:eastAsia="Times New Roman" w:cs="Times New Roman"/>
          <w:color w:val="auto"/>
          <w:sz w:val="28"/>
          <w:szCs w:val="28"/>
          <w:lang w:eastAsia="ru-RU"/>
        </w:rPr>
        <w:t xml:space="preserve">е </w:t>
      </w:r>
      <w:r w:rsidRPr="006253B8">
        <w:rPr>
          <w:rFonts w:eastAsia="Times New Roman" w:cs="Times New Roman"/>
          <w:color w:val="auto"/>
          <w:sz w:val="28"/>
          <w:szCs w:val="28"/>
          <w:lang w:eastAsia="ru-RU"/>
        </w:rPr>
        <w:t>либо</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передач</w:t>
      </w:r>
      <w:r>
        <w:rPr>
          <w:rFonts w:eastAsia="Times New Roman" w:cs="Times New Roman"/>
          <w:color w:val="auto"/>
          <w:sz w:val="28"/>
          <w:szCs w:val="28"/>
          <w:lang w:eastAsia="ru-RU"/>
        </w:rPr>
        <w:t xml:space="preserve">а </w:t>
      </w:r>
      <w:r w:rsidRPr="006253B8">
        <w:rPr>
          <w:rFonts w:eastAsia="Times New Roman" w:cs="Times New Roman"/>
          <w:color w:val="auto"/>
          <w:sz w:val="28"/>
          <w:szCs w:val="28"/>
          <w:lang w:eastAsia="ru-RU"/>
        </w:rPr>
        <w:t>новых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расходных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обязательств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на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региональный</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уровень,</w:t>
      </w:r>
      <w:r>
        <w:rPr>
          <w:rFonts w:eastAsia="Times New Roman" w:cs="Times New Roman"/>
          <w:color w:val="auto"/>
          <w:sz w:val="28"/>
          <w:szCs w:val="28"/>
          <w:lang w:eastAsia="ru-RU"/>
        </w:rPr>
        <w:t xml:space="preserve"> не обеспеченных соответствующими </w:t>
      </w:r>
      <w:r w:rsidRPr="006253B8">
        <w:rPr>
          <w:rFonts w:eastAsia="Times New Roman" w:cs="Times New Roman"/>
          <w:color w:val="auto"/>
          <w:sz w:val="28"/>
          <w:szCs w:val="28"/>
          <w:lang w:eastAsia="ru-RU"/>
        </w:rPr>
        <w:t>источниками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финансирования</w:t>
      </w:r>
      <w:r>
        <w:rPr>
          <w:rFonts w:eastAsia="Times New Roman" w:cs="Times New Roman"/>
          <w:color w:val="auto"/>
          <w:sz w:val="28"/>
          <w:szCs w:val="28"/>
          <w:lang w:eastAsia="ru-RU"/>
        </w:rPr>
        <w:t>, образование</w:t>
      </w:r>
      <w:r w:rsidRPr="002562B6">
        <w:t xml:space="preserve"> </w:t>
      </w:r>
      <w:r w:rsidRPr="002562B6">
        <w:rPr>
          <w:rFonts w:eastAsia="Times New Roman" w:cs="Times New Roman"/>
          <w:color w:val="auto"/>
          <w:sz w:val="28"/>
          <w:szCs w:val="28"/>
          <w:lang w:eastAsia="ru-RU"/>
        </w:rPr>
        <w:t>выпадающи</w:t>
      </w:r>
      <w:r>
        <w:rPr>
          <w:rFonts w:eastAsia="Times New Roman" w:cs="Times New Roman"/>
          <w:color w:val="auto"/>
          <w:sz w:val="28"/>
          <w:szCs w:val="28"/>
          <w:lang w:eastAsia="ru-RU"/>
        </w:rPr>
        <w:t>х</w:t>
      </w:r>
      <w:r w:rsidRPr="002562B6">
        <w:rPr>
          <w:rFonts w:eastAsia="Times New Roman" w:cs="Times New Roman"/>
          <w:color w:val="auto"/>
          <w:sz w:val="28"/>
          <w:szCs w:val="28"/>
          <w:lang w:eastAsia="ru-RU"/>
        </w:rPr>
        <w:t xml:space="preserve"> доход</w:t>
      </w:r>
      <w:r>
        <w:rPr>
          <w:rFonts w:eastAsia="Times New Roman" w:cs="Times New Roman"/>
          <w:color w:val="auto"/>
          <w:sz w:val="28"/>
          <w:szCs w:val="28"/>
          <w:lang w:eastAsia="ru-RU"/>
        </w:rPr>
        <w:t>ов</w:t>
      </w:r>
      <w:r w:rsidRPr="002562B6">
        <w:rPr>
          <w:rFonts w:eastAsia="Times New Roman" w:cs="Times New Roman"/>
          <w:color w:val="auto"/>
          <w:sz w:val="28"/>
          <w:szCs w:val="28"/>
          <w:lang w:eastAsia="ru-RU"/>
        </w:rPr>
        <w:t xml:space="preserve"> субъектов </w:t>
      </w:r>
      <w:r w:rsidR="007E1F77">
        <w:rPr>
          <w:rFonts w:eastAsia="Times New Roman" w:cs="Times New Roman"/>
          <w:color w:val="auto"/>
          <w:sz w:val="28"/>
          <w:szCs w:val="28"/>
          <w:lang w:eastAsia="ru-RU"/>
        </w:rPr>
        <w:t>РФ</w:t>
      </w:r>
      <w:r>
        <w:rPr>
          <w:rFonts w:eastAsia="Times New Roman" w:cs="Times New Roman"/>
          <w:color w:val="auto"/>
          <w:sz w:val="28"/>
          <w:szCs w:val="28"/>
          <w:lang w:eastAsia="ru-RU"/>
        </w:rPr>
        <w:t xml:space="preserve">, в том числе за счет </w:t>
      </w:r>
      <w:r w:rsidRPr="002562B6">
        <w:rPr>
          <w:rFonts w:eastAsia="Times New Roman" w:cs="Times New Roman"/>
          <w:color w:val="auto"/>
          <w:sz w:val="28"/>
          <w:szCs w:val="28"/>
          <w:lang w:eastAsia="ru-RU"/>
        </w:rPr>
        <w:t>установлени</w:t>
      </w:r>
      <w:r>
        <w:rPr>
          <w:rFonts w:eastAsia="Times New Roman" w:cs="Times New Roman"/>
          <w:color w:val="auto"/>
          <w:sz w:val="28"/>
          <w:szCs w:val="28"/>
          <w:lang w:eastAsia="ru-RU"/>
        </w:rPr>
        <w:t>я</w:t>
      </w:r>
      <w:r w:rsidRPr="002562B6">
        <w:rPr>
          <w:rFonts w:eastAsia="Times New Roman" w:cs="Times New Roman"/>
          <w:color w:val="auto"/>
          <w:sz w:val="28"/>
          <w:szCs w:val="28"/>
          <w:lang w:eastAsia="ru-RU"/>
        </w:rPr>
        <w:t xml:space="preserve"> налоговых льгот</w:t>
      </w:r>
      <w:r>
        <w:rPr>
          <w:rFonts w:eastAsia="Times New Roman" w:cs="Times New Roman"/>
          <w:color w:val="auto"/>
          <w:sz w:val="28"/>
          <w:szCs w:val="28"/>
          <w:lang w:eastAsia="ru-RU"/>
        </w:rPr>
        <w:t xml:space="preserve"> и</w:t>
      </w:r>
      <w:r w:rsidRPr="002562B6">
        <w:rPr>
          <w:rFonts w:eastAsia="Times New Roman" w:cs="Times New Roman"/>
          <w:color w:val="auto"/>
          <w:sz w:val="28"/>
          <w:szCs w:val="28"/>
          <w:lang w:eastAsia="ru-RU"/>
        </w:rPr>
        <w:t xml:space="preserve"> изменени</w:t>
      </w:r>
      <w:r>
        <w:rPr>
          <w:rFonts w:eastAsia="Times New Roman" w:cs="Times New Roman"/>
          <w:color w:val="auto"/>
          <w:sz w:val="28"/>
          <w:szCs w:val="28"/>
          <w:lang w:eastAsia="ru-RU"/>
        </w:rPr>
        <w:t>я</w:t>
      </w:r>
      <w:r w:rsidRPr="002562B6">
        <w:rPr>
          <w:rFonts w:eastAsia="Times New Roman" w:cs="Times New Roman"/>
          <w:color w:val="auto"/>
          <w:sz w:val="28"/>
          <w:szCs w:val="28"/>
          <w:lang w:eastAsia="ru-RU"/>
        </w:rPr>
        <w:t xml:space="preserve"> порядка налогообложения</w:t>
      </w:r>
      <w:r w:rsidRPr="006253B8">
        <w:rPr>
          <w:rFonts w:eastAsia="Times New Roman" w:cs="Times New Roman"/>
          <w:color w:val="auto"/>
          <w:sz w:val="28"/>
          <w:szCs w:val="28"/>
          <w:lang w:eastAsia="ru-RU"/>
        </w:rPr>
        <w:t>.</w:t>
      </w:r>
      <w:r>
        <w:rPr>
          <w:rFonts w:eastAsia="Times New Roman" w:cs="Times New Roman"/>
          <w:color w:val="auto"/>
          <w:sz w:val="28"/>
          <w:szCs w:val="28"/>
          <w:lang w:eastAsia="ru-RU"/>
        </w:rPr>
        <w:t xml:space="preserve"> </w:t>
      </w:r>
    </w:p>
    <w:p w:rsidR="00857F7D" w:rsidRPr="006253B8" w:rsidRDefault="00857F7D" w:rsidP="00CE748E">
      <w:pPr>
        <w:pStyle w:val="afe"/>
        <w:spacing w:line="276" w:lineRule="auto"/>
        <w:jc w:val="both"/>
        <w:rPr>
          <w:rFonts w:eastAsia="Times New Roman" w:cs="Times New Roman"/>
          <w:color w:val="auto"/>
          <w:sz w:val="28"/>
          <w:szCs w:val="28"/>
          <w:lang w:eastAsia="ru-RU"/>
        </w:rPr>
      </w:pPr>
      <w:r w:rsidRPr="006253B8">
        <w:rPr>
          <w:rFonts w:eastAsia="Times New Roman" w:cs="Times New Roman"/>
          <w:color w:val="auto"/>
          <w:sz w:val="28"/>
          <w:szCs w:val="28"/>
          <w:lang w:eastAsia="ru-RU"/>
        </w:rPr>
        <w:t>Примерами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мер,</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снижающих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влияние</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риска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установления</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либо</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передачи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новых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расходных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обязательств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на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региональный</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уровень,</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являются:</w:t>
      </w:r>
      <w:r>
        <w:rPr>
          <w:rFonts w:eastAsia="Times New Roman" w:cs="Times New Roman"/>
          <w:color w:val="auto"/>
          <w:sz w:val="28"/>
          <w:szCs w:val="28"/>
          <w:lang w:eastAsia="ru-RU"/>
        </w:rPr>
        <w:t xml:space="preserve"> </w:t>
      </w:r>
    </w:p>
    <w:p w:rsidR="00857F7D" w:rsidRPr="006253B8" w:rsidRDefault="00857F7D" w:rsidP="00CE748E">
      <w:pPr>
        <w:pStyle w:val="afe"/>
        <w:numPr>
          <w:ilvl w:val="0"/>
          <w:numId w:val="16"/>
        </w:numPr>
        <w:tabs>
          <w:tab w:val="right" w:pos="426"/>
          <w:tab w:val="left" w:pos="993"/>
        </w:tabs>
        <w:spacing w:line="276" w:lineRule="auto"/>
        <w:ind w:left="425" w:hanging="425"/>
        <w:jc w:val="both"/>
        <w:rPr>
          <w:rFonts w:eastAsia="Times New Roman" w:cs="Times New Roman"/>
          <w:color w:val="auto"/>
          <w:sz w:val="28"/>
          <w:szCs w:val="28"/>
          <w:lang w:eastAsia="ru-RU"/>
        </w:rPr>
      </w:pPr>
      <w:r w:rsidRPr="006253B8">
        <w:rPr>
          <w:rFonts w:eastAsia="Times New Roman" w:cs="Times New Roman"/>
          <w:color w:val="auto"/>
          <w:sz w:val="28"/>
          <w:szCs w:val="28"/>
          <w:lang w:eastAsia="ru-RU"/>
        </w:rPr>
        <w:t>активное</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использование</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оценки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эффективности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бюджетных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расходов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при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подготовке</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бюджетных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решений,</w:t>
      </w:r>
      <w:r>
        <w:rPr>
          <w:rFonts w:eastAsia="Times New Roman" w:cs="Times New Roman"/>
          <w:color w:val="auto"/>
          <w:sz w:val="28"/>
          <w:szCs w:val="28"/>
          <w:lang w:eastAsia="ru-RU"/>
        </w:rPr>
        <w:t xml:space="preserve"> улучшение </w:t>
      </w:r>
      <w:r w:rsidRPr="006253B8">
        <w:rPr>
          <w:rFonts w:eastAsia="Times New Roman" w:cs="Times New Roman"/>
          <w:color w:val="auto"/>
          <w:sz w:val="28"/>
          <w:szCs w:val="28"/>
          <w:lang w:eastAsia="ru-RU"/>
        </w:rPr>
        <w:t>качества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финансово-экономических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обоснований</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отношении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принимаемых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расходных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обязательств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отдельных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проектов</w:t>
      </w:r>
      <w:r>
        <w:rPr>
          <w:rFonts w:eastAsia="Times New Roman" w:cs="Times New Roman"/>
          <w:color w:val="auto"/>
          <w:sz w:val="28"/>
          <w:szCs w:val="28"/>
          <w:lang w:eastAsia="ru-RU"/>
        </w:rPr>
        <w:t>;</w:t>
      </w:r>
    </w:p>
    <w:p w:rsidR="00857F7D" w:rsidRPr="006253B8" w:rsidRDefault="00857F7D" w:rsidP="00CE748E">
      <w:pPr>
        <w:pStyle w:val="afe"/>
        <w:numPr>
          <w:ilvl w:val="0"/>
          <w:numId w:val="16"/>
        </w:numPr>
        <w:tabs>
          <w:tab w:val="right" w:pos="426"/>
          <w:tab w:val="left" w:pos="993"/>
        </w:tabs>
        <w:spacing w:line="276" w:lineRule="auto"/>
        <w:ind w:left="425" w:hanging="425"/>
        <w:jc w:val="both"/>
        <w:rPr>
          <w:rFonts w:eastAsia="Times New Roman" w:cs="Times New Roman"/>
          <w:color w:val="auto"/>
          <w:sz w:val="28"/>
          <w:szCs w:val="28"/>
          <w:lang w:eastAsia="ru-RU"/>
        </w:rPr>
      </w:pPr>
      <w:r w:rsidRPr="006253B8">
        <w:rPr>
          <w:rFonts w:eastAsia="Times New Roman" w:cs="Times New Roman"/>
          <w:color w:val="auto"/>
          <w:sz w:val="28"/>
          <w:szCs w:val="28"/>
          <w:lang w:eastAsia="ru-RU"/>
        </w:rPr>
        <w:t>применение</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механизма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концентрации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бюджетных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ресурсов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на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важнейших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направлениях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деятельности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путем</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изменения</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структуры</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бюджетных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расходов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четкой</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их</w:t>
      </w:r>
      <w:r>
        <w:rPr>
          <w:rFonts w:eastAsia="Times New Roman" w:cs="Times New Roman"/>
          <w:color w:val="auto"/>
          <w:sz w:val="28"/>
          <w:szCs w:val="28"/>
          <w:lang w:eastAsia="ru-RU"/>
        </w:rPr>
        <w:t xml:space="preserve"> </w:t>
      </w:r>
      <w:proofErr w:type="spellStart"/>
      <w:r w:rsidRPr="006253B8">
        <w:rPr>
          <w:rFonts w:eastAsia="Times New Roman" w:cs="Times New Roman"/>
          <w:color w:val="auto"/>
          <w:sz w:val="28"/>
          <w:szCs w:val="28"/>
          <w:lang w:eastAsia="ru-RU"/>
        </w:rPr>
        <w:t>приоритизации</w:t>
      </w:r>
      <w:proofErr w:type="spellEnd"/>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пользу</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наиболее</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эффективных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при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безусловной</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реализации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действующих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расходных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обязательств,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том</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числе</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рамках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утвержденных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государственных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программ</w:t>
      </w:r>
      <w:r>
        <w:rPr>
          <w:rFonts w:eastAsia="Times New Roman" w:cs="Times New Roman"/>
          <w:color w:val="auto"/>
          <w:sz w:val="28"/>
          <w:szCs w:val="28"/>
          <w:lang w:eastAsia="ru-RU"/>
        </w:rPr>
        <w:t>;</w:t>
      </w:r>
    </w:p>
    <w:p w:rsidR="00857F7D" w:rsidRPr="006253B8" w:rsidRDefault="00857F7D" w:rsidP="00CE748E">
      <w:pPr>
        <w:pStyle w:val="afe"/>
        <w:numPr>
          <w:ilvl w:val="0"/>
          <w:numId w:val="16"/>
        </w:numPr>
        <w:tabs>
          <w:tab w:val="right" w:pos="426"/>
          <w:tab w:val="left" w:pos="993"/>
        </w:tabs>
        <w:spacing w:line="276" w:lineRule="auto"/>
        <w:ind w:left="425" w:hanging="425"/>
        <w:jc w:val="both"/>
        <w:rPr>
          <w:rFonts w:eastAsia="Times New Roman" w:cs="Times New Roman"/>
          <w:color w:val="auto"/>
          <w:sz w:val="28"/>
          <w:szCs w:val="28"/>
          <w:lang w:eastAsia="ru-RU"/>
        </w:rPr>
      </w:pPr>
      <w:r w:rsidRPr="006253B8">
        <w:rPr>
          <w:rFonts w:eastAsia="Times New Roman" w:cs="Times New Roman"/>
          <w:color w:val="auto"/>
          <w:sz w:val="28"/>
          <w:szCs w:val="28"/>
          <w:lang w:eastAsia="ru-RU"/>
        </w:rPr>
        <w:t>оценка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расходных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обязательств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региона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с</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учетом</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возможностей</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регионального</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бюджета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по</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их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финансированию,</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принятие</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новых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расходных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обязательств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только</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при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наличии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источников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их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финансового</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обеспечения</w:t>
      </w:r>
      <w:r>
        <w:rPr>
          <w:rFonts w:eastAsia="Times New Roman" w:cs="Times New Roman"/>
          <w:color w:val="auto"/>
          <w:sz w:val="28"/>
          <w:szCs w:val="28"/>
          <w:lang w:eastAsia="ru-RU"/>
        </w:rPr>
        <w:t>.</w:t>
      </w:r>
    </w:p>
    <w:p w:rsidR="00857F7D" w:rsidRPr="006253B8" w:rsidRDefault="00857F7D" w:rsidP="00CE748E">
      <w:pPr>
        <w:pStyle w:val="afe"/>
        <w:spacing w:line="276" w:lineRule="auto"/>
        <w:jc w:val="both"/>
        <w:rPr>
          <w:rFonts w:eastAsia="Times New Roman" w:cs="Times New Roman"/>
          <w:color w:val="auto"/>
          <w:sz w:val="28"/>
          <w:szCs w:val="28"/>
          <w:lang w:eastAsia="ru-RU"/>
        </w:rPr>
      </w:pPr>
      <w:r>
        <w:rPr>
          <w:rFonts w:eastAsia="Times New Roman" w:cs="Times New Roman"/>
          <w:color w:val="auto"/>
          <w:sz w:val="28"/>
          <w:szCs w:val="28"/>
          <w:lang w:eastAsia="ru-RU"/>
        </w:rPr>
        <w:t xml:space="preserve">Риск </w:t>
      </w:r>
      <w:r w:rsidRPr="006253B8">
        <w:rPr>
          <w:rFonts w:eastAsia="Times New Roman" w:cs="Times New Roman"/>
          <w:color w:val="auto"/>
          <w:sz w:val="28"/>
          <w:szCs w:val="28"/>
          <w:lang w:eastAsia="ru-RU"/>
        </w:rPr>
        <w:t>сокращени</w:t>
      </w:r>
      <w:r>
        <w:rPr>
          <w:rFonts w:eastAsia="Times New Roman" w:cs="Times New Roman"/>
          <w:color w:val="auto"/>
          <w:sz w:val="28"/>
          <w:szCs w:val="28"/>
          <w:lang w:eastAsia="ru-RU"/>
        </w:rPr>
        <w:t xml:space="preserve">я </w:t>
      </w:r>
      <w:r w:rsidRPr="006253B8">
        <w:rPr>
          <w:rFonts w:eastAsia="Times New Roman" w:cs="Times New Roman"/>
          <w:color w:val="auto"/>
          <w:sz w:val="28"/>
          <w:szCs w:val="28"/>
          <w:lang w:eastAsia="ru-RU"/>
        </w:rPr>
        <w:t>безвозмездных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поступлений</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из</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федерального</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бюджета</w:t>
      </w:r>
      <w:r>
        <w:rPr>
          <w:rFonts w:eastAsia="Times New Roman" w:cs="Times New Roman"/>
          <w:color w:val="auto"/>
          <w:sz w:val="28"/>
          <w:szCs w:val="28"/>
          <w:lang w:eastAsia="ru-RU"/>
        </w:rPr>
        <w:t xml:space="preserve"> упоминается у 16 субъектов </w:t>
      </w:r>
      <w:r w:rsidR="007E1F77">
        <w:rPr>
          <w:rFonts w:eastAsia="Times New Roman" w:cs="Times New Roman"/>
          <w:color w:val="auto"/>
          <w:sz w:val="28"/>
          <w:szCs w:val="28"/>
          <w:lang w:eastAsia="ru-RU"/>
        </w:rPr>
        <w:t>РФ</w:t>
      </w:r>
      <w:r w:rsidRPr="006253B8">
        <w:rPr>
          <w:rFonts w:eastAsia="Times New Roman" w:cs="Times New Roman"/>
          <w:color w:val="auto"/>
          <w:sz w:val="28"/>
          <w:szCs w:val="28"/>
          <w:lang w:eastAsia="ru-RU"/>
        </w:rPr>
        <w:t>.</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С</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целью</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минимизации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влияния</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указанного</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lastRenderedPageBreak/>
        <w:t>риска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большинство</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регионов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выделяют</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такую</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меру</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как</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активное</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участие</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привлечении</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средств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федерального</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бюджета,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том</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числе</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рамках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государственных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программ</w:t>
      </w:r>
      <w:r>
        <w:rPr>
          <w:rFonts w:eastAsia="Times New Roman" w:cs="Times New Roman"/>
          <w:color w:val="auto"/>
          <w:sz w:val="28"/>
          <w:szCs w:val="28"/>
          <w:lang w:eastAsia="ru-RU"/>
        </w:rPr>
        <w:t xml:space="preserve"> </w:t>
      </w:r>
      <w:r w:rsidR="007E1F77">
        <w:rPr>
          <w:rFonts w:eastAsia="Times New Roman" w:cs="Times New Roman"/>
          <w:color w:val="auto"/>
          <w:sz w:val="28"/>
          <w:szCs w:val="28"/>
          <w:lang w:eastAsia="ru-RU"/>
        </w:rPr>
        <w:t>РФ</w:t>
      </w:r>
      <w:r w:rsidRPr="006253B8">
        <w:rPr>
          <w:rFonts w:eastAsia="Times New Roman" w:cs="Times New Roman"/>
          <w:color w:val="auto"/>
          <w:sz w:val="28"/>
          <w:szCs w:val="28"/>
          <w:lang w:eastAsia="ru-RU"/>
        </w:rPr>
        <w:t>,</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также</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создание</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условий</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для</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получения</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регионом</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большего</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объема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безвозмездных</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поступлений</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от</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федерального</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бюджета</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в</w:t>
      </w:r>
      <w:r>
        <w:rPr>
          <w:rFonts w:eastAsia="Times New Roman" w:cs="Times New Roman"/>
          <w:color w:val="auto"/>
          <w:sz w:val="28"/>
          <w:szCs w:val="28"/>
          <w:lang w:eastAsia="ru-RU"/>
        </w:rPr>
        <w:t xml:space="preserve"> </w:t>
      </w:r>
      <w:r w:rsidRPr="006253B8">
        <w:rPr>
          <w:rFonts w:eastAsia="Times New Roman" w:cs="Times New Roman"/>
          <w:color w:val="auto"/>
          <w:sz w:val="28"/>
          <w:szCs w:val="28"/>
          <w:lang w:eastAsia="ru-RU"/>
        </w:rPr>
        <w:t>целом.</w:t>
      </w:r>
    </w:p>
    <w:p w:rsidR="00857F7D" w:rsidRPr="006253B8" w:rsidRDefault="00857F7D" w:rsidP="00CE748E">
      <w:pPr>
        <w:pStyle w:val="afe"/>
        <w:spacing w:line="276" w:lineRule="auto"/>
        <w:jc w:val="both"/>
        <w:rPr>
          <w:rFonts w:eastAsia="Times New Roman" w:cs="Times New Roman"/>
          <w:color w:val="auto"/>
          <w:sz w:val="28"/>
          <w:szCs w:val="28"/>
          <w:lang w:eastAsia="ru-RU"/>
        </w:rPr>
      </w:pPr>
    </w:p>
    <w:p w:rsidR="00857F7D" w:rsidRPr="006253B8" w:rsidRDefault="00857F7D" w:rsidP="00CE748E">
      <w:pPr>
        <w:spacing w:after="120" w:line="276" w:lineRule="auto"/>
        <w:jc w:val="both"/>
        <w:rPr>
          <w:rFonts w:ascii="Times New Roman" w:eastAsia="Times New Roman" w:hAnsi="Times New Roman" w:cs="Times New Roman"/>
          <w:i/>
          <w:sz w:val="28"/>
          <w:szCs w:val="28"/>
          <w:lang w:eastAsia="ru-RU"/>
        </w:rPr>
      </w:pPr>
      <w:r w:rsidRPr="006253B8">
        <w:rPr>
          <w:rFonts w:ascii="Times New Roman" w:eastAsia="Times New Roman" w:hAnsi="Times New Roman" w:cs="Times New Roman"/>
          <w:i/>
          <w:sz w:val="28"/>
          <w:szCs w:val="28"/>
          <w:lang w:eastAsia="ru-RU"/>
        </w:rPr>
        <w:t>Макроэкономические</w:t>
      </w:r>
      <w:r>
        <w:rPr>
          <w:rFonts w:ascii="Times New Roman" w:eastAsia="Times New Roman" w:hAnsi="Times New Roman" w:cs="Times New Roman"/>
          <w:i/>
          <w:sz w:val="28"/>
          <w:szCs w:val="28"/>
          <w:lang w:eastAsia="ru-RU"/>
        </w:rPr>
        <w:t xml:space="preserve"> </w:t>
      </w:r>
      <w:r w:rsidRPr="006253B8">
        <w:rPr>
          <w:rFonts w:ascii="Times New Roman" w:eastAsia="Times New Roman" w:hAnsi="Times New Roman" w:cs="Times New Roman"/>
          <w:i/>
          <w:sz w:val="28"/>
          <w:szCs w:val="28"/>
          <w:lang w:eastAsia="ru-RU"/>
        </w:rPr>
        <w:t>риски</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Макроэкономические риски </w:t>
      </w:r>
      <w:r>
        <w:t>–</w:t>
      </w:r>
      <w:r>
        <w:rPr>
          <w:rFonts w:ascii="Times New Roman" w:eastAsia="Times New Roman" w:hAnsi="Times New Roman" w:cs="Times New Roman"/>
          <w:sz w:val="28"/>
          <w:szCs w:val="28"/>
          <w:lang w:eastAsia="ru-RU"/>
        </w:rPr>
        <w:t xml:space="preserve"> </w:t>
      </w:r>
      <w:r w:rsidRPr="002135F7">
        <w:rPr>
          <w:rFonts w:ascii="Times New Roman" w:eastAsia="Times New Roman" w:hAnsi="Times New Roman" w:cs="Times New Roman"/>
          <w:sz w:val="28"/>
          <w:szCs w:val="28"/>
          <w:lang w:eastAsia="ru-RU"/>
        </w:rPr>
        <w:t xml:space="preserve">потенциальные негативные проявления в экономике на мировом и (или) общегосударственном уровне, приводящие к снижению темпов социально-экономического развития субъекта </w:t>
      </w:r>
      <w:r w:rsidR="007E1F77">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w:t>
      </w:r>
    </w:p>
    <w:p w:rsidR="00857F7D" w:rsidRPr="00361AF6" w:rsidRDefault="00857F7D" w:rsidP="00CE748E">
      <w:pPr>
        <w:spacing w:after="0" w:line="276" w:lineRule="auto"/>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макроэкономических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большинство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регионов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отмечает</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изменение</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(ухудшение)</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общеэкономической</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характеризующееся </w:t>
      </w:r>
      <w:r w:rsidRPr="00361AF6">
        <w:rPr>
          <w:rFonts w:ascii="Times New Roman" w:eastAsia="Times New Roman" w:hAnsi="Times New Roman" w:cs="Times New Roman"/>
          <w:sz w:val="28"/>
          <w:szCs w:val="28"/>
          <w:lang w:eastAsia="ru-RU"/>
        </w:rPr>
        <w:t>сокращением</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темпов</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социально-экономического</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Федерации</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целом,</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регионов</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отдельности</w:t>
      </w:r>
      <w:r>
        <w:rPr>
          <w:rFonts w:ascii="Times New Roman" w:eastAsia="Times New Roman" w:hAnsi="Times New Roman" w:cs="Times New Roman"/>
          <w:sz w:val="28"/>
          <w:szCs w:val="28"/>
          <w:lang w:eastAsia="ru-RU"/>
        </w:rPr>
        <w:t>,</w:t>
      </w:r>
      <w:r w:rsidRPr="00361AF6">
        <w:rPr>
          <w:rFonts w:ascii="Times New Roman" w:eastAsia="Times New Roman" w:hAnsi="Times New Roman" w:cs="Times New Roman"/>
          <w:sz w:val="28"/>
          <w:szCs w:val="28"/>
          <w:lang w:eastAsia="ru-RU"/>
        </w:rPr>
        <w:t xml:space="preserve"> что</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может</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повлиять</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достижение</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регионами</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прогнозных</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показателей</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социально-экономического</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влекующее</w:t>
      </w:r>
      <w:proofErr w:type="spellEnd"/>
      <w:r>
        <w:rPr>
          <w:rFonts w:ascii="Times New Roman" w:eastAsia="Times New Roman" w:hAnsi="Times New Roman" w:cs="Times New Roman"/>
          <w:sz w:val="28"/>
          <w:szCs w:val="28"/>
          <w:lang w:eastAsia="ru-RU"/>
        </w:rPr>
        <w:t xml:space="preserve"> за собой </w:t>
      </w:r>
      <w:r w:rsidRPr="00361AF6">
        <w:rPr>
          <w:rFonts w:ascii="Times New Roman" w:eastAsia="Times New Roman" w:hAnsi="Times New Roman" w:cs="Times New Roman"/>
          <w:sz w:val="28"/>
          <w:szCs w:val="28"/>
          <w:lang w:eastAsia="ru-RU"/>
        </w:rPr>
        <w:t>уменьшени</w:t>
      </w:r>
      <w:r>
        <w:rPr>
          <w:rFonts w:ascii="Times New Roman" w:eastAsia="Times New Roman" w:hAnsi="Times New Roman" w:cs="Times New Roman"/>
          <w:sz w:val="28"/>
          <w:szCs w:val="28"/>
          <w:lang w:eastAsia="ru-RU"/>
        </w:rPr>
        <w:t xml:space="preserve">е </w:t>
      </w:r>
      <w:r w:rsidRPr="00361AF6">
        <w:rPr>
          <w:rFonts w:ascii="Times New Roman" w:eastAsia="Times New Roman" w:hAnsi="Times New Roman" w:cs="Times New Roman"/>
          <w:sz w:val="28"/>
          <w:szCs w:val="28"/>
          <w:lang w:eastAsia="ru-RU"/>
        </w:rPr>
        <w:t>поступлений</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налоговых</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неналоговых</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доходов</w:t>
      </w:r>
      <w:r>
        <w:rPr>
          <w:rFonts w:ascii="Times New Roman" w:eastAsia="Times New Roman" w:hAnsi="Times New Roman" w:cs="Times New Roman"/>
          <w:sz w:val="28"/>
          <w:szCs w:val="28"/>
          <w:lang w:eastAsia="ru-RU"/>
        </w:rPr>
        <w:t xml:space="preserve"> регионального бюджета. Кроме того, выделяются </w:t>
      </w:r>
      <w:r w:rsidRPr="00361AF6">
        <w:rPr>
          <w:rFonts w:ascii="Times New Roman" w:eastAsia="Times New Roman" w:hAnsi="Times New Roman" w:cs="Times New Roman"/>
          <w:sz w:val="28"/>
          <w:szCs w:val="28"/>
          <w:lang w:eastAsia="ru-RU"/>
        </w:rPr>
        <w:t>инфляционные</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риски,</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прежде</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всего</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выражающиеся</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превышении</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прогнозируемого</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361AF6">
        <w:rPr>
          <w:rFonts w:ascii="Times New Roman" w:eastAsia="Times New Roman" w:hAnsi="Times New Roman" w:cs="Times New Roman"/>
          <w:sz w:val="28"/>
          <w:szCs w:val="28"/>
          <w:lang w:eastAsia="ru-RU"/>
        </w:rPr>
        <w:t>инфляции</w:t>
      </w:r>
      <w:r>
        <w:rPr>
          <w:rFonts w:ascii="Times New Roman" w:eastAsia="Times New Roman" w:hAnsi="Times New Roman" w:cs="Times New Roman"/>
          <w:sz w:val="28"/>
          <w:szCs w:val="28"/>
          <w:lang w:eastAsia="ru-RU"/>
        </w:rPr>
        <w:t>.</w:t>
      </w:r>
    </w:p>
    <w:p w:rsidR="00857F7D" w:rsidRPr="006253B8" w:rsidRDefault="00857F7D" w:rsidP="00CE748E">
      <w:pPr>
        <w:spacing w:after="0" w:line="276" w:lineRule="auto"/>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снижения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макроэкономических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регионы</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основном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приводят</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примеры</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общ</w:t>
      </w:r>
      <w:r>
        <w:rPr>
          <w:rFonts w:ascii="Times New Roman" w:eastAsia="Times New Roman" w:hAnsi="Times New Roman" w:cs="Times New Roman"/>
          <w:sz w:val="28"/>
          <w:szCs w:val="28"/>
          <w:lang w:eastAsia="ru-RU"/>
        </w:rPr>
        <w:t xml:space="preserve">есистемных </w:t>
      </w:r>
      <w:r w:rsidRPr="006253B8">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 xml:space="preserve"> </w:t>
      </w:r>
      <w:r>
        <w:t>–</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принятие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направленных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развитие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экономического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потенциала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региона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качественное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проведение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системных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реформ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отраслях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бюджетной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сферы</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кардинального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повышения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эффективности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расходов.</w:t>
      </w:r>
    </w:p>
    <w:p w:rsidR="00857F7D" w:rsidRDefault="00857F7D" w:rsidP="00CE748E">
      <w:pPr>
        <w:spacing w:after="0" w:line="276" w:lineRule="auto"/>
        <w:jc w:val="both"/>
        <w:rPr>
          <w:rFonts w:ascii="Times New Roman" w:eastAsia="Times New Roman" w:hAnsi="Times New Roman" w:cs="Times New Roman"/>
          <w:sz w:val="28"/>
          <w:szCs w:val="28"/>
          <w:lang w:eastAsia="ru-RU"/>
        </w:rPr>
      </w:pPr>
    </w:p>
    <w:p w:rsidR="00857F7D" w:rsidRPr="006253B8" w:rsidRDefault="00857F7D" w:rsidP="00CE748E">
      <w:pPr>
        <w:spacing w:after="120" w:line="276" w:lineRule="auto"/>
        <w:jc w:val="both"/>
        <w:rPr>
          <w:rFonts w:ascii="Times New Roman" w:eastAsia="Times New Roman" w:hAnsi="Times New Roman" w:cs="Times New Roman"/>
          <w:i/>
          <w:sz w:val="28"/>
          <w:szCs w:val="28"/>
          <w:lang w:eastAsia="ru-RU"/>
        </w:rPr>
      </w:pPr>
      <w:r w:rsidRPr="006253B8">
        <w:rPr>
          <w:rFonts w:ascii="Times New Roman" w:eastAsia="Times New Roman" w:hAnsi="Times New Roman" w:cs="Times New Roman"/>
          <w:i/>
          <w:sz w:val="28"/>
          <w:szCs w:val="28"/>
          <w:lang w:eastAsia="ru-RU"/>
        </w:rPr>
        <w:t>Риски</w:t>
      </w:r>
      <w:r>
        <w:rPr>
          <w:rFonts w:ascii="Times New Roman" w:eastAsia="Times New Roman" w:hAnsi="Times New Roman" w:cs="Times New Roman"/>
          <w:i/>
          <w:sz w:val="28"/>
          <w:szCs w:val="28"/>
          <w:lang w:eastAsia="ru-RU"/>
        </w:rPr>
        <w:t xml:space="preserve"> </w:t>
      </w:r>
      <w:r w:rsidRPr="006253B8">
        <w:rPr>
          <w:rFonts w:ascii="Times New Roman" w:eastAsia="Times New Roman" w:hAnsi="Times New Roman" w:cs="Times New Roman"/>
          <w:i/>
          <w:sz w:val="28"/>
          <w:szCs w:val="28"/>
          <w:lang w:eastAsia="ru-RU"/>
        </w:rPr>
        <w:t>реализации</w:t>
      </w:r>
      <w:r>
        <w:rPr>
          <w:rFonts w:ascii="Times New Roman" w:eastAsia="Times New Roman" w:hAnsi="Times New Roman" w:cs="Times New Roman"/>
          <w:i/>
          <w:sz w:val="28"/>
          <w:szCs w:val="28"/>
          <w:lang w:eastAsia="ru-RU"/>
        </w:rPr>
        <w:t xml:space="preserve"> </w:t>
      </w:r>
      <w:r w:rsidRPr="006253B8">
        <w:rPr>
          <w:rFonts w:ascii="Times New Roman" w:eastAsia="Times New Roman" w:hAnsi="Times New Roman" w:cs="Times New Roman"/>
          <w:i/>
          <w:sz w:val="28"/>
          <w:szCs w:val="28"/>
          <w:lang w:eastAsia="ru-RU"/>
        </w:rPr>
        <w:t>долговой</w:t>
      </w:r>
      <w:r>
        <w:rPr>
          <w:rFonts w:ascii="Times New Roman" w:eastAsia="Times New Roman" w:hAnsi="Times New Roman" w:cs="Times New Roman"/>
          <w:i/>
          <w:sz w:val="28"/>
          <w:szCs w:val="28"/>
          <w:lang w:eastAsia="ru-RU"/>
        </w:rPr>
        <w:t xml:space="preserve"> </w:t>
      </w:r>
      <w:r w:rsidRPr="006253B8">
        <w:rPr>
          <w:rFonts w:ascii="Times New Roman" w:eastAsia="Times New Roman" w:hAnsi="Times New Roman" w:cs="Times New Roman"/>
          <w:i/>
          <w:sz w:val="28"/>
          <w:szCs w:val="28"/>
          <w:lang w:eastAsia="ru-RU"/>
        </w:rPr>
        <w:t>политики</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Риски реализации долговой политики </w:t>
      </w:r>
      <w:r>
        <w:t>–</w:t>
      </w:r>
      <w:r>
        <w:rPr>
          <w:rFonts w:ascii="Times New Roman" w:eastAsia="Times New Roman" w:hAnsi="Times New Roman" w:cs="Times New Roman"/>
          <w:sz w:val="28"/>
          <w:szCs w:val="28"/>
          <w:lang w:eastAsia="ru-RU"/>
        </w:rPr>
        <w:t xml:space="preserve"> </w:t>
      </w:r>
      <w:r w:rsidRPr="002135F7">
        <w:rPr>
          <w:rFonts w:ascii="Times New Roman" w:eastAsia="Times New Roman" w:hAnsi="Times New Roman" w:cs="Times New Roman"/>
          <w:sz w:val="28"/>
          <w:szCs w:val="28"/>
          <w:lang w:eastAsia="ru-RU"/>
        </w:rPr>
        <w:t>риски, возникающие вследствие ограничений на финансовых рынках, препятствующих финансированию дефицита бюджета</w:t>
      </w:r>
      <w:r>
        <w:rPr>
          <w:rFonts w:ascii="Times New Roman" w:eastAsia="Times New Roman" w:hAnsi="Times New Roman" w:cs="Times New Roman"/>
          <w:sz w:val="28"/>
          <w:szCs w:val="28"/>
          <w:lang w:eastAsia="ru-RU"/>
        </w:rPr>
        <w:t>.</w:t>
      </w:r>
    </w:p>
    <w:p w:rsidR="00857F7D" w:rsidRPr="006253B8" w:rsidRDefault="00857F7D" w:rsidP="00CE748E">
      <w:pPr>
        <w:spacing w:after="0" w:line="276" w:lineRule="auto"/>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субъект</w:t>
      </w:r>
      <w:r>
        <w:rPr>
          <w:rFonts w:ascii="Times New Roman" w:eastAsia="Times New Roman" w:hAnsi="Times New Roman" w:cs="Times New Roman"/>
          <w:sz w:val="28"/>
          <w:szCs w:val="28"/>
          <w:lang w:eastAsia="ru-RU"/>
        </w:rPr>
        <w:t xml:space="preserve"> </w:t>
      </w:r>
      <w:r w:rsidR="007E1F77">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среди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категорий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указал</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долговой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политики,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причем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среди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данной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категории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практически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все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регионы</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выделяют</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ухудшение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заимствований,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сопровождающееся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резким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снижением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доступности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кредитных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ресурсов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коммерческих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банков,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том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связи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ростом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ставок</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привлечении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кредитов.</w:t>
      </w:r>
      <w:r>
        <w:rPr>
          <w:rFonts w:ascii="Times New Roman" w:eastAsia="Times New Roman" w:hAnsi="Times New Roman" w:cs="Times New Roman"/>
          <w:sz w:val="28"/>
          <w:szCs w:val="28"/>
          <w:lang w:eastAsia="ru-RU"/>
        </w:rPr>
        <w:t xml:space="preserve"> </w:t>
      </w:r>
    </w:p>
    <w:p w:rsidR="00857F7D" w:rsidRPr="006253B8" w:rsidRDefault="00857F7D" w:rsidP="00CE748E">
      <w:pPr>
        <w:spacing w:after="0" w:line="276" w:lineRule="auto"/>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качестве</w:t>
      </w:r>
      <w:r>
        <w:rPr>
          <w:rFonts w:ascii="Times New Roman" w:eastAsia="Times New Roman" w:hAnsi="Times New Roman" w:cs="Times New Roman"/>
          <w:sz w:val="28"/>
          <w:szCs w:val="28"/>
          <w:lang w:eastAsia="ru-RU"/>
        </w:rPr>
        <w:t xml:space="preserve"> инструментов по </w:t>
      </w:r>
      <w:r w:rsidRPr="006253B8">
        <w:rPr>
          <w:rFonts w:ascii="Times New Roman" w:eastAsia="Times New Roman" w:hAnsi="Times New Roman" w:cs="Times New Roman"/>
          <w:sz w:val="28"/>
          <w:szCs w:val="28"/>
          <w:lang w:eastAsia="ru-RU"/>
        </w:rPr>
        <w:t>нивелированию</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долговой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политики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можно</w:t>
      </w:r>
      <w:r>
        <w:rPr>
          <w:rFonts w:ascii="Times New Roman" w:eastAsia="Times New Roman" w:hAnsi="Times New Roman" w:cs="Times New Roman"/>
          <w:sz w:val="28"/>
          <w:szCs w:val="28"/>
          <w:lang w:eastAsia="ru-RU"/>
        </w:rPr>
        <w:t xml:space="preserve"> выделить</w:t>
      </w:r>
      <w:r w:rsidRPr="006253B8">
        <w:rPr>
          <w:rFonts w:ascii="Times New Roman" w:eastAsia="Times New Roman" w:hAnsi="Times New Roman" w:cs="Times New Roman"/>
          <w:sz w:val="28"/>
          <w:szCs w:val="28"/>
          <w:lang w:eastAsia="ru-RU"/>
        </w:rPr>
        <w:t>:</w:t>
      </w:r>
    </w:p>
    <w:p w:rsidR="00857F7D" w:rsidRPr="006253B8" w:rsidRDefault="00857F7D" w:rsidP="00CE748E">
      <w:pPr>
        <w:pStyle w:val="a4"/>
        <w:numPr>
          <w:ilvl w:val="0"/>
          <w:numId w:val="14"/>
        </w:numPr>
        <w:tabs>
          <w:tab w:val="right" w:pos="426"/>
          <w:tab w:val="left" w:pos="1134"/>
        </w:tabs>
        <w:spacing w:after="0" w:line="276" w:lineRule="auto"/>
        <w:ind w:left="425" w:hanging="425"/>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краткосрочных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инструментов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заимствований;</w:t>
      </w:r>
    </w:p>
    <w:p w:rsidR="00857F7D" w:rsidRPr="006253B8" w:rsidRDefault="00857F7D" w:rsidP="00CE748E">
      <w:pPr>
        <w:pStyle w:val="a4"/>
        <w:numPr>
          <w:ilvl w:val="0"/>
          <w:numId w:val="14"/>
        </w:numPr>
        <w:tabs>
          <w:tab w:val="right" w:pos="426"/>
          <w:tab w:val="left" w:pos="1134"/>
        </w:tabs>
        <w:spacing w:after="0" w:line="276" w:lineRule="auto"/>
        <w:ind w:left="425" w:hanging="425"/>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использование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наиболее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благоприятных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источников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форм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заимствований;</w:t>
      </w:r>
    </w:p>
    <w:p w:rsidR="00857F7D" w:rsidRPr="006253B8" w:rsidRDefault="00857F7D" w:rsidP="00CE748E">
      <w:pPr>
        <w:pStyle w:val="a4"/>
        <w:numPr>
          <w:ilvl w:val="0"/>
          <w:numId w:val="14"/>
        </w:numPr>
        <w:tabs>
          <w:tab w:val="right" w:pos="426"/>
          <w:tab w:val="left" w:pos="1134"/>
        </w:tabs>
        <w:spacing w:after="0" w:line="276" w:lineRule="auto"/>
        <w:ind w:left="425" w:hanging="425"/>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lastRenderedPageBreak/>
        <w:t>использова</w:t>
      </w:r>
      <w:r>
        <w:rPr>
          <w:rFonts w:ascii="Times New Roman" w:eastAsia="Times New Roman" w:hAnsi="Times New Roman" w:cs="Times New Roman"/>
          <w:sz w:val="28"/>
          <w:szCs w:val="28"/>
          <w:lang w:eastAsia="ru-RU"/>
        </w:rPr>
        <w:t xml:space="preserve">ние </w:t>
      </w:r>
      <w:r w:rsidRPr="006253B8">
        <w:rPr>
          <w:rFonts w:ascii="Times New Roman" w:eastAsia="Times New Roman" w:hAnsi="Times New Roman" w:cs="Times New Roman"/>
          <w:sz w:val="28"/>
          <w:szCs w:val="28"/>
          <w:lang w:eastAsia="ru-RU"/>
        </w:rPr>
        <w:t>механизм</w:t>
      </w:r>
      <w:r>
        <w:rPr>
          <w:rFonts w:ascii="Times New Roman" w:eastAsia="Times New Roman" w:hAnsi="Times New Roman" w:cs="Times New Roman"/>
          <w:sz w:val="28"/>
          <w:szCs w:val="28"/>
          <w:lang w:eastAsia="ru-RU"/>
        </w:rPr>
        <w:t xml:space="preserve">а </w:t>
      </w:r>
      <w:r w:rsidRPr="006253B8">
        <w:rPr>
          <w:rFonts w:ascii="Times New Roman" w:eastAsia="Times New Roman" w:hAnsi="Times New Roman" w:cs="Times New Roman"/>
          <w:sz w:val="28"/>
          <w:szCs w:val="28"/>
          <w:lang w:eastAsia="ru-RU"/>
        </w:rPr>
        <w:t>привлечения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кредитов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пополнение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остатков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счетах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субъектов</w:t>
      </w:r>
      <w:r>
        <w:rPr>
          <w:rFonts w:ascii="Times New Roman" w:eastAsia="Times New Roman" w:hAnsi="Times New Roman" w:cs="Times New Roman"/>
          <w:sz w:val="28"/>
          <w:szCs w:val="28"/>
          <w:lang w:eastAsia="ru-RU"/>
        </w:rPr>
        <w:t xml:space="preserve"> </w:t>
      </w:r>
      <w:r w:rsidR="007E1F77">
        <w:rPr>
          <w:rFonts w:ascii="Times New Roman" w:eastAsia="Times New Roman" w:hAnsi="Times New Roman" w:cs="Times New Roman"/>
          <w:sz w:val="28"/>
          <w:szCs w:val="28"/>
          <w:lang w:eastAsia="ru-RU"/>
        </w:rPr>
        <w:t>РФ</w:t>
      </w:r>
      <w:r w:rsidRPr="006253B8">
        <w:rPr>
          <w:rFonts w:ascii="Times New Roman" w:eastAsia="Times New Roman" w:hAnsi="Times New Roman" w:cs="Times New Roman"/>
          <w:sz w:val="28"/>
          <w:szCs w:val="28"/>
          <w:lang w:eastAsia="ru-RU"/>
        </w:rPr>
        <w:t>;</w:t>
      </w:r>
    </w:p>
    <w:p w:rsidR="00857F7D" w:rsidRPr="006253B8" w:rsidRDefault="00857F7D" w:rsidP="00CE748E">
      <w:pPr>
        <w:pStyle w:val="a4"/>
        <w:numPr>
          <w:ilvl w:val="0"/>
          <w:numId w:val="14"/>
        </w:numPr>
        <w:tabs>
          <w:tab w:val="right" w:pos="426"/>
          <w:tab w:val="left" w:pos="1134"/>
        </w:tabs>
        <w:spacing w:after="0" w:line="276" w:lineRule="auto"/>
        <w:ind w:left="425" w:hanging="425"/>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проведение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постоянного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рыночной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конъюнктуры</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оптимизация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стоимости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государственных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заимствований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(обслуживания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государственного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долга)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учетом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сроков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заимствований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фактически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складывающихся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привлечения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заемных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средств</w:t>
      </w:r>
      <w:r w:rsidR="002174A5">
        <w:rPr>
          <w:rFonts w:ascii="Times New Roman" w:eastAsia="Times New Roman" w:hAnsi="Times New Roman" w:cs="Times New Roman"/>
          <w:sz w:val="28"/>
          <w:szCs w:val="28"/>
          <w:lang w:eastAsia="ru-RU"/>
        </w:rPr>
        <w:t>;</w:t>
      </w:r>
    </w:p>
    <w:p w:rsidR="00857F7D" w:rsidRPr="006253B8" w:rsidRDefault="00857F7D" w:rsidP="00CE748E">
      <w:pPr>
        <w:pStyle w:val="a4"/>
        <w:numPr>
          <w:ilvl w:val="0"/>
          <w:numId w:val="14"/>
        </w:numPr>
        <w:tabs>
          <w:tab w:val="right" w:pos="426"/>
          <w:tab w:val="left" w:pos="1134"/>
        </w:tabs>
        <w:spacing w:after="0" w:line="276" w:lineRule="auto"/>
        <w:ind w:left="425" w:hanging="425"/>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использование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возможностей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замены</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банковских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кредитов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кредитами,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предоставляемыми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частичное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покрытие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дефицита</w:t>
      </w:r>
      <w:r>
        <w:rPr>
          <w:rFonts w:ascii="Times New Roman" w:eastAsia="Times New Roman" w:hAnsi="Times New Roman" w:cs="Times New Roman"/>
          <w:sz w:val="28"/>
          <w:szCs w:val="28"/>
          <w:lang w:eastAsia="ru-RU"/>
        </w:rPr>
        <w:t xml:space="preserve"> регионального </w:t>
      </w:r>
      <w:r w:rsidRPr="006253B8">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погашение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долговых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обязательств</w:t>
      </w:r>
      <w:r>
        <w:rPr>
          <w:rFonts w:ascii="Times New Roman" w:eastAsia="Times New Roman" w:hAnsi="Times New Roman" w:cs="Times New Roman"/>
          <w:sz w:val="28"/>
          <w:szCs w:val="28"/>
          <w:lang w:eastAsia="ru-RU"/>
        </w:rPr>
        <w:t xml:space="preserve"> региона</w:t>
      </w:r>
      <w:r w:rsidRPr="006253B8">
        <w:rPr>
          <w:rFonts w:ascii="Times New Roman" w:eastAsia="Times New Roman" w:hAnsi="Times New Roman" w:cs="Times New Roman"/>
          <w:sz w:val="28"/>
          <w:szCs w:val="28"/>
          <w:lang w:eastAsia="ru-RU"/>
        </w:rPr>
        <w:t>.</w:t>
      </w:r>
    </w:p>
    <w:p w:rsidR="00857F7D" w:rsidRPr="006253B8" w:rsidRDefault="00857F7D" w:rsidP="00CE748E">
      <w:pPr>
        <w:spacing w:after="0" w:line="276" w:lineRule="auto"/>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Отдельными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регионами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выделяются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общие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меры</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снижению</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влияния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долговой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политики,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например,</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необходимость</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поддержания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экономически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безопасного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государственного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долга,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принятие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а</w:t>
      </w:r>
      <w:r w:rsidRPr="006253B8">
        <w:rPr>
          <w:rFonts w:ascii="Times New Roman" w:eastAsia="Times New Roman" w:hAnsi="Times New Roman" w:cs="Times New Roman"/>
          <w:color w:val="000000"/>
          <w:sz w:val="28"/>
          <w:szCs w:val="28"/>
          <w:lang w:eastAsia="ru-RU"/>
        </w:rPr>
        <w:t>ктивного</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участия</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привлечении</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средств</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федерального</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бюджета,</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том</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числе</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рамках</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государственных</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программ</w:t>
      </w:r>
      <w:r>
        <w:rPr>
          <w:rFonts w:ascii="Times New Roman" w:eastAsia="Times New Roman" w:hAnsi="Times New Roman" w:cs="Times New Roman"/>
          <w:color w:val="000000"/>
          <w:sz w:val="28"/>
          <w:szCs w:val="28"/>
          <w:lang w:eastAsia="ru-RU"/>
        </w:rPr>
        <w:t xml:space="preserve"> </w:t>
      </w:r>
      <w:r w:rsidR="007E1F77">
        <w:rPr>
          <w:rFonts w:ascii="Times New Roman" w:eastAsia="Times New Roman" w:hAnsi="Times New Roman" w:cs="Times New Roman"/>
          <w:color w:val="000000"/>
          <w:sz w:val="28"/>
          <w:szCs w:val="28"/>
          <w:lang w:eastAsia="ru-RU"/>
        </w:rPr>
        <w:t>РФ</w:t>
      </w:r>
      <w:r w:rsidRPr="006253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ограничение</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роста</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расходных</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обязательств</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одновременном</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повышении</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эффективности</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бюджетных</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расходов</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253B8">
        <w:rPr>
          <w:rFonts w:ascii="Times New Roman" w:eastAsia="Times New Roman" w:hAnsi="Times New Roman" w:cs="Times New Roman"/>
          <w:color w:val="000000"/>
          <w:sz w:val="28"/>
          <w:szCs w:val="28"/>
          <w:lang w:eastAsia="ru-RU"/>
        </w:rPr>
        <w:t>другие.</w:t>
      </w:r>
    </w:p>
    <w:p w:rsidR="00857F7D" w:rsidRDefault="00857F7D" w:rsidP="00CE748E">
      <w:pPr>
        <w:spacing w:after="0" w:line="276" w:lineRule="auto"/>
        <w:jc w:val="both"/>
        <w:rPr>
          <w:rFonts w:ascii="Times New Roman" w:eastAsia="Times New Roman" w:hAnsi="Times New Roman" w:cs="Times New Roman"/>
          <w:sz w:val="28"/>
          <w:szCs w:val="28"/>
          <w:lang w:eastAsia="ru-RU"/>
        </w:rPr>
      </w:pPr>
    </w:p>
    <w:p w:rsidR="00857F7D" w:rsidRPr="006253B8" w:rsidRDefault="00857F7D" w:rsidP="00CE748E">
      <w:pPr>
        <w:spacing w:after="120" w:line="276" w:lineRule="auto"/>
        <w:jc w:val="both"/>
        <w:rPr>
          <w:rFonts w:ascii="Times New Roman" w:eastAsia="Times New Roman" w:hAnsi="Times New Roman" w:cs="Times New Roman"/>
          <w:i/>
          <w:sz w:val="28"/>
          <w:szCs w:val="28"/>
          <w:lang w:eastAsia="ru-RU"/>
        </w:rPr>
      </w:pPr>
      <w:r w:rsidRPr="00E23DB0">
        <w:rPr>
          <w:rFonts w:ascii="Times New Roman" w:eastAsia="Times New Roman" w:hAnsi="Times New Roman" w:cs="Times New Roman"/>
          <w:i/>
          <w:sz w:val="28"/>
          <w:szCs w:val="28"/>
          <w:lang w:eastAsia="ru-RU"/>
        </w:rPr>
        <w:t>Операционные риски</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Операционные риски </w:t>
      </w:r>
      <w:r>
        <w:t>–</w:t>
      </w:r>
      <w:r>
        <w:rPr>
          <w:rFonts w:ascii="Times New Roman" w:eastAsia="Times New Roman" w:hAnsi="Times New Roman" w:cs="Times New Roman"/>
          <w:sz w:val="28"/>
          <w:szCs w:val="28"/>
          <w:lang w:eastAsia="ru-RU"/>
        </w:rPr>
        <w:t xml:space="preserve"> </w:t>
      </w:r>
      <w:r w:rsidRPr="00D777F0">
        <w:rPr>
          <w:rFonts w:ascii="Times New Roman" w:eastAsia="Times New Roman" w:hAnsi="Times New Roman" w:cs="Times New Roman"/>
          <w:sz w:val="28"/>
          <w:szCs w:val="28"/>
          <w:lang w:eastAsia="ru-RU"/>
        </w:rPr>
        <w:t xml:space="preserve">риски, обусловленные решениями, принимаемыми органами государственной власти субъекта </w:t>
      </w:r>
      <w:r w:rsidR="007E1F77">
        <w:rPr>
          <w:rFonts w:ascii="Times New Roman" w:eastAsia="Times New Roman" w:hAnsi="Times New Roman" w:cs="Times New Roman"/>
          <w:sz w:val="28"/>
          <w:szCs w:val="28"/>
          <w:lang w:eastAsia="ru-RU"/>
        </w:rPr>
        <w:t>РФ</w:t>
      </w:r>
      <w:r w:rsidRPr="00D777F0">
        <w:rPr>
          <w:rFonts w:ascii="Times New Roman" w:eastAsia="Times New Roman" w:hAnsi="Times New Roman" w:cs="Times New Roman"/>
          <w:sz w:val="28"/>
          <w:szCs w:val="28"/>
          <w:lang w:eastAsia="ru-RU"/>
        </w:rPr>
        <w:t xml:space="preserve">, территориальными органами федеральных органов власти в субъекте </w:t>
      </w:r>
      <w:r w:rsidR="007E1F77">
        <w:rPr>
          <w:rFonts w:ascii="Times New Roman" w:eastAsia="Times New Roman" w:hAnsi="Times New Roman" w:cs="Times New Roman"/>
          <w:sz w:val="28"/>
          <w:szCs w:val="28"/>
          <w:lang w:eastAsia="ru-RU"/>
        </w:rPr>
        <w:t>РФ</w:t>
      </w:r>
      <w:r w:rsidRPr="00D777F0">
        <w:rPr>
          <w:rFonts w:ascii="Times New Roman" w:eastAsia="Times New Roman" w:hAnsi="Times New Roman" w:cs="Times New Roman"/>
          <w:sz w:val="28"/>
          <w:szCs w:val="28"/>
          <w:lang w:eastAsia="ru-RU"/>
        </w:rPr>
        <w:t>, а также получателями бюджетных средств</w:t>
      </w:r>
      <w:r>
        <w:rPr>
          <w:rFonts w:ascii="Times New Roman" w:eastAsia="Times New Roman" w:hAnsi="Times New Roman" w:cs="Times New Roman"/>
          <w:sz w:val="28"/>
          <w:szCs w:val="28"/>
          <w:lang w:eastAsia="ru-RU"/>
        </w:rPr>
        <w:t>.</w:t>
      </w:r>
    </w:p>
    <w:p w:rsidR="00857F7D" w:rsidRPr="006253B8" w:rsidRDefault="00857F7D" w:rsidP="00CE748E">
      <w:pPr>
        <w:spacing w:after="0" w:line="276" w:lineRule="auto"/>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Операционные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встречаются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прогнозах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субъектов</w:t>
      </w:r>
      <w:r>
        <w:rPr>
          <w:rFonts w:ascii="Times New Roman" w:eastAsia="Times New Roman" w:hAnsi="Times New Roman" w:cs="Times New Roman"/>
          <w:sz w:val="28"/>
          <w:szCs w:val="28"/>
          <w:lang w:eastAsia="ru-RU"/>
        </w:rPr>
        <w:t xml:space="preserve"> </w:t>
      </w:r>
      <w:r w:rsidR="007E1F77">
        <w:rPr>
          <w:rFonts w:ascii="Times New Roman" w:eastAsia="Times New Roman" w:hAnsi="Times New Roman" w:cs="Times New Roman"/>
          <w:sz w:val="28"/>
          <w:szCs w:val="28"/>
          <w:lang w:eastAsia="ru-RU"/>
        </w:rPr>
        <w:t>РФ</w:t>
      </w:r>
      <w:r w:rsidRPr="006253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этом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большая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часть</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регионов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своих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прогнозах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акцентировали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внимание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рисках,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связанных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образованием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дефицита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регионального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402ABC">
        <w:rPr>
          <w:rFonts w:ascii="Times New Roman" w:eastAsia="Times New Roman" w:hAnsi="Times New Roman" w:cs="Times New Roman"/>
          <w:sz w:val="28"/>
          <w:szCs w:val="28"/>
          <w:lang w:eastAsia="ru-RU"/>
        </w:rPr>
        <w:t xml:space="preserve">в том числе вследствие </w:t>
      </w:r>
      <w:proofErr w:type="spellStart"/>
      <w:r w:rsidRPr="00402ABC">
        <w:rPr>
          <w:rFonts w:ascii="Times New Roman" w:eastAsia="Times New Roman" w:hAnsi="Times New Roman" w:cs="Times New Roman"/>
          <w:sz w:val="28"/>
          <w:szCs w:val="28"/>
          <w:lang w:eastAsia="ru-RU"/>
        </w:rPr>
        <w:t>недостижения</w:t>
      </w:r>
      <w:proofErr w:type="spellEnd"/>
      <w:r w:rsidRPr="00402ABC">
        <w:rPr>
          <w:rFonts w:ascii="Times New Roman" w:eastAsia="Times New Roman" w:hAnsi="Times New Roman" w:cs="Times New Roman"/>
          <w:sz w:val="28"/>
          <w:szCs w:val="28"/>
          <w:lang w:eastAsia="ru-RU"/>
        </w:rPr>
        <w:t xml:space="preserve"> плановых показателей по доходам и расходам,</w:t>
      </w:r>
      <w:r w:rsidRPr="006253B8">
        <w:rPr>
          <w:rFonts w:ascii="Times New Roman" w:eastAsia="Times New Roman" w:hAnsi="Times New Roman" w:cs="Times New Roman"/>
          <w:sz w:val="28"/>
          <w:szCs w:val="28"/>
          <w:lang w:eastAsia="ru-RU"/>
        </w:rPr>
        <w:t xml:space="preserve"> приводящ</w:t>
      </w:r>
      <w:r>
        <w:rPr>
          <w:rFonts w:ascii="Times New Roman" w:eastAsia="Times New Roman" w:hAnsi="Times New Roman" w:cs="Times New Roman"/>
          <w:sz w:val="28"/>
          <w:szCs w:val="28"/>
          <w:lang w:eastAsia="ru-RU"/>
        </w:rPr>
        <w:t xml:space="preserve">его </w:t>
      </w:r>
      <w:r w:rsidRPr="006253B8">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росту</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государственного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долга,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возникновению</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кредиторской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задолженности.</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Значительно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реже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среди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выделяемых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операционных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прогнозах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встречаются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ненадлежащего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исполнения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(неисполнения)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обязанностей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участников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процесса,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связанные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осуществлением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инвестиционной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ненадлежащего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исполнения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(либо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неисполнения)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обязанностей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налогоплательщиков,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частности,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ухудшение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платежной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дисциплины</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использование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схем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уклонения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уплаты</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налогов,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другие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риски.</w:t>
      </w:r>
    </w:p>
    <w:p w:rsidR="00173E64" w:rsidRDefault="00173E64" w:rsidP="00CE748E">
      <w:pPr>
        <w:spacing w:after="0" w:line="276" w:lineRule="auto"/>
        <w:jc w:val="both"/>
        <w:rPr>
          <w:rFonts w:ascii="Times New Roman" w:eastAsia="Times New Roman" w:hAnsi="Times New Roman" w:cs="Times New Roman"/>
          <w:sz w:val="28"/>
          <w:szCs w:val="28"/>
          <w:lang w:eastAsia="ru-RU"/>
        </w:rPr>
      </w:pPr>
    </w:p>
    <w:p w:rsidR="00173E64" w:rsidRDefault="00173E64" w:rsidP="00CE748E">
      <w:pPr>
        <w:spacing w:after="0" w:line="276" w:lineRule="auto"/>
        <w:jc w:val="both"/>
        <w:rPr>
          <w:rFonts w:ascii="Times New Roman" w:eastAsia="Times New Roman" w:hAnsi="Times New Roman" w:cs="Times New Roman"/>
          <w:sz w:val="28"/>
          <w:szCs w:val="28"/>
          <w:lang w:eastAsia="ru-RU"/>
        </w:rPr>
      </w:pPr>
    </w:p>
    <w:p w:rsidR="00173E64" w:rsidRDefault="00173E64" w:rsidP="00CE748E">
      <w:pPr>
        <w:spacing w:after="0" w:line="276" w:lineRule="auto"/>
        <w:jc w:val="both"/>
        <w:rPr>
          <w:rFonts w:ascii="Times New Roman" w:eastAsia="Times New Roman" w:hAnsi="Times New Roman" w:cs="Times New Roman"/>
          <w:sz w:val="28"/>
          <w:szCs w:val="28"/>
          <w:lang w:eastAsia="ru-RU"/>
        </w:rPr>
      </w:pPr>
    </w:p>
    <w:p w:rsidR="00857F7D" w:rsidRPr="006253B8" w:rsidRDefault="00857F7D" w:rsidP="00CE748E">
      <w:pPr>
        <w:spacing w:after="0" w:line="276" w:lineRule="auto"/>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lastRenderedPageBreak/>
        <w:t>Для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снижения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(устранения)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указанн</w:t>
      </w:r>
      <w:r>
        <w:rPr>
          <w:rFonts w:ascii="Times New Roman" w:eastAsia="Times New Roman" w:hAnsi="Times New Roman" w:cs="Times New Roman"/>
          <w:sz w:val="28"/>
          <w:szCs w:val="28"/>
          <w:lang w:eastAsia="ru-RU"/>
        </w:rPr>
        <w:t xml:space="preserve">ых </w:t>
      </w:r>
      <w:r w:rsidRPr="006253B8">
        <w:rPr>
          <w:rFonts w:ascii="Times New Roman" w:eastAsia="Times New Roman" w:hAnsi="Times New Roman" w:cs="Times New Roman"/>
          <w:sz w:val="28"/>
          <w:szCs w:val="28"/>
          <w:lang w:eastAsia="ru-RU"/>
        </w:rPr>
        <w:t>риск</w:t>
      </w:r>
      <w:r>
        <w:rPr>
          <w:rFonts w:ascii="Times New Roman" w:eastAsia="Times New Roman" w:hAnsi="Times New Roman" w:cs="Times New Roman"/>
          <w:sz w:val="28"/>
          <w:szCs w:val="28"/>
          <w:lang w:eastAsia="ru-RU"/>
        </w:rPr>
        <w:t xml:space="preserve">ов </w:t>
      </w:r>
      <w:r w:rsidRPr="006253B8">
        <w:rPr>
          <w:rFonts w:ascii="Times New Roman" w:eastAsia="Times New Roman" w:hAnsi="Times New Roman" w:cs="Times New Roman"/>
          <w:sz w:val="28"/>
          <w:szCs w:val="28"/>
          <w:lang w:eastAsia="ru-RU"/>
        </w:rPr>
        <w:t>регионами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предлагаются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меры:</w:t>
      </w:r>
    </w:p>
    <w:p w:rsidR="00857F7D" w:rsidRPr="00BC4644" w:rsidRDefault="00857F7D" w:rsidP="00CE748E">
      <w:pPr>
        <w:pStyle w:val="a4"/>
        <w:numPr>
          <w:ilvl w:val="0"/>
          <w:numId w:val="14"/>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BC4644">
        <w:rPr>
          <w:rFonts w:ascii="Times New Roman" w:eastAsia="Times New Roman" w:hAnsi="Times New Roman" w:cs="Times New Roman"/>
          <w:sz w:val="28"/>
          <w:szCs w:val="28"/>
          <w:lang w:eastAsia="ru-RU"/>
        </w:rPr>
        <w:t>оценка расходных обязательств с учетом возможностей регионального бюджета по их финансированию и принятие новых расходных обязательств только при наличии источников их финансового обеспечения;</w:t>
      </w:r>
    </w:p>
    <w:p w:rsidR="00857F7D" w:rsidRDefault="00857F7D" w:rsidP="00CE748E">
      <w:pPr>
        <w:pStyle w:val="a4"/>
        <w:numPr>
          <w:ilvl w:val="0"/>
          <w:numId w:val="14"/>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BC4644">
        <w:rPr>
          <w:rFonts w:ascii="Times New Roman" w:eastAsia="Times New Roman" w:hAnsi="Times New Roman" w:cs="Times New Roman"/>
          <w:sz w:val="28"/>
          <w:szCs w:val="28"/>
          <w:lang w:eastAsia="ru-RU"/>
        </w:rPr>
        <w:t>создание финансовых резервов</w:t>
      </w:r>
      <w:r>
        <w:rPr>
          <w:rFonts w:ascii="Times New Roman" w:eastAsia="Times New Roman" w:hAnsi="Times New Roman" w:cs="Times New Roman"/>
          <w:sz w:val="28"/>
          <w:szCs w:val="28"/>
          <w:lang w:eastAsia="ru-RU"/>
        </w:rPr>
        <w:t>;</w:t>
      </w:r>
    </w:p>
    <w:p w:rsidR="00857F7D" w:rsidRPr="00BC4644" w:rsidRDefault="00857F7D" w:rsidP="00CE748E">
      <w:pPr>
        <w:pStyle w:val="a4"/>
        <w:numPr>
          <w:ilvl w:val="0"/>
          <w:numId w:val="14"/>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BC4644">
        <w:rPr>
          <w:rFonts w:ascii="Times New Roman" w:eastAsia="Times New Roman" w:hAnsi="Times New Roman" w:cs="Times New Roman"/>
          <w:sz w:val="28"/>
          <w:szCs w:val="28"/>
          <w:lang w:eastAsia="ru-RU"/>
        </w:rPr>
        <w:t>снижение дефицита бюджета субъекта РФ и бюджетов муниципальных образований, а также государственного и муниципального долга;</w:t>
      </w:r>
    </w:p>
    <w:p w:rsidR="00857F7D" w:rsidRPr="00BC4644" w:rsidRDefault="00857F7D" w:rsidP="00CE748E">
      <w:pPr>
        <w:pStyle w:val="a4"/>
        <w:numPr>
          <w:ilvl w:val="0"/>
          <w:numId w:val="14"/>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proofErr w:type="spellStart"/>
      <w:r w:rsidRPr="00BC4644">
        <w:rPr>
          <w:rFonts w:ascii="Times New Roman" w:eastAsia="Times New Roman" w:hAnsi="Times New Roman" w:cs="Times New Roman"/>
          <w:sz w:val="28"/>
          <w:szCs w:val="28"/>
          <w:lang w:eastAsia="ru-RU"/>
        </w:rPr>
        <w:t>приоритизация</w:t>
      </w:r>
      <w:proofErr w:type="spellEnd"/>
      <w:r w:rsidRPr="00BC4644">
        <w:rPr>
          <w:rFonts w:ascii="Times New Roman" w:eastAsia="Times New Roman" w:hAnsi="Times New Roman" w:cs="Times New Roman"/>
          <w:sz w:val="28"/>
          <w:szCs w:val="28"/>
          <w:lang w:eastAsia="ru-RU"/>
        </w:rPr>
        <w:t xml:space="preserve"> расходных обязательств и приведение их в соответствие со складывающимися бюджетными возможностями региона, а также введение моратория на принятие новых расходных обязательств;</w:t>
      </w:r>
    </w:p>
    <w:p w:rsidR="00857F7D" w:rsidRPr="00BC4644" w:rsidRDefault="00857F7D" w:rsidP="00CE748E">
      <w:pPr>
        <w:pStyle w:val="a4"/>
        <w:numPr>
          <w:ilvl w:val="0"/>
          <w:numId w:val="14"/>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BC4644">
        <w:rPr>
          <w:rFonts w:ascii="Times New Roman" w:eastAsia="Times New Roman" w:hAnsi="Times New Roman" w:cs="Times New Roman"/>
          <w:sz w:val="28"/>
          <w:szCs w:val="28"/>
          <w:lang w:eastAsia="ru-RU"/>
        </w:rPr>
        <w:t>введение оценки средне- и долгосрочных последствий принятия новых расходных обязательств или тенденций, приводящих к дополнительным расходам с учетом стабильности и предсказуемости бюджетных доходов;</w:t>
      </w:r>
    </w:p>
    <w:p w:rsidR="00857F7D" w:rsidRPr="00BC4644" w:rsidRDefault="00857F7D" w:rsidP="00CE748E">
      <w:pPr>
        <w:pStyle w:val="a4"/>
        <w:numPr>
          <w:ilvl w:val="0"/>
          <w:numId w:val="14"/>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BC4644">
        <w:rPr>
          <w:rFonts w:ascii="Times New Roman" w:eastAsia="Times New Roman" w:hAnsi="Times New Roman" w:cs="Times New Roman"/>
          <w:sz w:val="28"/>
          <w:szCs w:val="28"/>
          <w:lang w:eastAsia="ru-RU"/>
        </w:rPr>
        <w:t xml:space="preserve">мероприятия по укреплению доходной базы консолидированного бюджета региона в целом; </w:t>
      </w:r>
    </w:p>
    <w:p w:rsidR="00857F7D" w:rsidRPr="006253B8" w:rsidRDefault="00857F7D" w:rsidP="00CE748E">
      <w:pPr>
        <w:pStyle w:val="a4"/>
        <w:numPr>
          <w:ilvl w:val="0"/>
          <w:numId w:val="14"/>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BC4644">
        <w:rPr>
          <w:rFonts w:ascii="Times New Roman" w:eastAsia="Times New Roman" w:hAnsi="Times New Roman" w:cs="Times New Roman"/>
          <w:sz w:val="28"/>
          <w:szCs w:val="28"/>
          <w:lang w:eastAsia="ru-RU"/>
        </w:rPr>
        <w:t>проведение мониторинга исполнения регионального бюджета и бюджетов муниципальных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образований</w:t>
      </w:r>
    </w:p>
    <w:p w:rsidR="00857F7D" w:rsidRPr="006253B8" w:rsidRDefault="00857F7D" w:rsidP="00CE748E">
      <w:pPr>
        <w:pStyle w:val="a4"/>
        <w:numPr>
          <w:ilvl w:val="0"/>
          <w:numId w:val="14"/>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применение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консервативных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достоверных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прогнозов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социально-экономического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бюджетном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планировании;</w:t>
      </w:r>
    </w:p>
    <w:p w:rsidR="00857F7D" w:rsidRPr="006253B8" w:rsidRDefault="00857F7D" w:rsidP="00CE748E">
      <w:pPr>
        <w:pStyle w:val="a4"/>
        <w:numPr>
          <w:ilvl w:val="0"/>
          <w:numId w:val="14"/>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установление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оптимальных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значений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натуральных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норм,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используемых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определении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нормативных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затрат</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оказание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государственных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(муниципальных)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услуг;</w:t>
      </w:r>
    </w:p>
    <w:p w:rsidR="00857F7D" w:rsidRPr="006253B8" w:rsidRDefault="00857F7D" w:rsidP="00CE748E">
      <w:pPr>
        <w:pStyle w:val="a4"/>
        <w:numPr>
          <w:ilvl w:val="0"/>
          <w:numId w:val="14"/>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внедрение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антикоррупционных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контроля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деятельностью</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руководителей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сотрудников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органов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государственной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власти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местного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самоуправления;</w:t>
      </w:r>
    </w:p>
    <w:p w:rsidR="00857F7D" w:rsidRPr="006253B8" w:rsidRDefault="00857F7D" w:rsidP="00CE748E">
      <w:pPr>
        <w:pStyle w:val="a4"/>
        <w:numPr>
          <w:ilvl w:val="0"/>
          <w:numId w:val="14"/>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введение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моратория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перераспределение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бюджетных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ассигнований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вне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объемов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финансирования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основных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мероприятий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государственных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программ;</w:t>
      </w:r>
    </w:p>
    <w:p w:rsidR="00857F7D" w:rsidRPr="006253B8" w:rsidRDefault="00857F7D" w:rsidP="00CE748E">
      <w:pPr>
        <w:pStyle w:val="a4"/>
        <w:numPr>
          <w:ilvl w:val="0"/>
          <w:numId w:val="14"/>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6253B8">
        <w:rPr>
          <w:rFonts w:ascii="Times New Roman" w:eastAsia="Times New Roman" w:hAnsi="Times New Roman" w:cs="Times New Roman"/>
          <w:sz w:val="28"/>
          <w:szCs w:val="28"/>
          <w:lang w:eastAsia="ru-RU"/>
        </w:rPr>
        <w:t>проведение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мероприятий,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направленных</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повышение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платежной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дисциплины</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среди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налогоплательщиков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увеличение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налоговой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базы,</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равно</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выявление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пресечение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схем</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минимизации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налогов,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совершенствование</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методов</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контроля</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легализации</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"теневой"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заработной</w:t>
      </w:r>
      <w:r>
        <w:rPr>
          <w:rFonts w:ascii="Times New Roman" w:eastAsia="Times New Roman" w:hAnsi="Times New Roman" w:cs="Times New Roman"/>
          <w:sz w:val="28"/>
          <w:szCs w:val="28"/>
          <w:lang w:eastAsia="ru-RU"/>
        </w:rPr>
        <w:t xml:space="preserve"> </w:t>
      </w:r>
      <w:r w:rsidRPr="006253B8">
        <w:rPr>
          <w:rFonts w:ascii="Times New Roman" w:eastAsia="Times New Roman" w:hAnsi="Times New Roman" w:cs="Times New Roman"/>
          <w:sz w:val="28"/>
          <w:szCs w:val="28"/>
          <w:lang w:eastAsia="ru-RU"/>
        </w:rPr>
        <w:t>платы.</w:t>
      </w:r>
    </w:p>
    <w:p w:rsidR="00857F7D" w:rsidRDefault="00857F7D" w:rsidP="00CE748E">
      <w:pPr>
        <w:spacing w:after="0" w:line="276" w:lineRule="auto"/>
        <w:jc w:val="both"/>
        <w:rPr>
          <w:rFonts w:ascii="Times New Roman" w:eastAsia="Times New Roman" w:hAnsi="Times New Roman" w:cs="Times New Roman"/>
          <w:sz w:val="28"/>
          <w:szCs w:val="28"/>
          <w:lang w:eastAsia="ru-RU"/>
        </w:rPr>
      </w:pPr>
    </w:p>
    <w:p w:rsidR="00857F7D" w:rsidRPr="008369C0" w:rsidRDefault="00857F7D" w:rsidP="00CE748E">
      <w:pPr>
        <w:spacing w:after="120" w:line="276" w:lineRule="auto"/>
        <w:jc w:val="both"/>
        <w:rPr>
          <w:rFonts w:ascii="Times New Roman" w:eastAsia="Times New Roman" w:hAnsi="Times New Roman" w:cs="Times New Roman"/>
          <w:i/>
          <w:sz w:val="28"/>
          <w:szCs w:val="28"/>
          <w:lang w:eastAsia="ru-RU"/>
        </w:rPr>
      </w:pPr>
      <w:r w:rsidRPr="00D3319C">
        <w:rPr>
          <w:rFonts w:ascii="Times New Roman" w:eastAsia="Times New Roman" w:hAnsi="Times New Roman" w:cs="Times New Roman"/>
          <w:i/>
          <w:sz w:val="28"/>
          <w:szCs w:val="28"/>
          <w:lang w:eastAsia="ru-RU"/>
        </w:rPr>
        <w:t>Риски</w:t>
      </w:r>
      <w:r>
        <w:rPr>
          <w:rFonts w:ascii="Times New Roman" w:eastAsia="Times New Roman" w:hAnsi="Times New Roman" w:cs="Times New Roman"/>
          <w:i/>
          <w:sz w:val="28"/>
          <w:szCs w:val="28"/>
          <w:lang w:eastAsia="ru-RU"/>
        </w:rPr>
        <w:t xml:space="preserve"> </w:t>
      </w:r>
      <w:r w:rsidRPr="00D3319C">
        <w:rPr>
          <w:rFonts w:ascii="Times New Roman" w:eastAsia="Times New Roman" w:hAnsi="Times New Roman" w:cs="Times New Roman"/>
          <w:i/>
          <w:sz w:val="28"/>
          <w:szCs w:val="28"/>
          <w:lang w:eastAsia="ru-RU"/>
        </w:rPr>
        <w:t>социально-экономического</w:t>
      </w:r>
      <w:r>
        <w:rPr>
          <w:rFonts w:ascii="Times New Roman" w:eastAsia="Times New Roman" w:hAnsi="Times New Roman" w:cs="Times New Roman"/>
          <w:i/>
          <w:sz w:val="28"/>
          <w:szCs w:val="28"/>
          <w:lang w:eastAsia="ru-RU"/>
        </w:rPr>
        <w:t xml:space="preserve"> </w:t>
      </w:r>
      <w:r w:rsidRPr="00D3319C">
        <w:rPr>
          <w:rFonts w:ascii="Times New Roman" w:eastAsia="Times New Roman" w:hAnsi="Times New Roman" w:cs="Times New Roman"/>
          <w:i/>
          <w:sz w:val="28"/>
          <w:szCs w:val="28"/>
          <w:lang w:eastAsia="ru-RU"/>
        </w:rPr>
        <w:t>развития</w:t>
      </w:r>
      <w:r>
        <w:rPr>
          <w:rFonts w:ascii="Times New Roman" w:eastAsia="Times New Roman" w:hAnsi="Times New Roman" w:cs="Times New Roman"/>
          <w:i/>
          <w:sz w:val="28"/>
          <w:szCs w:val="28"/>
          <w:lang w:eastAsia="ru-RU"/>
        </w:rPr>
        <w:t xml:space="preserve"> </w:t>
      </w:r>
      <w:r w:rsidRPr="00D3319C">
        <w:rPr>
          <w:rFonts w:ascii="Times New Roman" w:eastAsia="Times New Roman" w:hAnsi="Times New Roman" w:cs="Times New Roman"/>
          <w:i/>
          <w:sz w:val="28"/>
          <w:szCs w:val="28"/>
          <w:lang w:eastAsia="ru-RU"/>
        </w:rPr>
        <w:t>региона</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Риски социально-экономического развития региона </w:t>
      </w:r>
      <w:r>
        <w:t>–</w:t>
      </w:r>
      <w:r>
        <w:rPr>
          <w:rFonts w:ascii="Times New Roman" w:eastAsia="Times New Roman" w:hAnsi="Times New Roman" w:cs="Times New Roman"/>
          <w:sz w:val="28"/>
          <w:szCs w:val="28"/>
          <w:lang w:eastAsia="ru-RU"/>
        </w:rPr>
        <w:t xml:space="preserve"> </w:t>
      </w:r>
      <w:r w:rsidRPr="00D777F0">
        <w:rPr>
          <w:rFonts w:ascii="Times New Roman" w:eastAsia="Times New Roman" w:hAnsi="Times New Roman" w:cs="Times New Roman"/>
          <w:sz w:val="28"/>
          <w:szCs w:val="28"/>
          <w:lang w:eastAsia="ru-RU"/>
        </w:rPr>
        <w:t xml:space="preserve">риски, обусловленные внутренними, характерными для данного субъекта </w:t>
      </w:r>
      <w:r w:rsidR="00300ACE">
        <w:rPr>
          <w:rFonts w:ascii="Times New Roman" w:eastAsia="Times New Roman" w:hAnsi="Times New Roman" w:cs="Times New Roman"/>
          <w:sz w:val="28"/>
          <w:szCs w:val="28"/>
          <w:lang w:eastAsia="ru-RU"/>
        </w:rPr>
        <w:t>РФ</w:t>
      </w:r>
      <w:r w:rsidRPr="00D777F0">
        <w:rPr>
          <w:rFonts w:ascii="Times New Roman" w:eastAsia="Times New Roman" w:hAnsi="Times New Roman" w:cs="Times New Roman"/>
          <w:sz w:val="28"/>
          <w:szCs w:val="28"/>
          <w:lang w:eastAsia="ru-RU"/>
        </w:rPr>
        <w:t xml:space="preserve">, факторами, в том числе </w:t>
      </w:r>
      <w:r w:rsidRPr="00D777F0">
        <w:rPr>
          <w:rFonts w:ascii="Times New Roman" w:eastAsia="Times New Roman" w:hAnsi="Times New Roman" w:cs="Times New Roman"/>
          <w:sz w:val="28"/>
          <w:szCs w:val="28"/>
          <w:lang w:eastAsia="ru-RU"/>
        </w:rPr>
        <w:lastRenderedPageBreak/>
        <w:t>вызванные деятельностью крупнейших налогоплательщиков, осуществляющих деятельность на территории региона</w:t>
      </w:r>
      <w:r>
        <w:rPr>
          <w:rFonts w:ascii="Times New Roman" w:eastAsia="Times New Roman" w:hAnsi="Times New Roman" w:cs="Times New Roman"/>
          <w:sz w:val="28"/>
          <w:szCs w:val="28"/>
          <w:lang w:eastAsia="ru-RU"/>
        </w:rPr>
        <w:t>.</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sidRPr="007A596C">
        <w:rPr>
          <w:rFonts w:ascii="Times New Roman" w:eastAsia="Times New Roman" w:hAnsi="Times New Roman" w:cs="Times New Roman"/>
          <w:sz w:val="28"/>
          <w:szCs w:val="28"/>
          <w:lang w:eastAsia="ru-RU"/>
        </w:rPr>
        <w:t>Риски</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социально-экономического</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региона</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встречаются</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бюджетных</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прогнозах</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субъектов</w:t>
      </w:r>
      <w:r>
        <w:rPr>
          <w:rFonts w:ascii="Times New Roman" w:eastAsia="Times New Roman" w:hAnsi="Times New Roman" w:cs="Times New Roman"/>
          <w:sz w:val="28"/>
          <w:szCs w:val="28"/>
          <w:lang w:eastAsia="ru-RU"/>
        </w:rPr>
        <w:t xml:space="preserve"> </w:t>
      </w:r>
      <w:r w:rsidR="00300ACE">
        <w:rPr>
          <w:rFonts w:ascii="Times New Roman" w:eastAsia="Times New Roman" w:hAnsi="Times New Roman" w:cs="Times New Roman"/>
          <w:sz w:val="28"/>
          <w:szCs w:val="28"/>
          <w:lang w:eastAsia="ru-RU"/>
        </w:rPr>
        <w:t>РФ</w:t>
      </w:r>
      <w:r w:rsidRPr="007A59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основном</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отличительной</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особенностью</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данной</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категории</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рисков</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риск</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сокращения</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(либо</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отсутствия</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интенсивного</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роста)</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инвестиций</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основной</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капитал.</w:t>
      </w:r>
      <w:r>
        <w:rPr>
          <w:rFonts w:ascii="Times New Roman" w:eastAsia="Times New Roman" w:hAnsi="Times New Roman" w:cs="Times New Roman"/>
          <w:sz w:val="28"/>
          <w:szCs w:val="28"/>
          <w:lang w:eastAsia="ru-RU"/>
        </w:rPr>
        <w:t xml:space="preserve"> С целью минимизации указанного риска регионами предлагается:</w:t>
      </w:r>
    </w:p>
    <w:p w:rsidR="00857F7D" w:rsidRPr="0027198A" w:rsidRDefault="00857F7D" w:rsidP="00CE748E">
      <w:pPr>
        <w:pStyle w:val="a4"/>
        <w:numPr>
          <w:ilvl w:val="0"/>
          <w:numId w:val="17"/>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27198A">
        <w:rPr>
          <w:rFonts w:ascii="Times New Roman" w:eastAsia="Times New Roman" w:hAnsi="Times New Roman" w:cs="Times New Roman"/>
          <w:sz w:val="28"/>
          <w:szCs w:val="28"/>
          <w:lang w:eastAsia="ru-RU"/>
        </w:rPr>
        <w:t>сохранение</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налоговых</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льгот</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преференций,</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ориентированных</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развитие</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производства</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рост</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инвестиций;</w:t>
      </w:r>
    </w:p>
    <w:p w:rsidR="00857F7D" w:rsidRPr="0027198A" w:rsidRDefault="00857F7D" w:rsidP="00CE748E">
      <w:pPr>
        <w:pStyle w:val="a4"/>
        <w:numPr>
          <w:ilvl w:val="0"/>
          <w:numId w:val="17"/>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27198A">
        <w:rPr>
          <w:rFonts w:ascii="Times New Roman" w:eastAsia="Times New Roman" w:hAnsi="Times New Roman" w:cs="Times New Roman"/>
          <w:sz w:val="28"/>
          <w:szCs w:val="28"/>
          <w:lang w:eastAsia="ru-RU"/>
        </w:rPr>
        <w:t>реализация</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проектов,</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направленных</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развитие</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инфраструктуры;</w:t>
      </w:r>
      <w:r>
        <w:rPr>
          <w:rFonts w:ascii="Times New Roman" w:eastAsia="Times New Roman" w:hAnsi="Times New Roman" w:cs="Times New Roman"/>
          <w:sz w:val="28"/>
          <w:szCs w:val="28"/>
          <w:lang w:eastAsia="ru-RU"/>
        </w:rPr>
        <w:t xml:space="preserve"> </w:t>
      </w:r>
    </w:p>
    <w:p w:rsidR="00857F7D" w:rsidRPr="0027198A" w:rsidRDefault="00857F7D" w:rsidP="00CE748E">
      <w:pPr>
        <w:pStyle w:val="a4"/>
        <w:numPr>
          <w:ilvl w:val="0"/>
          <w:numId w:val="17"/>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27198A">
        <w:rPr>
          <w:rFonts w:ascii="Times New Roman" w:eastAsia="Times New Roman" w:hAnsi="Times New Roman" w:cs="Times New Roman"/>
          <w:sz w:val="28"/>
          <w:szCs w:val="28"/>
          <w:lang w:eastAsia="ru-RU"/>
        </w:rPr>
        <w:t>субсидирование</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затрат</w:t>
      </w:r>
      <w:r>
        <w:rPr>
          <w:rFonts w:ascii="Times New Roman" w:eastAsia="Times New Roman" w:hAnsi="Times New Roman" w:cs="Times New Roman"/>
          <w:sz w:val="28"/>
          <w:szCs w:val="28"/>
          <w:lang w:eastAsia="ru-RU"/>
        </w:rPr>
        <w:t xml:space="preserve"> </w:t>
      </w:r>
      <w:r w:rsidRPr="0027198A">
        <w:rPr>
          <w:rFonts w:ascii="Times New Roman" w:eastAsia="Times New Roman" w:hAnsi="Times New Roman" w:cs="Times New Roman"/>
          <w:sz w:val="28"/>
          <w:szCs w:val="28"/>
          <w:lang w:eastAsia="ru-RU"/>
        </w:rPr>
        <w:t>производителей.</w:t>
      </w:r>
      <w:r>
        <w:rPr>
          <w:rFonts w:ascii="Times New Roman" w:eastAsia="Times New Roman" w:hAnsi="Times New Roman" w:cs="Times New Roman"/>
          <w:sz w:val="28"/>
          <w:szCs w:val="28"/>
          <w:lang w:eastAsia="ru-RU"/>
        </w:rPr>
        <w:t xml:space="preserve"> </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w:t>
      </w:r>
      <w:r w:rsidRPr="007A596C">
        <w:rPr>
          <w:rFonts w:ascii="Times New Roman" w:eastAsia="Times New Roman" w:hAnsi="Times New Roman" w:cs="Times New Roman"/>
          <w:sz w:val="28"/>
          <w:szCs w:val="28"/>
          <w:lang w:eastAsia="ru-RU"/>
        </w:rPr>
        <w:t>достаточно</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часто</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встречается</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риск</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изменения</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конъюнктуры</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рынка</w:t>
      </w:r>
      <w:r>
        <w:rPr>
          <w:rFonts w:ascii="Times New Roman" w:eastAsia="Times New Roman" w:hAnsi="Times New Roman" w:cs="Times New Roman"/>
          <w:sz w:val="28"/>
          <w:szCs w:val="28"/>
          <w:lang w:eastAsia="ru-RU"/>
        </w:rPr>
        <w:t xml:space="preserve"> </w:t>
      </w:r>
      <w:r w:rsidRPr="00FA52A5">
        <w:rPr>
          <w:rFonts w:ascii="Times New Roman" w:eastAsia="Times New Roman" w:hAnsi="Times New Roman" w:cs="Times New Roman"/>
          <w:sz w:val="28"/>
          <w:szCs w:val="28"/>
          <w:lang w:eastAsia="ru-RU"/>
        </w:rPr>
        <w:t xml:space="preserve">налогоплательщиков, характеризующийся, в первую очередь, изменением спроса на товары, работы и услуги основных налогоплательщиков региона. Отдельными субъектами </w:t>
      </w:r>
      <w:r w:rsidR="00300ACE">
        <w:rPr>
          <w:rFonts w:ascii="Times New Roman" w:eastAsia="Times New Roman" w:hAnsi="Times New Roman" w:cs="Times New Roman"/>
          <w:sz w:val="28"/>
          <w:szCs w:val="28"/>
          <w:lang w:eastAsia="ru-RU"/>
        </w:rPr>
        <w:t>РФ</w:t>
      </w:r>
      <w:r w:rsidRPr="00FA52A5">
        <w:rPr>
          <w:rFonts w:ascii="Times New Roman" w:eastAsia="Times New Roman" w:hAnsi="Times New Roman" w:cs="Times New Roman"/>
          <w:sz w:val="28"/>
          <w:szCs w:val="28"/>
          <w:lang w:eastAsia="ru-RU"/>
        </w:rPr>
        <w:t xml:space="preserve"> среди рисков данной подгруппы также выделяются изменение конъюнктуры рынка у крупных производственных предприятий в целом </w:t>
      </w:r>
      <w:r w:rsidRPr="00FA52A5">
        <w:rPr>
          <w:rFonts w:ascii="Times New Roman" w:eastAsia="Times New Roman" w:hAnsi="Times New Roman" w:cs="Times New Roman"/>
          <w:i/>
          <w:sz w:val="28"/>
          <w:szCs w:val="28"/>
          <w:lang w:eastAsia="ru-RU"/>
        </w:rPr>
        <w:t>(Самарская область)</w:t>
      </w:r>
      <w:r w:rsidRPr="00FA52A5">
        <w:rPr>
          <w:rFonts w:ascii="Times New Roman" w:eastAsia="Times New Roman" w:hAnsi="Times New Roman" w:cs="Times New Roman"/>
          <w:sz w:val="28"/>
          <w:szCs w:val="28"/>
          <w:lang w:eastAsia="ru-RU"/>
        </w:rPr>
        <w:t>, риск зависимости налоговых доходов</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региона</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крупнейшего</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налогоплательщика</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сфере</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металлургической</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промышленности</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ввиду</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высокой</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волатильности</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мировых</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цен</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металлопродукцию,</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цикличности</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производства</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предприятия</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изменения</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объема</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налога</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прибыль</w:t>
      </w:r>
      <w:r>
        <w:rPr>
          <w:rFonts w:ascii="Times New Roman" w:eastAsia="Times New Roman" w:hAnsi="Times New Roman" w:cs="Times New Roman"/>
          <w:sz w:val="28"/>
          <w:szCs w:val="28"/>
          <w:lang w:eastAsia="ru-RU"/>
        </w:rPr>
        <w:t xml:space="preserve"> организаций </w:t>
      </w:r>
      <w:r w:rsidRPr="000D4434">
        <w:rPr>
          <w:rFonts w:ascii="Times New Roman" w:eastAsia="Times New Roman" w:hAnsi="Times New Roman" w:cs="Times New Roman"/>
          <w:i/>
          <w:sz w:val="28"/>
          <w:szCs w:val="28"/>
          <w:lang w:eastAsia="ru-RU"/>
        </w:rPr>
        <w:t>(Липецкая область)</w:t>
      </w:r>
      <w:r w:rsidRPr="007A59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снижение</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объемов</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добычи</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нефти</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старых</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месторождениях,</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определявшим</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профиль</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добычи</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нефти</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регионе</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последние</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десятилетия</w:t>
      </w:r>
      <w:r>
        <w:rPr>
          <w:rFonts w:ascii="Times New Roman" w:eastAsia="Times New Roman" w:hAnsi="Times New Roman" w:cs="Times New Roman"/>
          <w:sz w:val="28"/>
          <w:szCs w:val="28"/>
          <w:lang w:eastAsia="ru-RU"/>
        </w:rPr>
        <w:t xml:space="preserve"> </w:t>
      </w:r>
      <w:r w:rsidRPr="000D4434">
        <w:rPr>
          <w:rFonts w:ascii="Times New Roman" w:eastAsia="Times New Roman" w:hAnsi="Times New Roman" w:cs="Times New Roman"/>
          <w:i/>
          <w:sz w:val="28"/>
          <w:szCs w:val="28"/>
          <w:lang w:eastAsia="ru-RU"/>
        </w:rPr>
        <w:t>(Ханты-Мансийский автономный округ)</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иные</w:t>
      </w:r>
      <w:r>
        <w:rPr>
          <w:rFonts w:ascii="Times New Roman" w:eastAsia="Times New Roman" w:hAnsi="Times New Roman" w:cs="Times New Roman"/>
          <w:sz w:val="28"/>
          <w:szCs w:val="28"/>
          <w:lang w:eastAsia="ru-RU"/>
        </w:rPr>
        <w:t xml:space="preserve"> </w:t>
      </w:r>
      <w:r w:rsidRPr="007A596C">
        <w:rPr>
          <w:rFonts w:ascii="Times New Roman" w:eastAsia="Times New Roman" w:hAnsi="Times New Roman" w:cs="Times New Roman"/>
          <w:sz w:val="28"/>
          <w:szCs w:val="28"/>
          <w:lang w:eastAsia="ru-RU"/>
        </w:rPr>
        <w:t>риски.</w:t>
      </w:r>
      <w:r>
        <w:rPr>
          <w:rFonts w:ascii="Times New Roman" w:eastAsia="Times New Roman" w:hAnsi="Times New Roman" w:cs="Times New Roman"/>
          <w:sz w:val="28"/>
          <w:szCs w:val="28"/>
          <w:lang w:eastAsia="ru-RU"/>
        </w:rPr>
        <w:t xml:space="preserve"> </w:t>
      </w:r>
    </w:p>
    <w:p w:rsidR="00857F7D" w:rsidRPr="00E13CA2" w:rsidRDefault="00857F7D" w:rsidP="00CE748E">
      <w:pPr>
        <w:spacing w:after="0" w:line="276" w:lineRule="auto"/>
        <w:jc w:val="both"/>
        <w:rPr>
          <w:rFonts w:ascii="Times New Roman" w:eastAsia="Times New Roman" w:hAnsi="Times New Roman" w:cs="Times New Roman"/>
          <w:sz w:val="28"/>
          <w:szCs w:val="28"/>
          <w:lang w:eastAsia="ru-RU"/>
        </w:rPr>
      </w:pPr>
      <w:r w:rsidRPr="00E13CA2">
        <w:rPr>
          <w:rFonts w:ascii="Times New Roman" w:eastAsia="Times New Roman" w:hAnsi="Times New Roman" w:cs="Times New Roman"/>
          <w:sz w:val="28"/>
          <w:szCs w:val="28"/>
          <w:lang w:eastAsia="ru-RU"/>
        </w:rPr>
        <w:t xml:space="preserve">Для нивелирования </w:t>
      </w:r>
      <w:r>
        <w:rPr>
          <w:rFonts w:ascii="Times New Roman" w:eastAsia="Times New Roman" w:hAnsi="Times New Roman" w:cs="Times New Roman"/>
          <w:sz w:val="28"/>
          <w:szCs w:val="28"/>
          <w:lang w:eastAsia="ru-RU"/>
        </w:rPr>
        <w:t xml:space="preserve">обозначенных </w:t>
      </w:r>
      <w:r w:rsidRPr="00E13CA2">
        <w:rPr>
          <w:rFonts w:ascii="Times New Roman" w:eastAsia="Times New Roman" w:hAnsi="Times New Roman" w:cs="Times New Roman"/>
          <w:sz w:val="28"/>
          <w:szCs w:val="28"/>
          <w:lang w:eastAsia="ru-RU"/>
        </w:rPr>
        <w:t>риск</w:t>
      </w:r>
      <w:r>
        <w:rPr>
          <w:rFonts w:ascii="Times New Roman" w:eastAsia="Times New Roman" w:hAnsi="Times New Roman" w:cs="Times New Roman"/>
          <w:sz w:val="28"/>
          <w:szCs w:val="28"/>
          <w:lang w:eastAsia="ru-RU"/>
        </w:rPr>
        <w:t>ов</w:t>
      </w:r>
      <w:r w:rsidRPr="00E13CA2">
        <w:rPr>
          <w:rFonts w:ascii="Times New Roman" w:eastAsia="Times New Roman" w:hAnsi="Times New Roman" w:cs="Times New Roman"/>
          <w:sz w:val="28"/>
          <w:szCs w:val="28"/>
          <w:lang w:eastAsia="ru-RU"/>
        </w:rPr>
        <w:t xml:space="preserve"> отдельные регионы предлагают следующие меры:</w:t>
      </w:r>
    </w:p>
    <w:p w:rsidR="00857F7D" w:rsidRPr="00E13CA2" w:rsidRDefault="00857F7D" w:rsidP="00CE748E">
      <w:pPr>
        <w:pStyle w:val="a4"/>
        <w:numPr>
          <w:ilvl w:val="0"/>
          <w:numId w:val="18"/>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E13CA2">
        <w:rPr>
          <w:rFonts w:ascii="Times New Roman" w:eastAsia="Times New Roman" w:hAnsi="Times New Roman" w:cs="Times New Roman"/>
          <w:sz w:val="28"/>
          <w:szCs w:val="28"/>
          <w:lang w:eastAsia="ru-RU"/>
        </w:rPr>
        <w:t xml:space="preserve">инвентаризация имущества (в том числе земельных участков), являющегося государственной собственностью, а также собственностью иной формы, занимаемой государственными учреждениями, подведомственными органам исполнительной власти, а также занимаемой государственными унитарными предприятиями </w:t>
      </w:r>
      <w:r w:rsidRPr="00E13CA2">
        <w:rPr>
          <w:rFonts w:ascii="Times New Roman" w:eastAsia="Times New Roman" w:hAnsi="Times New Roman" w:cs="Times New Roman"/>
          <w:i/>
          <w:sz w:val="28"/>
          <w:szCs w:val="28"/>
          <w:lang w:eastAsia="ru-RU"/>
        </w:rPr>
        <w:t>(Оренбургская область)</w:t>
      </w:r>
      <w:r w:rsidRPr="00E13CA2">
        <w:rPr>
          <w:rFonts w:ascii="Times New Roman" w:eastAsia="Times New Roman" w:hAnsi="Times New Roman" w:cs="Times New Roman"/>
          <w:sz w:val="28"/>
          <w:szCs w:val="28"/>
          <w:lang w:eastAsia="ru-RU"/>
        </w:rPr>
        <w:t>;</w:t>
      </w:r>
    </w:p>
    <w:p w:rsidR="00857F7D" w:rsidRPr="00E13CA2" w:rsidRDefault="00857F7D" w:rsidP="00CE748E">
      <w:pPr>
        <w:pStyle w:val="a4"/>
        <w:numPr>
          <w:ilvl w:val="0"/>
          <w:numId w:val="18"/>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регулярный </w:t>
      </w:r>
      <w:r w:rsidRPr="00E13CA2">
        <w:rPr>
          <w:rFonts w:ascii="Times New Roman" w:eastAsia="Times New Roman" w:hAnsi="Times New Roman" w:cs="Times New Roman"/>
          <w:sz w:val="28"/>
          <w:szCs w:val="28"/>
          <w:lang w:eastAsia="ru-RU"/>
        </w:rPr>
        <w:t xml:space="preserve">мониторинг поступлений в бюджет по видам деятельности и по крупнейшим предприятиям </w:t>
      </w:r>
      <w:r w:rsidRPr="00E13CA2">
        <w:rPr>
          <w:rFonts w:ascii="Times New Roman" w:eastAsia="Times New Roman" w:hAnsi="Times New Roman" w:cs="Times New Roman"/>
          <w:i/>
          <w:sz w:val="28"/>
          <w:szCs w:val="28"/>
          <w:lang w:eastAsia="ru-RU"/>
        </w:rPr>
        <w:t>(Республика Башкортостан)</w:t>
      </w:r>
      <w:r w:rsidRPr="00E13CA2">
        <w:rPr>
          <w:rFonts w:ascii="Times New Roman" w:eastAsia="Times New Roman" w:hAnsi="Times New Roman" w:cs="Times New Roman"/>
          <w:sz w:val="28"/>
          <w:szCs w:val="28"/>
          <w:lang w:eastAsia="ru-RU"/>
        </w:rPr>
        <w:t>;</w:t>
      </w:r>
    </w:p>
    <w:p w:rsidR="00857F7D" w:rsidRPr="00E13CA2" w:rsidRDefault="00857F7D" w:rsidP="00CE748E">
      <w:pPr>
        <w:pStyle w:val="a4"/>
        <w:numPr>
          <w:ilvl w:val="0"/>
          <w:numId w:val="18"/>
        </w:numPr>
        <w:tabs>
          <w:tab w:val="right" w:pos="426"/>
          <w:tab w:val="left" w:pos="993"/>
        </w:tabs>
        <w:spacing w:after="0" w:line="276" w:lineRule="auto"/>
        <w:ind w:left="425" w:hanging="425"/>
        <w:jc w:val="both"/>
        <w:rPr>
          <w:rFonts w:ascii="Times New Roman" w:eastAsia="Times New Roman" w:hAnsi="Times New Roman" w:cs="Times New Roman"/>
          <w:sz w:val="28"/>
          <w:szCs w:val="28"/>
          <w:lang w:eastAsia="ru-RU"/>
        </w:rPr>
      </w:pPr>
      <w:r w:rsidRPr="00E13CA2">
        <w:rPr>
          <w:rFonts w:ascii="Times New Roman" w:eastAsia="Times New Roman" w:hAnsi="Times New Roman" w:cs="Times New Roman"/>
          <w:sz w:val="28"/>
          <w:szCs w:val="28"/>
          <w:lang w:eastAsia="ru-RU"/>
        </w:rPr>
        <w:t xml:space="preserve">диверсификация экономики региона и снижение зависимости бюджета от волатильности рынка углеводородов </w:t>
      </w:r>
      <w:r w:rsidRPr="00E13CA2">
        <w:rPr>
          <w:rFonts w:ascii="Times New Roman" w:eastAsia="Times New Roman" w:hAnsi="Times New Roman" w:cs="Times New Roman"/>
          <w:i/>
          <w:sz w:val="28"/>
          <w:szCs w:val="28"/>
          <w:lang w:eastAsia="ru-RU"/>
        </w:rPr>
        <w:t>(Ханты-Мансийский автономный округ)</w:t>
      </w:r>
      <w:r w:rsidRPr="00E13CA2">
        <w:rPr>
          <w:rFonts w:ascii="Times New Roman" w:eastAsia="Times New Roman" w:hAnsi="Times New Roman" w:cs="Times New Roman"/>
          <w:sz w:val="28"/>
          <w:szCs w:val="28"/>
          <w:lang w:eastAsia="ru-RU"/>
        </w:rPr>
        <w:t>.</w:t>
      </w:r>
    </w:p>
    <w:p w:rsidR="00857F7D" w:rsidRPr="00C12EAE" w:rsidRDefault="00857F7D" w:rsidP="00CE748E">
      <w:pPr>
        <w:spacing w:after="0" w:line="276" w:lineRule="auto"/>
        <w:jc w:val="both"/>
        <w:rPr>
          <w:rFonts w:ascii="Times New Roman" w:eastAsia="Times New Roman" w:hAnsi="Times New Roman" w:cs="Times New Roman"/>
          <w:sz w:val="28"/>
          <w:szCs w:val="28"/>
          <w:lang w:eastAsia="ru-RU"/>
        </w:rPr>
      </w:pPr>
      <w:r w:rsidRPr="00E13CA2">
        <w:rPr>
          <w:rFonts w:ascii="Times New Roman" w:eastAsia="Times New Roman" w:hAnsi="Times New Roman" w:cs="Times New Roman"/>
          <w:sz w:val="28"/>
          <w:szCs w:val="28"/>
          <w:lang w:eastAsia="ru-RU"/>
        </w:rPr>
        <w:t>Среди рисков социально-экономического развития 5 регионов выделяют</w:t>
      </w:r>
      <w:r>
        <w:rPr>
          <w:rFonts w:ascii="Times New Roman" w:eastAsia="Times New Roman" w:hAnsi="Times New Roman" w:cs="Times New Roman"/>
          <w:sz w:val="28"/>
          <w:szCs w:val="28"/>
          <w:lang w:eastAsia="ru-RU"/>
        </w:rPr>
        <w:t xml:space="preserve"> </w:t>
      </w:r>
      <w:r w:rsidRPr="00E13CA2">
        <w:rPr>
          <w:rFonts w:ascii="Times New Roman" w:eastAsia="Times New Roman" w:hAnsi="Times New Roman" w:cs="Times New Roman"/>
          <w:sz w:val="28"/>
          <w:szCs w:val="28"/>
          <w:lang w:eastAsia="ru-RU"/>
        </w:rPr>
        <w:t>общее ухудшение ситуации в социально-экономическом развитии региона, что может повлиять на достижение регионами прогнозных показателей социально-</w:t>
      </w:r>
      <w:r w:rsidRPr="00E13CA2">
        <w:rPr>
          <w:rFonts w:ascii="Times New Roman" w:eastAsia="Times New Roman" w:hAnsi="Times New Roman" w:cs="Times New Roman"/>
          <w:sz w:val="28"/>
          <w:szCs w:val="28"/>
          <w:lang w:eastAsia="ru-RU"/>
        </w:rPr>
        <w:lastRenderedPageBreak/>
        <w:t xml:space="preserve">экономического развития (валового регионального продукта, прибыли прибыльных организаций, фонда заработной платы и прочее). Для решения указанной проблемы регионы отмечают </w:t>
      </w:r>
      <w:r w:rsidRPr="00E13CA2">
        <w:rPr>
          <w:rFonts w:ascii="Times New Roman" w:eastAsia="Times New Roman" w:hAnsi="Times New Roman" w:cs="Times New Roman"/>
          <w:color w:val="000000"/>
          <w:sz w:val="28"/>
          <w:szCs w:val="28"/>
          <w:lang w:eastAsia="ru-RU"/>
        </w:rPr>
        <w:t>необходимость придерживаться базового сценария прогноза основных макроэкономических параметров, а также политики оптимизации и сдерживания роста расходов.</w:t>
      </w:r>
    </w:p>
    <w:p w:rsidR="00857F7D" w:rsidRDefault="00857F7D" w:rsidP="00CE748E">
      <w:pPr>
        <w:spacing w:after="0" w:line="276" w:lineRule="auto"/>
        <w:jc w:val="both"/>
        <w:rPr>
          <w:rFonts w:ascii="Times New Roman" w:eastAsia="Times New Roman" w:hAnsi="Times New Roman" w:cs="Times New Roman"/>
          <w:sz w:val="28"/>
          <w:szCs w:val="28"/>
          <w:lang w:eastAsia="ru-RU"/>
        </w:rPr>
      </w:pPr>
    </w:p>
    <w:p w:rsidR="00857F7D" w:rsidRPr="00C17670" w:rsidRDefault="00857F7D" w:rsidP="00CE748E">
      <w:pPr>
        <w:spacing w:after="120" w:line="276" w:lineRule="auto"/>
        <w:jc w:val="both"/>
        <w:rPr>
          <w:rFonts w:ascii="Times New Roman" w:eastAsia="Times New Roman" w:hAnsi="Times New Roman" w:cs="Times New Roman"/>
          <w:i/>
          <w:sz w:val="28"/>
          <w:szCs w:val="28"/>
          <w:lang w:eastAsia="ru-RU"/>
        </w:rPr>
      </w:pPr>
      <w:r w:rsidRPr="00C17670">
        <w:rPr>
          <w:rFonts w:ascii="Times New Roman" w:eastAsia="Times New Roman" w:hAnsi="Times New Roman" w:cs="Times New Roman"/>
          <w:i/>
          <w:sz w:val="28"/>
          <w:szCs w:val="28"/>
          <w:lang w:eastAsia="ru-RU"/>
        </w:rPr>
        <w:t>Демографические</w:t>
      </w:r>
      <w:r>
        <w:rPr>
          <w:rFonts w:ascii="Times New Roman" w:eastAsia="Times New Roman" w:hAnsi="Times New Roman" w:cs="Times New Roman"/>
          <w:i/>
          <w:sz w:val="28"/>
          <w:szCs w:val="28"/>
          <w:lang w:eastAsia="ru-RU"/>
        </w:rPr>
        <w:t xml:space="preserve"> </w:t>
      </w:r>
      <w:r w:rsidRPr="00C17670">
        <w:rPr>
          <w:rFonts w:ascii="Times New Roman" w:eastAsia="Times New Roman" w:hAnsi="Times New Roman" w:cs="Times New Roman"/>
          <w:i/>
          <w:sz w:val="28"/>
          <w:szCs w:val="28"/>
          <w:lang w:eastAsia="ru-RU"/>
        </w:rPr>
        <w:t>риски</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Демографические риски </w:t>
      </w:r>
      <w:r>
        <w:t>–</w:t>
      </w:r>
      <w:r>
        <w:rPr>
          <w:rFonts w:ascii="Times New Roman" w:eastAsia="Times New Roman" w:hAnsi="Times New Roman" w:cs="Times New Roman"/>
          <w:sz w:val="28"/>
          <w:szCs w:val="28"/>
          <w:lang w:eastAsia="ru-RU"/>
        </w:rPr>
        <w:t xml:space="preserve"> </w:t>
      </w:r>
      <w:r w:rsidRPr="00717D00">
        <w:rPr>
          <w:rFonts w:ascii="Times New Roman" w:eastAsia="Times New Roman" w:hAnsi="Times New Roman" w:cs="Times New Roman"/>
          <w:sz w:val="28"/>
          <w:szCs w:val="28"/>
          <w:lang w:eastAsia="ru-RU"/>
        </w:rPr>
        <w:t xml:space="preserve">риски, обусловленные изменением количественного и качественного состава населения субъекта </w:t>
      </w:r>
      <w:r w:rsidR="00300ACE">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w:t>
      </w:r>
    </w:p>
    <w:p w:rsidR="00857F7D" w:rsidRPr="00C17670" w:rsidRDefault="00857F7D" w:rsidP="00CE748E">
      <w:pPr>
        <w:spacing w:after="0" w:line="276" w:lineRule="auto"/>
        <w:jc w:val="both"/>
        <w:rPr>
          <w:rFonts w:ascii="Times New Roman" w:eastAsia="Times New Roman" w:hAnsi="Times New Roman" w:cs="Times New Roman"/>
          <w:sz w:val="28"/>
          <w:szCs w:val="28"/>
          <w:lang w:eastAsia="ru-RU"/>
        </w:rPr>
      </w:pPr>
      <w:r w:rsidRPr="00C17670">
        <w:rPr>
          <w:rFonts w:ascii="Times New Roman" w:eastAsia="Times New Roman" w:hAnsi="Times New Roman" w:cs="Times New Roman"/>
          <w:sz w:val="28"/>
          <w:szCs w:val="28"/>
          <w:lang w:eastAsia="ru-RU"/>
        </w:rPr>
        <w:t>Демографические</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риски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выделяют</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субъектов</w:t>
      </w:r>
      <w:r>
        <w:rPr>
          <w:rFonts w:ascii="Times New Roman" w:eastAsia="Times New Roman" w:hAnsi="Times New Roman" w:cs="Times New Roman"/>
          <w:sz w:val="28"/>
          <w:szCs w:val="28"/>
          <w:lang w:eastAsia="ru-RU"/>
        </w:rPr>
        <w:t xml:space="preserve"> </w:t>
      </w:r>
      <w:r w:rsidR="00300ACE">
        <w:rPr>
          <w:rFonts w:ascii="Times New Roman" w:eastAsia="Times New Roman" w:hAnsi="Times New Roman" w:cs="Times New Roman"/>
          <w:sz w:val="28"/>
          <w:szCs w:val="28"/>
          <w:lang w:eastAsia="ru-RU"/>
        </w:rPr>
        <w:t>РФ</w:t>
      </w:r>
      <w:r w:rsidRPr="00C176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этом</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региона</w:t>
      </w:r>
      <w:r>
        <w:rPr>
          <w:rFonts w:ascii="Times New Roman" w:eastAsia="Times New Roman" w:hAnsi="Times New Roman" w:cs="Times New Roman"/>
          <w:sz w:val="28"/>
          <w:szCs w:val="28"/>
          <w:lang w:eastAsia="ru-RU"/>
        </w:rPr>
        <w:t xml:space="preserve"> </w:t>
      </w:r>
      <w:r w:rsidRPr="00C17670">
        <w:rPr>
          <w:rFonts w:ascii="Times New Roman" w:hAnsi="Times New Roman" w:cs="Times New Roman"/>
          <w:sz w:val="28"/>
          <w:szCs w:val="28"/>
        </w:rPr>
        <w:t>отмечают</w:t>
      </w:r>
      <w:r>
        <w:rPr>
          <w:rFonts w:ascii="Times New Roman" w:hAnsi="Times New Roman" w:cs="Times New Roman"/>
          <w:sz w:val="28"/>
          <w:szCs w:val="28"/>
        </w:rPr>
        <w:t xml:space="preserve"> </w:t>
      </w:r>
      <w:r w:rsidRPr="00C17670">
        <w:rPr>
          <w:rFonts w:ascii="Times New Roman" w:hAnsi="Times New Roman" w:cs="Times New Roman"/>
          <w:sz w:val="28"/>
          <w:szCs w:val="28"/>
        </w:rPr>
        <w:t>такие</w:t>
      </w:r>
      <w:r>
        <w:rPr>
          <w:rFonts w:ascii="Times New Roman" w:hAnsi="Times New Roman" w:cs="Times New Roman"/>
          <w:sz w:val="28"/>
          <w:szCs w:val="28"/>
        </w:rPr>
        <w:t xml:space="preserve"> </w:t>
      </w:r>
      <w:r w:rsidRPr="00C17670">
        <w:rPr>
          <w:rFonts w:ascii="Times New Roman" w:hAnsi="Times New Roman" w:cs="Times New Roman"/>
          <w:sz w:val="28"/>
          <w:szCs w:val="28"/>
        </w:rPr>
        <w:t>риски</w:t>
      </w:r>
      <w:r>
        <w:rPr>
          <w:rFonts w:ascii="Times New Roman" w:hAnsi="Times New Roman" w:cs="Times New Roman"/>
          <w:sz w:val="28"/>
          <w:szCs w:val="28"/>
        </w:rPr>
        <w:t xml:space="preserve"> </w:t>
      </w:r>
      <w:r w:rsidRPr="00C17670">
        <w:rPr>
          <w:rFonts w:ascii="Times New Roman" w:hAnsi="Times New Roman" w:cs="Times New Roman"/>
          <w:sz w:val="28"/>
          <w:szCs w:val="28"/>
        </w:rPr>
        <w:t>в</w:t>
      </w:r>
      <w:r>
        <w:rPr>
          <w:rFonts w:ascii="Times New Roman" w:hAnsi="Times New Roman" w:cs="Times New Roman"/>
          <w:sz w:val="28"/>
          <w:szCs w:val="28"/>
        </w:rPr>
        <w:t xml:space="preserve"> </w:t>
      </w:r>
      <w:r w:rsidRPr="00C17670">
        <w:rPr>
          <w:rFonts w:ascii="Times New Roman" w:hAnsi="Times New Roman" w:cs="Times New Roman"/>
          <w:sz w:val="28"/>
          <w:szCs w:val="28"/>
        </w:rPr>
        <w:t>целом</w:t>
      </w:r>
      <w:r>
        <w:rPr>
          <w:rFonts w:ascii="Times New Roman" w:hAnsi="Times New Roman" w:cs="Times New Roman"/>
          <w:sz w:val="28"/>
          <w:szCs w:val="28"/>
        </w:rPr>
        <w:t xml:space="preserve"> без уточнения их составляющих</w:t>
      </w:r>
      <w:r w:rsidRPr="00C17670">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p>
    <w:p w:rsidR="00857F7D" w:rsidRPr="00C17670" w:rsidRDefault="00857F7D" w:rsidP="00CE748E">
      <w:pPr>
        <w:spacing w:after="0" w:line="276" w:lineRule="auto"/>
        <w:jc w:val="both"/>
        <w:rPr>
          <w:rFonts w:ascii="Times New Roman" w:eastAsia="Times New Roman" w:hAnsi="Times New Roman" w:cs="Times New Roman"/>
          <w:i/>
          <w:sz w:val="28"/>
          <w:szCs w:val="28"/>
          <w:lang w:eastAsia="ru-RU"/>
        </w:rPr>
      </w:pPr>
      <w:r w:rsidRPr="00C17670">
        <w:rPr>
          <w:rFonts w:ascii="Times New Roman" w:eastAsia="Times New Roman" w:hAnsi="Times New Roman" w:cs="Times New Roman"/>
          <w:sz w:val="28"/>
          <w:szCs w:val="28"/>
          <w:lang w:eastAsia="ru-RU"/>
        </w:rPr>
        <w:t>Основным</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демографическим</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риском</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сокращение</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численности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трудоспособного</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населения</w:t>
      </w:r>
      <w:r>
        <w:rPr>
          <w:rFonts w:ascii="Times New Roman" w:eastAsia="Times New Roman" w:hAnsi="Times New Roman" w:cs="Times New Roman"/>
          <w:sz w:val="28"/>
          <w:szCs w:val="28"/>
          <w:lang w:eastAsia="ru-RU"/>
        </w:rPr>
        <w:t xml:space="preserve">, в том числе за счет снижения занятости экономически активного населения и оттока </w:t>
      </w:r>
      <w:r w:rsidRPr="00C17670">
        <w:rPr>
          <w:rFonts w:ascii="Times New Roman" w:eastAsia="Times New Roman" w:hAnsi="Times New Roman" w:cs="Times New Roman"/>
          <w:sz w:val="28"/>
          <w:szCs w:val="28"/>
          <w:lang w:eastAsia="ru-RU"/>
        </w:rPr>
        <w:t>молодого</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населения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другие</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регионы.</w:t>
      </w:r>
      <w:r>
        <w:rPr>
          <w:rFonts w:ascii="Times New Roman" w:eastAsia="Times New Roman" w:hAnsi="Times New Roman" w:cs="Times New Roman"/>
          <w:sz w:val="28"/>
          <w:szCs w:val="28"/>
          <w:lang w:eastAsia="ru-RU"/>
        </w:rPr>
        <w:t xml:space="preserve"> </w:t>
      </w:r>
    </w:p>
    <w:p w:rsidR="00857F7D" w:rsidRPr="004D6276" w:rsidRDefault="00857F7D" w:rsidP="00CE748E">
      <w:pPr>
        <w:spacing w:after="0" w:line="276" w:lineRule="auto"/>
        <w:jc w:val="both"/>
        <w:rPr>
          <w:rFonts w:ascii="Times New Roman" w:eastAsia="Times New Roman" w:hAnsi="Times New Roman" w:cs="Times New Roman"/>
          <w:sz w:val="28"/>
          <w:szCs w:val="28"/>
          <w:lang w:eastAsia="ru-RU"/>
        </w:rPr>
      </w:pPr>
      <w:r w:rsidRPr="00C1767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сглаживанию</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демографических</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рисков</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субъектами</w:t>
      </w:r>
      <w:r>
        <w:rPr>
          <w:rFonts w:ascii="Times New Roman" w:eastAsia="Times New Roman" w:hAnsi="Times New Roman" w:cs="Times New Roman"/>
          <w:sz w:val="28"/>
          <w:szCs w:val="28"/>
          <w:lang w:eastAsia="ru-RU"/>
        </w:rPr>
        <w:t xml:space="preserve"> </w:t>
      </w:r>
      <w:r w:rsidR="00300ACE">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предлагается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стимулировать</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занятость</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среди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населения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старше</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трудоспособного</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возраста,</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привлекать</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трудовые</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ресурсы</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других</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регионов</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счет</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осуществления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целенаправленной</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миграционной</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политики,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осуществлять</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системные</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меры,</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направленные</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развитие</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производства</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повышение</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производительности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труда,</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создавать</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условия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повышения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экономической</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активности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населения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частности,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через</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проекты</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государственной</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поддержки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квалифицированных</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кадров),</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создавать</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благоприятные</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условия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жизнедеятельности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населения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(повышение</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адресности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социальной</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поддержки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нуждающихся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категорий</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C17670">
        <w:rPr>
          <w:rFonts w:ascii="Times New Roman" w:eastAsia="Times New Roman" w:hAnsi="Times New Roman" w:cs="Times New Roman"/>
          <w:sz w:val="28"/>
          <w:szCs w:val="28"/>
          <w:lang w:eastAsia="ru-RU"/>
        </w:rPr>
        <w:t>жизни).</w:t>
      </w:r>
    </w:p>
    <w:p w:rsidR="00857F7D" w:rsidRDefault="00857F7D" w:rsidP="00CE748E">
      <w:pPr>
        <w:spacing w:after="0" w:line="276" w:lineRule="auto"/>
        <w:jc w:val="both"/>
        <w:rPr>
          <w:rFonts w:ascii="Times New Roman" w:eastAsia="Times New Roman" w:hAnsi="Times New Roman" w:cs="Times New Roman"/>
          <w:color w:val="000000"/>
          <w:sz w:val="28"/>
          <w:szCs w:val="28"/>
          <w:lang w:eastAsia="ru-RU"/>
        </w:rPr>
      </w:pPr>
    </w:p>
    <w:p w:rsidR="00857F7D" w:rsidRPr="008369C0" w:rsidRDefault="00857F7D" w:rsidP="00CE748E">
      <w:pPr>
        <w:spacing w:after="120" w:line="276" w:lineRule="auto"/>
        <w:jc w:val="both"/>
        <w:rPr>
          <w:rFonts w:ascii="Times New Roman" w:eastAsia="Times New Roman" w:hAnsi="Times New Roman" w:cs="Times New Roman"/>
          <w:b/>
          <w:sz w:val="28"/>
          <w:szCs w:val="28"/>
          <w:lang w:eastAsia="ru-RU"/>
        </w:rPr>
      </w:pPr>
      <w:r w:rsidRPr="008369C0">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val="en-US" w:eastAsia="ru-RU"/>
        </w:rPr>
        <w:t>V</w:t>
      </w:r>
      <w:r w:rsidRPr="008369C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4A0C23">
        <w:rPr>
          <w:rFonts w:ascii="Times New Roman" w:eastAsia="Times New Roman" w:hAnsi="Times New Roman" w:cs="Times New Roman"/>
          <w:b/>
          <w:sz w:val="28"/>
          <w:szCs w:val="28"/>
          <w:lang w:eastAsia="ru-RU"/>
        </w:rPr>
        <w:t>Основные</w:t>
      </w:r>
      <w:r>
        <w:rPr>
          <w:rFonts w:ascii="Times New Roman" w:eastAsia="Times New Roman" w:hAnsi="Times New Roman" w:cs="Times New Roman"/>
          <w:b/>
          <w:sz w:val="28"/>
          <w:szCs w:val="28"/>
          <w:lang w:eastAsia="ru-RU"/>
        </w:rPr>
        <w:t xml:space="preserve"> </w:t>
      </w:r>
      <w:r w:rsidRPr="004A0C23">
        <w:rPr>
          <w:rFonts w:ascii="Times New Roman" w:eastAsia="Times New Roman" w:hAnsi="Times New Roman" w:cs="Times New Roman"/>
          <w:b/>
          <w:sz w:val="28"/>
          <w:szCs w:val="28"/>
          <w:lang w:eastAsia="ru-RU"/>
        </w:rPr>
        <w:t>препятствия</w:t>
      </w:r>
      <w:r>
        <w:rPr>
          <w:rFonts w:ascii="Times New Roman" w:eastAsia="Times New Roman" w:hAnsi="Times New Roman" w:cs="Times New Roman"/>
          <w:b/>
          <w:sz w:val="28"/>
          <w:szCs w:val="28"/>
          <w:lang w:eastAsia="ru-RU"/>
        </w:rPr>
        <w:t xml:space="preserve"> и сложности </w:t>
      </w:r>
      <w:r w:rsidRPr="004A0C23">
        <w:rPr>
          <w:rFonts w:ascii="Times New Roman" w:eastAsia="Times New Roman" w:hAnsi="Times New Roman" w:cs="Times New Roman"/>
          <w:b/>
          <w:sz w:val="28"/>
          <w:szCs w:val="28"/>
          <w:lang w:eastAsia="ru-RU"/>
        </w:rPr>
        <w:t>при</w:t>
      </w:r>
      <w:r>
        <w:rPr>
          <w:rFonts w:ascii="Times New Roman" w:eastAsia="Times New Roman" w:hAnsi="Times New Roman" w:cs="Times New Roman"/>
          <w:b/>
          <w:sz w:val="28"/>
          <w:szCs w:val="28"/>
          <w:lang w:eastAsia="ru-RU"/>
        </w:rPr>
        <w:t xml:space="preserve"> </w:t>
      </w:r>
      <w:r w:rsidRPr="004A0C23">
        <w:rPr>
          <w:rFonts w:ascii="Times New Roman" w:eastAsia="Times New Roman" w:hAnsi="Times New Roman" w:cs="Times New Roman"/>
          <w:b/>
          <w:sz w:val="28"/>
          <w:szCs w:val="28"/>
          <w:lang w:eastAsia="ru-RU"/>
        </w:rPr>
        <w:t>формировании</w:t>
      </w:r>
      <w:r>
        <w:rPr>
          <w:rFonts w:ascii="Times New Roman" w:eastAsia="Times New Roman" w:hAnsi="Times New Roman" w:cs="Times New Roman"/>
          <w:b/>
          <w:sz w:val="28"/>
          <w:szCs w:val="28"/>
          <w:lang w:eastAsia="ru-RU"/>
        </w:rPr>
        <w:t xml:space="preserve"> </w:t>
      </w:r>
      <w:r w:rsidRPr="004A0C23">
        <w:rPr>
          <w:rFonts w:ascii="Times New Roman" w:eastAsia="Times New Roman" w:hAnsi="Times New Roman" w:cs="Times New Roman"/>
          <w:b/>
          <w:sz w:val="28"/>
          <w:szCs w:val="28"/>
          <w:lang w:eastAsia="ru-RU"/>
        </w:rPr>
        <w:t>бюджетн</w:t>
      </w:r>
      <w:r>
        <w:rPr>
          <w:rFonts w:ascii="Times New Roman" w:eastAsia="Times New Roman" w:hAnsi="Times New Roman" w:cs="Times New Roman"/>
          <w:b/>
          <w:sz w:val="28"/>
          <w:szCs w:val="28"/>
          <w:lang w:eastAsia="ru-RU"/>
        </w:rPr>
        <w:t>ых прогнозов Российской Федерации</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проведения мониторинга был осуществлен опрос среди регионов России по вопросу наличия препятствий и сложностей в процессе долгосрочного бюджетного прогнозирования, которые приводят в числе прочего к затруднению формирования объективных параметров бюджетных прогнозов, низкой релевантности утверждаемых прогнозных показателей, высокой подверженности пересмотра бюджетного прогноза в течение периода его действия.</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sidRPr="00117C94">
        <w:rPr>
          <w:rFonts w:ascii="Times New Roman" w:eastAsia="Times New Roman" w:hAnsi="Times New Roman" w:cs="Times New Roman"/>
          <w:sz w:val="28"/>
          <w:szCs w:val="28"/>
          <w:lang w:eastAsia="ru-RU"/>
        </w:rPr>
        <w:t>Регионами</w:t>
      </w:r>
      <w:r>
        <w:rPr>
          <w:rFonts w:ascii="Times New Roman" w:eastAsia="Times New Roman" w:hAnsi="Times New Roman" w:cs="Times New Roman"/>
          <w:sz w:val="28"/>
          <w:szCs w:val="28"/>
          <w:lang w:eastAsia="ru-RU"/>
        </w:rPr>
        <w:t xml:space="preserve"> </w:t>
      </w:r>
      <w:r w:rsidRPr="00117C94">
        <w:rPr>
          <w:rFonts w:ascii="Times New Roman" w:eastAsia="Times New Roman" w:hAnsi="Times New Roman" w:cs="Times New Roman"/>
          <w:sz w:val="28"/>
          <w:szCs w:val="28"/>
          <w:lang w:eastAsia="ru-RU"/>
        </w:rPr>
        <w:t>выдел</w:t>
      </w:r>
      <w:r>
        <w:rPr>
          <w:rFonts w:ascii="Times New Roman" w:eastAsia="Times New Roman" w:hAnsi="Times New Roman" w:cs="Times New Roman"/>
          <w:sz w:val="28"/>
          <w:szCs w:val="28"/>
          <w:lang w:eastAsia="ru-RU"/>
        </w:rPr>
        <w:t xml:space="preserve">ены внешние и внутренние препятствия. Внешние препятствия существуют на макроуровне, влияют на все субъекты </w:t>
      </w:r>
      <w:r w:rsidR="00300ACE">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 xml:space="preserve"> и, как правило, их устранение выходит за пределы компетенции регионов. Источники </w:t>
      </w:r>
      <w:r>
        <w:rPr>
          <w:rFonts w:ascii="Times New Roman" w:eastAsia="Times New Roman" w:hAnsi="Times New Roman" w:cs="Times New Roman"/>
          <w:sz w:val="28"/>
          <w:szCs w:val="28"/>
          <w:lang w:eastAsia="ru-RU"/>
        </w:rPr>
        <w:lastRenderedPageBreak/>
        <w:t xml:space="preserve">возникновения внутренних препятствий находятся в пределах конкретного субъекта </w:t>
      </w:r>
      <w:r w:rsidR="00300ACE">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w:t>
      </w:r>
    </w:p>
    <w:p w:rsidR="00857F7D" w:rsidRDefault="00857F7D" w:rsidP="00CE748E">
      <w:pPr>
        <w:spacing w:after="0" w:line="276" w:lineRule="auto"/>
        <w:jc w:val="both"/>
        <w:rPr>
          <w:rFonts w:ascii="Times New Roman" w:eastAsia="Times New Roman" w:hAnsi="Times New Roman" w:cs="Times New Roman"/>
          <w:sz w:val="28"/>
          <w:szCs w:val="28"/>
          <w:lang w:eastAsia="ru-RU"/>
        </w:rPr>
      </w:pPr>
    </w:p>
    <w:p w:rsidR="00857F7D" w:rsidRPr="00A66DC2" w:rsidRDefault="00857F7D" w:rsidP="00A66DC2">
      <w:pPr>
        <w:pStyle w:val="a4"/>
        <w:numPr>
          <w:ilvl w:val="0"/>
          <w:numId w:val="36"/>
        </w:numPr>
        <w:tabs>
          <w:tab w:val="right" w:pos="426"/>
        </w:tabs>
        <w:spacing w:after="120" w:line="276" w:lineRule="auto"/>
        <w:ind w:left="0" w:firstLine="0"/>
        <w:jc w:val="both"/>
        <w:rPr>
          <w:rFonts w:ascii="Times New Roman" w:eastAsia="Times New Roman" w:hAnsi="Times New Roman" w:cs="Times New Roman"/>
          <w:sz w:val="28"/>
          <w:szCs w:val="28"/>
          <w:u w:val="single"/>
          <w:lang w:eastAsia="ru-RU"/>
        </w:rPr>
      </w:pPr>
      <w:r w:rsidRPr="00A66DC2">
        <w:rPr>
          <w:rFonts w:ascii="Times New Roman" w:eastAsia="Times New Roman" w:hAnsi="Times New Roman" w:cs="Times New Roman"/>
          <w:sz w:val="28"/>
          <w:szCs w:val="28"/>
          <w:u w:val="single"/>
          <w:lang w:eastAsia="ru-RU"/>
        </w:rPr>
        <w:t>Основные препятствия и сложности макроуровня</w:t>
      </w:r>
    </w:p>
    <w:p w:rsidR="00857F7D" w:rsidRPr="00A66DC2" w:rsidRDefault="00857F7D" w:rsidP="00A66DC2">
      <w:pPr>
        <w:pStyle w:val="a4"/>
        <w:numPr>
          <w:ilvl w:val="1"/>
          <w:numId w:val="39"/>
        </w:numPr>
        <w:tabs>
          <w:tab w:val="right" w:pos="567"/>
        </w:tabs>
        <w:spacing w:after="120" w:line="276" w:lineRule="auto"/>
        <w:ind w:left="567" w:hanging="567"/>
        <w:jc w:val="both"/>
        <w:rPr>
          <w:rFonts w:ascii="Times New Roman" w:eastAsia="Times New Roman" w:hAnsi="Times New Roman" w:cs="Times New Roman"/>
          <w:i/>
          <w:sz w:val="28"/>
          <w:szCs w:val="28"/>
          <w:lang w:eastAsia="ru-RU"/>
        </w:rPr>
      </w:pPr>
      <w:r w:rsidRPr="00A66DC2">
        <w:rPr>
          <w:rFonts w:ascii="Times New Roman" w:eastAsia="Times New Roman" w:hAnsi="Times New Roman" w:cs="Times New Roman"/>
          <w:i/>
          <w:sz w:val="28"/>
          <w:szCs w:val="28"/>
          <w:lang w:eastAsia="ru-RU"/>
        </w:rPr>
        <w:t>Отсутствие прогнозных данных на долгосрочный и среднесрочный периоды на федеральном уровне (о наличии данного препятствия сообщили</w:t>
      </w:r>
      <w:r w:rsidR="00A66DC2" w:rsidRPr="00A66DC2">
        <w:rPr>
          <w:rFonts w:ascii="Times New Roman" w:eastAsia="Times New Roman" w:hAnsi="Times New Roman" w:cs="Times New Roman"/>
          <w:i/>
          <w:sz w:val="28"/>
          <w:szCs w:val="28"/>
          <w:lang w:eastAsia="ru-RU"/>
        </w:rPr>
        <w:t xml:space="preserve"> </w:t>
      </w:r>
      <w:r w:rsidRPr="00A66DC2">
        <w:rPr>
          <w:rFonts w:ascii="Times New Roman" w:eastAsia="Times New Roman" w:hAnsi="Times New Roman" w:cs="Times New Roman"/>
          <w:i/>
          <w:sz w:val="28"/>
          <w:szCs w:val="28"/>
          <w:lang w:eastAsia="ru-RU"/>
        </w:rPr>
        <w:t xml:space="preserve">33 субъекта </w:t>
      </w:r>
      <w:r w:rsidR="00300ACE" w:rsidRPr="00A66DC2">
        <w:rPr>
          <w:rFonts w:ascii="Times New Roman" w:eastAsia="Times New Roman" w:hAnsi="Times New Roman" w:cs="Times New Roman"/>
          <w:i/>
          <w:sz w:val="28"/>
          <w:szCs w:val="28"/>
          <w:lang w:eastAsia="ru-RU"/>
        </w:rPr>
        <w:t>РФ</w:t>
      </w:r>
      <w:r w:rsidRPr="00A66DC2">
        <w:rPr>
          <w:rFonts w:ascii="Times New Roman" w:eastAsia="Times New Roman" w:hAnsi="Times New Roman" w:cs="Times New Roman"/>
          <w:i/>
          <w:sz w:val="28"/>
          <w:szCs w:val="28"/>
          <w:lang w:eastAsia="ru-RU"/>
        </w:rPr>
        <w:t>)</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часто встречающимся препятствием при формировании региональных бюджетных прогнозов является отсутствие необходимых данных на федеральном уровне. Ключевым затруднением при </w:t>
      </w:r>
      <w:proofErr w:type="gramStart"/>
      <w:r>
        <w:rPr>
          <w:rFonts w:ascii="Times New Roman" w:eastAsia="Times New Roman" w:hAnsi="Times New Roman" w:cs="Times New Roman"/>
          <w:sz w:val="28"/>
          <w:szCs w:val="28"/>
          <w:lang w:eastAsia="ru-RU"/>
        </w:rPr>
        <w:t>формировании  бюджетного</w:t>
      </w:r>
      <w:proofErr w:type="gramEnd"/>
      <w:r>
        <w:rPr>
          <w:rFonts w:ascii="Times New Roman" w:eastAsia="Times New Roman" w:hAnsi="Times New Roman" w:cs="Times New Roman"/>
          <w:sz w:val="28"/>
          <w:szCs w:val="28"/>
          <w:lang w:eastAsia="ru-RU"/>
        </w:rPr>
        <w:t xml:space="preserve"> прогнозирования является отсутствие распределения межбюджетных трансфертов субъектам </w:t>
      </w:r>
      <w:r w:rsidR="00300ACE">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 xml:space="preserve"> на долгосрочный период, учитывая что в половине всех регионов доля межбюджетных трансфертов превышает 20% собственных доходов консолидированного бюджета. </w:t>
      </w:r>
    </w:p>
    <w:p w:rsidR="00857F7D" w:rsidRDefault="00857F7D" w:rsidP="00CE748E">
      <w:pPr>
        <w:spacing w:after="0" w:line="276" w:lineRule="auto"/>
        <w:jc w:val="both"/>
        <w:rPr>
          <w:rFonts w:ascii="Times New Roman" w:eastAsia="Times New Roman" w:hAnsi="Times New Roman" w:cs="Times New Roman"/>
          <w:sz w:val="28"/>
          <w:szCs w:val="28"/>
          <w:lang w:eastAsia="ru-RU"/>
        </w:rPr>
      </w:pPr>
    </w:p>
    <w:p w:rsidR="00857F7D" w:rsidRPr="00A66DC2" w:rsidRDefault="00857F7D" w:rsidP="00A66DC2">
      <w:pPr>
        <w:pStyle w:val="a4"/>
        <w:numPr>
          <w:ilvl w:val="1"/>
          <w:numId w:val="38"/>
        </w:numPr>
        <w:tabs>
          <w:tab w:val="right" w:pos="567"/>
        </w:tabs>
        <w:spacing w:after="120" w:line="276" w:lineRule="auto"/>
        <w:ind w:left="567" w:hanging="567"/>
        <w:jc w:val="both"/>
        <w:rPr>
          <w:rFonts w:ascii="Times New Roman" w:eastAsia="Times New Roman" w:hAnsi="Times New Roman" w:cs="Times New Roman"/>
          <w:i/>
          <w:sz w:val="28"/>
          <w:szCs w:val="28"/>
          <w:lang w:eastAsia="ru-RU"/>
        </w:rPr>
      </w:pPr>
      <w:r w:rsidRPr="00A66DC2">
        <w:rPr>
          <w:rFonts w:ascii="Times New Roman" w:eastAsia="Times New Roman" w:hAnsi="Times New Roman" w:cs="Times New Roman"/>
          <w:i/>
          <w:sz w:val="28"/>
          <w:szCs w:val="28"/>
          <w:lang w:eastAsia="ru-RU"/>
        </w:rPr>
        <w:t>Снижение доходов бюджетов субъектов РФ или увеличение расходных обязательств в результате решений, принимаемых на федеральном уровне (32 субъекта РФ)</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менее значимым препятствием для регионов является внесение изменений в законодательство Российской Федерации, оказывающих негативное влияние на формирование и исполнение бюджета субъекта </w:t>
      </w:r>
      <w:r w:rsidR="00300ACE">
        <w:rPr>
          <w:rFonts w:ascii="Times New Roman" w:eastAsia="Times New Roman" w:hAnsi="Times New Roman" w:cs="Times New Roman"/>
          <w:sz w:val="28"/>
          <w:szCs w:val="28"/>
          <w:lang w:eastAsia="ru-RU"/>
        </w:rPr>
        <w:t>РФ</w:t>
      </w:r>
      <w:r w:rsidR="006405C0">
        <w:rPr>
          <w:rFonts w:ascii="Times New Roman" w:eastAsia="Times New Roman" w:hAnsi="Times New Roman" w:cs="Times New Roman"/>
          <w:sz w:val="28"/>
          <w:szCs w:val="28"/>
          <w:lang w:eastAsia="ru-RU"/>
        </w:rPr>
        <w:t>.</w:t>
      </w:r>
      <w:r w:rsidR="006405C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При этом регионы указывают на отсутствие в общем доступе информации о планах по внесению изменений в бюджетное и налоговое законодательство в долгосрочной перспективе.</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у регионов информации о планируемых изменениях законодательства, влияющих на параметры бюджета, </w:t>
      </w:r>
      <w:r w:rsidRPr="00631293">
        <w:rPr>
          <w:rFonts w:ascii="Times New Roman" w:eastAsia="Times New Roman" w:hAnsi="Times New Roman" w:cs="Times New Roman"/>
          <w:sz w:val="28"/>
          <w:szCs w:val="28"/>
          <w:lang w:eastAsia="ru-RU"/>
        </w:rPr>
        <w:t xml:space="preserve">не позволяет осуществить достоверный прогноз регионального бюджета на долгосрочный период. </w:t>
      </w:r>
      <w:r>
        <w:rPr>
          <w:rFonts w:ascii="Times New Roman" w:eastAsia="Times New Roman" w:hAnsi="Times New Roman" w:cs="Times New Roman"/>
          <w:sz w:val="28"/>
          <w:szCs w:val="28"/>
          <w:lang w:eastAsia="ru-RU"/>
        </w:rPr>
        <w:t>Использование в качестве долгосрочных предпосылок текущих параметров налогового, бюджетного и отраслевого законодательства, в случае его уточнения влечет за собой регулярные пересмотры параметров региональных бюджетных прогнозов</w:t>
      </w:r>
      <w:r w:rsidRPr="00631293">
        <w:rPr>
          <w:rFonts w:ascii="Times New Roman" w:eastAsia="Times New Roman" w:hAnsi="Times New Roman" w:cs="Times New Roman"/>
          <w:sz w:val="28"/>
          <w:szCs w:val="28"/>
          <w:lang w:eastAsia="ru-RU"/>
        </w:rPr>
        <w:t>.</w:t>
      </w:r>
    </w:p>
    <w:p w:rsidR="00857F7D" w:rsidRDefault="00857F7D" w:rsidP="00CE748E">
      <w:pPr>
        <w:spacing w:after="0" w:line="276" w:lineRule="auto"/>
        <w:jc w:val="both"/>
        <w:rPr>
          <w:rFonts w:ascii="Times New Roman" w:eastAsia="Times New Roman" w:hAnsi="Times New Roman" w:cs="Times New Roman"/>
          <w:sz w:val="28"/>
          <w:szCs w:val="28"/>
          <w:lang w:eastAsia="ru-RU"/>
        </w:rPr>
      </w:pPr>
    </w:p>
    <w:p w:rsidR="00857F7D" w:rsidRPr="00A66DC2" w:rsidRDefault="00857F7D" w:rsidP="00A66DC2">
      <w:pPr>
        <w:pStyle w:val="a4"/>
        <w:numPr>
          <w:ilvl w:val="1"/>
          <w:numId w:val="40"/>
        </w:numPr>
        <w:tabs>
          <w:tab w:val="right" w:pos="567"/>
        </w:tabs>
        <w:spacing w:after="120" w:line="276" w:lineRule="auto"/>
        <w:ind w:left="567" w:hanging="567"/>
        <w:jc w:val="both"/>
        <w:rPr>
          <w:rFonts w:ascii="Times New Roman" w:eastAsia="Times New Roman" w:hAnsi="Times New Roman" w:cs="Times New Roman"/>
          <w:i/>
          <w:sz w:val="28"/>
          <w:szCs w:val="28"/>
          <w:lang w:eastAsia="ru-RU"/>
        </w:rPr>
      </w:pPr>
      <w:r w:rsidRPr="00A66DC2">
        <w:rPr>
          <w:rFonts w:ascii="Times New Roman" w:eastAsia="Times New Roman" w:hAnsi="Times New Roman" w:cs="Times New Roman"/>
          <w:i/>
          <w:sz w:val="28"/>
          <w:szCs w:val="28"/>
          <w:lang w:eastAsia="ru-RU"/>
        </w:rPr>
        <w:t xml:space="preserve">Наличие вероятности реализации макроэкономических рисков </w:t>
      </w:r>
      <w:r w:rsidRPr="00A66DC2">
        <w:rPr>
          <w:rFonts w:ascii="Times New Roman" w:eastAsia="Times New Roman" w:hAnsi="Times New Roman" w:cs="Times New Roman"/>
          <w:i/>
          <w:sz w:val="28"/>
          <w:szCs w:val="28"/>
          <w:lang w:eastAsia="ru-RU"/>
        </w:rPr>
        <w:br/>
        <w:t>(15 субъектов РФ)</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Негативное влияние на качество формирования региональных бюджетных прогнозов в отдельных регионах оказывает наличие макроэкономических рисков. </w:t>
      </w:r>
      <w:r w:rsidRPr="001A0FAF">
        <w:rPr>
          <w:rFonts w:ascii="Times New Roman" w:eastAsia="Times New Roman" w:hAnsi="Times New Roman" w:cs="Times New Roman"/>
          <w:sz w:val="28"/>
          <w:szCs w:val="28"/>
          <w:lang w:eastAsia="ru-RU"/>
        </w:rPr>
        <w:t>Низкая</w:t>
      </w:r>
      <w:r>
        <w:rPr>
          <w:rFonts w:ascii="Times New Roman" w:eastAsia="Times New Roman" w:hAnsi="Times New Roman" w:cs="Times New Roman"/>
          <w:sz w:val="28"/>
          <w:szCs w:val="28"/>
          <w:lang w:eastAsia="ru-RU"/>
        </w:rPr>
        <w:t xml:space="preserve"> </w:t>
      </w:r>
      <w:r w:rsidRPr="001A0FAF">
        <w:rPr>
          <w:rFonts w:ascii="Times New Roman" w:eastAsia="Times New Roman" w:hAnsi="Times New Roman" w:cs="Times New Roman"/>
          <w:sz w:val="28"/>
          <w:szCs w:val="28"/>
          <w:lang w:eastAsia="ru-RU"/>
        </w:rPr>
        <w:t>предсказуемость</w:t>
      </w:r>
      <w:r>
        <w:rPr>
          <w:rFonts w:ascii="Times New Roman" w:eastAsia="Times New Roman" w:hAnsi="Times New Roman" w:cs="Times New Roman"/>
          <w:sz w:val="28"/>
          <w:szCs w:val="28"/>
          <w:lang w:eastAsia="ru-RU"/>
        </w:rPr>
        <w:t xml:space="preserve"> </w:t>
      </w:r>
      <w:r w:rsidRPr="001A0FAF">
        <w:rPr>
          <w:rFonts w:ascii="Times New Roman" w:eastAsia="Times New Roman" w:hAnsi="Times New Roman" w:cs="Times New Roman"/>
          <w:sz w:val="28"/>
          <w:szCs w:val="28"/>
          <w:lang w:eastAsia="ru-RU"/>
        </w:rPr>
        <w:t>внешних</w:t>
      </w:r>
      <w:r>
        <w:rPr>
          <w:rFonts w:ascii="Times New Roman" w:eastAsia="Times New Roman" w:hAnsi="Times New Roman" w:cs="Times New Roman"/>
          <w:sz w:val="28"/>
          <w:szCs w:val="28"/>
          <w:lang w:eastAsia="ru-RU"/>
        </w:rPr>
        <w:t xml:space="preserve"> </w:t>
      </w:r>
      <w:r w:rsidRPr="001A0FAF">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1A0FAF">
        <w:rPr>
          <w:rFonts w:ascii="Times New Roman" w:eastAsia="Times New Roman" w:hAnsi="Times New Roman" w:cs="Times New Roman"/>
          <w:sz w:val="28"/>
          <w:szCs w:val="28"/>
          <w:lang w:eastAsia="ru-RU"/>
        </w:rPr>
        <w:t>формирования</w:t>
      </w:r>
      <w:r>
        <w:rPr>
          <w:rFonts w:ascii="Times New Roman" w:eastAsia="Times New Roman" w:hAnsi="Times New Roman" w:cs="Times New Roman"/>
          <w:sz w:val="28"/>
          <w:szCs w:val="28"/>
          <w:lang w:eastAsia="ru-RU"/>
        </w:rPr>
        <w:t xml:space="preserve"> </w:t>
      </w:r>
      <w:r w:rsidRPr="001A0FAF">
        <w:rPr>
          <w:rFonts w:ascii="Times New Roman" w:eastAsia="Times New Roman" w:hAnsi="Times New Roman" w:cs="Times New Roman"/>
          <w:sz w:val="28"/>
          <w:szCs w:val="28"/>
          <w:lang w:eastAsia="ru-RU"/>
        </w:rPr>
        <w:t>бюджетного</w:t>
      </w:r>
      <w:r>
        <w:rPr>
          <w:rFonts w:ascii="Times New Roman" w:eastAsia="Times New Roman" w:hAnsi="Times New Roman" w:cs="Times New Roman"/>
          <w:sz w:val="28"/>
          <w:szCs w:val="28"/>
          <w:lang w:eastAsia="ru-RU"/>
        </w:rPr>
        <w:t xml:space="preserve"> </w:t>
      </w:r>
      <w:r w:rsidRPr="001A0FAF">
        <w:rPr>
          <w:rFonts w:ascii="Times New Roman" w:eastAsia="Times New Roman" w:hAnsi="Times New Roman" w:cs="Times New Roman"/>
          <w:sz w:val="28"/>
          <w:szCs w:val="28"/>
          <w:lang w:eastAsia="ru-RU"/>
        </w:rPr>
        <w:lastRenderedPageBreak/>
        <w:t>прогноза</w:t>
      </w:r>
      <w:r>
        <w:rPr>
          <w:rFonts w:ascii="Times New Roman" w:eastAsia="Times New Roman" w:hAnsi="Times New Roman" w:cs="Times New Roman"/>
          <w:sz w:val="28"/>
          <w:szCs w:val="28"/>
          <w:lang w:eastAsia="ru-RU"/>
        </w:rPr>
        <w:t xml:space="preserve"> провоцирует высокую вероятность отклонения прогнозных значений бюджетных показателей в долгосрочном периоде. </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Регионами отмечаются следующие макроэкономические риски, по которым отсутствует достаточный инструмент прогнозирования их влияния на бюджетные показатели в долгосрочной перспективе:</w:t>
      </w:r>
    </w:p>
    <w:p w:rsidR="00857F7D" w:rsidRDefault="00857F7D" w:rsidP="00CE748E">
      <w:pPr>
        <w:pStyle w:val="a4"/>
        <w:numPr>
          <w:ilvl w:val="0"/>
          <w:numId w:val="20"/>
        </w:numPr>
        <w:tabs>
          <w:tab w:val="right" w:pos="426"/>
        </w:tabs>
        <w:spacing w:after="0" w:line="276" w:lineRule="auto"/>
        <w:ind w:left="425"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рыночной конъюнктуры, в том числе в отдельных секторах экономики;</w:t>
      </w:r>
    </w:p>
    <w:p w:rsidR="00857F7D" w:rsidRDefault="00857F7D" w:rsidP="00CE748E">
      <w:pPr>
        <w:pStyle w:val="a4"/>
        <w:numPr>
          <w:ilvl w:val="0"/>
          <w:numId w:val="20"/>
        </w:numPr>
        <w:tabs>
          <w:tab w:val="right" w:pos="426"/>
        </w:tabs>
        <w:spacing w:after="0" w:line="276" w:lineRule="auto"/>
        <w:ind w:left="425"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волатильность финансового рынка;</w:t>
      </w:r>
    </w:p>
    <w:p w:rsidR="00857F7D" w:rsidRDefault="00857F7D" w:rsidP="00CE748E">
      <w:pPr>
        <w:pStyle w:val="a4"/>
        <w:numPr>
          <w:ilvl w:val="0"/>
          <w:numId w:val="20"/>
        </w:numPr>
        <w:tabs>
          <w:tab w:val="right" w:pos="426"/>
        </w:tabs>
        <w:spacing w:after="0" w:line="276" w:lineRule="auto"/>
        <w:ind w:left="425"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волатильность цен на нефть;</w:t>
      </w:r>
    </w:p>
    <w:p w:rsidR="00857F7D" w:rsidRDefault="00857F7D" w:rsidP="00CE748E">
      <w:pPr>
        <w:pStyle w:val="a4"/>
        <w:numPr>
          <w:ilvl w:val="0"/>
          <w:numId w:val="20"/>
        </w:numPr>
        <w:tabs>
          <w:tab w:val="right" w:pos="426"/>
        </w:tabs>
        <w:spacing w:after="0" w:line="276" w:lineRule="auto"/>
        <w:ind w:left="425"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снижение платежеспособности организаций и населения;</w:t>
      </w:r>
    </w:p>
    <w:p w:rsidR="00857F7D" w:rsidRPr="001A0FAF" w:rsidRDefault="00857F7D" w:rsidP="00CE748E">
      <w:pPr>
        <w:pStyle w:val="a4"/>
        <w:numPr>
          <w:ilvl w:val="0"/>
          <w:numId w:val="20"/>
        </w:numPr>
        <w:tabs>
          <w:tab w:val="right" w:pos="426"/>
        </w:tabs>
        <w:spacing w:after="0" w:line="276" w:lineRule="auto"/>
        <w:ind w:left="425"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введение </w:t>
      </w:r>
      <w:r w:rsidRPr="001A0FAF">
        <w:rPr>
          <w:rFonts w:ascii="Times New Roman" w:eastAsia="Times New Roman" w:hAnsi="Times New Roman" w:cs="Times New Roman"/>
          <w:sz w:val="28"/>
          <w:szCs w:val="28"/>
          <w:lang w:eastAsia="ru-RU"/>
        </w:rPr>
        <w:t>финансовы</w:t>
      </w:r>
      <w:r>
        <w:rPr>
          <w:rFonts w:ascii="Times New Roman" w:eastAsia="Times New Roman" w:hAnsi="Times New Roman" w:cs="Times New Roman"/>
          <w:sz w:val="28"/>
          <w:szCs w:val="28"/>
          <w:lang w:eastAsia="ru-RU"/>
        </w:rPr>
        <w:t xml:space="preserve">х </w:t>
      </w:r>
      <w:r w:rsidRPr="001A0FA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1A0FAF">
        <w:rPr>
          <w:rFonts w:ascii="Times New Roman" w:eastAsia="Times New Roman" w:hAnsi="Times New Roman" w:cs="Times New Roman"/>
          <w:sz w:val="28"/>
          <w:szCs w:val="28"/>
          <w:lang w:eastAsia="ru-RU"/>
        </w:rPr>
        <w:t>экономически</w:t>
      </w:r>
      <w:r>
        <w:rPr>
          <w:rFonts w:ascii="Times New Roman" w:eastAsia="Times New Roman" w:hAnsi="Times New Roman" w:cs="Times New Roman"/>
          <w:sz w:val="28"/>
          <w:szCs w:val="28"/>
          <w:lang w:eastAsia="ru-RU"/>
        </w:rPr>
        <w:t xml:space="preserve">х </w:t>
      </w:r>
      <w:r w:rsidRPr="001A0FAF">
        <w:rPr>
          <w:rFonts w:ascii="Times New Roman" w:eastAsia="Times New Roman" w:hAnsi="Times New Roman" w:cs="Times New Roman"/>
          <w:sz w:val="28"/>
          <w:szCs w:val="28"/>
          <w:lang w:eastAsia="ru-RU"/>
        </w:rPr>
        <w:t>санкци</w:t>
      </w:r>
      <w:r>
        <w:rPr>
          <w:rFonts w:ascii="Times New Roman" w:eastAsia="Times New Roman" w:hAnsi="Times New Roman" w:cs="Times New Roman"/>
          <w:sz w:val="28"/>
          <w:szCs w:val="28"/>
          <w:lang w:eastAsia="ru-RU"/>
        </w:rPr>
        <w:t xml:space="preserve">й </w:t>
      </w:r>
      <w:r w:rsidRPr="001A0FA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1A0FAF">
        <w:rPr>
          <w:rFonts w:ascii="Times New Roman" w:eastAsia="Times New Roman" w:hAnsi="Times New Roman" w:cs="Times New Roman"/>
          <w:sz w:val="28"/>
          <w:szCs w:val="28"/>
          <w:lang w:eastAsia="ru-RU"/>
        </w:rPr>
        <w:t>отношении</w:t>
      </w:r>
      <w:r>
        <w:rPr>
          <w:rFonts w:ascii="Times New Roman" w:eastAsia="Times New Roman" w:hAnsi="Times New Roman" w:cs="Times New Roman"/>
          <w:sz w:val="28"/>
          <w:szCs w:val="28"/>
          <w:lang w:eastAsia="ru-RU"/>
        </w:rPr>
        <w:t xml:space="preserve"> </w:t>
      </w:r>
      <w:r w:rsidRPr="001A0FAF">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xml:space="preserve"> </w:t>
      </w:r>
      <w:r w:rsidRPr="001A0FAF">
        <w:rPr>
          <w:rFonts w:ascii="Times New Roman" w:eastAsia="Times New Roman" w:hAnsi="Times New Roman" w:cs="Times New Roman"/>
          <w:sz w:val="28"/>
          <w:szCs w:val="28"/>
          <w:lang w:eastAsia="ru-RU"/>
        </w:rPr>
        <w:t>экономики.</w:t>
      </w:r>
    </w:p>
    <w:p w:rsidR="00857F7D" w:rsidRDefault="00857F7D" w:rsidP="00A66DC2">
      <w:pPr>
        <w:spacing w:after="0" w:line="276" w:lineRule="auto"/>
        <w:jc w:val="both"/>
        <w:rPr>
          <w:rFonts w:ascii="Times New Roman" w:eastAsia="Times New Roman" w:hAnsi="Times New Roman" w:cs="Times New Roman"/>
          <w:sz w:val="28"/>
          <w:szCs w:val="28"/>
          <w:lang w:eastAsia="ru-RU"/>
        </w:rPr>
      </w:pPr>
    </w:p>
    <w:p w:rsidR="00857F7D" w:rsidRPr="00A66DC2" w:rsidRDefault="00857F7D" w:rsidP="00A66DC2">
      <w:pPr>
        <w:pStyle w:val="a4"/>
        <w:numPr>
          <w:ilvl w:val="1"/>
          <w:numId w:val="41"/>
        </w:numPr>
        <w:tabs>
          <w:tab w:val="right" w:pos="567"/>
        </w:tabs>
        <w:spacing w:after="120" w:line="276" w:lineRule="auto"/>
        <w:ind w:left="567" w:hanging="567"/>
        <w:jc w:val="both"/>
        <w:rPr>
          <w:rFonts w:ascii="Times New Roman" w:eastAsia="Times New Roman" w:hAnsi="Times New Roman" w:cs="Times New Roman"/>
          <w:i/>
          <w:sz w:val="28"/>
          <w:szCs w:val="28"/>
          <w:lang w:eastAsia="ru-RU"/>
        </w:rPr>
      </w:pPr>
      <w:r w:rsidRPr="00A66DC2">
        <w:rPr>
          <w:rFonts w:ascii="Times New Roman" w:eastAsia="Times New Roman" w:hAnsi="Times New Roman" w:cs="Times New Roman"/>
          <w:i/>
          <w:sz w:val="28"/>
          <w:szCs w:val="28"/>
          <w:lang w:eastAsia="ru-RU"/>
        </w:rPr>
        <w:t>Отсутствие единых методических подходов по бюджетному прогнозированию (7 субъектов РФ)</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sidRPr="0099207C">
        <w:rPr>
          <w:rFonts w:ascii="Times New Roman" w:eastAsia="Times New Roman" w:hAnsi="Times New Roman" w:cs="Times New Roman"/>
          <w:sz w:val="28"/>
          <w:szCs w:val="28"/>
          <w:lang w:eastAsia="ru-RU"/>
        </w:rPr>
        <w:t>Основные</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положения</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формированию</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бюджетных</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прогнозов</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субъектов</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Федерации</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определены</w:t>
      </w:r>
      <w:r>
        <w:rPr>
          <w:rFonts w:ascii="Times New Roman" w:eastAsia="Times New Roman" w:hAnsi="Times New Roman" w:cs="Times New Roman"/>
          <w:sz w:val="28"/>
          <w:szCs w:val="28"/>
          <w:lang w:eastAsia="ru-RU"/>
        </w:rPr>
        <w:t xml:space="preserve"> </w:t>
      </w:r>
      <w:r w:rsidR="00300ACE">
        <w:rPr>
          <w:rFonts w:ascii="Times New Roman" w:eastAsia="Times New Roman" w:hAnsi="Times New Roman" w:cs="Times New Roman"/>
          <w:sz w:val="28"/>
          <w:szCs w:val="28"/>
          <w:lang w:eastAsia="ru-RU"/>
        </w:rPr>
        <w:t>БК РФ</w:t>
      </w:r>
      <w:r w:rsidRPr="009920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Кроме</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того,</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2015</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году</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Минфином</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России</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разработаны</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методические</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рекомендации</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органам</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государственной</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власти</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субъектов</w:t>
      </w:r>
      <w:r>
        <w:rPr>
          <w:rFonts w:ascii="Times New Roman" w:eastAsia="Times New Roman" w:hAnsi="Times New Roman" w:cs="Times New Roman"/>
          <w:sz w:val="28"/>
          <w:szCs w:val="28"/>
          <w:lang w:eastAsia="ru-RU"/>
        </w:rPr>
        <w:t xml:space="preserve"> </w:t>
      </w:r>
      <w:r w:rsidR="00300ACE">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долгосрочному</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бюджетному</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планированию.</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Тем</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менее,</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мнению</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ряда</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регионов,</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нормативно-правовая</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методологическая</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база</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формированию</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региональных</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бюджетных</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прогнозов</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нуждается</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расширении</w:t>
      </w:r>
      <w:r>
        <w:rPr>
          <w:rFonts w:ascii="Times New Roman" w:eastAsia="Times New Roman" w:hAnsi="Times New Roman" w:cs="Times New Roman"/>
          <w:sz w:val="28"/>
          <w:szCs w:val="28"/>
          <w:lang w:eastAsia="ru-RU"/>
        </w:rPr>
        <w:t xml:space="preserve"> за счет формирования единого для всех регионов </w:t>
      </w:r>
      <w:r w:rsidRPr="0099207C">
        <w:rPr>
          <w:rFonts w:ascii="Times New Roman" w:eastAsia="Times New Roman" w:hAnsi="Times New Roman" w:cs="Times New Roman"/>
          <w:sz w:val="28"/>
          <w:szCs w:val="28"/>
          <w:lang w:eastAsia="ru-RU"/>
        </w:rPr>
        <w:t>порядк</w:t>
      </w:r>
      <w:r>
        <w:rPr>
          <w:rFonts w:ascii="Times New Roman" w:eastAsia="Times New Roman" w:hAnsi="Times New Roman" w:cs="Times New Roman"/>
          <w:sz w:val="28"/>
          <w:szCs w:val="28"/>
          <w:lang w:eastAsia="ru-RU"/>
        </w:rPr>
        <w:t xml:space="preserve">а </w:t>
      </w:r>
      <w:r w:rsidRPr="0099207C">
        <w:rPr>
          <w:rFonts w:ascii="Times New Roman" w:eastAsia="Times New Roman" w:hAnsi="Times New Roman" w:cs="Times New Roman"/>
          <w:sz w:val="28"/>
          <w:szCs w:val="28"/>
          <w:lang w:eastAsia="ru-RU"/>
        </w:rPr>
        <w:t>разработки</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утверждения</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бюджетного</w:t>
      </w:r>
      <w:r>
        <w:rPr>
          <w:rFonts w:ascii="Times New Roman" w:eastAsia="Times New Roman" w:hAnsi="Times New Roman" w:cs="Times New Roman"/>
          <w:sz w:val="28"/>
          <w:szCs w:val="28"/>
          <w:lang w:eastAsia="ru-RU"/>
        </w:rPr>
        <w:t xml:space="preserve"> </w:t>
      </w:r>
      <w:r w:rsidRPr="0099207C">
        <w:rPr>
          <w:rFonts w:ascii="Times New Roman" w:eastAsia="Times New Roman" w:hAnsi="Times New Roman" w:cs="Times New Roman"/>
          <w:sz w:val="28"/>
          <w:szCs w:val="28"/>
          <w:lang w:eastAsia="ru-RU"/>
        </w:rPr>
        <w:t>прогноза</w:t>
      </w:r>
      <w:r>
        <w:rPr>
          <w:rFonts w:ascii="Times New Roman" w:eastAsia="Times New Roman" w:hAnsi="Times New Roman" w:cs="Times New Roman"/>
          <w:sz w:val="28"/>
          <w:szCs w:val="28"/>
          <w:lang w:eastAsia="ru-RU"/>
        </w:rPr>
        <w:t xml:space="preserve"> (общих требований), в том числе </w:t>
      </w:r>
      <w:proofErr w:type="spellStart"/>
      <w:r>
        <w:rPr>
          <w:rFonts w:ascii="Times New Roman" w:eastAsia="Times New Roman" w:hAnsi="Times New Roman" w:cs="Times New Roman"/>
          <w:sz w:val="28"/>
          <w:szCs w:val="28"/>
          <w:lang w:eastAsia="ru-RU"/>
        </w:rPr>
        <w:t>включащего</w:t>
      </w:r>
      <w:proofErr w:type="spellEnd"/>
      <w:r>
        <w:rPr>
          <w:rFonts w:ascii="Times New Roman" w:eastAsia="Times New Roman" w:hAnsi="Times New Roman" w:cs="Times New Roman"/>
          <w:sz w:val="28"/>
          <w:szCs w:val="28"/>
          <w:lang w:eastAsia="ru-RU"/>
        </w:rPr>
        <w:t xml:space="preserve"> единую структуру долгосрочного бюджетного прогноза.</w:t>
      </w:r>
    </w:p>
    <w:p w:rsidR="00A66DC2" w:rsidRDefault="00A66DC2" w:rsidP="00CE748E">
      <w:pPr>
        <w:spacing w:after="0" w:line="276" w:lineRule="auto"/>
        <w:jc w:val="both"/>
        <w:rPr>
          <w:rFonts w:ascii="Times New Roman" w:eastAsia="Times New Roman" w:hAnsi="Times New Roman" w:cs="Times New Roman"/>
          <w:sz w:val="28"/>
          <w:szCs w:val="28"/>
          <w:lang w:eastAsia="ru-RU"/>
        </w:rPr>
      </w:pPr>
    </w:p>
    <w:p w:rsidR="00FD5C08" w:rsidRPr="00453764" w:rsidRDefault="00FD5C08" w:rsidP="00FD5C08">
      <w:pPr>
        <w:pStyle w:val="a4"/>
        <w:numPr>
          <w:ilvl w:val="0"/>
          <w:numId w:val="39"/>
        </w:numPr>
        <w:spacing w:after="120" w:line="276" w:lineRule="auto"/>
        <w:ind w:left="357" w:hanging="357"/>
        <w:jc w:val="both"/>
        <w:rPr>
          <w:rFonts w:ascii="Times New Roman" w:eastAsia="Times New Roman" w:hAnsi="Times New Roman" w:cs="Times New Roman"/>
          <w:sz w:val="28"/>
          <w:szCs w:val="28"/>
          <w:u w:val="single"/>
          <w:lang w:eastAsia="ru-RU"/>
        </w:rPr>
      </w:pPr>
      <w:r w:rsidRPr="00453764">
        <w:rPr>
          <w:rFonts w:ascii="Times New Roman" w:eastAsia="Times New Roman" w:hAnsi="Times New Roman" w:cs="Times New Roman"/>
          <w:sz w:val="28"/>
          <w:szCs w:val="28"/>
          <w:u w:val="single"/>
          <w:lang w:eastAsia="ru-RU"/>
        </w:rPr>
        <w:t xml:space="preserve">Основные препятствия и сложности </w:t>
      </w:r>
      <w:proofErr w:type="spellStart"/>
      <w:r w:rsidRPr="00453764">
        <w:rPr>
          <w:rFonts w:ascii="Times New Roman" w:eastAsia="Times New Roman" w:hAnsi="Times New Roman" w:cs="Times New Roman"/>
          <w:sz w:val="28"/>
          <w:szCs w:val="28"/>
          <w:u w:val="single"/>
          <w:lang w:eastAsia="ru-RU"/>
        </w:rPr>
        <w:t>внутрирегионального</w:t>
      </w:r>
      <w:proofErr w:type="spellEnd"/>
      <w:r w:rsidRPr="00453764">
        <w:rPr>
          <w:rFonts w:ascii="Times New Roman" w:eastAsia="Times New Roman" w:hAnsi="Times New Roman" w:cs="Times New Roman"/>
          <w:sz w:val="28"/>
          <w:szCs w:val="28"/>
          <w:u w:val="single"/>
          <w:lang w:eastAsia="ru-RU"/>
        </w:rPr>
        <w:t xml:space="preserve"> уровня</w:t>
      </w:r>
    </w:p>
    <w:p w:rsidR="00857F7D" w:rsidRPr="00A66DC2" w:rsidRDefault="00857F7D" w:rsidP="00A66DC2">
      <w:pPr>
        <w:pStyle w:val="a4"/>
        <w:numPr>
          <w:ilvl w:val="1"/>
          <w:numId w:val="39"/>
        </w:numPr>
        <w:tabs>
          <w:tab w:val="right" w:pos="567"/>
        </w:tabs>
        <w:spacing w:after="120" w:line="276" w:lineRule="auto"/>
        <w:ind w:left="567" w:hanging="567"/>
        <w:jc w:val="both"/>
        <w:rPr>
          <w:rFonts w:ascii="Times New Roman" w:eastAsia="Times New Roman" w:hAnsi="Times New Roman" w:cs="Times New Roman"/>
          <w:i/>
          <w:sz w:val="28"/>
          <w:szCs w:val="28"/>
          <w:lang w:eastAsia="ru-RU"/>
        </w:rPr>
      </w:pPr>
      <w:r w:rsidRPr="00A66DC2">
        <w:rPr>
          <w:rFonts w:ascii="Times New Roman" w:eastAsia="Times New Roman" w:hAnsi="Times New Roman" w:cs="Times New Roman"/>
          <w:i/>
          <w:sz w:val="28"/>
          <w:szCs w:val="28"/>
          <w:lang w:eastAsia="ru-RU"/>
        </w:rPr>
        <w:t>Отсутствие вариативности бюджетного прогноза</w:t>
      </w:r>
      <w:r w:rsidR="006405C0" w:rsidRPr="00A66DC2">
        <w:rPr>
          <w:rFonts w:ascii="Times New Roman" w:eastAsia="Times New Roman" w:hAnsi="Times New Roman" w:cs="Times New Roman"/>
          <w:i/>
          <w:sz w:val="28"/>
          <w:szCs w:val="28"/>
          <w:lang w:eastAsia="ru-RU"/>
        </w:rPr>
        <w:br/>
      </w:r>
      <w:r w:rsidRPr="00A66DC2">
        <w:rPr>
          <w:rFonts w:ascii="Times New Roman" w:eastAsia="Times New Roman" w:hAnsi="Times New Roman" w:cs="Times New Roman"/>
          <w:i/>
          <w:sz w:val="28"/>
          <w:szCs w:val="28"/>
          <w:lang w:eastAsia="ru-RU"/>
        </w:rPr>
        <w:t>(7 субъектов РФ)</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Ряд регионов отмечают сложность формирования нескольких вариантов реализации бюджетного прогноза субъекта </w:t>
      </w:r>
      <w:r w:rsidR="00300ACE">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 xml:space="preserve">. Отсутствие вариативности бюджетного прогноза не позволяет сформировать прогнозные бюджетные параметры в случае улучшения или ухудшения отдельных показателей социально-экономического развития. </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большинстве регионов, которые отмечают данное препятствие, планируется осуществить переход к вариативному бюджетному прогнозированию в среднесрочной перспективе.</w:t>
      </w:r>
    </w:p>
    <w:p w:rsidR="00857F7D" w:rsidRDefault="00857F7D" w:rsidP="00CE748E">
      <w:pPr>
        <w:spacing w:after="0" w:line="276" w:lineRule="auto"/>
        <w:jc w:val="both"/>
        <w:rPr>
          <w:rFonts w:ascii="Times New Roman" w:eastAsia="Times New Roman" w:hAnsi="Times New Roman" w:cs="Times New Roman"/>
          <w:sz w:val="28"/>
          <w:szCs w:val="28"/>
          <w:lang w:eastAsia="ru-RU"/>
        </w:rPr>
      </w:pPr>
    </w:p>
    <w:p w:rsidR="00857F7D" w:rsidRPr="00A66DC2" w:rsidRDefault="00453764" w:rsidP="00A66DC2">
      <w:pPr>
        <w:pStyle w:val="a4"/>
        <w:numPr>
          <w:ilvl w:val="1"/>
          <w:numId w:val="39"/>
        </w:numPr>
        <w:tabs>
          <w:tab w:val="right" w:pos="567"/>
        </w:tabs>
        <w:spacing w:after="120" w:line="276" w:lineRule="auto"/>
        <w:ind w:left="0"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Высокая неопределенность налоговых поступлений крупных налогоплательщиков</w:t>
      </w:r>
      <w:r w:rsidR="00857F7D" w:rsidRPr="00A66DC2">
        <w:rPr>
          <w:rFonts w:ascii="Times New Roman" w:eastAsia="Times New Roman" w:hAnsi="Times New Roman" w:cs="Times New Roman"/>
          <w:i/>
          <w:sz w:val="28"/>
          <w:szCs w:val="28"/>
          <w:lang w:eastAsia="ru-RU"/>
        </w:rPr>
        <w:t xml:space="preserve"> (4 субъекта РФ)</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формировании регионального бюджетного прогноза препятствием может также стать отсутствие достоверной информации о планах деятельности налогоплательщиков, прежде всего крупнейших, осуществляющих деятельность на территории региона, налоговые поступления от которых составляют значительный удельный вес в доходах консолидированного бюджета региона. К факторам в этой группе препятствий относятся</w:t>
      </w:r>
    </w:p>
    <w:p w:rsidR="00857F7D" w:rsidRDefault="00857F7D" w:rsidP="00CE748E">
      <w:pPr>
        <w:pStyle w:val="a4"/>
        <w:numPr>
          <w:ilvl w:val="0"/>
          <w:numId w:val="21"/>
        </w:numPr>
        <w:tabs>
          <w:tab w:val="right" w:pos="426"/>
        </w:tabs>
        <w:spacing w:after="0" w:line="276" w:lineRule="auto"/>
        <w:ind w:left="425"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EF7347">
        <w:rPr>
          <w:rFonts w:ascii="Times New Roman" w:eastAsia="Times New Roman" w:hAnsi="Times New Roman" w:cs="Times New Roman"/>
          <w:sz w:val="28"/>
          <w:szCs w:val="28"/>
          <w:lang w:eastAsia="ru-RU"/>
        </w:rPr>
        <w:t>епредсказуемость</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поведения</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налогоплательщиков</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(создание,</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регистрация</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снятие</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учета)</w:t>
      </w:r>
      <w:r>
        <w:rPr>
          <w:rFonts w:ascii="Times New Roman" w:eastAsia="Times New Roman" w:hAnsi="Times New Roman" w:cs="Times New Roman"/>
          <w:sz w:val="28"/>
          <w:szCs w:val="28"/>
          <w:lang w:eastAsia="ru-RU"/>
        </w:rPr>
        <w:t>;</w:t>
      </w:r>
    </w:p>
    <w:p w:rsidR="00857F7D" w:rsidRDefault="00857F7D" w:rsidP="00CE748E">
      <w:pPr>
        <w:pStyle w:val="a4"/>
        <w:numPr>
          <w:ilvl w:val="0"/>
          <w:numId w:val="21"/>
        </w:numPr>
        <w:tabs>
          <w:tab w:val="right" w:pos="426"/>
        </w:tabs>
        <w:spacing w:after="0" w:line="276" w:lineRule="auto"/>
        <w:ind w:left="425"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EF7347">
        <w:rPr>
          <w:rFonts w:ascii="Times New Roman" w:eastAsia="Times New Roman" w:hAnsi="Times New Roman" w:cs="Times New Roman"/>
          <w:sz w:val="28"/>
          <w:szCs w:val="28"/>
          <w:lang w:eastAsia="ru-RU"/>
        </w:rPr>
        <w:t>епрогнозируемый</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объем</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денежных</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возвращаемых</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крупнейшими</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налогоплательщиками</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Налоговы</w:t>
      </w:r>
      <w:r>
        <w:rPr>
          <w:rFonts w:ascii="Times New Roman" w:eastAsia="Times New Roman" w:hAnsi="Times New Roman" w:cs="Times New Roman"/>
          <w:sz w:val="28"/>
          <w:szCs w:val="28"/>
          <w:lang w:eastAsia="ru-RU"/>
        </w:rPr>
        <w:t>м кодексом Российской Федерации;</w:t>
      </w:r>
    </w:p>
    <w:p w:rsidR="00857F7D" w:rsidRDefault="00857F7D" w:rsidP="00CE748E">
      <w:pPr>
        <w:pStyle w:val="a4"/>
        <w:numPr>
          <w:ilvl w:val="0"/>
          <w:numId w:val="21"/>
        </w:numPr>
        <w:tabs>
          <w:tab w:val="right" w:pos="426"/>
        </w:tabs>
        <w:spacing w:after="0" w:line="276" w:lineRule="auto"/>
        <w:ind w:left="425" w:hanging="425"/>
        <w:jc w:val="both"/>
        <w:rPr>
          <w:rFonts w:ascii="Times New Roman" w:eastAsia="Times New Roman" w:hAnsi="Times New Roman" w:cs="Times New Roman"/>
          <w:sz w:val="28"/>
          <w:szCs w:val="28"/>
          <w:lang w:eastAsia="ru-RU"/>
        </w:rPr>
      </w:pPr>
      <w:r w:rsidRPr="00EF7347">
        <w:rPr>
          <w:rFonts w:ascii="Times New Roman" w:eastAsia="Times New Roman" w:hAnsi="Times New Roman" w:cs="Times New Roman"/>
          <w:sz w:val="28"/>
          <w:szCs w:val="28"/>
          <w:lang w:eastAsia="ru-RU"/>
        </w:rPr>
        <w:t>зависимость</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бюджетного</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прогнозирования</w:t>
      </w:r>
      <w:r>
        <w:rPr>
          <w:rFonts w:ascii="Times New Roman" w:eastAsia="Times New Roman" w:hAnsi="Times New Roman" w:cs="Times New Roman"/>
          <w:sz w:val="28"/>
          <w:szCs w:val="28"/>
          <w:lang w:eastAsia="ru-RU"/>
        </w:rPr>
        <w:t xml:space="preserve"> от качества прогнозов налогоплательщиков;</w:t>
      </w:r>
    </w:p>
    <w:p w:rsidR="00857F7D" w:rsidRPr="00EF7347" w:rsidRDefault="00857F7D" w:rsidP="00CE748E">
      <w:pPr>
        <w:pStyle w:val="a4"/>
        <w:numPr>
          <w:ilvl w:val="0"/>
          <w:numId w:val="21"/>
        </w:numPr>
        <w:tabs>
          <w:tab w:val="right" w:pos="426"/>
        </w:tabs>
        <w:spacing w:after="0" w:line="276" w:lineRule="auto"/>
        <w:ind w:left="425"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EF7347">
        <w:rPr>
          <w:rFonts w:ascii="Times New Roman" w:eastAsia="Times New Roman" w:hAnsi="Times New Roman" w:cs="Times New Roman"/>
          <w:sz w:val="28"/>
          <w:szCs w:val="28"/>
          <w:lang w:eastAsia="ru-RU"/>
        </w:rPr>
        <w:t>ависимость</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крупных</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региональных</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плательщиков</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вышестоящих</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вертикально</w:t>
      </w:r>
      <w:r>
        <w:rPr>
          <w:rFonts w:ascii="Times New Roman" w:eastAsia="Times New Roman" w:hAnsi="Times New Roman" w:cs="Times New Roman"/>
          <w:sz w:val="28"/>
          <w:szCs w:val="28"/>
          <w:lang w:eastAsia="ru-RU"/>
        </w:rPr>
        <w:t xml:space="preserve"> интегр</w:t>
      </w:r>
      <w:r w:rsidRPr="00EF7347">
        <w:rPr>
          <w:rFonts w:ascii="Times New Roman" w:eastAsia="Times New Roman" w:hAnsi="Times New Roman" w:cs="Times New Roman"/>
          <w:sz w:val="28"/>
          <w:szCs w:val="28"/>
          <w:lang w:eastAsia="ru-RU"/>
        </w:rPr>
        <w:t>ированных</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холдингов</w:t>
      </w:r>
      <w:r>
        <w:rPr>
          <w:rFonts w:ascii="Times New Roman" w:eastAsia="Times New Roman" w:hAnsi="Times New Roman" w:cs="Times New Roman"/>
          <w:sz w:val="28"/>
          <w:szCs w:val="28"/>
          <w:lang w:eastAsia="ru-RU"/>
        </w:rPr>
        <w:t>.</w:t>
      </w:r>
    </w:p>
    <w:p w:rsidR="00857F7D" w:rsidRDefault="00857F7D" w:rsidP="00CE748E">
      <w:pPr>
        <w:spacing w:after="0" w:line="276" w:lineRule="auto"/>
        <w:jc w:val="both"/>
        <w:rPr>
          <w:rFonts w:ascii="Times New Roman" w:eastAsia="Times New Roman" w:hAnsi="Times New Roman" w:cs="Times New Roman"/>
          <w:sz w:val="28"/>
          <w:szCs w:val="28"/>
          <w:lang w:eastAsia="ru-RU"/>
        </w:rPr>
      </w:pPr>
    </w:p>
    <w:p w:rsidR="00857F7D" w:rsidRPr="00A66DC2" w:rsidRDefault="00857F7D" w:rsidP="00A66DC2">
      <w:pPr>
        <w:pStyle w:val="a4"/>
        <w:numPr>
          <w:ilvl w:val="1"/>
          <w:numId w:val="39"/>
        </w:numPr>
        <w:tabs>
          <w:tab w:val="right" w:pos="567"/>
        </w:tabs>
        <w:spacing w:after="120" w:line="276" w:lineRule="auto"/>
        <w:ind w:left="0" w:firstLine="0"/>
        <w:jc w:val="both"/>
        <w:rPr>
          <w:rFonts w:ascii="Times New Roman" w:eastAsia="Times New Roman" w:hAnsi="Times New Roman" w:cs="Times New Roman"/>
          <w:i/>
          <w:sz w:val="28"/>
          <w:szCs w:val="28"/>
          <w:lang w:eastAsia="ru-RU"/>
        </w:rPr>
      </w:pPr>
      <w:r w:rsidRPr="00A66DC2">
        <w:rPr>
          <w:rFonts w:ascii="Times New Roman" w:eastAsia="Times New Roman" w:hAnsi="Times New Roman" w:cs="Times New Roman"/>
          <w:i/>
          <w:sz w:val="28"/>
          <w:szCs w:val="28"/>
          <w:lang w:eastAsia="ru-RU"/>
        </w:rPr>
        <w:t>Низкое качество планирования (4 субъекта РФ)</w:t>
      </w:r>
    </w:p>
    <w:p w:rsidR="00197E1C"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56623C">
        <w:rPr>
          <w:rFonts w:ascii="Times New Roman" w:eastAsia="Times New Roman" w:hAnsi="Times New Roman" w:cs="Times New Roman"/>
          <w:sz w:val="28"/>
          <w:szCs w:val="28"/>
          <w:lang w:eastAsia="ru-RU"/>
        </w:rPr>
        <w:t>ормирован</w:t>
      </w:r>
      <w:r>
        <w:rPr>
          <w:rFonts w:ascii="Times New Roman" w:eastAsia="Times New Roman" w:hAnsi="Times New Roman" w:cs="Times New Roman"/>
          <w:sz w:val="28"/>
          <w:szCs w:val="28"/>
          <w:lang w:eastAsia="ru-RU"/>
        </w:rPr>
        <w:t xml:space="preserve">ие регионального бюджетного прогноза может быть осложнено низким качеством сложившейся в субъекте </w:t>
      </w:r>
      <w:r w:rsidR="00300ACE">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 xml:space="preserve"> системы планирования. </w:t>
      </w:r>
      <w:r w:rsidRPr="00EF7347">
        <w:rPr>
          <w:rFonts w:ascii="Times New Roman" w:eastAsia="Times New Roman" w:hAnsi="Times New Roman" w:cs="Times New Roman"/>
          <w:sz w:val="28"/>
          <w:szCs w:val="28"/>
          <w:lang w:eastAsia="ru-RU"/>
        </w:rPr>
        <w:t>Одним</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факторов,</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снижающих</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качество</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бюджетного</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прогнозирования,</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недостаточность</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применения</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формализованных</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методов</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прогнозирования,</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базирующихся</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математической</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теории,</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программно-инструментальных</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решений,</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позволяющих</w:t>
      </w:r>
      <w:r>
        <w:rPr>
          <w:rFonts w:ascii="Times New Roman" w:eastAsia="Times New Roman" w:hAnsi="Times New Roman" w:cs="Times New Roman"/>
          <w:sz w:val="28"/>
          <w:szCs w:val="28"/>
          <w:lang w:eastAsia="ru-RU"/>
        </w:rPr>
        <w:t xml:space="preserve"> осуществлять планирование при формировании </w:t>
      </w:r>
      <w:r w:rsidRPr="00EF7347">
        <w:rPr>
          <w:rFonts w:ascii="Times New Roman" w:eastAsia="Times New Roman" w:hAnsi="Times New Roman" w:cs="Times New Roman"/>
          <w:sz w:val="28"/>
          <w:szCs w:val="28"/>
          <w:lang w:eastAsia="ru-RU"/>
        </w:rPr>
        <w:t>прогноз</w:t>
      </w:r>
      <w:r>
        <w:rPr>
          <w:rFonts w:ascii="Times New Roman" w:eastAsia="Times New Roman" w:hAnsi="Times New Roman" w:cs="Times New Roman"/>
          <w:sz w:val="28"/>
          <w:szCs w:val="28"/>
          <w:lang w:eastAsia="ru-RU"/>
        </w:rPr>
        <w:t xml:space="preserve">а </w:t>
      </w:r>
      <w:r w:rsidRPr="00EF7347">
        <w:rPr>
          <w:rFonts w:ascii="Times New Roman" w:eastAsia="Times New Roman" w:hAnsi="Times New Roman" w:cs="Times New Roman"/>
          <w:sz w:val="28"/>
          <w:szCs w:val="28"/>
          <w:lang w:eastAsia="ru-RU"/>
        </w:rPr>
        <w:t>социально-экономического</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субъекта РФ </w:t>
      </w:r>
      <w:r w:rsidRPr="00EF7347">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долгосрочный</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период.</w:t>
      </w:r>
      <w:r>
        <w:rPr>
          <w:rFonts w:ascii="Times New Roman" w:eastAsia="Times New Roman" w:hAnsi="Times New Roman" w:cs="Times New Roman"/>
          <w:sz w:val="28"/>
          <w:szCs w:val="28"/>
          <w:lang w:eastAsia="ru-RU"/>
        </w:rPr>
        <w:t xml:space="preserve"> При этом отдельными регионами отмечается, что низкое качество </w:t>
      </w:r>
      <w:r w:rsidRPr="00EF7347">
        <w:rPr>
          <w:rFonts w:ascii="Times New Roman" w:eastAsia="Times New Roman" w:hAnsi="Times New Roman" w:cs="Times New Roman"/>
          <w:sz w:val="28"/>
          <w:szCs w:val="28"/>
          <w:lang w:eastAsia="ru-RU"/>
        </w:rPr>
        <w:t>прогнозирования</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долго</w:t>
      </w:r>
      <w:r>
        <w:rPr>
          <w:rFonts w:ascii="Times New Roman" w:eastAsia="Times New Roman" w:hAnsi="Times New Roman" w:cs="Times New Roman"/>
          <w:sz w:val="28"/>
          <w:szCs w:val="28"/>
          <w:lang w:eastAsia="ru-RU"/>
        </w:rPr>
        <w:t xml:space="preserve">срочный период и </w:t>
      </w:r>
      <w:bookmarkStart w:id="1" w:name="_GoBack"/>
      <w:r w:rsidR="000C5425">
        <w:rPr>
          <w:rFonts w:ascii="Times New Roman" w:eastAsia="Times New Roman" w:hAnsi="Times New Roman" w:cs="Times New Roman"/>
          <w:sz w:val="28"/>
          <w:szCs w:val="28"/>
          <w:lang w:eastAsia="ru-RU"/>
        </w:rPr>
        <w:t xml:space="preserve">турбулентные условия </w:t>
      </w:r>
      <w:bookmarkEnd w:id="1"/>
      <w:r>
        <w:rPr>
          <w:rFonts w:ascii="Times New Roman" w:eastAsia="Times New Roman" w:hAnsi="Times New Roman" w:cs="Times New Roman"/>
          <w:sz w:val="28"/>
          <w:szCs w:val="28"/>
          <w:lang w:eastAsia="ru-RU"/>
        </w:rPr>
        <w:t>влекут за собой обретение бюджетным прогнозом статуса формальног</w:t>
      </w:r>
      <w:r w:rsidR="006405C0">
        <w:rPr>
          <w:rFonts w:ascii="Times New Roman" w:eastAsia="Times New Roman" w:hAnsi="Times New Roman" w:cs="Times New Roman"/>
          <w:sz w:val="28"/>
          <w:szCs w:val="28"/>
          <w:lang w:eastAsia="ru-RU"/>
        </w:rPr>
        <w:t>о («поверхностного») документа.</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данной категории препятствий выделяется также некачественное прогнозирование </w:t>
      </w:r>
      <w:r w:rsidRPr="00EF7347">
        <w:rPr>
          <w:rFonts w:ascii="Times New Roman" w:eastAsia="Times New Roman" w:hAnsi="Times New Roman" w:cs="Times New Roman"/>
          <w:sz w:val="28"/>
          <w:szCs w:val="28"/>
          <w:lang w:eastAsia="ru-RU"/>
        </w:rPr>
        <w:t>социально-экономического</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региона</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долгосрочный</w:t>
      </w:r>
      <w:r>
        <w:rPr>
          <w:rFonts w:ascii="Times New Roman" w:eastAsia="Times New Roman" w:hAnsi="Times New Roman" w:cs="Times New Roman"/>
          <w:sz w:val="28"/>
          <w:szCs w:val="28"/>
          <w:lang w:eastAsia="ru-RU"/>
        </w:rPr>
        <w:t xml:space="preserve"> </w:t>
      </w:r>
      <w:r w:rsidRPr="00EF7347">
        <w:rPr>
          <w:rFonts w:ascii="Times New Roman" w:eastAsia="Times New Roman" w:hAnsi="Times New Roman" w:cs="Times New Roman"/>
          <w:sz w:val="28"/>
          <w:szCs w:val="28"/>
          <w:lang w:eastAsia="ru-RU"/>
        </w:rPr>
        <w:t>период</w:t>
      </w:r>
      <w:r>
        <w:rPr>
          <w:rFonts w:ascii="Times New Roman" w:eastAsia="Times New Roman" w:hAnsi="Times New Roman" w:cs="Times New Roman"/>
          <w:sz w:val="28"/>
          <w:szCs w:val="28"/>
          <w:lang w:eastAsia="ru-RU"/>
        </w:rPr>
        <w:t xml:space="preserve"> в целом.</w:t>
      </w:r>
    </w:p>
    <w:p w:rsidR="00857F7D" w:rsidRDefault="00857F7D" w:rsidP="00CE748E">
      <w:pPr>
        <w:spacing w:after="0" w:line="276" w:lineRule="auto"/>
        <w:jc w:val="both"/>
        <w:rPr>
          <w:rFonts w:ascii="Times New Roman" w:eastAsia="Times New Roman" w:hAnsi="Times New Roman" w:cs="Times New Roman"/>
          <w:sz w:val="28"/>
          <w:szCs w:val="28"/>
          <w:lang w:eastAsia="ru-RU"/>
        </w:rPr>
      </w:pPr>
    </w:p>
    <w:p w:rsidR="00857F7D" w:rsidRPr="00A66DC2" w:rsidRDefault="00857F7D" w:rsidP="00A66DC2">
      <w:pPr>
        <w:pStyle w:val="a4"/>
        <w:numPr>
          <w:ilvl w:val="1"/>
          <w:numId w:val="39"/>
        </w:numPr>
        <w:tabs>
          <w:tab w:val="right" w:pos="567"/>
        </w:tabs>
        <w:spacing w:after="120" w:line="276" w:lineRule="auto"/>
        <w:ind w:left="567" w:hanging="567"/>
        <w:jc w:val="both"/>
        <w:rPr>
          <w:rFonts w:ascii="Times New Roman" w:eastAsia="Times New Roman" w:hAnsi="Times New Roman" w:cs="Times New Roman"/>
          <w:i/>
          <w:sz w:val="28"/>
          <w:szCs w:val="28"/>
          <w:lang w:eastAsia="ru-RU"/>
        </w:rPr>
      </w:pPr>
      <w:r w:rsidRPr="00A66DC2">
        <w:rPr>
          <w:rFonts w:ascii="Times New Roman" w:eastAsia="Times New Roman" w:hAnsi="Times New Roman" w:cs="Times New Roman"/>
          <w:i/>
          <w:sz w:val="28"/>
          <w:szCs w:val="28"/>
          <w:lang w:eastAsia="ru-RU"/>
        </w:rPr>
        <w:t>Разный горизонт планирования бюджетного прогноза субъекта РФ и иных документов стратегического планирования (2 субъекта РФ)</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sidRPr="0056623C">
        <w:rPr>
          <w:rFonts w:ascii="Times New Roman" w:eastAsia="Times New Roman" w:hAnsi="Times New Roman" w:cs="Times New Roman"/>
          <w:sz w:val="28"/>
          <w:szCs w:val="28"/>
          <w:lang w:eastAsia="ru-RU"/>
        </w:rPr>
        <w:t>Вследствие</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различия</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сроков</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долгосрочного</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бюджетного</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социально-экономического</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прогнозирования</w:t>
      </w:r>
      <w:r>
        <w:rPr>
          <w:rFonts w:ascii="Times New Roman" w:eastAsia="Times New Roman" w:hAnsi="Times New Roman" w:cs="Times New Roman"/>
          <w:sz w:val="28"/>
          <w:szCs w:val="28"/>
          <w:lang w:eastAsia="ru-RU"/>
        </w:rPr>
        <w:t xml:space="preserve">, а также программирования </w:t>
      </w:r>
      <w:r w:rsidRPr="0056623C">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федеральном</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lastRenderedPageBreak/>
        <w:t>уровне</w:t>
      </w:r>
      <w:r>
        <w:rPr>
          <w:rFonts w:ascii="Times New Roman" w:eastAsia="Times New Roman" w:hAnsi="Times New Roman" w:cs="Times New Roman"/>
          <w:sz w:val="28"/>
          <w:szCs w:val="28"/>
          <w:lang w:eastAsia="ru-RU"/>
        </w:rPr>
        <w:t xml:space="preserve"> отсутствует </w:t>
      </w:r>
      <w:r w:rsidRPr="0056623C">
        <w:rPr>
          <w:rFonts w:ascii="Times New Roman" w:eastAsia="Times New Roman" w:hAnsi="Times New Roman" w:cs="Times New Roman"/>
          <w:sz w:val="28"/>
          <w:szCs w:val="28"/>
          <w:lang w:eastAsia="ru-RU"/>
        </w:rPr>
        <w:t>возможность</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единства</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периода</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действия</w:t>
      </w:r>
      <w:r>
        <w:rPr>
          <w:rFonts w:ascii="Times New Roman" w:eastAsia="Times New Roman" w:hAnsi="Times New Roman" w:cs="Times New Roman"/>
          <w:sz w:val="28"/>
          <w:szCs w:val="28"/>
          <w:lang w:eastAsia="ru-RU"/>
        </w:rPr>
        <w:t xml:space="preserve"> соответствующих </w:t>
      </w:r>
      <w:r w:rsidRPr="005662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тратегических документов на региональном уровне. В этой связи допустима ситуация, при которой в одном субъекте </w:t>
      </w:r>
      <w:r w:rsidR="00300ACE">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 xml:space="preserve"> бюджетный прогноз на долгосрочный период, прогноз социально-экономического развития на долгосрочный период и государственные программы могут иметь разные горизонты планирования.</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данной группе проблем регионами также отмечается отсутствие синхронизации и преемственности в подготовке документов стратегического планирования федерального уровня регулирования. </w:t>
      </w:r>
      <w:r w:rsidRPr="0056623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нормами</w:t>
      </w:r>
      <w:r>
        <w:rPr>
          <w:rFonts w:ascii="Times New Roman" w:eastAsia="Times New Roman" w:hAnsi="Times New Roman" w:cs="Times New Roman"/>
          <w:sz w:val="28"/>
          <w:szCs w:val="28"/>
          <w:lang w:eastAsia="ru-RU"/>
        </w:rPr>
        <w:t xml:space="preserve"> </w:t>
      </w:r>
      <w:r w:rsidR="00300ACE">
        <w:rPr>
          <w:rFonts w:ascii="Times New Roman" w:eastAsia="Times New Roman" w:hAnsi="Times New Roman" w:cs="Times New Roman"/>
          <w:sz w:val="28"/>
          <w:szCs w:val="28"/>
          <w:lang w:eastAsia="ru-RU"/>
        </w:rPr>
        <w:t>Ф</w:t>
      </w:r>
      <w:r w:rsidRPr="0056623C">
        <w:rPr>
          <w:rFonts w:ascii="Times New Roman" w:eastAsia="Times New Roman" w:hAnsi="Times New Roman" w:cs="Times New Roman"/>
          <w:sz w:val="28"/>
          <w:szCs w:val="28"/>
          <w:lang w:eastAsia="ru-RU"/>
        </w:rPr>
        <w:t>едерального</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 июня </w:t>
      </w:r>
      <w:r w:rsidRPr="0056623C">
        <w:rPr>
          <w:rFonts w:ascii="Times New Roman" w:eastAsia="Times New Roman" w:hAnsi="Times New Roman" w:cs="Times New Roman"/>
          <w:sz w:val="28"/>
          <w:szCs w:val="28"/>
          <w:lang w:eastAsia="ru-RU"/>
        </w:rPr>
        <w:t>2014</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172-ФЗ</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стратегическом</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планировании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Федерации»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сроки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разработки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утверждения</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большинства</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стратегического</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планирования</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были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установлены</w:t>
      </w:r>
      <w:r>
        <w:rPr>
          <w:rFonts w:ascii="Times New Roman" w:eastAsia="Times New Roman" w:hAnsi="Times New Roman" w:cs="Times New Roman"/>
          <w:sz w:val="28"/>
          <w:szCs w:val="28"/>
          <w:lang w:eastAsia="ru-RU"/>
        </w:rPr>
        <w:t xml:space="preserve"> до </w:t>
      </w:r>
      <w:r w:rsidRPr="0056623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января</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Вместе с тем до настоящего времени на федеральном уровне не утверждена стратегия социально-экономического развития Российской Федерации, </w:t>
      </w:r>
      <w:r w:rsidRPr="00E8726D">
        <w:rPr>
          <w:rFonts w:ascii="Times New Roman" w:eastAsia="Times New Roman" w:hAnsi="Times New Roman" w:cs="Times New Roman"/>
          <w:sz w:val="28"/>
          <w:szCs w:val="28"/>
          <w:lang w:eastAsia="ru-RU"/>
        </w:rPr>
        <w:t>определ</w:t>
      </w:r>
      <w:r>
        <w:rPr>
          <w:rFonts w:ascii="Times New Roman" w:eastAsia="Times New Roman" w:hAnsi="Times New Roman" w:cs="Times New Roman"/>
          <w:sz w:val="28"/>
          <w:szCs w:val="28"/>
          <w:lang w:eastAsia="ru-RU"/>
        </w:rPr>
        <w:t>яющая в том числе</w:t>
      </w:r>
      <w:r w:rsidRPr="00E8726D">
        <w:rPr>
          <w:rFonts w:ascii="Times New Roman" w:eastAsia="Times New Roman" w:hAnsi="Times New Roman" w:cs="Times New Roman"/>
          <w:sz w:val="28"/>
          <w:szCs w:val="28"/>
          <w:lang w:eastAsia="ru-RU"/>
        </w:rPr>
        <w:t xml:space="preserve"> приоритеты и направления регионального развития Российской Федерации</w:t>
      </w:r>
      <w:r>
        <w:rPr>
          <w:rFonts w:ascii="Times New Roman" w:eastAsia="Times New Roman" w:hAnsi="Times New Roman" w:cs="Times New Roman"/>
          <w:sz w:val="28"/>
          <w:szCs w:val="28"/>
          <w:lang w:eastAsia="ru-RU"/>
        </w:rPr>
        <w:t>.</w:t>
      </w:r>
    </w:p>
    <w:p w:rsidR="00857F7D" w:rsidRDefault="00857F7D" w:rsidP="00CE748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субъектами </w:t>
      </w:r>
      <w:r w:rsidR="00300ACE">
        <w:rPr>
          <w:rFonts w:ascii="Times New Roman" w:eastAsia="Times New Roman" w:hAnsi="Times New Roman" w:cs="Times New Roman"/>
          <w:sz w:val="28"/>
          <w:szCs w:val="28"/>
          <w:lang w:eastAsia="ru-RU"/>
        </w:rPr>
        <w:t>РФ</w:t>
      </w:r>
      <w:r w:rsidRPr="0056623C">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300ACE">
        <w:rPr>
          <w:rFonts w:ascii="Times New Roman" w:eastAsia="Times New Roman" w:hAnsi="Times New Roman" w:cs="Times New Roman"/>
          <w:sz w:val="28"/>
          <w:szCs w:val="28"/>
          <w:lang w:eastAsia="ru-RU"/>
        </w:rPr>
        <w:t>БК РФ</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начиная</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2014</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обеспечено</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утверждение</w:t>
      </w:r>
      <w:r>
        <w:rPr>
          <w:rFonts w:ascii="Times New Roman" w:eastAsia="Times New Roman" w:hAnsi="Times New Roman" w:cs="Times New Roman"/>
          <w:sz w:val="28"/>
          <w:szCs w:val="28"/>
          <w:lang w:eastAsia="ru-RU"/>
        </w:rPr>
        <w:t xml:space="preserve"> региональных стратегий социально-экономического развития, </w:t>
      </w:r>
      <w:r w:rsidRPr="0056623C">
        <w:rPr>
          <w:rFonts w:ascii="Times New Roman" w:eastAsia="Times New Roman" w:hAnsi="Times New Roman" w:cs="Times New Roman"/>
          <w:sz w:val="28"/>
          <w:szCs w:val="28"/>
          <w:lang w:eastAsia="ru-RU"/>
        </w:rPr>
        <w:t>государственных</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 xml:space="preserve"> а </w:t>
      </w:r>
      <w:r w:rsidRPr="0056623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году</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бюджетн</w:t>
      </w:r>
      <w:r>
        <w:rPr>
          <w:rFonts w:ascii="Times New Roman" w:eastAsia="Times New Roman" w:hAnsi="Times New Roman" w:cs="Times New Roman"/>
          <w:sz w:val="28"/>
          <w:szCs w:val="28"/>
          <w:lang w:eastAsia="ru-RU"/>
        </w:rPr>
        <w:t xml:space="preserve">ых </w:t>
      </w:r>
      <w:r w:rsidRPr="0056623C">
        <w:rPr>
          <w:rFonts w:ascii="Times New Roman" w:eastAsia="Times New Roman" w:hAnsi="Times New Roman" w:cs="Times New Roman"/>
          <w:sz w:val="28"/>
          <w:szCs w:val="28"/>
          <w:lang w:eastAsia="ru-RU"/>
        </w:rPr>
        <w:t>прогноз</w:t>
      </w:r>
      <w:r>
        <w:rPr>
          <w:rFonts w:ascii="Times New Roman" w:eastAsia="Times New Roman" w:hAnsi="Times New Roman" w:cs="Times New Roman"/>
          <w:sz w:val="28"/>
          <w:szCs w:val="28"/>
          <w:lang w:eastAsia="ru-RU"/>
        </w:rPr>
        <w:t xml:space="preserve">ов </w:t>
      </w:r>
      <w:r w:rsidRPr="0056623C">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долгосрочный</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период.</w:t>
      </w:r>
      <w:r>
        <w:rPr>
          <w:rFonts w:ascii="Times New Roman" w:eastAsia="Times New Roman" w:hAnsi="Times New Roman" w:cs="Times New Roman"/>
          <w:sz w:val="28"/>
          <w:szCs w:val="28"/>
          <w:lang w:eastAsia="ru-RU"/>
        </w:rPr>
        <w:t xml:space="preserve"> </w:t>
      </w:r>
    </w:p>
    <w:p w:rsidR="00857F7D" w:rsidRPr="00857F7D" w:rsidRDefault="00857F7D" w:rsidP="00CE748E">
      <w:pPr>
        <w:spacing w:after="0" w:line="276" w:lineRule="auto"/>
        <w:jc w:val="both"/>
        <w:rPr>
          <w:rFonts w:ascii="Times New Roman" w:eastAsia="Times New Roman" w:hAnsi="Times New Roman" w:cs="Times New Roman"/>
          <w:sz w:val="28"/>
          <w:szCs w:val="28"/>
          <w:lang w:eastAsia="ru-RU"/>
        </w:rPr>
      </w:pPr>
      <w:r w:rsidRPr="0056623C">
        <w:rPr>
          <w:rFonts w:ascii="Times New Roman" w:eastAsia="Times New Roman" w:hAnsi="Times New Roman" w:cs="Times New Roman"/>
          <w:sz w:val="28"/>
          <w:szCs w:val="28"/>
          <w:lang w:eastAsia="ru-RU"/>
        </w:rPr>
        <w:t>Таким</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образом,</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документы</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регионального</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утверждаемые</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рамках целеполагания, </w:t>
      </w:r>
      <w:r w:rsidRPr="0056623C">
        <w:rPr>
          <w:rFonts w:ascii="Times New Roman" w:eastAsia="Times New Roman" w:hAnsi="Times New Roman" w:cs="Times New Roman"/>
          <w:sz w:val="28"/>
          <w:szCs w:val="28"/>
          <w:lang w:eastAsia="ru-RU"/>
        </w:rPr>
        <w:t>программирования</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прогнозирования,</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разрабатывались</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отрыве</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целеполагания</w:t>
      </w:r>
      <w:r>
        <w:rPr>
          <w:rFonts w:ascii="Times New Roman" w:eastAsia="Times New Roman" w:hAnsi="Times New Roman" w:cs="Times New Roman"/>
          <w:sz w:val="28"/>
          <w:szCs w:val="28"/>
          <w:lang w:eastAsia="ru-RU"/>
        </w:rPr>
        <w:t xml:space="preserve"> федерального уровня</w:t>
      </w:r>
      <w:r w:rsidRPr="005662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устанавливающих</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долгосрочные</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общеэкономические</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отраслевые</w:t>
      </w:r>
      <w:r>
        <w:rPr>
          <w:rFonts w:ascii="Times New Roman" w:eastAsia="Times New Roman" w:hAnsi="Times New Roman" w:cs="Times New Roman"/>
          <w:sz w:val="28"/>
          <w:szCs w:val="28"/>
          <w:lang w:eastAsia="ru-RU"/>
        </w:rPr>
        <w:t xml:space="preserve"> цели и приоритеты </w:t>
      </w:r>
      <w:r w:rsidRPr="0056623C">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уровне</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Федерации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макрорегионов,</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препятствовало</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возможности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согласованности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бюджетного</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прогнозирования</w:t>
      </w:r>
      <w:r>
        <w:rPr>
          <w:rFonts w:ascii="Times New Roman" w:eastAsia="Times New Roman" w:hAnsi="Times New Roman" w:cs="Times New Roman"/>
          <w:sz w:val="28"/>
          <w:szCs w:val="28"/>
          <w:lang w:eastAsia="ru-RU"/>
        </w:rPr>
        <w:t xml:space="preserve"> в регионах </w:t>
      </w:r>
      <w:r w:rsidRPr="005662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целями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задачами</w:t>
      </w:r>
      <w:r>
        <w:rPr>
          <w:rFonts w:ascii="Times New Roman" w:eastAsia="Times New Roman" w:hAnsi="Times New Roman" w:cs="Times New Roman"/>
          <w:sz w:val="28"/>
          <w:szCs w:val="28"/>
          <w:lang w:eastAsia="ru-RU"/>
        </w:rPr>
        <w:t xml:space="preserve"> </w:t>
      </w:r>
      <w:r w:rsidRPr="0056623C">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циально-экономического развития Российской Федерации.</w:t>
      </w:r>
    </w:p>
    <w:sectPr w:rsidR="00857F7D" w:rsidRPr="00857F7D" w:rsidSect="00C63369">
      <w:footerReference w:type="default" r:id="rId13"/>
      <w:pgSz w:w="11906" w:h="16838"/>
      <w:pgMar w:top="709" w:right="851"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8AF" w:rsidRDefault="00D638AF" w:rsidP="00A46C9B">
      <w:pPr>
        <w:spacing w:after="0" w:line="240" w:lineRule="auto"/>
      </w:pPr>
      <w:r>
        <w:separator/>
      </w:r>
    </w:p>
  </w:endnote>
  <w:endnote w:type="continuationSeparator" w:id="0">
    <w:p w:rsidR="00D638AF" w:rsidRDefault="00D638AF" w:rsidP="00A4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HelveticaNeue LT 55 Roman">
    <w:altName w:val="Malgun Gothic"/>
    <w:charset w:val="00"/>
    <w:family w:val="auto"/>
    <w:pitch w:val="variable"/>
    <w:sig w:usb0="00000003" w:usb1="00000000" w:usb2="00000000" w:usb3="00000000" w:csb0="00000001" w:csb1="00000000"/>
  </w:font>
  <w:font w:name="HelveticaNeue LT 65 Medium">
    <w:altName w:val="Trebuchet MS"/>
    <w:charset w:val="00"/>
    <w:family w:val="auto"/>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851605"/>
      <w:docPartObj>
        <w:docPartGallery w:val="Page Numbers (Bottom of Page)"/>
        <w:docPartUnique/>
      </w:docPartObj>
    </w:sdtPr>
    <w:sdtEndPr>
      <w:rPr>
        <w:rFonts w:ascii="Times New Roman" w:hAnsi="Times New Roman" w:cs="Times New Roman"/>
        <w:sz w:val="20"/>
      </w:rPr>
    </w:sdtEndPr>
    <w:sdtContent>
      <w:p w:rsidR="00C63369" w:rsidRPr="00815663" w:rsidRDefault="00C63369" w:rsidP="00B47508">
        <w:pPr>
          <w:pStyle w:val="af3"/>
          <w:jc w:val="center"/>
          <w:rPr>
            <w:rFonts w:ascii="Times New Roman" w:hAnsi="Times New Roman" w:cs="Times New Roman"/>
            <w:sz w:val="20"/>
          </w:rPr>
        </w:pPr>
        <w:r w:rsidRPr="00815663">
          <w:rPr>
            <w:rFonts w:ascii="Times New Roman" w:hAnsi="Times New Roman" w:cs="Times New Roman"/>
            <w:sz w:val="20"/>
          </w:rPr>
          <w:fldChar w:fldCharType="begin"/>
        </w:r>
        <w:r w:rsidRPr="00815663">
          <w:rPr>
            <w:rFonts w:ascii="Times New Roman" w:hAnsi="Times New Roman" w:cs="Times New Roman"/>
            <w:sz w:val="20"/>
          </w:rPr>
          <w:instrText>PAGE   \* MERGEFORMAT</w:instrText>
        </w:r>
        <w:r w:rsidRPr="00815663">
          <w:rPr>
            <w:rFonts w:ascii="Times New Roman" w:hAnsi="Times New Roman" w:cs="Times New Roman"/>
            <w:sz w:val="20"/>
          </w:rPr>
          <w:fldChar w:fldCharType="separate"/>
        </w:r>
        <w:r w:rsidR="00173E64">
          <w:rPr>
            <w:rFonts w:ascii="Times New Roman" w:hAnsi="Times New Roman" w:cs="Times New Roman"/>
            <w:noProof/>
            <w:sz w:val="20"/>
          </w:rPr>
          <w:t>22</w:t>
        </w:r>
        <w:r w:rsidRPr="00815663">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8AF" w:rsidRDefault="00D638AF" w:rsidP="00A46C9B">
      <w:pPr>
        <w:spacing w:after="0" w:line="240" w:lineRule="auto"/>
      </w:pPr>
      <w:r>
        <w:separator/>
      </w:r>
    </w:p>
  </w:footnote>
  <w:footnote w:type="continuationSeparator" w:id="0">
    <w:p w:rsidR="00D638AF" w:rsidRDefault="00D638AF" w:rsidP="00A46C9B">
      <w:pPr>
        <w:spacing w:after="0" w:line="240" w:lineRule="auto"/>
      </w:pPr>
      <w:r>
        <w:continuationSeparator/>
      </w:r>
    </w:p>
  </w:footnote>
  <w:footnote w:id="1">
    <w:p w:rsidR="00C63369" w:rsidRDefault="00C63369" w:rsidP="00361FD0">
      <w:pPr>
        <w:spacing w:after="0" w:line="240" w:lineRule="auto"/>
        <w:jc w:val="both"/>
      </w:pPr>
      <w:r w:rsidRPr="00E939A0">
        <w:rPr>
          <w:rStyle w:val="af0"/>
          <w:rFonts w:ascii="Times New Roman" w:hAnsi="Times New Roman" w:cs="Times New Roman"/>
        </w:rPr>
        <w:footnoteRef/>
      </w:r>
      <w:r w:rsidRPr="00E939A0">
        <w:rPr>
          <w:rFonts w:ascii="Times New Roman" w:hAnsi="Times New Roman" w:cs="Times New Roman"/>
          <w:i/>
        </w:rPr>
        <w:t xml:space="preserve"> </w:t>
      </w:r>
      <w:r>
        <w:rPr>
          <w:rFonts w:ascii="Times New Roman" w:eastAsia="Times New Roman" w:hAnsi="Times New Roman" w:cs="Times New Roman"/>
          <w:i/>
          <w:color w:val="000000"/>
          <w:szCs w:val="28"/>
          <w:lang w:eastAsia="ru-RU"/>
        </w:rPr>
        <w:t xml:space="preserve">Данные </w:t>
      </w:r>
      <w:r w:rsidRPr="00264D69">
        <w:rPr>
          <w:rFonts w:ascii="Times New Roman" w:eastAsia="Times New Roman" w:hAnsi="Times New Roman" w:cs="Times New Roman"/>
          <w:i/>
          <w:color w:val="000000"/>
          <w:szCs w:val="28"/>
          <w:lang w:eastAsia="ru-RU"/>
        </w:rPr>
        <w:t>81 субъекта Российской Федерации</w:t>
      </w:r>
      <w:r>
        <w:rPr>
          <w:rFonts w:ascii="Times New Roman" w:eastAsia="Times New Roman" w:hAnsi="Times New Roman" w:cs="Times New Roman"/>
          <w:i/>
          <w:color w:val="000000"/>
          <w:szCs w:val="28"/>
          <w:lang w:eastAsia="ru-RU"/>
        </w:rPr>
        <w:t xml:space="preserve"> </w:t>
      </w:r>
      <w:r w:rsidRPr="00264D69">
        <w:rPr>
          <w:rFonts w:ascii="Times New Roman" w:eastAsia="Times New Roman" w:hAnsi="Times New Roman" w:cs="Times New Roman"/>
          <w:i/>
          <w:color w:val="000000"/>
          <w:szCs w:val="28"/>
          <w:lang w:eastAsia="ru-RU"/>
        </w:rPr>
        <w:t>по состоянию на 1 октября 2020 года</w:t>
      </w:r>
      <w:r>
        <w:rPr>
          <w:rFonts w:ascii="Times New Roman" w:eastAsia="Times New Roman" w:hAnsi="Times New Roman" w:cs="Times New Roman"/>
          <w:i/>
          <w:color w:val="000000"/>
          <w:szCs w:val="28"/>
          <w:lang w:eastAsia="ru-RU"/>
        </w:rPr>
        <w:t>,</w:t>
      </w:r>
      <w:r w:rsidRPr="00264D69">
        <w:rPr>
          <w:rFonts w:ascii="Times New Roman" w:eastAsia="Times New Roman" w:hAnsi="Times New Roman" w:cs="Times New Roman"/>
          <w:i/>
          <w:color w:val="000000"/>
          <w:szCs w:val="28"/>
          <w:lang w:eastAsia="ru-RU"/>
        </w:rPr>
        <w:t xml:space="preserve"> </w:t>
      </w:r>
      <w:r>
        <w:rPr>
          <w:rFonts w:ascii="Times New Roman" w:eastAsia="Times New Roman" w:hAnsi="Times New Roman" w:cs="Times New Roman"/>
          <w:i/>
          <w:color w:val="000000"/>
          <w:szCs w:val="28"/>
          <w:lang w:eastAsia="ru-RU"/>
        </w:rPr>
        <w:t>п</w:t>
      </w:r>
      <w:r w:rsidRPr="00B83D86">
        <w:rPr>
          <w:rFonts w:ascii="Times New Roman" w:eastAsia="Times New Roman" w:hAnsi="Times New Roman" w:cs="Times New Roman"/>
          <w:i/>
          <w:color w:val="000000"/>
          <w:szCs w:val="28"/>
          <w:lang w:eastAsia="ru-RU"/>
        </w:rPr>
        <w:t>о 4 субъектам Российской Федерации (Карачаево-Черкесская Республика, Республика Алтай, Камчатский край и Чукотский автономный округ)</w:t>
      </w:r>
      <w:r>
        <w:rPr>
          <w:rFonts w:ascii="Times New Roman" w:eastAsia="Times New Roman" w:hAnsi="Times New Roman" w:cs="Times New Roman"/>
          <w:i/>
          <w:color w:val="000000"/>
          <w:szCs w:val="28"/>
          <w:lang w:eastAsia="ru-RU"/>
        </w:rPr>
        <w:t xml:space="preserve"> </w:t>
      </w:r>
      <w:r w:rsidRPr="00B83D86">
        <w:rPr>
          <w:rFonts w:ascii="Times New Roman" w:eastAsia="Times New Roman" w:hAnsi="Times New Roman" w:cs="Times New Roman"/>
          <w:i/>
          <w:color w:val="000000"/>
          <w:szCs w:val="28"/>
          <w:lang w:eastAsia="ru-RU"/>
        </w:rPr>
        <w:t xml:space="preserve">информация об утвержденных бюджетных прогнозах </w:t>
      </w:r>
      <w:r>
        <w:rPr>
          <w:rFonts w:ascii="Times New Roman" w:eastAsia="Times New Roman" w:hAnsi="Times New Roman" w:cs="Times New Roman"/>
          <w:i/>
          <w:color w:val="000000"/>
          <w:szCs w:val="28"/>
          <w:lang w:eastAsia="ru-RU"/>
        </w:rPr>
        <w:t xml:space="preserve">в открытых источниках </w:t>
      </w:r>
      <w:r w:rsidRPr="00B83D86">
        <w:rPr>
          <w:rFonts w:ascii="Times New Roman" w:eastAsia="Times New Roman" w:hAnsi="Times New Roman" w:cs="Times New Roman"/>
          <w:i/>
          <w:color w:val="000000"/>
          <w:szCs w:val="28"/>
          <w:lang w:eastAsia="ru-RU"/>
        </w:rPr>
        <w:t>не обнаружена</w:t>
      </w:r>
      <w:r>
        <w:rPr>
          <w:rFonts w:ascii="Times New Roman" w:eastAsia="Times New Roman" w:hAnsi="Times New Roman" w:cs="Times New Roman"/>
          <w:i/>
          <w:color w:val="000000"/>
          <w:szCs w:val="28"/>
          <w:lang w:eastAsia="ru-RU"/>
        </w:rPr>
        <w:t xml:space="preserve">. Далее по тексту доля субъектов Российской Федерации рассчитана исходя из отношения к 81 </w:t>
      </w:r>
      <w:r w:rsidR="000A6F59">
        <w:rPr>
          <w:rFonts w:ascii="Times New Roman" w:eastAsia="Times New Roman" w:hAnsi="Times New Roman" w:cs="Times New Roman"/>
          <w:i/>
          <w:color w:val="000000"/>
          <w:szCs w:val="28"/>
          <w:lang w:eastAsia="ru-RU"/>
        </w:rPr>
        <w:t xml:space="preserve">субъекту Российской Федерации, в которых утверждены </w:t>
      </w:r>
      <w:r>
        <w:rPr>
          <w:rFonts w:ascii="Times New Roman" w:eastAsia="Times New Roman" w:hAnsi="Times New Roman" w:cs="Times New Roman"/>
          <w:i/>
          <w:color w:val="000000"/>
          <w:szCs w:val="28"/>
          <w:lang w:eastAsia="ru-RU"/>
        </w:rPr>
        <w:t>бюджетн</w:t>
      </w:r>
      <w:r w:rsidR="000A6F59">
        <w:rPr>
          <w:rFonts w:ascii="Times New Roman" w:eastAsia="Times New Roman" w:hAnsi="Times New Roman" w:cs="Times New Roman"/>
          <w:i/>
          <w:color w:val="000000"/>
          <w:szCs w:val="28"/>
          <w:lang w:eastAsia="ru-RU"/>
        </w:rPr>
        <w:t>ые</w:t>
      </w:r>
      <w:r>
        <w:rPr>
          <w:rFonts w:ascii="Times New Roman" w:eastAsia="Times New Roman" w:hAnsi="Times New Roman" w:cs="Times New Roman"/>
          <w:i/>
          <w:color w:val="000000"/>
          <w:szCs w:val="28"/>
          <w:lang w:eastAsia="ru-RU"/>
        </w:rPr>
        <w:t xml:space="preserve"> прогноз</w:t>
      </w:r>
      <w:r w:rsidR="000A6F59">
        <w:rPr>
          <w:rFonts w:ascii="Times New Roman" w:eastAsia="Times New Roman" w:hAnsi="Times New Roman" w:cs="Times New Roman"/>
          <w:i/>
          <w:color w:val="000000"/>
          <w:szCs w:val="28"/>
          <w:lang w:eastAsia="ru-RU"/>
        </w:rPr>
        <w:t>ы</w:t>
      </w:r>
      <w:r>
        <w:rPr>
          <w:rFonts w:ascii="Times New Roman" w:eastAsia="Times New Roman" w:hAnsi="Times New Roman" w:cs="Times New Roman"/>
          <w:i/>
          <w:color w:val="000000"/>
          <w:szCs w:val="28"/>
          <w:lang w:eastAsia="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2C1"/>
    <w:multiLevelType w:val="hybridMultilevel"/>
    <w:tmpl w:val="6E0AF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2608A0"/>
    <w:multiLevelType w:val="hybridMultilevel"/>
    <w:tmpl w:val="BC5EE740"/>
    <w:lvl w:ilvl="0" w:tplc="DDC8E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A21F9A"/>
    <w:multiLevelType w:val="multilevel"/>
    <w:tmpl w:val="1EE6CCFA"/>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0F12D49"/>
    <w:multiLevelType w:val="hybridMultilevel"/>
    <w:tmpl w:val="F0A6B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767AEA"/>
    <w:multiLevelType w:val="hybridMultilevel"/>
    <w:tmpl w:val="7D4A13A4"/>
    <w:lvl w:ilvl="0" w:tplc="65C6CFC4">
      <w:start w:val="3"/>
      <w:numFmt w:val="decimal"/>
      <w:lvlText w:val="%1."/>
      <w:lvlJc w:val="left"/>
      <w:pPr>
        <w:ind w:left="6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52F76"/>
    <w:multiLevelType w:val="hybridMultilevel"/>
    <w:tmpl w:val="ED800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EF181A"/>
    <w:multiLevelType w:val="hybridMultilevel"/>
    <w:tmpl w:val="85DE2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F90AC5"/>
    <w:multiLevelType w:val="multilevel"/>
    <w:tmpl w:val="DAE8831E"/>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D964310"/>
    <w:multiLevelType w:val="hybridMultilevel"/>
    <w:tmpl w:val="14EAB1F4"/>
    <w:lvl w:ilvl="0" w:tplc="2752BC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D2501A"/>
    <w:multiLevelType w:val="hybridMultilevel"/>
    <w:tmpl w:val="7A0EF604"/>
    <w:lvl w:ilvl="0" w:tplc="65C6CFC4">
      <w:start w:val="3"/>
      <w:numFmt w:val="decimal"/>
      <w:lvlText w:val="%1."/>
      <w:lvlJc w:val="left"/>
      <w:pPr>
        <w:ind w:left="6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00B80"/>
    <w:multiLevelType w:val="hybridMultilevel"/>
    <w:tmpl w:val="9AE23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3D24D0"/>
    <w:multiLevelType w:val="hybridMultilevel"/>
    <w:tmpl w:val="08201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F529E"/>
    <w:multiLevelType w:val="hybridMultilevel"/>
    <w:tmpl w:val="DD9A0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9C1691"/>
    <w:multiLevelType w:val="hybridMultilevel"/>
    <w:tmpl w:val="DD9A0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C6169"/>
    <w:multiLevelType w:val="hybridMultilevel"/>
    <w:tmpl w:val="22B25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F54EC"/>
    <w:multiLevelType w:val="hybridMultilevel"/>
    <w:tmpl w:val="5E008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A968E4"/>
    <w:multiLevelType w:val="hybridMultilevel"/>
    <w:tmpl w:val="99C6E5E4"/>
    <w:lvl w:ilvl="0" w:tplc="EC9E0CBA">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7D71260"/>
    <w:multiLevelType w:val="hybridMultilevel"/>
    <w:tmpl w:val="7AA0AB30"/>
    <w:lvl w:ilvl="0" w:tplc="4296E958">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B616EF0"/>
    <w:multiLevelType w:val="hybridMultilevel"/>
    <w:tmpl w:val="E5D84F2E"/>
    <w:lvl w:ilvl="0" w:tplc="98BCE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EB2FE0"/>
    <w:multiLevelType w:val="hybridMultilevel"/>
    <w:tmpl w:val="9F9A5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92002"/>
    <w:multiLevelType w:val="hybridMultilevel"/>
    <w:tmpl w:val="DA30DFA0"/>
    <w:lvl w:ilvl="0" w:tplc="7D42D32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477D2"/>
    <w:multiLevelType w:val="multilevel"/>
    <w:tmpl w:val="FA2AC9C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874682F"/>
    <w:multiLevelType w:val="hybridMultilevel"/>
    <w:tmpl w:val="60947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C83BF8"/>
    <w:multiLevelType w:val="multilevel"/>
    <w:tmpl w:val="B21460B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B16996"/>
    <w:multiLevelType w:val="hybridMultilevel"/>
    <w:tmpl w:val="F75AF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E0014E"/>
    <w:multiLevelType w:val="hybridMultilevel"/>
    <w:tmpl w:val="6DC21B7A"/>
    <w:lvl w:ilvl="0" w:tplc="DA5EF73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CD671B"/>
    <w:multiLevelType w:val="hybridMultilevel"/>
    <w:tmpl w:val="17EE6F40"/>
    <w:lvl w:ilvl="0" w:tplc="65029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2B44D3"/>
    <w:multiLevelType w:val="hybridMultilevel"/>
    <w:tmpl w:val="54EEAFD8"/>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3A09AC"/>
    <w:multiLevelType w:val="hybridMultilevel"/>
    <w:tmpl w:val="735E6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9401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2D7CD7"/>
    <w:multiLevelType w:val="hybridMultilevel"/>
    <w:tmpl w:val="C0DE7974"/>
    <w:lvl w:ilvl="0" w:tplc="E84E7A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4852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39F43C0"/>
    <w:multiLevelType w:val="hybridMultilevel"/>
    <w:tmpl w:val="B14434BE"/>
    <w:lvl w:ilvl="0" w:tplc="E59C5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3E3EBC"/>
    <w:multiLevelType w:val="hybridMultilevel"/>
    <w:tmpl w:val="DD545A28"/>
    <w:lvl w:ilvl="0" w:tplc="22F0B2E6">
      <w:start w:val="2"/>
      <w:numFmt w:val="decimal"/>
      <w:lvlText w:val="%1."/>
      <w:lvlJc w:val="left"/>
      <w:pPr>
        <w:ind w:left="6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2B7FF0"/>
    <w:multiLevelType w:val="hybridMultilevel"/>
    <w:tmpl w:val="E090ABD6"/>
    <w:lvl w:ilvl="0" w:tplc="22F0B2E6">
      <w:start w:val="2"/>
      <w:numFmt w:val="decimal"/>
      <w:lvlText w:val="%1."/>
      <w:lvlJc w:val="left"/>
      <w:pPr>
        <w:ind w:left="6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682DD6"/>
    <w:multiLevelType w:val="hybridMultilevel"/>
    <w:tmpl w:val="28FA7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0925FB"/>
    <w:multiLevelType w:val="hybridMultilevel"/>
    <w:tmpl w:val="69901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7D027F"/>
    <w:multiLevelType w:val="hybridMultilevel"/>
    <w:tmpl w:val="D78EF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DE50ED"/>
    <w:multiLevelType w:val="hybridMultilevel"/>
    <w:tmpl w:val="07ACCBC2"/>
    <w:lvl w:ilvl="0" w:tplc="554E1DBA">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D22798"/>
    <w:multiLevelType w:val="multilevel"/>
    <w:tmpl w:val="5B286CF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EC44D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0D628D"/>
    <w:multiLevelType w:val="hybridMultilevel"/>
    <w:tmpl w:val="25103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D67294A"/>
    <w:multiLevelType w:val="hybridMultilevel"/>
    <w:tmpl w:val="73587308"/>
    <w:lvl w:ilvl="0" w:tplc="E59C5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8B5D01"/>
    <w:multiLevelType w:val="hybridMultilevel"/>
    <w:tmpl w:val="969C77B4"/>
    <w:lvl w:ilvl="0" w:tplc="F8742BF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5"/>
  </w:num>
  <w:num w:numId="4">
    <w:abstractNumId w:val="11"/>
  </w:num>
  <w:num w:numId="5">
    <w:abstractNumId w:val="13"/>
  </w:num>
  <w:num w:numId="6">
    <w:abstractNumId w:val="28"/>
  </w:num>
  <w:num w:numId="7">
    <w:abstractNumId w:val="12"/>
  </w:num>
  <w:num w:numId="8">
    <w:abstractNumId w:val="16"/>
  </w:num>
  <w:num w:numId="9">
    <w:abstractNumId w:val="24"/>
  </w:num>
  <w:num w:numId="10">
    <w:abstractNumId w:val="25"/>
  </w:num>
  <w:num w:numId="11">
    <w:abstractNumId w:val="18"/>
  </w:num>
  <w:num w:numId="12">
    <w:abstractNumId w:val="26"/>
  </w:num>
  <w:num w:numId="13">
    <w:abstractNumId w:val="2"/>
  </w:num>
  <w:num w:numId="14">
    <w:abstractNumId w:val="36"/>
  </w:num>
  <w:num w:numId="15">
    <w:abstractNumId w:val="3"/>
  </w:num>
  <w:num w:numId="16">
    <w:abstractNumId w:val="6"/>
  </w:num>
  <w:num w:numId="17">
    <w:abstractNumId w:val="5"/>
  </w:num>
  <w:num w:numId="18">
    <w:abstractNumId w:val="37"/>
  </w:num>
  <w:num w:numId="19">
    <w:abstractNumId w:val="0"/>
  </w:num>
  <w:num w:numId="20">
    <w:abstractNumId w:val="17"/>
  </w:num>
  <w:num w:numId="21">
    <w:abstractNumId w:val="41"/>
  </w:num>
  <w:num w:numId="22">
    <w:abstractNumId w:val="19"/>
  </w:num>
  <w:num w:numId="23">
    <w:abstractNumId w:val="27"/>
  </w:num>
  <w:num w:numId="24">
    <w:abstractNumId w:val="14"/>
  </w:num>
  <w:num w:numId="25">
    <w:abstractNumId w:val="22"/>
  </w:num>
  <w:num w:numId="26">
    <w:abstractNumId w:val="10"/>
  </w:num>
  <w:num w:numId="27">
    <w:abstractNumId w:val="35"/>
  </w:num>
  <w:num w:numId="28">
    <w:abstractNumId w:val="32"/>
  </w:num>
  <w:num w:numId="29">
    <w:abstractNumId w:val="42"/>
  </w:num>
  <w:num w:numId="30">
    <w:abstractNumId w:val="4"/>
  </w:num>
  <w:num w:numId="31">
    <w:abstractNumId w:val="9"/>
  </w:num>
  <w:num w:numId="32">
    <w:abstractNumId w:val="34"/>
  </w:num>
  <w:num w:numId="33">
    <w:abstractNumId w:val="33"/>
  </w:num>
  <w:num w:numId="34">
    <w:abstractNumId w:val="30"/>
  </w:num>
  <w:num w:numId="35">
    <w:abstractNumId w:val="38"/>
  </w:num>
  <w:num w:numId="36">
    <w:abstractNumId w:val="43"/>
  </w:num>
  <w:num w:numId="37">
    <w:abstractNumId w:val="40"/>
  </w:num>
  <w:num w:numId="38">
    <w:abstractNumId w:val="21"/>
  </w:num>
  <w:num w:numId="39">
    <w:abstractNumId w:val="31"/>
  </w:num>
  <w:num w:numId="40">
    <w:abstractNumId w:val="23"/>
  </w:num>
  <w:num w:numId="41">
    <w:abstractNumId w:val="39"/>
  </w:num>
  <w:num w:numId="42">
    <w:abstractNumId w:val="8"/>
  </w:num>
  <w:num w:numId="43">
    <w:abstractNumId w:val="2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81"/>
    <w:rsid w:val="0000094C"/>
    <w:rsid w:val="00000A86"/>
    <w:rsid w:val="000071E0"/>
    <w:rsid w:val="00017B35"/>
    <w:rsid w:val="00020F59"/>
    <w:rsid w:val="00025115"/>
    <w:rsid w:val="00027EB6"/>
    <w:rsid w:val="00027FBB"/>
    <w:rsid w:val="00030D5B"/>
    <w:rsid w:val="00031BB7"/>
    <w:rsid w:val="000330F3"/>
    <w:rsid w:val="0003331B"/>
    <w:rsid w:val="0004266A"/>
    <w:rsid w:val="00043475"/>
    <w:rsid w:val="000437FB"/>
    <w:rsid w:val="000473A7"/>
    <w:rsid w:val="0006344E"/>
    <w:rsid w:val="00065603"/>
    <w:rsid w:val="00070717"/>
    <w:rsid w:val="00071324"/>
    <w:rsid w:val="0007141D"/>
    <w:rsid w:val="00072E36"/>
    <w:rsid w:val="00072F78"/>
    <w:rsid w:val="000829DF"/>
    <w:rsid w:val="00085B08"/>
    <w:rsid w:val="00091282"/>
    <w:rsid w:val="000A6F59"/>
    <w:rsid w:val="000B0236"/>
    <w:rsid w:val="000B31F0"/>
    <w:rsid w:val="000B41E0"/>
    <w:rsid w:val="000B6897"/>
    <w:rsid w:val="000C477B"/>
    <w:rsid w:val="000C5425"/>
    <w:rsid w:val="000D1AAE"/>
    <w:rsid w:val="000D20C8"/>
    <w:rsid w:val="000E0DAF"/>
    <w:rsid w:val="000E1064"/>
    <w:rsid w:val="000E4A95"/>
    <w:rsid w:val="000E673B"/>
    <w:rsid w:val="000E71D9"/>
    <w:rsid w:val="000F0FB6"/>
    <w:rsid w:val="000F2891"/>
    <w:rsid w:val="000F2D67"/>
    <w:rsid w:val="000F72A9"/>
    <w:rsid w:val="000F7541"/>
    <w:rsid w:val="001017D8"/>
    <w:rsid w:val="00101F6C"/>
    <w:rsid w:val="00102445"/>
    <w:rsid w:val="00107B78"/>
    <w:rsid w:val="00111000"/>
    <w:rsid w:val="00111047"/>
    <w:rsid w:val="00114FBC"/>
    <w:rsid w:val="00115559"/>
    <w:rsid w:val="00115BD2"/>
    <w:rsid w:val="00132D75"/>
    <w:rsid w:val="001377E1"/>
    <w:rsid w:val="0014024E"/>
    <w:rsid w:val="00145FC1"/>
    <w:rsid w:val="00162A1A"/>
    <w:rsid w:val="00170DD2"/>
    <w:rsid w:val="00173E64"/>
    <w:rsid w:val="00176488"/>
    <w:rsid w:val="0017769E"/>
    <w:rsid w:val="00190856"/>
    <w:rsid w:val="00197E1C"/>
    <w:rsid w:val="001A0D34"/>
    <w:rsid w:val="001B05A2"/>
    <w:rsid w:val="001B1C34"/>
    <w:rsid w:val="001B59EF"/>
    <w:rsid w:val="001C0E53"/>
    <w:rsid w:val="001D0E87"/>
    <w:rsid w:val="001D101B"/>
    <w:rsid w:val="001D3C0E"/>
    <w:rsid w:val="001D6248"/>
    <w:rsid w:val="001D6A2F"/>
    <w:rsid w:val="001D78BC"/>
    <w:rsid w:val="001E3E1D"/>
    <w:rsid w:val="001E4AD7"/>
    <w:rsid w:val="001F74B0"/>
    <w:rsid w:val="002007DF"/>
    <w:rsid w:val="002015E4"/>
    <w:rsid w:val="002015EB"/>
    <w:rsid w:val="002018FC"/>
    <w:rsid w:val="00201CCA"/>
    <w:rsid w:val="00201E67"/>
    <w:rsid w:val="0020669A"/>
    <w:rsid w:val="00214727"/>
    <w:rsid w:val="002174A5"/>
    <w:rsid w:val="0021776B"/>
    <w:rsid w:val="00221488"/>
    <w:rsid w:val="00226F4E"/>
    <w:rsid w:val="00227DF4"/>
    <w:rsid w:val="00232BC2"/>
    <w:rsid w:val="00233D83"/>
    <w:rsid w:val="00235994"/>
    <w:rsid w:val="00236A74"/>
    <w:rsid w:val="00246EC5"/>
    <w:rsid w:val="00260513"/>
    <w:rsid w:val="00260EE2"/>
    <w:rsid w:val="0026211E"/>
    <w:rsid w:val="00264D69"/>
    <w:rsid w:val="00265051"/>
    <w:rsid w:val="00280C7D"/>
    <w:rsid w:val="002934B6"/>
    <w:rsid w:val="00295089"/>
    <w:rsid w:val="002A033D"/>
    <w:rsid w:val="002A1178"/>
    <w:rsid w:val="002C2C08"/>
    <w:rsid w:val="002C44E7"/>
    <w:rsid w:val="002C61D3"/>
    <w:rsid w:val="002C719E"/>
    <w:rsid w:val="002D3F3B"/>
    <w:rsid w:val="002D3FEE"/>
    <w:rsid w:val="002D575B"/>
    <w:rsid w:val="002D5CB7"/>
    <w:rsid w:val="002D6C3D"/>
    <w:rsid w:val="002E2F20"/>
    <w:rsid w:val="002F5D2E"/>
    <w:rsid w:val="0030097A"/>
    <w:rsid w:val="00300ACE"/>
    <w:rsid w:val="00300F51"/>
    <w:rsid w:val="0030439E"/>
    <w:rsid w:val="003136BD"/>
    <w:rsid w:val="00313B82"/>
    <w:rsid w:val="00315E3C"/>
    <w:rsid w:val="00317118"/>
    <w:rsid w:val="0032352E"/>
    <w:rsid w:val="00323D66"/>
    <w:rsid w:val="0032482D"/>
    <w:rsid w:val="00325EE7"/>
    <w:rsid w:val="00332629"/>
    <w:rsid w:val="003326BF"/>
    <w:rsid w:val="00332BF1"/>
    <w:rsid w:val="00335375"/>
    <w:rsid w:val="003357B8"/>
    <w:rsid w:val="00335B11"/>
    <w:rsid w:val="00337C70"/>
    <w:rsid w:val="00342040"/>
    <w:rsid w:val="00344803"/>
    <w:rsid w:val="0035462F"/>
    <w:rsid w:val="00361FD0"/>
    <w:rsid w:val="00363EA9"/>
    <w:rsid w:val="00364892"/>
    <w:rsid w:val="00367CC8"/>
    <w:rsid w:val="00391C6B"/>
    <w:rsid w:val="00391FD9"/>
    <w:rsid w:val="00397E78"/>
    <w:rsid w:val="00397FB2"/>
    <w:rsid w:val="003B04D4"/>
    <w:rsid w:val="003C2B7E"/>
    <w:rsid w:val="003C3271"/>
    <w:rsid w:val="003D3D5F"/>
    <w:rsid w:val="003E1E0C"/>
    <w:rsid w:val="003E2C63"/>
    <w:rsid w:val="003E420C"/>
    <w:rsid w:val="003E75C8"/>
    <w:rsid w:val="003F17DB"/>
    <w:rsid w:val="003F5964"/>
    <w:rsid w:val="00401315"/>
    <w:rsid w:val="00404D59"/>
    <w:rsid w:val="00406C77"/>
    <w:rsid w:val="00411A02"/>
    <w:rsid w:val="004148CC"/>
    <w:rsid w:val="004154D1"/>
    <w:rsid w:val="00416782"/>
    <w:rsid w:val="00422D0E"/>
    <w:rsid w:val="00431E08"/>
    <w:rsid w:val="00436745"/>
    <w:rsid w:val="00450AC9"/>
    <w:rsid w:val="00451987"/>
    <w:rsid w:val="00452A1D"/>
    <w:rsid w:val="00453764"/>
    <w:rsid w:val="00455549"/>
    <w:rsid w:val="0046308B"/>
    <w:rsid w:val="0046688A"/>
    <w:rsid w:val="0047030E"/>
    <w:rsid w:val="00473A4A"/>
    <w:rsid w:val="00473DA5"/>
    <w:rsid w:val="00477AD0"/>
    <w:rsid w:val="00481E4E"/>
    <w:rsid w:val="00493326"/>
    <w:rsid w:val="0049685D"/>
    <w:rsid w:val="00496953"/>
    <w:rsid w:val="004A16B4"/>
    <w:rsid w:val="004A36F7"/>
    <w:rsid w:val="004A3736"/>
    <w:rsid w:val="004A4D84"/>
    <w:rsid w:val="004A5A5F"/>
    <w:rsid w:val="004C1EED"/>
    <w:rsid w:val="004C2301"/>
    <w:rsid w:val="004C4165"/>
    <w:rsid w:val="004C4C73"/>
    <w:rsid w:val="004D65E6"/>
    <w:rsid w:val="004E29C5"/>
    <w:rsid w:val="004E5F05"/>
    <w:rsid w:val="004F2272"/>
    <w:rsid w:val="004F4096"/>
    <w:rsid w:val="005024ED"/>
    <w:rsid w:val="005028E7"/>
    <w:rsid w:val="00512F9E"/>
    <w:rsid w:val="005142CA"/>
    <w:rsid w:val="005162CF"/>
    <w:rsid w:val="0051763E"/>
    <w:rsid w:val="005226A6"/>
    <w:rsid w:val="00526D62"/>
    <w:rsid w:val="00531D76"/>
    <w:rsid w:val="00551966"/>
    <w:rsid w:val="00555B21"/>
    <w:rsid w:val="00556AAE"/>
    <w:rsid w:val="00573D7D"/>
    <w:rsid w:val="00576AFE"/>
    <w:rsid w:val="00582084"/>
    <w:rsid w:val="00584CED"/>
    <w:rsid w:val="00586859"/>
    <w:rsid w:val="00593164"/>
    <w:rsid w:val="005937A0"/>
    <w:rsid w:val="0059557E"/>
    <w:rsid w:val="00595ED8"/>
    <w:rsid w:val="005A15E4"/>
    <w:rsid w:val="005A2CC8"/>
    <w:rsid w:val="005A5390"/>
    <w:rsid w:val="005C1378"/>
    <w:rsid w:val="005D1255"/>
    <w:rsid w:val="005D139F"/>
    <w:rsid w:val="005D3818"/>
    <w:rsid w:val="005D7A11"/>
    <w:rsid w:val="005E2757"/>
    <w:rsid w:val="005F0CDC"/>
    <w:rsid w:val="005F357A"/>
    <w:rsid w:val="005F58C2"/>
    <w:rsid w:val="0060059B"/>
    <w:rsid w:val="00605C74"/>
    <w:rsid w:val="00613A82"/>
    <w:rsid w:val="00614950"/>
    <w:rsid w:val="00614A4E"/>
    <w:rsid w:val="006220E5"/>
    <w:rsid w:val="00624B7F"/>
    <w:rsid w:val="00632A41"/>
    <w:rsid w:val="00636CA0"/>
    <w:rsid w:val="006405C0"/>
    <w:rsid w:val="0064341E"/>
    <w:rsid w:val="00643F4F"/>
    <w:rsid w:val="00644333"/>
    <w:rsid w:val="00653433"/>
    <w:rsid w:val="00655323"/>
    <w:rsid w:val="00670397"/>
    <w:rsid w:val="00672468"/>
    <w:rsid w:val="00674564"/>
    <w:rsid w:val="006746A5"/>
    <w:rsid w:val="00683CCC"/>
    <w:rsid w:val="00692B42"/>
    <w:rsid w:val="0069718F"/>
    <w:rsid w:val="006A3868"/>
    <w:rsid w:val="006A50CB"/>
    <w:rsid w:val="006B0838"/>
    <w:rsid w:val="006B2D53"/>
    <w:rsid w:val="006B34D4"/>
    <w:rsid w:val="006C6942"/>
    <w:rsid w:val="006D2112"/>
    <w:rsid w:val="006D46B7"/>
    <w:rsid w:val="006E1850"/>
    <w:rsid w:val="006E3D3C"/>
    <w:rsid w:val="006E4D02"/>
    <w:rsid w:val="006E72ED"/>
    <w:rsid w:val="006F0B18"/>
    <w:rsid w:val="006F180E"/>
    <w:rsid w:val="006F7428"/>
    <w:rsid w:val="00702E47"/>
    <w:rsid w:val="007136D6"/>
    <w:rsid w:val="007159D4"/>
    <w:rsid w:val="00717BC7"/>
    <w:rsid w:val="007278E9"/>
    <w:rsid w:val="007302BE"/>
    <w:rsid w:val="00732C9D"/>
    <w:rsid w:val="00742113"/>
    <w:rsid w:val="007532D4"/>
    <w:rsid w:val="00753892"/>
    <w:rsid w:val="007620CE"/>
    <w:rsid w:val="00770337"/>
    <w:rsid w:val="007744B7"/>
    <w:rsid w:val="00775C21"/>
    <w:rsid w:val="00780CA5"/>
    <w:rsid w:val="00780CD8"/>
    <w:rsid w:val="00783537"/>
    <w:rsid w:val="00785DC9"/>
    <w:rsid w:val="00786C3B"/>
    <w:rsid w:val="007912D0"/>
    <w:rsid w:val="00791DC5"/>
    <w:rsid w:val="0079639A"/>
    <w:rsid w:val="007A217E"/>
    <w:rsid w:val="007A5792"/>
    <w:rsid w:val="007B0BD0"/>
    <w:rsid w:val="007B4322"/>
    <w:rsid w:val="007B432B"/>
    <w:rsid w:val="007B5175"/>
    <w:rsid w:val="007C2929"/>
    <w:rsid w:val="007D2AA4"/>
    <w:rsid w:val="007D4A94"/>
    <w:rsid w:val="007E1F77"/>
    <w:rsid w:val="007F6760"/>
    <w:rsid w:val="00803F12"/>
    <w:rsid w:val="00815663"/>
    <w:rsid w:val="00823BB0"/>
    <w:rsid w:val="0082472C"/>
    <w:rsid w:val="008251AB"/>
    <w:rsid w:val="00835A76"/>
    <w:rsid w:val="0083648E"/>
    <w:rsid w:val="008404A5"/>
    <w:rsid w:val="008421B2"/>
    <w:rsid w:val="00842236"/>
    <w:rsid w:val="00847146"/>
    <w:rsid w:val="00847994"/>
    <w:rsid w:val="0085602A"/>
    <w:rsid w:val="00856BF1"/>
    <w:rsid w:val="00857F7D"/>
    <w:rsid w:val="00861599"/>
    <w:rsid w:val="00867FD4"/>
    <w:rsid w:val="00873ECC"/>
    <w:rsid w:val="008804BE"/>
    <w:rsid w:val="00881696"/>
    <w:rsid w:val="00890201"/>
    <w:rsid w:val="00890560"/>
    <w:rsid w:val="00892603"/>
    <w:rsid w:val="008A70F5"/>
    <w:rsid w:val="008A7457"/>
    <w:rsid w:val="008B06F7"/>
    <w:rsid w:val="008C06C6"/>
    <w:rsid w:val="008C121A"/>
    <w:rsid w:val="008C2FC0"/>
    <w:rsid w:val="008C639A"/>
    <w:rsid w:val="008D60BC"/>
    <w:rsid w:val="008D77F7"/>
    <w:rsid w:val="008E0950"/>
    <w:rsid w:val="008E4AB6"/>
    <w:rsid w:val="008E6EA6"/>
    <w:rsid w:val="008F1DB6"/>
    <w:rsid w:val="008F41A0"/>
    <w:rsid w:val="008F48E2"/>
    <w:rsid w:val="008F5DD2"/>
    <w:rsid w:val="008F7316"/>
    <w:rsid w:val="008F7569"/>
    <w:rsid w:val="008F7EAA"/>
    <w:rsid w:val="00912FD6"/>
    <w:rsid w:val="00915613"/>
    <w:rsid w:val="00917E0F"/>
    <w:rsid w:val="00920B3C"/>
    <w:rsid w:val="00924568"/>
    <w:rsid w:val="00935BF0"/>
    <w:rsid w:val="009467B9"/>
    <w:rsid w:val="00946F01"/>
    <w:rsid w:val="009539E5"/>
    <w:rsid w:val="00954337"/>
    <w:rsid w:val="0095448B"/>
    <w:rsid w:val="00954525"/>
    <w:rsid w:val="0095576E"/>
    <w:rsid w:val="00960A9A"/>
    <w:rsid w:val="009710A4"/>
    <w:rsid w:val="00973963"/>
    <w:rsid w:val="00974AC8"/>
    <w:rsid w:val="009754A2"/>
    <w:rsid w:val="00976E34"/>
    <w:rsid w:val="00977E7F"/>
    <w:rsid w:val="009800A8"/>
    <w:rsid w:val="00981B48"/>
    <w:rsid w:val="00981B99"/>
    <w:rsid w:val="0098538C"/>
    <w:rsid w:val="00986911"/>
    <w:rsid w:val="009908D6"/>
    <w:rsid w:val="009A3C48"/>
    <w:rsid w:val="009A6EF1"/>
    <w:rsid w:val="009B2EB6"/>
    <w:rsid w:val="009C19D1"/>
    <w:rsid w:val="009C7274"/>
    <w:rsid w:val="009C7883"/>
    <w:rsid w:val="009E0212"/>
    <w:rsid w:val="009F4A4D"/>
    <w:rsid w:val="00A02233"/>
    <w:rsid w:val="00A05469"/>
    <w:rsid w:val="00A055A4"/>
    <w:rsid w:val="00A062F6"/>
    <w:rsid w:val="00A07B61"/>
    <w:rsid w:val="00A10AF5"/>
    <w:rsid w:val="00A14592"/>
    <w:rsid w:val="00A15DEE"/>
    <w:rsid w:val="00A20B1B"/>
    <w:rsid w:val="00A20F63"/>
    <w:rsid w:val="00A21E5E"/>
    <w:rsid w:val="00A2343E"/>
    <w:rsid w:val="00A23A8A"/>
    <w:rsid w:val="00A24008"/>
    <w:rsid w:val="00A25237"/>
    <w:rsid w:val="00A3115E"/>
    <w:rsid w:val="00A43856"/>
    <w:rsid w:val="00A46C9B"/>
    <w:rsid w:val="00A47BDB"/>
    <w:rsid w:val="00A5593D"/>
    <w:rsid w:val="00A5622E"/>
    <w:rsid w:val="00A6615A"/>
    <w:rsid w:val="00A66DC2"/>
    <w:rsid w:val="00A73F55"/>
    <w:rsid w:val="00A745E1"/>
    <w:rsid w:val="00A75424"/>
    <w:rsid w:val="00A77C95"/>
    <w:rsid w:val="00A77E3F"/>
    <w:rsid w:val="00A83EC9"/>
    <w:rsid w:val="00A83EE3"/>
    <w:rsid w:val="00A966AF"/>
    <w:rsid w:val="00A96A1A"/>
    <w:rsid w:val="00AA516F"/>
    <w:rsid w:val="00AA624C"/>
    <w:rsid w:val="00AA6784"/>
    <w:rsid w:val="00AA6E59"/>
    <w:rsid w:val="00AA7AF1"/>
    <w:rsid w:val="00AB1A4C"/>
    <w:rsid w:val="00AB235D"/>
    <w:rsid w:val="00AB358C"/>
    <w:rsid w:val="00AB67D1"/>
    <w:rsid w:val="00AC0D00"/>
    <w:rsid w:val="00AC101C"/>
    <w:rsid w:val="00AD0C50"/>
    <w:rsid w:val="00AD14CE"/>
    <w:rsid w:val="00AD3220"/>
    <w:rsid w:val="00AD3C2B"/>
    <w:rsid w:val="00AD4A9E"/>
    <w:rsid w:val="00AD780D"/>
    <w:rsid w:val="00AF765F"/>
    <w:rsid w:val="00AF7B16"/>
    <w:rsid w:val="00B03835"/>
    <w:rsid w:val="00B07849"/>
    <w:rsid w:val="00B117C8"/>
    <w:rsid w:val="00B1512E"/>
    <w:rsid w:val="00B23342"/>
    <w:rsid w:val="00B2590C"/>
    <w:rsid w:val="00B26026"/>
    <w:rsid w:val="00B30EAB"/>
    <w:rsid w:val="00B378C2"/>
    <w:rsid w:val="00B47508"/>
    <w:rsid w:val="00B47B3B"/>
    <w:rsid w:val="00B57C1E"/>
    <w:rsid w:val="00B672DA"/>
    <w:rsid w:val="00B67CBB"/>
    <w:rsid w:val="00B80532"/>
    <w:rsid w:val="00B83D86"/>
    <w:rsid w:val="00B85281"/>
    <w:rsid w:val="00B9408F"/>
    <w:rsid w:val="00BA2322"/>
    <w:rsid w:val="00BA3A02"/>
    <w:rsid w:val="00BA6417"/>
    <w:rsid w:val="00BA7FD6"/>
    <w:rsid w:val="00BB29C4"/>
    <w:rsid w:val="00BB59D1"/>
    <w:rsid w:val="00BB6353"/>
    <w:rsid w:val="00BC2BF7"/>
    <w:rsid w:val="00BD1D6D"/>
    <w:rsid w:val="00BD20A2"/>
    <w:rsid w:val="00BD337E"/>
    <w:rsid w:val="00BD38D5"/>
    <w:rsid w:val="00BD41B0"/>
    <w:rsid w:val="00BD4B6A"/>
    <w:rsid w:val="00BE7B92"/>
    <w:rsid w:val="00BF02CC"/>
    <w:rsid w:val="00BF18D7"/>
    <w:rsid w:val="00BF4F87"/>
    <w:rsid w:val="00BF51C2"/>
    <w:rsid w:val="00BF5A9A"/>
    <w:rsid w:val="00C018BE"/>
    <w:rsid w:val="00C01D0E"/>
    <w:rsid w:val="00C02713"/>
    <w:rsid w:val="00C077E9"/>
    <w:rsid w:val="00C07E6D"/>
    <w:rsid w:val="00C104A6"/>
    <w:rsid w:val="00C23DDE"/>
    <w:rsid w:val="00C25CA5"/>
    <w:rsid w:val="00C25CFD"/>
    <w:rsid w:val="00C26F01"/>
    <w:rsid w:val="00C27675"/>
    <w:rsid w:val="00C376FB"/>
    <w:rsid w:val="00C40CE4"/>
    <w:rsid w:val="00C42442"/>
    <w:rsid w:val="00C42E54"/>
    <w:rsid w:val="00C44AC0"/>
    <w:rsid w:val="00C46EA9"/>
    <w:rsid w:val="00C47CCA"/>
    <w:rsid w:val="00C51D82"/>
    <w:rsid w:val="00C62B56"/>
    <w:rsid w:val="00C63369"/>
    <w:rsid w:val="00C65AF9"/>
    <w:rsid w:val="00C70402"/>
    <w:rsid w:val="00C74CE8"/>
    <w:rsid w:val="00C83825"/>
    <w:rsid w:val="00C85DDC"/>
    <w:rsid w:val="00C9777B"/>
    <w:rsid w:val="00CA2617"/>
    <w:rsid w:val="00CA4CD8"/>
    <w:rsid w:val="00CB1786"/>
    <w:rsid w:val="00CB17F4"/>
    <w:rsid w:val="00CB1FF9"/>
    <w:rsid w:val="00CB24F4"/>
    <w:rsid w:val="00CB47BC"/>
    <w:rsid w:val="00CB5C1A"/>
    <w:rsid w:val="00CB7582"/>
    <w:rsid w:val="00CC4075"/>
    <w:rsid w:val="00CC5DA9"/>
    <w:rsid w:val="00CC66D0"/>
    <w:rsid w:val="00CD7242"/>
    <w:rsid w:val="00CE1674"/>
    <w:rsid w:val="00CE2F86"/>
    <w:rsid w:val="00CE3785"/>
    <w:rsid w:val="00CE3D8B"/>
    <w:rsid w:val="00CE45C1"/>
    <w:rsid w:val="00CE748E"/>
    <w:rsid w:val="00CF31A6"/>
    <w:rsid w:val="00CF6755"/>
    <w:rsid w:val="00D01BDA"/>
    <w:rsid w:val="00D0200A"/>
    <w:rsid w:val="00D11A67"/>
    <w:rsid w:val="00D12C8D"/>
    <w:rsid w:val="00D12ED8"/>
    <w:rsid w:val="00D157A5"/>
    <w:rsid w:val="00D17954"/>
    <w:rsid w:val="00D20FD0"/>
    <w:rsid w:val="00D24BD3"/>
    <w:rsid w:val="00D304FF"/>
    <w:rsid w:val="00D3209B"/>
    <w:rsid w:val="00D355A4"/>
    <w:rsid w:val="00D408E0"/>
    <w:rsid w:val="00D42475"/>
    <w:rsid w:val="00D433BC"/>
    <w:rsid w:val="00D470C3"/>
    <w:rsid w:val="00D546A7"/>
    <w:rsid w:val="00D557FA"/>
    <w:rsid w:val="00D56DA2"/>
    <w:rsid w:val="00D6192A"/>
    <w:rsid w:val="00D61A1A"/>
    <w:rsid w:val="00D638AF"/>
    <w:rsid w:val="00D639B1"/>
    <w:rsid w:val="00D644C3"/>
    <w:rsid w:val="00D64FAB"/>
    <w:rsid w:val="00D67208"/>
    <w:rsid w:val="00D73897"/>
    <w:rsid w:val="00D73927"/>
    <w:rsid w:val="00D80263"/>
    <w:rsid w:val="00D85EE8"/>
    <w:rsid w:val="00D90CEF"/>
    <w:rsid w:val="00D92A6C"/>
    <w:rsid w:val="00D97CF1"/>
    <w:rsid w:val="00DA59F2"/>
    <w:rsid w:val="00DC1222"/>
    <w:rsid w:val="00DD2E89"/>
    <w:rsid w:val="00DD3C62"/>
    <w:rsid w:val="00DD4914"/>
    <w:rsid w:val="00DD4D97"/>
    <w:rsid w:val="00DD698A"/>
    <w:rsid w:val="00DE1747"/>
    <w:rsid w:val="00DE3FDF"/>
    <w:rsid w:val="00DE42F9"/>
    <w:rsid w:val="00DE5965"/>
    <w:rsid w:val="00DE7128"/>
    <w:rsid w:val="00DF0F4B"/>
    <w:rsid w:val="00DF1B46"/>
    <w:rsid w:val="00DF746E"/>
    <w:rsid w:val="00E01529"/>
    <w:rsid w:val="00E12BF9"/>
    <w:rsid w:val="00E23A8B"/>
    <w:rsid w:val="00E30AD2"/>
    <w:rsid w:val="00E3130A"/>
    <w:rsid w:val="00E32429"/>
    <w:rsid w:val="00E36D36"/>
    <w:rsid w:val="00E37294"/>
    <w:rsid w:val="00E41759"/>
    <w:rsid w:val="00E522B3"/>
    <w:rsid w:val="00E524E0"/>
    <w:rsid w:val="00E53A17"/>
    <w:rsid w:val="00E56A2A"/>
    <w:rsid w:val="00E60565"/>
    <w:rsid w:val="00E620E9"/>
    <w:rsid w:val="00E635E0"/>
    <w:rsid w:val="00E67691"/>
    <w:rsid w:val="00E71C47"/>
    <w:rsid w:val="00E73178"/>
    <w:rsid w:val="00E750E3"/>
    <w:rsid w:val="00E75BB1"/>
    <w:rsid w:val="00E76549"/>
    <w:rsid w:val="00E778E9"/>
    <w:rsid w:val="00E823DD"/>
    <w:rsid w:val="00E83405"/>
    <w:rsid w:val="00E83E7D"/>
    <w:rsid w:val="00E84B4B"/>
    <w:rsid w:val="00E8553B"/>
    <w:rsid w:val="00E95163"/>
    <w:rsid w:val="00EA363F"/>
    <w:rsid w:val="00EB4D87"/>
    <w:rsid w:val="00EC0B80"/>
    <w:rsid w:val="00EC7E5F"/>
    <w:rsid w:val="00ED15F2"/>
    <w:rsid w:val="00ED258D"/>
    <w:rsid w:val="00ED5A58"/>
    <w:rsid w:val="00ED6FFC"/>
    <w:rsid w:val="00EE14DE"/>
    <w:rsid w:val="00EE31E2"/>
    <w:rsid w:val="00EE540C"/>
    <w:rsid w:val="00EE74E1"/>
    <w:rsid w:val="00EE7F9A"/>
    <w:rsid w:val="00EF1136"/>
    <w:rsid w:val="00EF7094"/>
    <w:rsid w:val="00F06CD4"/>
    <w:rsid w:val="00F168D2"/>
    <w:rsid w:val="00F22F4A"/>
    <w:rsid w:val="00F234FF"/>
    <w:rsid w:val="00F23A07"/>
    <w:rsid w:val="00F34A4A"/>
    <w:rsid w:val="00F36471"/>
    <w:rsid w:val="00F43B65"/>
    <w:rsid w:val="00F44031"/>
    <w:rsid w:val="00F47382"/>
    <w:rsid w:val="00F54134"/>
    <w:rsid w:val="00F577F5"/>
    <w:rsid w:val="00F615B7"/>
    <w:rsid w:val="00F618B9"/>
    <w:rsid w:val="00F720FE"/>
    <w:rsid w:val="00F74875"/>
    <w:rsid w:val="00F77D35"/>
    <w:rsid w:val="00F8300E"/>
    <w:rsid w:val="00F8659B"/>
    <w:rsid w:val="00F9323E"/>
    <w:rsid w:val="00F94AD9"/>
    <w:rsid w:val="00F96D2E"/>
    <w:rsid w:val="00FA149A"/>
    <w:rsid w:val="00FA1FCF"/>
    <w:rsid w:val="00FA4E01"/>
    <w:rsid w:val="00FA516C"/>
    <w:rsid w:val="00FA5706"/>
    <w:rsid w:val="00FB3352"/>
    <w:rsid w:val="00FB34F2"/>
    <w:rsid w:val="00FB5945"/>
    <w:rsid w:val="00FB757E"/>
    <w:rsid w:val="00FC18F9"/>
    <w:rsid w:val="00FC32C4"/>
    <w:rsid w:val="00FC3397"/>
    <w:rsid w:val="00FC598D"/>
    <w:rsid w:val="00FD167D"/>
    <w:rsid w:val="00FD1955"/>
    <w:rsid w:val="00FD5C08"/>
    <w:rsid w:val="00FE01C0"/>
    <w:rsid w:val="00FE16DD"/>
    <w:rsid w:val="00FE1911"/>
    <w:rsid w:val="00FF1665"/>
    <w:rsid w:val="00FF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49F7D-D38F-41DD-97AF-10B79D80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281"/>
    <w:pPr>
      <w:spacing w:line="256" w:lineRule="auto"/>
    </w:pPr>
  </w:style>
  <w:style w:type="paragraph" w:styleId="1">
    <w:name w:val="heading 1"/>
    <w:basedOn w:val="a"/>
    <w:next w:val="a"/>
    <w:link w:val="10"/>
    <w:uiPriority w:val="99"/>
    <w:qFormat/>
    <w:rsid w:val="006F0B1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5281"/>
    <w:pPr>
      <w:ind w:left="720"/>
      <w:contextualSpacing/>
    </w:pPr>
  </w:style>
  <w:style w:type="character" w:customStyle="1" w:styleId="10">
    <w:name w:val="Заголовок 1 Знак"/>
    <w:basedOn w:val="a0"/>
    <w:link w:val="1"/>
    <w:uiPriority w:val="99"/>
    <w:rsid w:val="006F0B18"/>
    <w:rPr>
      <w:rFonts w:ascii="Arial" w:eastAsiaTheme="minorEastAsia" w:hAnsi="Arial" w:cs="Arial"/>
      <w:b/>
      <w:bCs/>
      <w:color w:val="26282F"/>
      <w:sz w:val="24"/>
      <w:szCs w:val="24"/>
      <w:lang w:eastAsia="ru-RU"/>
    </w:rPr>
  </w:style>
  <w:style w:type="character" w:customStyle="1" w:styleId="a5">
    <w:name w:val="Гипертекстовая ссылка"/>
    <w:basedOn w:val="a0"/>
    <w:uiPriority w:val="99"/>
    <w:rsid w:val="006F0B18"/>
    <w:rPr>
      <w:rFonts w:cs="Times New Roman"/>
      <w:b w:val="0"/>
      <w:color w:val="106BBE"/>
    </w:rPr>
  </w:style>
  <w:style w:type="paragraph" w:styleId="a6">
    <w:name w:val="Balloon Text"/>
    <w:basedOn w:val="a"/>
    <w:link w:val="a7"/>
    <w:uiPriority w:val="99"/>
    <w:semiHidden/>
    <w:unhideWhenUsed/>
    <w:rsid w:val="00E84B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4B4B"/>
    <w:rPr>
      <w:rFonts w:ascii="Tahoma" w:hAnsi="Tahoma" w:cs="Tahoma"/>
      <w:sz w:val="16"/>
      <w:szCs w:val="16"/>
    </w:rPr>
  </w:style>
  <w:style w:type="paragraph" w:customStyle="1" w:styleId="a8">
    <w:name w:val="Прижатый влево"/>
    <w:basedOn w:val="a"/>
    <w:next w:val="a"/>
    <w:uiPriority w:val="99"/>
    <w:rsid w:val="00367CC8"/>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9">
    <w:name w:val="annotation reference"/>
    <w:basedOn w:val="a0"/>
    <w:uiPriority w:val="99"/>
    <w:semiHidden/>
    <w:unhideWhenUsed/>
    <w:rsid w:val="000E673B"/>
    <w:rPr>
      <w:sz w:val="16"/>
      <w:szCs w:val="16"/>
    </w:rPr>
  </w:style>
  <w:style w:type="paragraph" w:styleId="aa">
    <w:name w:val="annotation text"/>
    <w:basedOn w:val="a"/>
    <w:link w:val="ab"/>
    <w:uiPriority w:val="99"/>
    <w:unhideWhenUsed/>
    <w:rsid w:val="000E673B"/>
    <w:pPr>
      <w:spacing w:line="240" w:lineRule="auto"/>
    </w:pPr>
    <w:rPr>
      <w:sz w:val="20"/>
      <w:szCs w:val="20"/>
    </w:rPr>
  </w:style>
  <w:style w:type="character" w:customStyle="1" w:styleId="ab">
    <w:name w:val="Текст примечания Знак"/>
    <w:basedOn w:val="a0"/>
    <w:link w:val="aa"/>
    <w:uiPriority w:val="99"/>
    <w:rsid w:val="000E673B"/>
    <w:rPr>
      <w:sz w:val="20"/>
      <w:szCs w:val="20"/>
    </w:rPr>
  </w:style>
  <w:style w:type="paragraph" w:styleId="ac">
    <w:name w:val="annotation subject"/>
    <w:basedOn w:val="aa"/>
    <w:next w:val="aa"/>
    <w:link w:val="ad"/>
    <w:uiPriority w:val="99"/>
    <w:semiHidden/>
    <w:unhideWhenUsed/>
    <w:rsid w:val="000E673B"/>
    <w:rPr>
      <w:b/>
      <w:bCs/>
    </w:rPr>
  </w:style>
  <w:style w:type="character" w:customStyle="1" w:styleId="ad">
    <w:name w:val="Тема примечания Знак"/>
    <w:basedOn w:val="ab"/>
    <w:link w:val="ac"/>
    <w:uiPriority w:val="99"/>
    <w:semiHidden/>
    <w:rsid w:val="000E673B"/>
    <w:rPr>
      <w:b/>
      <w:bCs/>
      <w:sz w:val="20"/>
      <w:szCs w:val="20"/>
    </w:rPr>
  </w:style>
  <w:style w:type="paragraph" w:styleId="ae">
    <w:name w:val="footnote text"/>
    <w:basedOn w:val="a"/>
    <w:link w:val="af"/>
    <w:uiPriority w:val="99"/>
    <w:semiHidden/>
    <w:unhideWhenUsed/>
    <w:rsid w:val="00A46C9B"/>
    <w:pPr>
      <w:spacing w:after="0" w:line="240" w:lineRule="auto"/>
    </w:pPr>
    <w:rPr>
      <w:sz w:val="20"/>
      <w:szCs w:val="20"/>
    </w:rPr>
  </w:style>
  <w:style w:type="character" w:customStyle="1" w:styleId="af">
    <w:name w:val="Текст сноски Знак"/>
    <w:basedOn w:val="a0"/>
    <w:link w:val="ae"/>
    <w:uiPriority w:val="99"/>
    <w:semiHidden/>
    <w:rsid w:val="00A46C9B"/>
    <w:rPr>
      <w:sz w:val="20"/>
      <w:szCs w:val="20"/>
    </w:rPr>
  </w:style>
  <w:style w:type="character" w:styleId="af0">
    <w:name w:val="footnote reference"/>
    <w:basedOn w:val="a0"/>
    <w:uiPriority w:val="99"/>
    <w:semiHidden/>
    <w:unhideWhenUsed/>
    <w:rsid w:val="00A46C9B"/>
    <w:rPr>
      <w:vertAlign w:val="superscript"/>
    </w:rPr>
  </w:style>
  <w:style w:type="paragraph" w:styleId="af1">
    <w:name w:val="header"/>
    <w:basedOn w:val="a"/>
    <w:link w:val="af2"/>
    <w:uiPriority w:val="99"/>
    <w:unhideWhenUsed/>
    <w:rsid w:val="00AF765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F765F"/>
  </w:style>
  <w:style w:type="paragraph" w:styleId="af3">
    <w:name w:val="footer"/>
    <w:basedOn w:val="a"/>
    <w:link w:val="af4"/>
    <w:uiPriority w:val="99"/>
    <w:unhideWhenUsed/>
    <w:rsid w:val="00AF765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F765F"/>
  </w:style>
  <w:style w:type="paragraph" w:customStyle="1" w:styleId="ConsPlusNormal">
    <w:name w:val="ConsPlusNormal"/>
    <w:rsid w:val="00F23A07"/>
    <w:pPr>
      <w:widowControl w:val="0"/>
      <w:autoSpaceDE w:val="0"/>
      <w:autoSpaceDN w:val="0"/>
      <w:spacing w:after="0" w:line="240" w:lineRule="auto"/>
    </w:pPr>
    <w:rPr>
      <w:rFonts w:ascii="Calibri" w:eastAsia="Times New Roman" w:hAnsi="Calibri" w:cs="Calibri"/>
      <w:szCs w:val="20"/>
      <w:lang w:eastAsia="ru-RU"/>
    </w:rPr>
  </w:style>
  <w:style w:type="character" w:styleId="af5">
    <w:name w:val="Hyperlink"/>
    <w:basedOn w:val="a0"/>
    <w:uiPriority w:val="99"/>
    <w:unhideWhenUsed/>
    <w:rsid w:val="001B05A2"/>
    <w:rPr>
      <w:color w:val="0563C1" w:themeColor="hyperlink"/>
      <w:u w:val="single"/>
    </w:rPr>
  </w:style>
  <w:style w:type="paragraph" w:styleId="af6">
    <w:name w:val="Normal (Web)"/>
    <w:aliases w:val="Обычный (веб) Знак Знак Знак1,Знак Знак Знак Знак Знак,Обычный (веб) Знак Знак Знак Знак,Знак Знак Знак1 Знак Знак,Обычный (веб) Знак Знак Знак,Знак Знак6,Обычный (веб)2,Обычный (Web),Знак Знак4,Знак Знак5,Обычный (веб)11"/>
    <w:basedOn w:val="a"/>
    <w:link w:val="af7"/>
    <w:uiPriority w:val="99"/>
    <w:unhideWhenUsed/>
    <w:qFormat/>
    <w:rsid w:val="00F36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Revision"/>
    <w:hidden/>
    <w:uiPriority w:val="99"/>
    <w:semiHidden/>
    <w:rsid w:val="00452A1D"/>
    <w:pPr>
      <w:spacing w:after="0" w:line="240" w:lineRule="auto"/>
    </w:pPr>
  </w:style>
  <w:style w:type="character" w:customStyle="1" w:styleId="af7">
    <w:name w:val="Обычный (веб) Знак"/>
    <w:aliases w:val="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 Знак6 Знак,Обычный (веб)2 Знак,Обычный (Web) Знак"/>
    <w:link w:val="af6"/>
    <w:uiPriority w:val="99"/>
    <w:locked/>
    <w:rsid w:val="007912D0"/>
    <w:rPr>
      <w:rFonts w:ascii="Times New Roman" w:eastAsia="Times New Roman" w:hAnsi="Times New Roman" w:cs="Times New Roman"/>
      <w:sz w:val="24"/>
      <w:szCs w:val="24"/>
      <w:lang w:eastAsia="ru-RU"/>
    </w:rPr>
  </w:style>
  <w:style w:type="paragraph" w:styleId="af9">
    <w:name w:val="endnote text"/>
    <w:basedOn w:val="a"/>
    <w:link w:val="afa"/>
    <w:uiPriority w:val="99"/>
    <w:semiHidden/>
    <w:unhideWhenUsed/>
    <w:rsid w:val="00065603"/>
    <w:pPr>
      <w:spacing w:after="0" w:line="240" w:lineRule="auto"/>
    </w:pPr>
    <w:rPr>
      <w:sz w:val="20"/>
      <w:szCs w:val="20"/>
    </w:rPr>
  </w:style>
  <w:style w:type="character" w:customStyle="1" w:styleId="afa">
    <w:name w:val="Текст концевой сноски Знак"/>
    <w:basedOn w:val="a0"/>
    <w:link w:val="af9"/>
    <w:uiPriority w:val="99"/>
    <w:semiHidden/>
    <w:rsid w:val="00065603"/>
    <w:rPr>
      <w:sz w:val="20"/>
      <w:szCs w:val="20"/>
    </w:rPr>
  </w:style>
  <w:style w:type="character" w:styleId="afb">
    <w:name w:val="endnote reference"/>
    <w:basedOn w:val="a0"/>
    <w:uiPriority w:val="99"/>
    <w:semiHidden/>
    <w:unhideWhenUsed/>
    <w:rsid w:val="00065603"/>
    <w:rPr>
      <w:vertAlign w:val="superscript"/>
    </w:rPr>
  </w:style>
  <w:style w:type="paragraph" w:customStyle="1" w:styleId="ConsPlusTitle">
    <w:name w:val="ConsPlusTitle"/>
    <w:rsid w:val="0095576E"/>
    <w:pPr>
      <w:widowControl w:val="0"/>
      <w:autoSpaceDE w:val="0"/>
      <w:autoSpaceDN w:val="0"/>
      <w:spacing w:after="0" w:line="240" w:lineRule="auto"/>
    </w:pPr>
    <w:rPr>
      <w:rFonts w:ascii="Calibri" w:eastAsia="Times New Roman" w:hAnsi="Calibri" w:cs="Calibri"/>
      <w:b/>
      <w:szCs w:val="20"/>
      <w:lang w:eastAsia="ru-RU"/>
    </w:rPr>
  </w:style>
  <w:style w:type="paragraph" w:styleId="afc">
    <w:name w:val="Title"/>
    <w:basedOn w:val="a"/>
    <w:next w:val="a"/>
    <w:link w:val="afd"/>
    <w:uiPriority w:val="10"/>
    <w:qFormat/>
    <w:rsid w:val="00D433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d">
    <w:name w:val="Название Знак"/>
    <w:basedOn w:val="a0"/>
    <w:link w:val="afc"/>
    <w:uiPriority w:val="10"/>
    <w:rsid w:val="00D433BC"/>
    <w:rPr>
      <w:rFonts w:asciiTheme="majorHAnsi" w:eastAsiaTheme="majorEastAsia" w:hAnsiTheme="majorHAnsi" w:cstheme="majorBidi"/>
      <w:color w:val="323E4F" w:themeColor="text2" w:themeShade="BF"/>
      <w:spacing w:val="5"/>
      <w:kern w:val="28"/>
      <w:sz w:val="52"/>
      <w:szCs w:val="52"/>
    </w:rPr>
  </w:style>
  <w:style w:type="paragraph" w:styleId="afe">
    <w:name w:val="Plain Text"/>
    <w:basedOn w:val="a"/>
    <w:link w:val="aff"/>
    <w:uiPriority w:val="99"/>
    <w:semiHidden/>
    <w:unhideWhenUsed/>
    <w:rsid w:val="00A20F63"/>
    <w:pPr>
      <w:spacing w:after="0" w:line="240" w:lineRule="auto"/>
    </w:pPr>
    <w:rPr>
      <w:rFonts w:ascii="Times New Roman" w:hAnsi="Times New Roman"/>
      <w:color w:val="002060"/>
      <w:szCs w:val="21"/>
    </w:rPr>
  </w:style>
  <w:style w:type="character" w:customStyle="1" w:styleId="aff">
    <w:name w:val="Текст Знак"/>
    <w:basedOn w:val="a0"/>
    <w:link w:val="afe"/>
    <w:uiPriority w:val="99"/>
    <w:semiHidden/>
    <w:rsid w:val="00A20F63"/>
    <w:rPr>
      <w:rFonts w:ascii="Times New Roman" w:hAnsi="Times New Roman"/>
      <w:color w:val="002060"/>
      <w:szCs w:val="21"/>
    </w:rPr>
  </w:style>
  <w:style w:type="paragraph" w:customStyle="1" w:styleId="TabText">
    <w:name w:val="Tab_Text"/>
    <w:aliases w:val="Black,Normal + HelveticaNeue LT 55 Roman,10 pt,Justified"/>
    <w:link w:val="TabTextChar"/>
    <w:rsid w:val="00391FD9"/>
    <w:pPr>
      <w:spacing w:after="0" w:line="240" w:lineRule="auto"/>
    </w:pPr>
    <w:rPr>
      <w:rFonts w:ascii="HelveticaNeue LT 55 Roman" w:eastAsia="Times New Roman" w:hAnsi="HelveticaNeue LT 55 Roman" w:cs="HelveticaNeue LT 55 Roman"/>
      <w:sz w:val="14"/>
      <w:szCs w:val="14"/>
      <w:lang w:val="en-GB" w:eastAsia="ru-RU" w:bidi="ml-IN"/>
    </w:rPr>
  </w:style>
  <w:style w:type="character" w:customStyle="1" w:styleId="TabTextChar">
    <w:name w:val="Tab_Text Char"/>
    <w:aliases w:val="Black Char"/>
    <w:link w:val="TabText"/>
    <w:locked/>
    <w:rsid w:val="00391FD9"/>
    <w:rPr>
      <w:rFonts w:ascii="HelveticaNeue LT 55 Roman" w:eastAsia="Times New Roman" w:hAnsi="HelveticaNeue LT 55 Roman" w:cs="HelveticaNeue LT 55 Roman"/>
      <w:sz w:val="14"/>
      <w:szCs w:val="14"/>
      <w:lang w:val="en-GB" w:eastAsia="ru-RU" w:bidi="ml-IN"/>
    </w:rPr>
  </w:style>
  <w:style w:type="paragraph" w:customStyle="1" w:styleId="SourceLarge">
    <w:name w:val="SourceLarge"/>
    <w:next w:val="a"/>
    <w:link w:val="SourceLargeChar"/>
    <w:rsid w:val="00391FD9"/>
    <w:pPr>
      <w:suppressAutoHyphens/>
      <w:spacing w:after="360" w:line="160" w:lineRule="atLeast"/>
    </w:pPr>
    <w:rPr>
      <w:rFonts w:ascii="HelveticaNeue LT 65 Medium" w:eastAsia="Times New Roman" w:hAnsi="HelveticaNeue LT 65 Medium" w:cs="HelveticaNeue LT 65 Medium"/>
      <w:sz w:val="11"/>
      <w:szCs w:val="11"/>
      <w:lang w:val="en-GB" w:eastAsia="ru-RU" w:bidi="ml-IN"/>
    </w:rPr>
  </w:style>
  <w:style w:type="character" w:customStyle="1" w:styleId="SourceLargeChar">
    <w:name w:val="SourceLarge Char"/>
    <w:link w:val="SourceLarge"/>
    <w:locked/>
    <w:rsid w:val="00391FD9"/>
    <w:rPr>
      <w:rFonts w:ascii="HelveticaNeue LT 65 Medium" w:eastAsia="Times New Roman" w:hAnsi="HelveticaNeue LT 65 Medium" w:cs="HelveticaNeue LT 65 Medium"/>
      <w:sz w:val="11"/>
      <w:szCs w:val="11"/>
      <w:lang w:val="en-GB" w:eastAsia="ru-RU" w:bidi="ml-IN"/>
    </w:rPr>
  </w:style>
  <w:style w:type="paragraph" w:customStyle="1" w:styleId="GraphTitle">
    <w:name w:val="Graph_Title"/>
    <w:basedOn w:val="a"/>
    <w:link w:val="GraphTitleChar"/>
    <w:rsid w:val="00391FD9"/>
    <w:pPr>
      <w:suppressAutoHyphens/>
      <w:spacing w:before="120" w:after="40" w:line="240" w:lineRule="auto"/>
    </w:pPr>
    <w:rPr>
      <w:rFonts w:ascii="HelveticaNeue LT 65 Medium" w:eastAsia="Times New Roman" w:hAnsi="HelveticaNeue LT 65 Medium" w:cs="HelveticaNeue LT 65 Medium"/>
      <w:sz w:val="17"/>
      <w:szCs w:val="17"/>
      <w:lang w:val="en-GB" w:eastAsia="ru-RU" w:bidi="ml-IN"/>
    </w:rPr>
  </w:style>
  <w:style w:type="character" w:customStyle="1" w:styleId="GraphTitleChar">
    <w:name w:val="Graph_Title Char"/>
    <w:link w:val="GraphTitle"/>
    <w:locked/>
    <w:rsid w:val="00391FD9"/>
    <w:rPr>
      <w:rFonts w:ascii="HelveticaNeue LT 65 Medium" w:eastAsia="Times New Roman" w:hAnsi="HelveticaNeue LT 65 Medium" w:cs="HelveticaNeue LT 65 Medium"/>
      <w:sz w:val="17"/>
      <w:szCs w:val="17"/>
      <w:lang w:val="en-GB" w:eastAsia="ru-RU" w:bidi="ml-IN"/>
    </w:rPr>
  </w:style>
  <w:style w:type="table" w:customStyle="1" w:styleId="Smalltable">
    <w:name w:val="Small table"/>
    <w:basedOn w:val="a1"/>
    <w:rsid w:val="00391FD9"/>
    <w:pPr>
      <w:spacing w:after="0" w:line="240" w:lineRule="auto"/>
      <w:jc w:val="both"/>
    </w:pPr>
    <w:rPr>
      <w:rFonts w:ascii="HelveticaNeue LT 65 Medium" w:eastAsia="Times New Roman" w:hAnsi="HelveticaNeue LT 65 Medium" w:cs="Times New Roman"/>
      <w:sz w:val="14"/>
      <w:szCs w:val="14"/>
      <w:lang w:val="en-US"/>
    </w:rPr>
    <w:tblPr>
      <w:tblInd w:w="2608" w:type="dxa"/>
      <w:tblCellMar>
        <w:top w:w="0" w:type="dxa"/>
        <w:left w:w="0" w:type="dxa"/>
        <w:bottom w:w="0" w:type="dxa"/>
        <w:right w:w="0" w:type="dxa"/>
      </w:tblCellMar>
    </w:tblPr>
    <w:tcPr>
      <w:tcMar>
        <w:left w:w="28" w:type="dxa"/>
        <w:right w:w="28"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3778">
      <w:bodyDiv w:val="1"/>
      <w:marLeft w:val="0"/>
      <w:marRight w:val="0"/>
      <w:marTop w:val="0"/>
      <w:marBottom w:val="0"/>
      <w:divBdr>
        <w:top w:val="none" w:sz="0" w:space="0" w:color="auto"/>
        <w:left w:val="none" w:sz="0" w:space="0" w:color="auto"/>
        <w:bottom w:val="none" w:sz="0" w:space="0" w:color="auto"/>
        <w:right w:val="none" w:sz="0" w:space="0" w:color="auto"/>
      </w:divBdr>
    </w:div>
    <w:div w:id="89205519">
      <w:bodyDiv w:val="1"/>
      <w:marLeft w:val="0"/>
      <w:marRight w:val="0"/>
      <w:marTop w:val="0"/>
      <w:marBottom w:val="0"/>
      <w:divBdr>
        <w:top w:val="none" w:sz="0" w:space="0" w:color="auto"/>
        <w:left w:val="none" w:sz="0" w:space="0" w:color="auto"/>
        <w:bottom w:val="none" w:sz="0" w:space="0" w:color="auto"/>
        <w:right w:val="none" w:sz="0" w:space="0" w:color="auto"/>
      </w:divBdr>
    </w:div>
    <w:div w:id="325475210">
      <w:bodyDiv w:val="1"/>
      <w:marLeft w:val="0"/>
      <w:marRight w:val="0"/>
      <w:marTop w:val="0"/>
      <w:marBottom w:val="0"/>
      <w:divBdr>
        <w:top w:val="none" w:sz="0" w:space="0" w:color="auto"/>
        <w:left w:val="none" w:sz="0" w:space="0" w:color="auto"/>
        <w:bottom w:val="none" w:sz="0" w:space="0" w:color="auto"/>
        <w:right w:val="none" w:sz="0" w:space="0" w:color="auto"/>
      </w:divBdr>
    </w:div>
    <w:div w:id="346518293">
      <w:bodyDiv w:val="1"/>
      <w:marLeft w:val="0"/>
      <w:marRight w:val="0"/>
      <w:marTop w:val="0"/>
      <w:marBottom w:val="0"/>
      <w:divBdr>
        <w:top w:val="none" w:sz="0" w:space="0" w:color="auto"/>
        <w:left w:val="none" w:sz="0" w:space="0" w:color="auto"/>
        <w:bottom w:val="none" w:sz="0" w:space="0" w:color="auto"/>
        <w:right w:val="none" w:sz="0" w:space="0" w:color="auto"/>
      </w:divBdr>
    </w:div>
    <w:div w:id="457067671">
      <w:bodyDiv w:val="1"/>
      <w:marLeft w:val="0"/>
      <w:marRight w:val="0"/>
      <w:marTop w:val="0"/>
      <w:marBottom w:val="0"/>
      <w:divBdr>
        <w:top w:val="none" w:sz="0" w:space="0" w:color="auto"/>
        <w:left w:val="none" w:sz="0" w:space="0" w:color="auto"/>
        <w:bottom w:val="none" w:sz="0" w:space="0" w:color="auto"/>
        <w:right w:val="none" w:sz="0" w:space="0" w:color="auto"/>
      </w:divBdr>
    </w:div>
    <w:div w:id="484323449">
      <w:bodyDiv w:val="1"/>
      <w:marLeft w:val="0"/>
      <w:marRight w:val="0"/>
      <w:marTop w:val="0"/>
      <w:marBottom w:val="0"/>
      <w:divBdr>
        <w:top w:val="none" w:sz="0" w:space="0" w:color="auto"/>
        <w:left w:val="none" w:sz="0" w:space="0" w:color="auto"/>
        <w:bottom w:val="none" w:sz="0" w:space="0" w:color="auto"/>
        <w:right w:val="none" w:sz="0" w:space="0" w:color="auto"/>
      </w:divBdr>
      <w:divsChild>
        <w:div w:id="1566798853">
          <w:marLeft w:val="0"/>
          <w:marRight w:val="0"/>
          <w:marTop w:val="0"/>
          <w:marBottom w:val="0"/>
          <w:divBdr>
            <w:top w:val="none" w:sz="0" w:space="0" w:color="auto"/>
            <w:left w:val="none" w:sz="0" w:space="0" w:color="auto"/>
            <w:bottom w:val="none" w:sz="0" w:space="0" w:color="auto"/>
            <w:right w:val="none" w:sz="0" w:space="0" w:color="auto"/>
          </w:divBdr>
          <w:divsChild>
            <w:div w:id="1342925774">
              <w:marLeft w:val="0"/>
              <w:marRight w:val="0"/>
              <w:marTop w:val="0"/>
              <w:marBottom w:val="0"/>
              <w:divBdr>
                <w:top w:val="none" w:sz="0" w:space="0" w:color="auto"/>
                <w:left w:val="none" w:sz="0" w:space="0" w:color="auto"/>
                <w:bottom w:val="none" w:sz="0" w:space="0" w:color="auto"/>
                <w:right w:val="none" w:sz="0" w:space="0" w:color="auto"/>
              </w:divBdr>
              <w:divsChild>
                <w:div w:id="162398564">
                  <w:marLeft w:val="0"/>
                  <w:marRight w:val="0"/>
                  <w:marTop w:val="0"/>
                  <w:marBottom w:val="0"/>
                  <w:divBdr>
                    <w:top w:val="none" w:sz="0" w:space="0" w:color="auto"/>
                    <w:left w:val="none" w:sz="0" w:space="0" w:color="auto"/>
                    <w:bottom w:val="none" w:sz="0" w:space="0" w:color="auto"/>
                    <w:right w:val="none" w:sz="0" w:space="0" w:color="auto"/>
                  </w:divBdr>
                  <w:divsChild>
                    <w:div w:id="365911564">
                      <w:marLeft w:val="0"/>
                      <w:marRight w:val="0"/>
                      <w:marTop w:val="0"/>
                      <w:marBottom w:val="0"/>
                      <w:divBdr>
                        <w:top w:val="none" w:sz="0" w:space="0" w:color="auto"/>
                        <w:left w:val="none" w:sz="0" w:space="0" w:color="auto"/>
                        <w:bottom w:val="none" w:sz="0" w:space="0" w:color="auto"/>
                        <w:right w:val="none" w:sz="0" w:space="0" w:color="auto"/>
                      </w:divBdr>
                      <w:divsChild>
                        <w:div w:id="1666007959">
                          <w:marLeft w:val="-225"/>
                          <w:marRight w:val="-225"/>
                          <w:marTop w:val="0"/>
                          <w:marBottom w:val="0"/>
                          <w:divBdr>
                            <w:top w:val="none" w:sz="0" w:space="0" w:color="auto"/>
                            <w:left w:val="none" w:sz="0" w:space="0" w:color="auto"/>
                            <w:bottom w:val="none" w:sz="0" w:space="0" w:color="auto"/>
                            <w:right w:val="none" w:sz="0" w:space="0" w:color="auto"/>
                          </w:divBdr>
                          <w:divsChild>
                            <w:div w:id="827788848">
                              <w:marLeft w:val="0"/>
                              <w:marRight w:val="0"/>
                              <w:marTop w:val="0"/>
                              <w:marBottom w:val="0"/>
                              <w:divBdr>
                                <w:top w:val="none" w:sz="0" w:space="0" w:color="auto"/>
                                <w:left w:val="none" w:sz="0" w:space="0" w:color="auto"/>
                                <w:bottom w:val="none" w:sz="0" w:space="0" w:color="auto"/>
                                <w:right w:val="none" w:sz="0" w:space="0" w:color="auto"/>
                              </w:divBdr>
                              <w:divsChild>
                                <w:div w:id="19703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154512">
      <w:bodyDiv w:val="1"/>
      <w:marLeft w:val="0"/>
      <w:marRight w:val="0"/>
      <w:marTop w:val="0"/>
      <w:marBottom w:val="0"/>
      <w:divBdr>
        <w:top w:val="none" w:sz="0" w:space="0" w:color="auto"/>
        <w:left w:val="none" w:sz="0" w:space="0" w:color="auto"/>
        <w:bottom w:val="none" w:sz="0" w:space="0" w:color="auto"/>
        <w:right w:val="none" w:sz="0" w:space="0" w:color="auto"/>
      </w:divBdr>
    </w:div>
    <w:div w:id="626156144">
      <w:bodyDiv w:val="1"/>
      <w:marLeft w:val="0"/>
      <w:marRight w:val="0"/>
      <w:marTop w:val="0"/>
      <w:marBottom w:val="0"/>
      <w:divBdr>
        <w:top w:val="none" w:sz="0" w:space="0" w:color="auto"/>
        <w:left w:val="none" w:sz="0" w:space="0" w:color="auto"/>
        <w:bottom w:val="none" w:sz="0" w:space="0" w:color="auto"/>
        <w:right w:val="none" w:sz="0" w:space="0" w:color="auto"/>
      </w:divBdr>
    </w:div>
    <w:div w:id="682173116">
      <w:bodyDiv w:val="1"/>
      <w:marLeft w:val="0"/>
      <w:marRight w:val="0"/>
      <w:marTop w:val="0"/>
      <w:marBottom w:val="0"/>
      <w:divBdr>
        <w:top w:val="none" w:sz="0" w:space="0" w:color="auto"/>
        <w:left w:val="none" w:sz="0" w:space="0" w:color="auto"/>
        <w:bottom w:val="none" w:sz="0" w:space="0" w:color="auto"/>
        <w:right w:val="none" w:sz="0" w:space="0" w:color="auto"/>
      </w:divBdr>
    </w:div>
    <w:div w:id="786965462">
      <w:bodyDiv w:val="1"/>
      <w:marLeft w:val="0"/>
      <w:marRight w:val="0"/>
      <w:marTop w:val="0"/>
      <w:marBottom w:val="0"/>
      <w:divBdr>
        <w:top w:val="none" w:sz="0" w:space="0" w:color="auto"/>
        <w:left w:val="none" w:sz="0" w:space="0" w:color="auto"/>
        <w:bottom w:val="none" w:sz="0" w:space="0" w:color="auto"/>
        <w:right w:val="none" w:sz="0" w:space="0" w:color="auto"/>
      </w:divBdr>
    </w:div>
    <w:div w:id="823396057">
      <w:bodyDiv w:val="1"/>
      <w:marLeft w:val="0"/>
      <w:marRight w:val="0"/>
      <w:marTop w:val="0"/>
      <w:marBottom w:val="0"/>
      <w:divBdr>
        <w:top w:val="none" w:sz="0" w:space="0" w:color="auto"/>
        <w:left w:val="none" w:sz="0" w:space="0" w:color="auto"/>
        <w:bottom w:val="none" w:sz="0" w:space="0" w:color="auto"/>
        <w:right w:val="none" w:sz="0" w:space="0" w:color="auto"/>
      </w:divBdr>
    </w:div>
    <w:div w:id="959529549">
      <w:bodyDiv w:val="1"/>
      <w:marLeft w:val="0"/>
      <w:marRight w:val="0"/>
      <w:marTop w:val="0"/>
      <w:marBottom w:val="0"/>
      <w:divBdr>
        <w:top w:val="none" w:sz="0" w:space="0" w:color="auto"/>
        <w:left w:val="none" w:sz="0" w:space="0" w:color="auto"/>
        <w:bottom w:val="none" w:sz="0" w:space="0" w:color="auto"/>
        <w:right w:val="none" w:sz="0" w:space="0" w:color="auto"/>
      </w:divBdr>
    </w:div>
    <w:div w:id="1082338864">
      <w:bodyDiv w:val="1"/>
      <w:marLeft w:val="0"/>
      <w:marRight w:val="0"/>
      <w:marTop w:val="0"/>
      <w:marBottom w:val="0"/>
      <w:divBdr>
        <w:top w:val="none" w:sz="0" w:space="0" w:color="auto"/>
        <w:left w:val="none" w:sz="0" w:space="0" w:color="auto"/>
        <w:bottom w:val="none" w:sz="0" w:space="0" w:color="auto"/>
        <w:right w:val="none" w:sz="0" w:space="0" w:color="auto"/>
      </w:divBdr>
    </w:div>
    <w:div w:id="1168205745">
      <w:bodyDiv w:val="1"/>
      <w:marLeft w:val="0"/>
      <w:marRight w:val="0"/>
      <w:marTop w:val="0"/>
      <w:marBottom w:val="0"/>
      <w:divBdr>
        <w:top w:val="none" w:sz="0" w:space="0" w:color="auto"/>
        <w:left w:val="none" w:sz="0" w:space="0" w:color="auto"/>
        <w:bottom w:val="none" w:sz="0" w:space="0" w:color="auto"/>
        <w:right w:val="none" w:sz="0" w:space="0" w:color="auto"/>
      </w:divBdr>
    </w:div>
    <w:div w:id="1183665692">
      <w:bodyDiv w:val="1"/>
      <w:marLeft w:val="0"/>
      <w:marRight w:val="0"/>
      <w:marTop w:val="0"/>
      <w:marBottom w:val="0"/>
      <w:divBdr>
        <w:top w:val="none" w:sz="0" w:space="0" w:color="auto"/>
        <w:left w:val="none" w:sz="0" w:space="0" w:color="auto"/>
        <w:bottom w:val="none" w:sz="0" w:space="0" w:color="auto"/>
        <w:right w:val="none" w:sz="0" w:space="0" w:color="auto"/>
      </w:divBdr>
    </w:div>
    <w:div w:id="1274677427">
      <w:bodyDiv w:val="1"/>
      <w:marLeft w:val="0"/>
      <w:marRight w:val="0"/>
      <w:marTop w:val="0"/>
      <w:marBottom w:val="0"/>
      <w:divBdr>
        <w:top w:val="none" w:sz="0" w:space="0" w:color="auto"/>
        <w:left w:val="none" w:sz="0" w:space="0" w:color="auto"/>
        <w:bottom w:val="none" w:sz="0" w:space="0" w:color="auto"/>
        <w:right w:val="none" w:sz="0" w:space="0" w:color="auto"/>
      </w:divBdr>
    </w:div>
    <w:div w:id="1525822852">
      <w:bodyDiv w:val="1"/>
      <w:marLeft w:val="0"/>
      <w:marRight w:val="0"/>
      <w:marTop w:val="0"/>
      <w:marBottom w:val="0"/>
      <w:divBdr>
        <w:top w:val="none" w:sz="0" w:space="0" w:color="auto"/>
        <w:left w:val="none" w:sz="0" w:space="0" w:color="auto"/>
        <w:bottom w:val="none" w:sz="0" w:space="0" w:color="auto"/>
        <w:right w:val="none" w:sz="0" w:space="0" w:color="auto"/>
      </w:divBdr>
    </w:div>
    <w:div w:id="1575122421">
      <w:bodyDiv w:val="1"/>
      <w:marLeft w:val="0"/>
      <w:marRight w:val="0"/>
      <w:marTop w:val="0"/>
      <w:marBottom w:val="0"/>
      <w:divBdr>
        <w:top w:val="none" w:sz="0" w:space="0" w:color="auto"/>
        <w:left w:val="none" w:sz="0" w:space="0" w:color="auto"/>
        <w:bottom w:val="none" w:sz="0" w:space="0" w:color="auto"/>
        <w:right w:val="none" w:sz="0" w:space="0" w:color="auto"/>
      </w:divBdr>
    </w:div>
    <w:div w:id="1870951239">
      <w:bodyDiv w:val="1"/>
      <w:marLeft w:val="0"/>
      <w:marRight w:val="0"/>
      <w:marTop w:val="0"/>
      <w:marBottom w:val="0"/>
      <w:divBdr>
        <w:top w:val="none" w:sz="0" w:space="0" w:color="auto"/>
        <w:left w:val="none" w:sz="0" w:space="0" w:color="auto"/>
        <w:bottom w:val="none" w:sz="0" w:space="0" w:color="auto"/>
        <w:right w:val="none" w:sz="0" w:space="0" w:color="auto"/>
      </w:divBdr>
    </w:div>
    <w:div w:id="1883857065">
      <w:bodyDiv w:val="1"/>
      <w:marLeft w:val="0"/>
      <w:marRight w:val="0"/>
      <w:marTop w:val="0"/>
      <w:marBottom w:val="0"/>
      <w:divBdr>
        <w:top w:val="none" w:sz="0" w:space="0" w:color="auto"/>
        <w:left w:val="none" w:sz="0" w:space="0" w:color="auto"/>
        <w:bottom w:val="none" w:sz="0" w:space="0" w:color="auto"/>
        <w:right w:val="none" w:sz="0" w:space="0" w:color="auto"/>
      </w:divBdr>
    </w:div>
    <w:div w:id="1896501162">
      <w:bodyDiv w:val="1"/>
      <w:marLeft w:val="0"/>
      <w:marRight w:val="0"/>
      <w:marTop w:val="0"/>
      <w:marBottom w:val="0"/>
      <w:divBdr>
        <w:top w:val="none" w:sz="0" w:space="0" w:color="auto"/>
        <w:left w:val="none" w:sz="0" w:space="0" w:color="auto"/>
        <w:bottom w:val="none" w:sz="0" w:space="0" w:color="auto"/>
        <w:right w:val="none" w:sz="0" w:space="0" w:color="auto"/>
      </w:divBdr>
    </w:div>
    <w:div w:id="2085754418">
      <w:bodyDiv w:val="1"/>
      <w:marLeft w:val="0"/>
      <w:marRight w:val="0"/>
      <w:marTop w:val="0"/>
      <w:marBottom w:val="0"/>
      <w:divBdr>
        <w:top w:val="none" w:sz="0" w:space="0" w:color="auto"/>
        <w:left w:val="none" w:sz="0" w:space="0" w:color="auto"/>
        <w:bottom w:val="none" w:sz="0" w:space="0" w:color="auto"/>
        <w:right w:val="none" w:sz="0" w:space="0" w:color="auto"/>
      </w:divBdr>
    </w:div>
    <w:div w:id="21305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079722.1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529\AppData\Local\Microsoft\Windows\INetCache\Content.Outlook\XJHRF6GG\&#1056;&#1041;&#1055;_&#1076;&#1083;&#1103;%20&#1086;&#1073;&#1079;&#1086;&#1088;&#1072;_&#1075;&#1088;&#1072;&#1092;&#1080;&#1082;&#108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529\AppData\Local\Microsoft\Windows\INetCache\Content.Outlook\XJHRF6GG\&#1056;&#1041;&#1055;_&#1076;&#1083;&#1103;%20&#1086;&#1073;&#1079;&#1086;&#1088;&#1072;_&#1075;&#1088;&#1072;&#1092;&#1080;&#1082;&#108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2;&#1080;&#1082;&#1090;&#1086;&#1088;&#1080;&#1103;\AppData\Local\Microsoft\Windows\INetCache\Content.Outlook\XY4A29N8\201117_&#1056;&#1041;&#1055;_&#1076;&#1083;&#1103;%20&#1086;&#1073;&#1079;&#1086;&#1088;&#1072;_&#1075;&#1088;&#1072;&#1092;&#1080;&#1082;&#1080;%20+%20&#1052;&#1086;&#1080;%20&#1087;&#1088;&#1072;&#1074;&#1082;&#108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529\Desktop\&#1054;&#1073;&#1079;&#1086;&#1088;%20&#1056;&#1041;&#1055;\&#1045;&#10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26697326550994E-2"/>
          <c:y val="5.0925925925925923E-2"/>
          <c:w val="0.89358284491724671"/>
          <c:h val="0.75052930883639546"/>
        </c:manualLayout>
      </c:layout>
      <c:barChart>
        <c:barDir val="col"/>
        <c:grouping val="stacked"/>
        <c:varyColors val="0"/>
        <c:ser>
          <c:idx val="0"/>
          <c:order val="0"/>
          <c:tx>
            <c:strRef>
              <c:f>'Программные расходы (новое)'!$M$9</c:f>
              <c:strCache>
                <c:ptCount val="1"/>
                <c:pt idx="0">
                  <c:v>более 95%</c:v>
                </c:pt>
              </c:strCache>
            </c:strRef>
          </c:tx>
          <c:spPr>
            <a:solidFill>
              <a:srgbClr val="00602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Century" panose="020406040505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'Программные расходы (новое)'!$N$8:$R$8</c:f>
              <c:strCache>
                <c:ptCount val="5"/>
                <c:pt idx="0">
                  <c:v>2020 год</c:v>
                </c:pt>
                <c:pt idx="1">
                  <c:v>2021 год</c:v>
                </c:pt>
                <c:pt idx="2">
                  <c:v>2022 год</c:v>
                </c:pt>
                <c:pt idx="3">
                  <c:v>2023 год</c:v>
                </c:pt>
                <c:pt idx="4">
                  <c:v>2024 год</c:v>
                </c:pt>
              </c:strCache>
            </c:strRef>
          </c:cat>
          <c:val>
            <c:numRef>
              <c:f>'Программные расходы (новое)'!$N$9:$R$9</c:f>
              <c:numCache>
                <c:formatCode>General</c:formatCode>
                <c:ptCount val="5"/>
                <c:pt idx="0">
                  <c:v>37</c:v>
                </c:pt>
                <c:pt idx="1">
                  <c:v>22</c:v>
                </c:pt>
                <c:pt idx="2">
                  <c:v>12</c:v>
                </c:pt>
                <c:pt idx="3">
                  <c:v>14</c:v>
                </c:pt>
                <c:pt idx="4">
                  <c:v>14</c:v>
                </c:pt>
              </c:numCache>
            </c:numRef>
          </c:val>
          <c:extLst xmlns:c16r2="http://schemas.microsoft.com/office/drawing/2015/06/chart">
            <c:ext xmlns:c16="http://schemas.microsoft.com/office/drawing/2014/chart" uri="{C3380CC4-5D6E-409C-BE32-E72D297353CC}">
              <c16:uniqueId val="{00000000-4DA3-4196-BAA7-E161B4752B8A}"/>
            </c:ext>
          </c:extLst>
        </c:ser>
        <c:ser>
          <c:idx val="1"/>
          <c:order val="1"/>
          <c:tx>
            <c:strRef>
              <c:f>'Программные расходы (новое)'!$M$10</c:f>
              <c:strCache>
                <c:ptCount val="1"/>
                <c:pt idx="0">
                  <c:v>от 60 до 95%</c:v>
                </c:pt>
              </c:strCache>
            </c:strRef>
          </c:tx>
          <c:spPr>
            <a:solidFill>
              <a:srgbClr val="8D8D5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Century" panose="020406040505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'Программные расходы (новое)'!$N$8:$R$8</c:f>
              <c:strCache>
                <c:ptCount val="5"/>
                <c:pt idx="0">
                  <c:v>2020 год</c:v>
                </c:pt>
                <c:pt idx="1">
                  <c:v>2021 год</c:v>
                </c:pt>
                <c:pt idx="2">
                  <c:v>2022 год</c:v>
                </c:pt>
                <c:pt idx="3">
                  <c:v>2023 год</c:v>
                </c:pt>
                <c:pt idx="4">
                  <c:v>2024 год</c:v>
                </c:pt>
              </c:strCache>
            </c:strRef>
          </c:cat>
          <c:val>
            <c:numRef>
              <c:f>'Программные расходы (новое)'!$N$10:$R$10</c:f>
              <c:numCache>
                <c:formatCode>General</c:formatCode>
                <c:ptCount val="5"/>
                <c:pt idx="0">
                  <c:v>37</c:v>
                </c:pt>
                <c:pt idx="1">
                  <c:v>42</c:v>
                </c:pt>
                <c:pt idx="2">
                  <c:v>53</c:v>
                </c:pt>
                <c:pt idx="3">
                  <c:v>41</c:v>
                </c:pt>
                <c:pt idx="4">
                  <c:v>40</c:v>
                </c:pt>
              </c:numCache>
            </c:numRef>
          </c:val>
          <c:extLst xmlns:c16r2="http://schemas.microsoft.com/office/drawing/2015/06/chart">
            <c:ext xmlns:c16="http://schemas.microsoft.com/office/drawing/2014/chart" uri="{C3380CC4-5D6E-409C-BE32-E72D297353CC}">
              <c16:uniqueId val="{00000001-4DA3-4196-BAA7-E161B4752B8A}"/>
            </c:ext>
          </c:extLst>
        </c:ser>
        <c:ser>
          <c:idx val="2"/>
          <c:order val="2"/>
          <c:tx>
            <c:strRef>
              <c:f>'Программные расходы (новое)'!$M$11</c:f>
              <c:strCache>
                <c:ptCount val="1"/>
                <c:pt idx="0">
                  <c:v>от 5 до 60%</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Century" panose="020406040505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'Программные расходы (новое)'!$N$8:$R$8</c:f>
              <c:strCache>
                <c:ptCount val="5"/>
                <c:pt idx="0">
                  <c:v>2020 год</c:v>
                </c:pt>
                <c:pt idx="1">
                  <c:v>2021 год</c:v>
                </c:pt>
                <c:pt idx="2">
                  <c:v>2022 год</c:v>
                </c:pt>
                <c:pt idx="3">
                  <c:v>2023 год</c:v>
                </c:pt>
                <c:pt idx="4">
                  <c:v>2024 год</c:v>
                </c:pt>
              </c:strCache>
            </c:strRef>
          </c:cat>
          <c:val>
            <c:numRef>
              <c:f>'Программные расходы (новое)'!$N$11:$R$11</c:f>
              <c:numCache>
                <c:formatCode>General</c:formatCode>
                <c:ptCount val="5"/>
                <c:pt idx="0">
                  <c:v>3</c:v>
                </c:pt>
                <c:pt idx="1">
                  <c:v>9</c:v>
                </c:pt>
                <c:pt idx="2">
                  <c:v>8</c:v>
                </c:pt>
                <c:pt idx="3">
                  <c:v>8</c:v>
                </c:pt>
                <c:pt idx="4">
                  <c:v>8</c:v>
                </c:pt>
              </c:numCache>
            </c:numRef>
          </c:val>
          <c:extLst xmlns:c16r2="http://schemas.microsoft.com/office/drawing/2015/06/chart">
            <c:ext xmlns:c16="http://schemas.microsoft.com/office/drawing/2014/chart" uri="{C3380CC4-5D6E-409C-BE32-E72D297353CC}">
              <c16:uniqueId val="{00000002-4DA3-4196-BAA7-E161B4752B8A}"/>
            </c:ext>
          </c:extLst>
        </c:ser>
        <c:ser>
          <c:idx val="3"/>
          <c:order val="3"/>
          <c:tx>
            <c:strRef>
              <c:f>'Программные расходы (новое)'!$M$12</c:f>
              <c:strCache>
                <c:ptCount val="1"/>
                <c:pt idx="0">
                  <c:v>менее 5%</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Century" panose="02040604050505020304" pitchFamily="18"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'Программные расходы (новое)'!$N$8:$R$8</c:f>
              <c:strCache>
                <c:ptCount val="5"/>
                <c:pt idx="0">
                  <c:v>2020 год</c:v>
                </c:pt>
                <c:pt idx="1">
                  <c:v>2021 год</c:v>
                </c:pt>
                <c:pt idx="2">
                  <c:v>2022 год</c:v>
                </c:pt>
                <c:pt idx="3">
                  <c:v>2023 год</c:v>
                </c:pt>
                <c:pt idx="4">
                  <c:v>2024 год</c:v>
                </c:pt>
              </c:strCache>
            </c:strRef>
          </c:cat>
          <c:val>
            <c:numRef>
              <c:f>'Программные расходы (новое)'!$N$12:$R$12</c:f>
              <c:numCache>
                <c:formatCode>General</c:formatCode>
                <c:ptCount val="5"/>
                <c:pt idx="0">
                  <c:v>4</c:v>
                </c:pt>
                <c:pt idx="1">
                  <c:v>8</c:v>
                </c:pt>
                <c:pt idx="2">
                  <c:v>8</c:v>
                </c:pt>
                <c:pt idx="3">
                  <c:v>18</c:v>
                </c:pt>
                <c:pt idx="4">
                  <c:v>19</c:v>
                </c:pt>
              </c:numCache>
            </c:numRef>
          </c:val>
          <c:extLst xmlns:c16r2="http://schemas.microsoft.com/office/drawing/2015/06/chart">
            <c:ext xmlns:c16="http://schemas.microsoft.com/office/drawing/2014/chart" uri="{C3380CC4-5D6E-409C-BE32-E72D297353CC}">
              <c16:uniqueId val="{00000003-4DA3-4196-BAA7-E161B4752B8A}"/>
            </c:ext>
          </c:extLst>
        </c:ser>
        <c:dLbls>
          <c:showLegendKey val="0"/>
          <c:showVal val="0"/>
          <c:showCatName val="0"/>
          <c:showSerName val="0"/>
          <c:showPercent val="0"/>
          <c:showBubbleSize val="0"/>
        </c:dLbls>
        <c:gapWidth val="100"/>
        <c:overlap val="100"/>
        <c:axId val="314428648"/>
        <c:axId val="314421984"/>
      </c:barChart>
      <c:catAx>
        <c:axId val="31442864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entury" panose="02040604050505020304" pitchFamily="18" charset="0"/>
                <a:ea typeface="+mn-ea"/>
                <a:cs typeface="+mn-cs"/>
              </a:defRPr>
            </a:pPr>
            <a:endParaRPr lang="ru-RU"/>
          </a:p>
        </c:txPr>
        <c:crossAx val="314421984"/>
        <c:crosses val="autoZero"/>
        <c:auto val="1"/>
        <c:lblAlgn val="ctr"/>
        <c:lblOffset val="100"/>
        <c:noMultiLvlLbl val="0"/>
      </c:catAx>
      <c:valAx>
        <c:axId val="314421984"/>
        <c:scaling>
          <c:orientation val="minMax"/>
          <c:max val="80"/>
          <c:min val="0"/>
        </c:scaling>
        <c:delete val="0"/>
        <c:axPos val="l"/>
        <c:title>
          <c:tx>
            <c:rich>
              <a:bodyPr rot="-5400000" spcFirstLastPara="1" vertOverflow="ellipsis" vert="horz" wrap="square" anchor="ctr" anchorCtr="1"/>
              <a:lstStyle/>
              <a:p>
                <a:pPr>
                  <a:defRPr sz="800" b="0" i="1" u="none" strike="noStrike" kern="1200" baseline="0">
                    <a:solidFill>
                      <a:sysClr val="windowText" lastClr="000000"/>
                    </a:solidFill>
                    <a:latin typeface="Century" panose="02040604050505020304" pitchFamily="18" charset="0"/>
                    <a:ea typeface="+mn-ea"/>
                    <a:cs typeface="+mn-cs"/>
                  </a:defRPr>
                </a:pPr>
                <a:r>
                  <a:rPr lang="en-US" sz="800" i="1">
                    <a:solidFill>
                      <a:sysClr val="windowText" lastClr="000000"/>
                    </a:solidFill>
                    <a:latin typeface="Century" panose="02040604050505020304" pitchFamily="18" charset="0"/>
                  </a:rPr>
                  <a:t>%</a:t>
                </a:r>
                <a:endParaRPr lang="ru-RU" sz="800" i="1">
                  <a:solidFill>
                    <a:sysClr val="windowText" lastClr="000000"/>
                  </a:solidFill>
                  <a:latin typeface="Century" panose="02040604050505020304" pitchFamily="18" charset="0"/>
                </a:endParaRPr>
              </a:p>
            </c:rich>
          </c:tx>
          <c:layout>
            <c:manualLayout>
              <c:xMode val="edge"/>
              <c:yMode val="edge"/>
              <c:x val="1.1904761904761904E-2"/>
              <c:y val="3.0009842519685023E-2"/>
            </c:manualLayout>
          </c:layout>
          <c:overlay val="0"/>
          <c:spPr>
            <a:noFill/>
            <a:ln>
              <a:noFill/>
            </a:ln>
            <a:effectLst/>
          </c:spPr>
          <c:txPr>
            <a:bodyPr rot="-5400000" spcFirstLastPara="1" vertOverflow="ellipsis" vert="horz" wrap="square" anchor="ctr" anchorCtr="1"/>
            <a:lstStyle/>
            <a:p>
              <a:pPr>
                <a:defRPr sz="800" b="0" i="1" u="none" strike="noStrike" kern="1200" baseline="0">
                  <a:solidFill>
                    <a:sysClr val="windowText" lastClr="000000"/>
                  </a:solidFill>
                  <a:latin typeface="Century" panose="02040604050505020304" pitchFamily="18" charset="0"/>
                  <a:ea typeface="+mn-ea"/>
                  <a:cs typeface="+mn-cs"/>
                </a:defRPr>
              </a:pPr>
              <a:endParaRPr lang="ru-RU"/>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entury" panose="02040604050505020304" pitchFamily="18" charset="0"/>
                <a:ea typeface="+mn-ea"/>
                <a:cs typeface="+mn-cs"/>
              </a:defRPr>
            </a:pPr>
            <a:endParaRPr lang="ru-RU"/>
          </a:p>
        </c:txPr>
        <c:crossAx val="314428648"/>
        <c:crosses val="autoZero"/>
        <c:crossBetween val="between"/>
        <c:majorUnit val="10"/>
      </c:valAx>
      <c:spPr>
        <a:noFill/>
        <a:ln>
          <a:noFill/>
        </a:ln>
        <a:effectLst/>
      </c:spPr>
    </c:plotArea>
    <c:legend>
      <c:legendPos val="b"/>
      <c:layout>
        <c:manualLayout>
          <c:xMode val="edge"/>
          <c:yMode val="edge"/>
          <c:x val="5.0843644544431958E-3"/>
          <c:y val="0.90946412948381472"/>
          <c:w val="0.96602155980502435"/>
          <c:h val="6.275809273840771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entury" panose="02040604050505020304" pitchFamily="18"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879667700543286E-2"/>
          <c:y val="4.847950639048039E-2"/>
          <c:w val="0.90043086142826478"/>
          <c:h val="0.80589770373018044"/>
        </c:manualLayout>
      </c:layout>
      <c:barChart>
        <c:barDir val="col"/>
        <c:grouping val="clustered"/>
        <c:varyColors val="0"/>
        <c:ser>
          <c:idx val="0"/>
          <c:order val="0"/>
          <c:tx>
            <c:strRef>
              <c:f>Лист2!$B$1</c:f>
              <c:strCache>
                <c:ptCount val="1"/>
                <c:pt idx="0">
                  <c:v>Средняя доля программных расходов в 2020-2024 гг.</c:v>
                </c:pt>
              </c:strCache>
            </c:strRef>
          </c:tx>
          <c:spPr>
            <a:solidFill>
              <a:srgbClr val="006600"/>
            </a:solidFill>
            <a:ln>
              <a:noFill/>
            </a:ln>
            <a:effectLst/>
          </c:spPr>
          <c:invertIfNegative val="0"/>
          <c:dPt>
            <c:idx val="56"/>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CCAB-43E5-AB44-B9DC988C789C}"/>
              </c:ext>
            </c:extLst>
          </c:dPt>
          <c:cat>
            <c:strRef>
              <c:f>Лист2!$A$2:$A$85</c:f>
              <c:strCache>
                <c:ptCount val="82"/>
                <c:pt idx="0">
                  <c:v>Омская область</c:v>
                </c:pt>
                <c:pt idx="1">
                  <c:v>Мурманская область</c:v>
                </c:pt>
                <c:pt idx="2">
                  <c:v>г. Севастополь</c:v>
                </c:pt>
                <c:pt idx="3">
                  <c:v>Ивановская область</c:v>
                </c:pt>
                <c:pt idx="4">
                  <c:v>Амурская область</c:v>
                </c:pt>
                <c:pt idx="5">
                  <c:v>Республика Калмыкия</c:v>
                </c:pt>
                <c:pt idx="6">
                  <c:v>Рязанская область</c:v>
                </c:pt>
                <c:pt idx="7">
                  <c:v>Тамбовская область</c:v>
                </c:pt>
                <c:pt idx="8">
                  <c:v>Томская область</c:v>
                </c:pt>
                <c:pt idx="9">
                  <c:v>Ханты-Мансийский автономный округ</c:v>
                </c:pt>
                <c:pt idx="10">
                  <c:v>Республика Коми</c:v>
                </c:pt>
                <c:pt idx="11">
                  <c:v>Республика Бурятия</c:v>
                </c:pt>
                <c:pt idx="12">
                  <c:v>Вологодская область</c:v>
                </c:pt>
                <c:pt idx="13">
                  <c:v>Удмуртская Республика</c:v>
                </c:pt>
                <c:pt idx="14">
                  <c:v>Республика Крым</c:v>
                </c:pt>
                <c:pt idx="15">
                  <c:v>Оренбургская область</c:v>
                </c:pt>
                <c:pt idx="16">
                  <c:v>Новосибирская область</c:v>
                </c:pt>
                <c:pt idx="17">
                  <c:v>Свердловская область</c:v>
                </c:pt>
                <c:pt idx="18">
                  <c:v>Чувашская Республика</c:v>
                </c:pt>
                <c:pt idx="19">
                  <c:v>Липецкая область</c:v>
                </c:pt>
                <c:pt idx="20">
                  <c:v>Сахалинская область</c:v>
                </c:pt>
                <c:pt idx="21">
                  <c:v>Приморский край</c:v>
                </c:pt>
                <c:pt idx="22">
                  <c:v>Новгородская область</c:v>
                </c:pt>
                <c:pt idx="23">
                  <c:v>Республика Ингушетия</c:v>
                </c:pt>
                <c:pt idx="24">
                  <c:v>Владимирская область</c:v>
                </c:pt>
                <c:pt idx="25">
                  <c:v>Нижегородская область</c:v>
                </c:pt>
                <c:pt idx="26">
                  <c:v>Астраханская область</c:v>
                </c:pt>
                <c:pt idx="27">
                  <c:v>г. Санкт-Петербург</c:v>
                </c:pt>
                <c:pt idx="28">
                  <c:v>Еврейская автономная область</c:v>
                </c:pt>
                <c:pt idx="29">
                  <c:v>г. Москва</c:v>
                </c:pt>
                <c:pt idx="30">
                  <c:v>Орловская область</c:v>
                </c:pt>
                <c:pt idx="31">
                  <c:v>Белгородская область</c:v>
                </c:pt>
                <c:pt idx="32">
                  <c:v>Республика Саха (Якутия)</c:v>
                </c:pt>
                <c:pt idx="33">
                  <c:v>Краснодарский край</c:v>
                </c:pt>
                <c:pt idx="34">
                  <c:v>Курская область</c:v>
                </c:pt>
                <c:pt idx="35">
                  <c:v>Волгоградская область</c:v>
                </c:pt>
                <c:pt idx="36">
                  <c:v>Воронежская область</c:v>
                </c:pt>
                <c:pt idx="37">
                  <c:v>Республика Марий Эл</c:v>
                </c:pt>
                <c:pt idx="38">
                  <c:v>Тульская область</c:v>
                </c:pt>
                <c:pt idx="39">
                  <c:v>Алтайский край</c:v>
                </c:pt>
                <c:pt idx="40">
                  <c:v>Архангельская область</c:v>
                </c:pt>
                <c:pt idx="41">
                  <c:v>Хабаровский край</c:v>
                </c:pt>
                <c:pt idx="42">
                  <c:v>Ставропольский край</c:v>
                </c:pt>
                <c:pt idx="43">
                  <c:v>Республика Северная Осетия-Алания</c:v>
                </c:pt>
                <c:pt idx="44">
                  <c:v>Республика Карелия</c:v>
                </c:pt>
                <c:pt idx="45">
                  <c:v>Кабардино-Балкарская Республика</c:v>
                </c:pt>
                <c:pt idx="46">
                  <c:v>Калужская область</c:v>
                </c:pt>
                <c:pt idx="47">
                  <c:v>Республика Тыва</c:v>
                </c:pt>
                <c:pt idx="48">
                  <c:v>Московская область</c:v>
                </c:pt>
                <c:pt idx="49">
                  <c:v>Самарская область</c:v>
                </c:pt>
                <c:pt idx="50">
                  <c:v>Ростовская область</c:v>
                </c:pt>
                <c:pt idx="51">
                  <c:v>Ленинградская область</c:v>
                </c:pt>
                <c:pt idx="52">
                  <c:v>Республика Татарстан</c:v>
                </c:pt>
                <c:pt idx="53">
                  <c:v>Республика Хакасия</c:v>
                </c:pt>
                <c:pt idx="54">
                  <c:v>Республика Мордовия</c:v>
                </c:pt>
                <c:pt idx="55">
                  <c:v>Ульяновская область</c:v>
                </c:pt>
                <c:pt idx="56">
                  <c:v>Средняя доля программных расходов в 2020-2024 гг. по РФ</c:v>
                </c:pt>
                <c:pt idx="57">
                  <c:v>Пензенская область</c:v>
                </c:pt>
                <c:pt idx="58">
                  <c:v>Смоленская область</c:v>
                </c:pt>
                <c:pt idx="59">
                  <c:v>Кировская область</c:v>
                </c:pt>
                <c:pt idx="60">
                  <c:v>Кемеровская область</c:v>
                </c:pt>
                <c:pt idx="61">
                  <c:v>Псковская область</c:v>
                </c:pt>
                <c:pt idx="62">
                  <c:v>Пермский край</c:v>
                </c:pt>
                <c:pt idx="63">
                  <c:v>Саратовская область</c:v>
                </c:pt>
                <c:pt idx="64">
                  <c:v>Ярославская область</c:v>
                </c:pt>
                <c:pt idx="65">
                  <c:v>Чеченская Республика</c:v>
                </c:pt>
                <c:pt idx="66">
                  <c:v>Республика Башкортостан</c:v>
                </c:pt>
                <c:pt idx="67">
                  <c:v>Челябинская область</c:v>
                </c:pt>
                <c:pt idx="68">
                  <c:v>Магаданская область</c:v>
                </c:pt>
                <c:pt idx="69">
                  <c:v>Забайкальский край</c:v>
                </c:pt>
                <c:pt idx="70">
                  <c:v>Республика Адыгея</c:v>
                </c:pt>
                <c:pt idx="71">
                  <c:v>Красноярский край</c:v>
                </c:pt>
                <c:pt idx="72">
                  <c:v>Калининградская область</c:v>
                </c:pt>
                <c:pt idx="73">
                  <c:v>Ненецкий автономный округ</c:v>
                </c:pt>
                <c:pt idx="74">
                  <c:v>Костромская область</c:v>
                </c:pt>
                <c:pt idx="75">
                  <c:v>Тверская область</c:v>
                </c:pt>
                <c:pt idx="76">
                  <c:v>Курганская область</c:v>
                </c:pt>
                <c:pt idx="77">
                  <c:v>Республика Дагестан</c:v>
                </c:pt>
                <c:pt idx="78">
                  <c:v>Брянская область</c:v>
                </c:pt>
                <c:pt idx="79">
                  <c:v>Тюменская область</c:v>
                </c:pt>
                <c:pt idx="80">
                  <c:v>Ямало-Ненецкий автономный округ</c:v>
                </c:pt>
                <c:pt idx="81">
                  <c:v>Иркутская область</c:v>
                </c:pt>
              </c:strCache>
            </c:strRef>
          </c:cat>
          <c:val>
            <c:numRef>
              <c:f>Лист2!$B$2:$B$85</c:f>
              <c:numCache>
                <c:formatCode>0.0</c:formatCode>
                <c:ptCount val="84"/>
                <c:pt idx="0">
                  <c:v>99.561703906892873</c:v>
                </c:pt>
                <c:pt idx="1">
                  <c:v>98.859358302395833</c:v>
                </c:pt>
                <c:pt idx="2">
                  <c:v>97.996825775767817</c:v>
                </c:pt>
                <c:pt idx="3">
                  <c:v>97.666971365838904</c:v>
                </c:pt>
                <c:pt idx="4">
                  <c:v>97.580942739150544</c:v>
                </c:pt>
                <c:pt idx="5">
                  <c:v>97.445864928181138</c:v>
                </c:pt>
                <c:pt idx="6">
                  <c:v>97.444892146937974</c:v>
                </c:pt>
                <c:pt idx="7">
                  <c:v>96.740000000000009</c:v>
                </c:pt>
                <c:pt idx="8">
                  <c:v>96.668104880613029</c:v>
                </c:pt>
                <c:pt idx="9">
                  <c:v>96.569574507269436</c:v>
                </c:pt>
                <c:pt idx="10">
                  <c:v>96.457600490914899</c:v>
                </c:pt>
                <c:pt idx="11">
                  <c:v>96.158508273292952</c:v>
                </c:pt>
                <c:pt idx="12">
                  <c:v>95.911383098602144</c:v>
                </c:pt>
                <c:pt idx="13">
                  <c:v>95.615399751038041</c:v>
                </c:pt>
                <c:pt idx="14">
                  <c:v>95.587723029236159</c:v>
                </c:pt>
                <c:pt idx="15">
                  <c:v>95.156392478134904</c:v>
                </c:pt>
                <c:pt idx="16">
                  <c:v>94.999999996415383</c:v>
                </c:pt>
                <c:pt idx="17">
                  <c:v>94.934421660975801</c:v>
                </c:pt>
                <c:pt idx="18">
                  <c:v>94.626205284346938</c:v>
                </c:pt>
                <c:pt idx="19">
                  <c:v>94.427892091078803</c:v>
                </c:pt>
                <c:pt idx="20">
                  <c:v>94.293348958884621</c:v>
                </c:pt>
                <c:pt idx="21">
                  <c:v>94.04536808637404</c:v>
                </c:pt>
                <c:pt idx="22">
                  <c:v>93.18059002426881</c:v>
                </c:pt>
                <c:pt idx="23">
                  <c:v>93.156802750810769</c:v>
                </c:pt>
                <c:pt idx="24">
                  <c:v>92.460615093604432</c:v>
                </c:pt>
                <c:pt idx="25">
                  <c:v>92.437043373841121</c:v>
                </c:pt>
                <c:pt idx="26">
                  <c:v>92.425936213576364</c:v>
                </c:pt>
                <c:pt idx="27">
                  <c:v>92.173826995952695</c:v>
                </c:pt>
                <c:pt idx="28">
                  <c:v>90.917213678362302</c:v>
                </c:pt>
                <c:pt idx="29">
                  <c:v>90.639354384004008</c:v>
                </c:pt>
                <c:pt idx="30">
                  <c:v>90.545654626569132</c:v>
                </c:pt>
                <c:pt idx="31">
                  <c:v>90.403999999999996</c:v>
                </c:pt>
                <c:pt idx="32">
                  <c:v>90.042677154154703</c:v>
                </c:pt>
                <c:pt idx="33">
                  <c:v>88.929196764338812</c:v>
                </c:pt>
                <c:pt idx="34">
                  <c:v>88.738667953448527</c:v>
                </c:pt>
                <c:pt idx="35">
                  <c:v>88.467820082765144</c:v>
                </c:pt>
                <c:pt idx="36">
                  <c:v>88.351205528068874</c:v>
                </c:pt>
                <c:pt idx="37">
                  <c:v>87.300618459147472</c:v>
                </c:pt>
                <c:pt idx="38">
                  <c:v>87.20913565302115</c:v>
                </c:pt>
                <c:pt idx="39">
                  <c:v>86.598531091377168</c:v>
                </c:pt>
                <c:pt idx="40">
                  <c:v>86.28505957978112</c:v>
                </c:pt>
                <c:pt idx="41">
                  <c:v>85.602446510142926</c:v>
                </c:pt>
                <c:pt idx="42">
                  <c:v>85.556071853548815</c:v>
                </c:pt>
                <c:pt idx="43">
                  <c:v>85.325443133671314</c:v>
                </c:pt>
                <c:pt idx="44">
                  <c:v>85.208388705046133</c:v>
                </c:pt>
                <c:pt idx="45">
                  <c:v>84.887274554717777</c:v>
                </c:pt>
                <c:pt idx="46">
                  <c:v>84.257934606122987</c:v>
                </c:pt>
                <c:pt idx="47">
                  <c:v>84.23260232600154</c:v>
                </c:pt>
                <c:pt idx="48">
                  <c:v>83.636442879700184</c:v>
                </c:pt>
                <c:pt idx="49">
                  <c:v>83.600507533139464</c:v>
                </c:pt>
                <c:pt idx="50">
                  <c:v>82.40211846135341</c:v>
                </c:pt>
                <c:pt idx="51">
                  <c:v>82.36</c:v>
                </c:pt>
                <c:pt idx="52">
                  <c:v>82.172047432199719</c:v>
                </c:pt>
                <c:pt idx="53">
                  <c:v>78.58694528877102</c:v>
                </c:pt>
                <c:pt idx="54">
                  <c:v>77.409326558649198</c:v>
                </c:pt>
                <c:pt idx="55">
                  <c:v>74.835256929678422</c:v>
                </c:pt>
                <c:pt idx="56">
                  <c:v>73.743063910015906</c:v>
                </c:pt>
                <c:pt idx="57">
                  <c:v>70.041384538988325</c:v>
                </c:pt>
                <c:pt idx="58">
                  <c:v>67.988654000775199</c:v>
                </c:pt>
                <c:pt idx="59">
                  <c:v>59.743709739175983</c:v>
                </c:pt>
                <c:pt idx="60">
                  <c:v>59.600044682351758</c:v>
                </c:pt>
                <c:pt idx="61">
                  <c:v>57.028226175853135</c:v>
                </c:pt>
                <c:pt idx="62">
                  <c:v>55.945256446673717</c:v>
                </c:pt>
                <c:pt idx="63">
                  <c:v>55.285665297695189</c:v>
                </c:pt>
                <c:pt idx="64">
                  <c:v>52.381992829143812</c:v>
                </c:pt>
                <c:pt idx="65">
                  <c:v>50.547542533321881</c:v>
                </c:pt>
                <c:pt idx="66">
                  <c:v>48.683686074784475</c:v>
                </c:pt>
                <c:pt idx="67">
                  <c:v>46.002167286226566</c:v>
                </c:pt>
                <c:pt idx="68">
                  <c:v>42.760563187353384</c:v>
                </c:pt>
                <c:pt idx="69">
                  <c:v>40.18055685785346</c:v>
                </c:pt>
                <c:pt idx="70">
                  <c:v>37.655775938235834</c:v>
                </c:pt>
                <c:pt idx="71">
                  <c:v>36.403527859339711</c:v>
                </c:pt>
                <c:pt idx="72">
                  <c:v>33.167774939187623</c:v>
                </c:pt>
                <c:pt idx="73">
                  <c:v>27.380000000000006</c:v>
                </c:pt>
                <c:pt idx="74">
                  <c:v>18.908358429352326</c:v>
                </c:pt>
                <c:pt idx="75">
                  <c:v>17.02771720805443</c:v>
                </c:pt>
                <c:pt idx="76">
                  <c:v>17.010334754744431</c:v>
                </c:pt>
                <c:pt idx="77">
                  <c:v>10.36</c:v>
                </c:pt>
                <c:pt idx="78">
                  <c:v>0</c:v>
                </c:pt>
                <c:pt idx="79">
                  <c:v>0</c:v>
                </c:pt>
                <c:pt idx="80">
                  <c:v>0</c:v>
                </c:pt>
                <c:pt idx="81">
                  <c:v>0</c:v>
                </c:pt>
              </c:numCache>
            </c:numRef>
          </c:val>
          <c:extLst xmlns:c16r2="http://schemas.microsoft.com/office/drawing/2015/06/chart">
            <c:ext xmlns:c16="http://schemas.microsoft.com/office/drawing/2014/chart" uri="{C3380CC4-5D6E-409C-BE32-E72D297353CC}">
              <c16:uniqueId val="{00000002-CCAB-43E5-AB44-B9DC988C789C}"/>
            </c:ext>
          </c:extLst>
        </c:ser>
        <c:dLbls>
          <c:showLegendKey val="0"/>
          <c:showVal val="0"/>
          <c:showCatName val="0"/>
          <c:showSerName val="0"/>
          <c:showPercent val="0"/>
          <c:showBubbleSize val="0"/>
        </c:dLbls>
        <c:gapWidth val="39"/>
        <c:overlap val="-27"/>
        <c:axId val="314422768"/>
        <c:axId val="314422376"/>
      </c:barChart>
      <c:lineChart>
        <c:grouping val="standard"/>
        <c:varyColors val="0"/>
        <c:ser>
          <c:idx val="1"/>
          <c:order val="1"/>
          <c:tx>
            <c:strRef>
              <c:f>Лист2!$C$1</c:f>
              <c:strCache>
                <c:ptCount val="1"/>
                <c:pt idx="0">
                  <c:v>Средняя доля программных расходов в 2020-2024 гг. (при исключении периодов с нулевыми значениями)</c:v>
                </c:pt>
              </c:strCache>
            </c:strRef>
          </c:tx>
          <c:spPr>
            <a:ln w="28575" cap="rnd">
              <a:solidFill>
                <a:schemeClr val="bg1">
                  <a:lumMod val="50000"/>
                </a:schemeClr>
              </a:solidFill>
              <a:round/>
            </a:ln>
            <a:effectLst/>
          </c:spPr>
          <c:marker>
            <c:symbol val="none"/>
          </c:marker>
          <c:cat>
            <c:strRef>
              <c:f>Лист2!$A$2:$A$85</c:f>
              <c:strCache>
                <c:ptCount val="82"/>
                <c:pt idx="0">
                  <c:v>Омская область</c:v>
                </c:pt>
                <c:pt idx="1">
                  <c:v>Мурманская область</c:v>
                </c:pt>
                <c:pt idx="2">
                  <c:v>г. Севастополь</c:v>
                </c:pt>
                <c:pt idx="3">
                  <c:v>Ивановская область</c:v>
                </c:pt>
                <c:pt idx="4">
                  <c:v>Амурская область</c:v>
                </c:pt>
                <c:pt idx="5">
                  <c:v>Республика Калмыкия</c:v>
                </c:pt>
                <c:pt idx="6">
                  <c:v>Рязанская область</c:v>
                </c:pt>
                <c:pt idx="7">
                  <c:v>Тамбовская область</c:v>
                </c:pt>
                <c:pt idx="8">
                  <c:v>Томская область</c:v>
                </c:pt>
                <c:pt idx="9">
                  <c:v>Ханты-Мансийский автономный округ</c:v>
                </c:pt>
                <c:pt idx="10">
                  <c:v>Республика Коми</c:v>
                </c:pt>
                <c:pt idx="11">
                  <c:v>Республика Бурятия</c:v>
                </c:pt>
                <c:pt idx="12">
                  <c:v>Вологодская область</c:v>
                </c:pt>
                <c:pt idx="13">
                  <c:v>Удмуртская Республика</c:v>
                </c:pt>
                <c:pt idx="14">
                  <c:v>Республика Крым</c:v>
                </c:pt>
                <c:pt idx="15">
                  <c:v>Оренбургская область</c:v>
                </c:pt>
                <c:pt idx="16">
                  <c:v>Новосибирская область</c:v>
                </c:pt>
                <c:pt idx="17">
                  <c:v>Свердловская область</c:v>
                </c:pt>
                <c:pt idx="18">
                  <c:v>Чувашская Республика</c:v>
                </c:pt>
                <c:pt idx="19">
                  <c:v>Липецкая область</c:v>
                </c:pt>
                <c:pt idx="20">
                  <c:v>Сахалинская область</c:v>
                </c:pt>
                <c:pt idx="21">
                  <c:v>Приморский край</c:v>
                </c:pt>
                <c:pt idx="22">
                  <c:v>Новгородская область</c:v>
                </c:pt>
                <c:pt idx="23">
                  <c:v>Республика Ингушетия</c:v>
                </c:pt>
                <c:pt idx="24">
                  <c:v>Владимирская область</c:v>
                </c:pt>
                <c:pt idx="25">
                  <c:v>Нижегородская область</c:v>
                </c:pt>
                <c:pt idx="26">
                  <c:v>Астраханская область</c:v>
                </c:pt>
                <c:pt idx="27">
                  <c:v>г. Санкт-Петербург</c:v>
                </c:pt>
                <c:pt idx="28">
                  <c:v>Еврейская автономная область</c:v>
                </c:pt>
                <c:pt idx="29">
                  <c:v>г. Москва</c:v>
                </c:pt>
                <c:pt idx="30">
                  <c:v>Орловская область</c:v>
                </c:pt>
                <c:pt idx="31">
                  <c:v>Белгородская область</c:v>
                </c:pt>
                <c:pt idx="32">
                  <c:v>Республика Саха (Якутия)</c:v>
                </c:pt>
                <c:pt idx="33">
                  <c:v>Краснодарский край</c:v>
                </c:pt>
                <c:pt idx="34">
                  <c:v>Курская область</c:v>
                </c:pt>
                <c:pt idx="35">
                  <c:v>Волгоградская область</c:v>
                </c:pt>
                <c:pt idx="36">
                  <c:v>Воронежская область</c:v>
                </c:pt>
                <c:pt idx="37">
                  <c:v>Республика Марий Эл</c:v>
                </c:pt>
                <c:pt idx="38">
                  <c:v>Тульская область</c:v>
                </c:pt>
                <c:pt idx="39">
                  <c:v>Алтайский край</c:v>
                </c:pt>
                <c:pt idx="40">
                  <c:v>Архангельская область</c:v>
                </c:pt>
                <c:pt idx="41">
                  <c:v>Хабаровский край</c:v>
                </c:pt>
                <c:pt idx="42">
                  <c:v>Ставропольский край</c:v>
                </c:pt>
                <c:pt idx="43">
                  <c:v>Республика Северная Осетия-Алания</c:v>
                </c:pt>
                <c:pt idx="44">
                  <c:v>Республика Карелия</c:v>
                </c:pt>
                <c:pt idx="45">
                  <c:v>Кабардино-Балкарская Республика</c:v>
                </c:pt>
                <c:pt idx="46">
                  <c:v>Калужская область</c:v>
                </c:pt>
                <c:pt idx="47">
                  <c:v>Республика Тыва</c:v>
                </c:pt>
                <c:pt idx="48">
                  <c:v>Московская область</c:v>
                </c:pt>
                <c:pt idx="49">
                  <c:v>Самарская область</c:v>
                </c:pt>
                <c:pt idx="50">
                  <c:v>Ростовская область</c:v>
                </c:pt>
                <c:pt idx="51">
                  <c:v>Ленинградская область</c:v>
                </c:pt>
                <c:pt idx="52">
                  <c:v>Республика Татарстан</c:v>
                </c:pt>
                <c:pt idx="53">
                  <c:v>Республика Хакасия</c:v>
                </c:pt>
                <c:pt idx="54">
                  <c:v>Республика Мордовия</c:v>
                </c:pt>
                <c:pt idx="55">
                  <c:v>Ульяновская область</c:v>
                </c:pt>
                <c:pt idx="56">
                  <c:v>Средняя доля программных расходов в 2020-2024 гг. по РФ</c:v>
                </c:pt>
                <c:pt idx="57">
                  <c:v>Пензенская область</c:v>
                </c:pt>
                <c:pt idx="58">
                  <c:v>Смоленская область</c:v>
                </c:pt>
                <c:pt idx="59">
                  <c:v>Кировская область</c:v>
                </c:pt>
                <c:pt idx="60">
                  <c:v>Кемеровская область</c:v>
                </c:pt>
                <c:pt idx="61">
                  <c:v>Псковская область</c:v>
                </c:pt>
                <c:pt idx="62">
                  <c:v>Пермский край</c:v>
                </c:pt>
                <c:pt idx="63">
                  <c:v>Саратовская область</c:v>
                </c:pt>
                <c:pt idx="64">
                  <c:v>Ярославская область</c:v>
                </c:pt>
                <c:pt idx="65">
                  <c:v>Чеченская Республика</c:v>
                </c:pt>
                <c:pt idx="66">
                  <c:v>Республика Башкортостан</c:v>
                </c:pt>
                <c:pt idx="67">
                  <c:v>Челябинская область</c:v>
                </c:pt>
                <c:pt idx="68">
                  <c:v>Магаданская область</c:v>
                </c:pt>
                <c:pt idx="69">
                  <c:v>Забайкальский край</c:v>
                </c:pt>
                <c:pt idx="70">
                  <c:v>Республика Адыгея</c:v>
                </c:pt>
                <c:pt idx="71">
                  <c:v>Красноярский край</c:v>
                </c:pt>
                <c:pt idx="72">
                  <c:v>Калининградская область</c:v>
                </c:pt>
                <c:pt idx="73">
                  <c:v>Ненецкий автономный округ</c:v>
                </c:pt>
                <c:pt idx="74">
                  <c:v>Костромская область</c:v>
                </c:pt>
                <c:pt idx="75">
                  <c:v>Тверская область</c:v>
                </c:pt>
                <c:pt idx="76">
                  <c:v>Курганская область</c:v>
                </c:pt>
                <c:pt idx="77">
                  <c:v>Республика Дагестан</c:v>
                </c:pt>
                <c:pt idx="78">
                  <c:v>Брянская область</c:v>
                </c:pt>
                <c:pt idx="79">
                  <c:v>Тюменская область</c:v>
                </c:pt>
                <c:pt idx="80">
                  <c:v>Ямало-Ненецкий автономный округ</c:v>
                </c:pt>
                <c:pt idx="81">
                  <c:v>Иркутская область</c:v>
                </c:pt>
              </c:strCache>
            </c:strRef>
          </c:cat>
          <c:val>
            <c:numRef>
              <c:f>Лист2!$C$2:$C$85</c:f>
              <c:numCache>
                <c:formatCode>0.0</c:formatCode>
                <c:ptCount val="84"/>
                <c:pt idx="0">
                  <c:v>99.561703906892873</c:v>
                </c:pt>
                <c:pt idx="1">
                  <c:v>98.859358302395833</c:v>
                </c:pt>
                <c:pt idx="2">
                  <c:v>97.996825775767817</c:v>
                </c:pt>
                <c:pt idx="3">
                  <c:v>97.666971365838904</c:v>
                </c:pt>
                <c:pt idx="4">
                  <c:v>97.580942739150544</c:v>
                </c:pt>
                <c:pt idx="5">
                  <c:v>97.445864928181138</c:v>
                </c:pt>
                <c:pt idx="6">
                  <c:v>97.444892146937974</c:v>
                </c:pt>
                <c:pt idx="7">
                  <c:v>96.740000000000009</c:v>
                </c:pt>
                <c:pt idx="8">
                  <c:v>96.668104880613029</c:v>
                </c:pt>
                <c:pt idx="9">
                  <c:v>96.569574507269436</c:v>
                </c:pt>
                <c:pt idx="10">
                  <c:v>96.457600490914899</c:v>
                </c:pt>
                <c:pt idx="11">
                  <c:v>96.158508273292952</c:v>
                </c:pt>
                <c:pt idx="12">
                  <c:v>95.911383098602144</c:v>
                </c:pt>
                <c:pt idx="13">
                  <c:v>95.615399751038041</c:v>
                </c:pt>
                <c:pt idx="14">
                  <c:v>95.587723029236159</c:v>
                </c:pt>
                <c:pt idx="15">
                  <c:v>95.156392478134904</c:v>
                </c:pt>
                <c:pt idx="16">
                  <c:v>94.999999996415383</c:v>
                </c:pt>
                <c:pt idx="17">
                  <c:v>94.934421660975801</c:v>
                </c:pt>
                <c:pt idx="18">
                  <c:v>94.626205284346938</c:v>
                </c:pt>
                <c:pt idx="19">
                  <c:v>94.427892091078803</c:v>
                </c:pt>
                <c:pt idx="20">
                  <c:v>94.293348958884621</c:v>
                </c:pt>
                <c:pt idx="21">
                  <c:v>94.04536808637404</c:v>
                </c:pt>
                <c:pt idx="22">
                  <c:v>93.18059002426881</c:v>
                </c:pt>
                <c:pt idx="23">
                  <c:v>93.156802750810769</c:v>
                </c:pt>
                <c:pt idx="24">
                  <c:v>92.460615093604432</c:v>
                </c:pt>
                <c:pt idx="25">
                  <c:v>92.437043373841121</c:v>
                </c:pt>
                <c:pt idx="26">
                  <c:v>92.425936213576364</c:v>
                </c:pt>
                <c:pt idx="27">
                  <c:v>92.173826995952695</c:v>
                </c:pt>
                <c:pt idx="28">
                  <c:v>90.917213678362302</c:v>
                </c:pt>
                <c:pt idx="29">
                  <c:v>90.639354384004008</c:v>
                </c:pt>
                <c:pt idx="30">
                  <c:v>90.545654626569132</c:v>
                </c:pt>
                <c:pt idx="31">
                  <c:v>90.403999999999996</c:v>
                </c:pt>
                <c:pt idx="32">
                  <c:v>90.042677154154703</c:v>
                </c:pt>
                <c:pt idx="33">
                  <c:v>88.929196764338812</c:v>
                </c:pt>
                <c:pt idx="34">
                  <c:v>88.738667953448527</c:v>
                </c:pt>
                <c:pt idx="35">
                  <c:v>88.467820082765144</c:v>
                </c:pt>
                <c:pt idx="36">
                  <c:v>88.351205528068874</c:v>
                </c:pt>
                <c:pt idx="37">
                  <c:v>87.300618459147472</c:v>
                </c:pt>
                <c:pt idx="38">
                  <c:v>87.20913565302115</c:v>
                </c:pt>
                <c:pt idx="39">
                  <c:v>86.598531091377168</c:v>
                </c:pt>
                <c:pt idx="40">
                  <c:v>86.28505957978112</c:v>
                </c:pt>
                <c:pt idx="41">
                  <c:v>85.602446510142926</c:v>
                </c:pt>
                <c:pt idx="42">
                  <c:v>85.556071853548815</c:v>
                </c:pt>
                <c:pt idx="43">
                  <c:v>85.325443133671314</c:v>
                </c:pt>
                <c:pt idx="44">
                  <c:v>85.208388705046133</c:v>
                </c:pt>
                <c:pt idx="45">
                  <c:v>84.887274554717777</c:v>
                </c:pt>
                <c:pt idx="46">
                  <c:v>84.257934606122987</c:v>
                </c:pt>
                <c:pt idx="47">
                  <c:v>84.23260232600154</c:v>
                </c:pt>
                <c:pt idx="48">
                  <c:v>83.636442879700184</c:v>
                </c:pt>
                <c:pt idx="49">
                  <c:v>83.600507533139464</c:v>
                </c:pt>
                <c:pt idx="50">
                  <c:v>82.40211846135341</c:v>
                </c:pt>
                <c:pt idx="51">
                  <c:v>82.36</c:v>
                </c:pt>
                <c:pt idx="52">
                  <c:v>82.172047432199719</c:v>
                </c:pt>
                <c:pt idx="53">
                  <c:v>78.58694528877102</c:v>
                </c:pt>
                <c:pt idx="54">
                  <c:v>77.409326558649198</c:v>
                </c:pt>
                <c:pt idx="55">
                  <c:v>93.544071162098035</c:v>
                </c:pt>
                <c:pt idx="56">
                  <c:v>78.963760112924675</c:v>
                </c:pt>
                <c:pt idx="57">
                  <c:v>70.041384538988325</c:v>
                </c:pt>
                <c:pt idx="58">
                  <c:v>67.988654000775199</c:v>
                </c:pt>
                <c:pt idx="59">
                  <c:v>99.572849565293311</c:v>
                </c:pt>
                <c:pt idx="60">
                  <c:v>59.600044682351758</c:v>
                </c:pt>
                <c:pt idx="61">
                  <c:v>95.047043626421896</c:v>
                </c:pt>
                <c:pt idx="62">
                  <c:v>93.242094077789531</c:v>
                </c:pt>
                <c:pt idx="63">
                  <c:v>92.142775496158649</c:v>
                </c:pt>
                <c:pt idx="64">
                  <c:v>87.303321381906358</c:v>
                </c:pt>
                <c:pt idx="65">
                  <c:v>84.245904222203137</c:v>
                </c:pt>
                <c:pt idx="66">
                  <c:v>48.683686074784475</c:v>
                </c:pt>
                <c:pt idx="67">
                  <c:v>46.002167286226566</c:v>
                </c:pt>
                <c:pt idx="68">
                  <c:v>71.26760531225564</c:v>
                </c:pt>
                <c:pt idx="69">
                  <c:v>40.18055685785346</c:v>
                </c:pt>
                <c:pt idx="70">
                  <c:v>37.655775938235834</c:v>
                </c:pt>
                <c:pt idx="71">
                  <c:v>91.008819648349274</c:v>
                </c:pt>
                <c:pt idx="72">
                  <c:v>55.279624898646034</c:v>
                </c:pt>
                <c:pt idx="73">
                  <c:v>27.380000000000006</c:v>
                </c:pt>
                <c:pt idx="74">
                  <c:v>18.908358429352326</c:v>
                </c:pt>
                <c:pt idx="75">
                  <c:v>42.569293020136072</c:v>
                </c:pt>
                <c:pt idx="76">
                  <c:v>28.350557924574051</c:v>
                </c:pt>
                <c:pt idx="77">
                  <c:v>51.8</c:v>
                </c:pt>
                <c:pt idx="78">
                  <c:v>0</c:v>
                </c:pt>
                <c:pt idx="79">
                  <c:v>0</c:v>
                </c:pt>
                <c:pt idx="80">
                  <c:v>0</c:v>
                </c:pt>
                <c:pt idx="81">
                  <c:v>0</c:v>
                </c:pt>
              </c:numCache>
            </c:numRef>
          </c:val>
          <c:smooth val="0"/>
          <c:extLst xmlns:c16r2="http://schemas.microsoft.com/office/drawing/2015/06/chart">
            <c:ext xmlns:c16="http://schemas.microsoft.com/office/drawing/2014/chart" uri="{C3380CC4-5D6E-409C-BE32-E72D297353CC}">
              <c16:uniqueId val="{00000003-CCAB-43E5-AB44-B9DC988C789C}"/>
            </c:ext>
          </c:extLst>
        </c:ser>
        <c:dLbls>
          <c:showLegendKey val="0"/>
          <c:showVal val="0"/>
          <c:showCatName val="0"/>
          <c:showSerName val="0"/>
          <c:showPercent val="0"/>
          <c:showBubbleSize val="0"/>
        </c:dLbls>
        <c:marker val="1"/>
        <c:smooth val="0"/>
        <c:axId val="314422768"/>
        <c:axId val="314422376"/>
      </c:lineChart>
      <c:catAx>
        <c:axId val="314422768"/>
        <c:scaling>
          <c:orientation val="minMax"/>
        </c:scaling>
        <c:delete val="1"/>
        <c:axPos val="b"/>
        <c:numFmt formatCode="General" sourceLinked="1"/>
        <c:majorTickMark val="none"/>
        <c:minorTickMark val="none"/>
        <c:tickLblPos val="nextTo"/>
        <c:crossAx val="314422376"/>
        <c:crosses val="autoZero"/>
        <c:auto val="1"/>
        <c:lblAlgn val="ctr"/>
        <c:lblOffset val="100"/>
        <c:noMultiLvlLbl val="0"/>
      </c:catAx>
      <c:valAx>
        <c:axId val="314422376"/>
        <c:scaling>
          <c:orientation val="minMax"/>
          <c:max val="100"/>
        </c:scaling>
        <c:delete val="0"/>
        <c:axPos val="l"/>
        <c:title>
          <c:tx>
            <c:rich>
              <a:bodyPr rot="-5400000" spcFirstLastPara="1" vertOverflow="ellipsis" vert="horz" wrap="square" anchor="ctr" anchorCtr="1"/>
              <a:lstStyle/>
              <a:p>
                <a:pPr>
                  <a:defRPr sz="800" b="0" i="1" u="none" strike="noStrike" kern="1200" baseline="0">
                    <a:solidFill>
                      <a:sysClr val="windowText" lastClr="000000"/>
                    </a:solidFill>
                    <a:latin typeface="Century" panose="02040604050505020304" pitchFamily="18" charset="0"/>
                    <a:ea typeface="+mn-ea"/>
                    <a:cs typeface="+mn-cs"/>
                  </a:defRPr>
                </a:pPr>
                <a:r>
                  <a:rPr lang="en-US" sz="800" i="1">
                    <a:solidFill>
                      <a:sysClr val="windowText" lastClr="000000"/>
                    </a:solidFill>
                    <a:latin typeface="Century" panose="02040604050505020304" pitchFamily="18" charset="0"/>
                  </a:rPr>
                  <a:t>%</a:t>
                </a:r>
                <a:endParaRPr lang="ru-RU" sz="800" i="1">
                  <a:solidFill>
                    <a:sysClr val="windowText" lastClr="000000"/>
                  </a:solidFill>
                  <a:latin typeface="Century" panose="02040604050505020304" pitchFamily="18" charset="0"/>
                </a:endParaRPr>
              </a:p>
            </c:rich>
          </c:tx>
          <c:layout>
            <c:manualLayout>
              <c:xMode val="edge"/>
              <c:yMode val="edge"/>
              <c:x val="4.27578834847675E-3"/>
              <c:y val="2.8003948486031081E-2"/>
            </c:manualLayout>
          </c:layout>
          <c:overlay val="0"/>
          <c:spPr>
            <a:noFill/>
            <a:ln>
              <a:noFill/>
            </a:ln>
            <a:effectLst/>
          </c:spPr>
          <c:txPr>
            <a:bodyPr rot="-5400000" spcFirstLastPara="1" vertOverflow="ellipsis" vert="horz" wrap="square" anchor="ctr" anchorCtr="1"/>
            <a:lstStyle/>
            <a:p>
              <a:pPr>
                <a:defRPr sz="800" b="0" i="1" u="none" strike="noStrike" kern="1200" baseline="0">
                  <a:solidFill>
                    <a:sysClr val="windowText" lastClr="000000"/>
                  </a:solidFill>
                  <a:latin typeface="Century" panose="02040604050505020304" pitchFamily="18" charset="0"/>
                  <a:ea typeface="+mn-ea"/>
                  <a:cs typeface="+mn-cs"/>
                </a:defRPr>
              </a:pPr>
              <a:endParaRPr lang="ru-RU"/>
            </a:p>
          </c:txPr>
        </c:title>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entury" panose="02040604050505020304" pitchFamily="18" charset="0"/>
                <a:ea typeface="+mn-ea"/>
                <a:cs typeface="+mn-cs"/>
              </a:defRPr>
            </a:pPr>
            <a:endParaRPr lang="ru-RU"/>
          </a:p>
        </c:txPr>
        <c:crossAx val="314422768"/>
        <c:crosses val="autoZero"/>
        <c:crossBetween val="between"/>
      </c:valAx>
      <c:spPr>
        <a:noFill/>
        <a:ln>
          <a:noFill/>
        </a:ln>
        <a:effectLst/>
      </c:spPr>
    </c:plotArea>
    <c:legend>
      <c:legendPos val="b"/>
      <c:layout>
        <c:manualLayout>
          <c:xMode val="edge"/>
          <c:yMode val="edge"/>
          <c:x val="9.0005344735435595E-3"/>
          <c:y val="0.86759889368170096"/>
          <c:w val="0.98841261357562804"/>
          <c:h val="0.1235866506109389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entury" panose="02040604050505020304" pitchFamily="18"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9.3600925040815436E-2"/>
          <c:y val="5.3936935833615494E-2"/>
          <c:w val="0.86848439157871227"/>
          <c:h val="0.56065643212713701"/>
        </c:manualLayout>
      </c:layout>
      <c:barChart>
        <c:barDir val="col"/>
        <c:grouping val="clustered"/>
        <c:varyColors val="0"/>
        <c:ser>
          <c:idx val="0"/>
          <c:order val="0"/>
          <c:spPr>
            <a:solidFill>
              <a:srgbClr val="006600"/>
            </a:solidFill>
          </c:spPr>
          <c:invertIfNegative val="0"/>
          <c:dLbls>
            <c:numFmt formatCode="#,##0.0" sourceLinked="0"/>
            <c:spPr>
              <a:noFill/>
              <a:ln>
                <a:noFill/>
              </a:ln>
              <a:effectLst/>
            </c:spPr>
            <c:txPr>
              <a:bodyPr wrap="square" lIns="38100" tIns="19050" rIns="38100" bIns="19050" anchor="ctr">
                <a:spAutoFit/>
              </a:bodyPr>
              <a:lstStyle/>
              <a:p>
                <a:pPr>
                  <a:defRPr sz="800">
                    <a:latin typeface="Century" panose="020406040505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Общее!$I$7:$I$11</c:f>
              <c:strCache>
                <c:ptCount val="5"/>
                <c:pt idx="0">
                  <c:v>Содержание в бюджетных прогнозах характеристик соответствующего бюджета (консолидированного бюджета) региона </c:v>
                </c:pt>
                <c:pt idx="1">
                  <c:v>Содержание в бюджетном прогнозе показателей финансого обеспечения государственных программ </c:v>
                </c:pt>
                <c:pt idx="2">
                  <c:v>Наличие в бюджетных прогнозах подходов к формированию бюджетной политики в долгосрочном периоде</c:v>
                </c:pt>
                <c:pt idx="3">
                  <c:v>Утверждены порядки формирования бюджетного прогноза</c:v>
                </c:pt>
                <c:pt idx="4">
                  <c:v>Бюджетный прогноз утвержден в течение 2 месяцев со дня опубликования закона о бюджете</c:v>
                </c:pt>
              </c:strCache>
            </c:strRef>
          </c:cat>
          <c:val>
            <c:numRef>
              <c:f>Общее!$J$7:$J$11</c:f>
              <c:numCache>
                <c:formatCode>General</c:formatCode>
                <c:ptCount val="5"/>
                <c:pt idx="0">
                  <c:v>100</c:v>
                </c:pt>
                <c:pt idx="1">
                  <c:v>100</c:v>
                </c:pt>
                <c:pt idx="2">
                  <c:v>90</c:v>
                </c:pt>
                <c:pt idx="3">
                  <c:v>100</c:v>
                </c:pt>
                <c:pt idx="4" formatCode="0">
                  <c:v>74.074074074074076</c:v>
                </c:pt>
              </c:numCache>
            </c:numRef>
          </c:val>
          <c:extLst xmlns:c16r2="http://schemas.microsoft.com/office/drawing/2015/06/chart">
            <c:ext xmlns:c16="http://schemas.microsoft.com/office/drawing/2014/chart" uri="{C3380CC4-5D6E-409C-BE32-E72D297353CC}">
              <c16:uniqueId val="{00000000-D8E1-4383-95F7-C494D0DE3FC3}"/>
            </c:ext>
          </c:extLst>
        </c:ser>
        <c:dLbls>
          <c:dLblPos val="outEnd"/>
          <c:showLegendKey val="0"/>
          <c:showVal val="1"/>
          <c:showCatName val="0"/>
          <c:showSerName val="0"/>
          <c:showPercent val="0"/>
          <c:showBubbleSize val="0"/>
        </c:dLbls>
        <c:gapWidth val="119"/>
        <c:axId val="314423552"/>
        <c:axId val="314427080"/>
      </c:barChart>
      <c:catAx>
        <c:axId val="314423552"/>
        <c:scaling>
          <c:orientation val="minMax"/>
        </c:scaling>
        <c:delete val="0"/>
        <c:axPos val="b"/>
        <c:numFmt formatCode="General" sourceLinked="0"/>
        <c:majorTickMark val="out"/>
        <c:minorTickMark val="none"/>
        <c:tickLblPos val="nextTo"/>
        <c:spPr>
          <a:ln>
            <a:solidFill>
              <a:schemeClr val="tx1"/>
            </a:solidFill>
          </a:ln>
        </c:spPr>
        <c:txPr>
          <a:bodyPr/>
          <a:lstStyle/>
          <a:p>
            <a:pPr>
              <a:defRPr sz="800">
                <a:solidFill>
                  <a:sysClr val="windowText" lastClr="000000"/>
                </a:solidFill>
                <a:latin typeface="Century" panose="02040604050505020304" pitchFamily="18" charset="0"/>
              </a:defRPr>
            </a:pPr>
            <a:endParaRPr lang="ru-RU"/>
          </a:p>
        </c:txPr>
        <c:crossAx val="314427080"/>
        <c:crosses val="autoZero"/>
        <c:auto val="1"/>
        <c:lblAlgn val="ctr"/>
        <c:lblOffset val="100"/>
        <c:noMultiLvlLbl val="0"/>
      </c:catAx>
      <c:valAx>
        <c:axId val="314427080"/>
        <c:scaling>
          <c:orientation val="minMax"/>
          <c:max val="100"/>
          <c:min val="0"/>
        </c:scaling>
        <c:delete val="0"/>
        <c:axPos val="l"/>
        <c:title>
          <c:tx>
            <c:rich>
              <a:bodyPr/>
              <a:lstStyle/>
              <a:p>
                <a:pPr>
                  <a:defRPr sz="800" b="0" i="1">
                    <a:latin typeface="Century" panose="02040604050505020304" pitchFamily="18" charset="0"/>
                  </a:defRPr>
                </a:pPr>
                <a:r>
                  <a:rPr lang="ru-RU" sz="800" b="0" i="1">
                    <a:latin typeface="Century" panose="02040604050505020304" pitchFamily="18" charset="0"/>
                  </a:rPr>
                  <a:t>%</a:t>
                </a:r>
              </a:p>
            </c:rich>
          </c:tx>
          <c:layout>
            <c:manualLayout>
              <c:xMode val="edge"/>
              <c:yMode val="edge"/>
              <c:x val="6.624586507412481E-3"/>
              <c:y val="3.2430854609992975E-2"/>
            </c:manualLayout>
          </c:layout>
          <c:overlay val="0"/>
        </c:title>
        <c:numFmt formatCode="#,##0.0" sourceLinked="0"/>
        <c:majorTickMark val="out"/>
        <c:minorTickMark val="none"/>
        <c:tickLblPos val="nextTo"/>
        <c:spPr>
          <a:ln>
            <a:solidFill>
              <a:schemeClr val="tx1"/>
            </a:solidFill>
          </a:ln>
        </c:spPr>
        <c:txPr>
          <a:bodyPr/>
          <a:lstStyle/>
          <a:p>
            <a:pPr>
              <a:defRPr sz="800">
                <a:latin typeface="Century" panose="02040604050505020304" pitchFamily="18" charset="0"/>
              </a:defRPr>
            </a:pPr>
            <a:endParaRPr lang="ru-RU"/>
          </a:p>
        </c:txPr>
        <c:crossAx val="31442355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7.98870520331878E-2"/>
          <c:y val="4.880501531375403E-2"/>
          <c:w val="0.90335435558706823"/>
          <c:h val="0.55016944327977579"/>
        </c:manualLayout>
      </c:layout>
      <c:barChart>
        <c:barDir val="col"/>
        <c:grouping val="clustered"/>
        <c:varyColors val="0"/>
        <c:ser>
          <c:idx val="0"/>
          <c:order val="0"/>
          <c:spPr>
            <a:solidFill>
              <a:schemeClr val="accent6">
                <a:lumMod val="50000"/>
              </a:schemeClr>
            </a:solidFill>
          </c:spPr>
          <c:invertIfNegative val="0"/>
          <c:dLbls>
            <c:spPr>
              <a:noFill/>
              <a:ln>
                <a:noFill/>
              </a:ln>
              <a:effectLst/>
            </c:spPr>
            <c:txPr>
              <a:bodyPr/>
              <a:lstStyle/>
              <a:p>
                <a:pPr>
                  <a:defRPr sz="800">
                    <a:latin typeface="Century" panose="020406040505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Общее!$I$7:$I$12</c:f>
              <c:strCache>
                <c:ptCount val="6"/>
                <c:pt idx="0">
                  <c:v>обеспечение открытости данных бюджетного прогноза</c:v>
                </c:pt>
                <c:pt idx="1">
                  <c:v>вариативная основа разработки</c:v>
                </c:pt>
                <c:pt idx="2">
                  <c:v>высокая степень детализации информации по основным разделам доходов, расходов и других показателей бюджетного прогноза</c:v>
                </c:pt>
                <c:pt idx="3">
                  <c:v>ежегодная актуализация бюджетного прогноза в соответствии с внесенным в законодательный орган проектом бюджета</c:v>
                </c:pt>
                <c:pt idx="4">
                  <c:v>периодичность показателей бюджетного прогноза</c:v>
                </c:pt>
                <c:pt idx="5">
                  <c:v>включение в бюджетный прогноз распределения межбюджетных трансфертов по муниципальным образованиям</c:v>
                </c:pt>
              </c:strCache>
            </c:strRef>
          </c:cat>
          <c:val>
            <c:numRef>
              <c:f>Общее!$J$7:$J$12</c:f>
              <c:numCache>
                <c:formatCode>General</c:formatCode>
                <c:ptCount val="6"/>
                <c:pt idx="0">
                  <c:v>78</c:v>
                </c:pt>
                <c:pt idx="1">
                  <c:v>27</c:v>
                </c:pt>
                <c:pt idx="2">
                  <c:v>20</c:v>
                </c:pt>
                <c:pt idx="3">
                  <c:v>54</c:v>
                </c:pt>
                <c:pt idx="4" formatCode="0">
                  <c:v>91</c:v>
                </c:pt>
                <c:pt idx="5">
                  <c:v>0</c:v>
                </c:pt>
              </c:numCache>
            </c:numRef>
          </c:val>
          <c:extLst xmlns:c16r2="http://schemas.microsoft.com/office/drawing/2015/06/chart">
            <c:ext xmlns:c16="http://schemas.microsoft.com/office/drawing/2014/chart" uri="{C3380CC4-5D6E-409C-BE32-E72D297353CC}">
              <c16:uniqueId val="{00000000-786C-4144-91AB-569BF7879221}"/>
            </c:ext>
          </c:extLst>
        </c:ser>
        <c:dLbls>
          <c:showLegendKey val="0"/>
          <c:showVal val="0"/>
          <c:showCatName val="0"/>
          <c:showSerName val="0"/>
          <c:showPercent val="0"/>
          <c:showBubbleSize val="0"/>
        </c:dLbls>
        <c:gapWidth val="75"/>
        <c:axId val="314424336"/>
        <c:axId val="314424728"/>
      </c:barChart>
      <c:catAx>
        <c:axId val="314424336"/>
        <c:scaling>
          <c:orientation val="minMax"/>
        </c:scaling>
        <c:delete val="0"/>
        <c:axPos val="b"/>
        <c:numFmt formatCode="General" sourceLinked="0"/>
        <c:majorTickMark val="out"/>
        <c:minorTickMark val="none"/>
        <c:tickLblPos val="nextTo"/>
        <c:spPr>
          <a:ln>
            <a:solidFill>
              <a:schemeClr val="tx1"/>
            </a:solidFill>
          </a:ln>
        </c:spPr>
        <c:txPr>
          <a:bodyPr/>
          <a:lstStyle/>
          <a:p>
            <a:pPr>
              <a:defRPr sz="700">
                <a:latin typeface="Century" panose="02040604050505020304" pitchFamily="18" charset="0"/>
              </a:defRPr>
            </a:pPr>
            <a:endParaRPr lang="ru-RU"/>
          </a:p>
        </c:txPr>
        <c:crossAx val="314424728"/>
        <c:crosses val="autoZero"/>
        <c:auto val="1"/>
        <c:lblAlgn val="ctr"/>
        <c:lblOffset val="100"/>
        <c:noMultiLvlLbl val="0"/>
      </c:catAx>
      <c:valAx>
        <c:axId val="314424728"/>
        <c:scaling>
          <c:orientation val="minMax"/>
          <c:max val="100"/>
          <c:min val="0"/>
        </c:scaling>
        <c:delete val="0"/>
        <c:axPos val="l"/>
        <c:title>
          <c:tx>
            <c:rich>
              <a:bodyPr rot="-5400000" vert="horz"/>
              <a:lstStyle/>
              <a:p>
                <a:pPr>
                  <a:defRPr sz="800" b="0" i="1">
                    <a:latin typeface="Century" panose="02040604050505020304" pitchFamily="18" charset="0"/>
                  </a:defRPr>
                </a:pPr>
                <a:r>
                  <a:rPr lang="en-US" sz="800" b="0" i="1">
                    <a:latin typeface="Century" panose="02040604050505020304" pitchFamily="18" charset="0"/>
                  </a:rPr>
                  <a:t>%</a:t>
                </a:r>
              </a:p>
            </c:rich>
          </c:tx>
          <c:layout>
            <c:manualLayout>
              <c:xMode val="edge"/>
              <c:yMode val="edge"/>
              <c:x val="0"/>
              <c:y val="1.6131744884848993E-2"/>
            </c:manualLayout>
          </c:layout>
          <c:overlay val="0"/>
        </c:title>
        <c:numFmt formatCode="#,##0.0" sourceLinked="0"/>
        <c:majorTickMark val="out"/>
        <c:minorTickMark val="none"/>
        <c:tickLblPos val="nextTo"/>
        <c:spPr>
          <a:ln>
            <a:solidFill>
              <a:schemeClr val="tx1"/>
            </a:solidFill>
          </a:ln>
        </c:spPr>
        <c:txPr>
          <a:bodyPr/>
          <a:lstStyle/>
          <a:p>
            <a:pPr>
              <a:defRPr sz="800">
                <a:latin typeface="Century" panose="02040604050505020304" pitchFamily="18" charset="0"/>
              </a:defRPr>
            </a:pPr>
            <a:endParaRPr lang="ru-RU"/>
          </a:p>
        </c:txPr>
        <c:crossAx val="314424336"/>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0.47533</cdr:x>
      <cdr:y>0</cdr:y>
    </cdr:from>
    <cdr:to>
      <cdr:x>0.68475</cdr:x>
      <cdr:y>0.09914</cdr:y>
    </cdr:to>
    <cdr:sp macro="" textlink="">
      <cdr:nvSpPr>
        <cdr:cNvPr id="2" name="Надпись 1"/>
        <cdr:cNvSpPr txBox="1"/>
      </cdr:nvSpPr>
      <cdr:spPr>
        <a:xfrm xmlns:a="http://schemas.openxmlformats.org/drawingml/2006/main">
          <a:off x="2823667" y="-1024128"/>
          <a:ext cx="1244066" cy="2856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800" b="1">
              <a:latin typeface="Century" panose="02040604050505020304" pitchFamily="18" charset="0"/>
            </a:rPr>
            <a:t>Средняя доля по РФ </a:t>
          </a:r>
          <a:endParaRPr lang="en-US" sz="800" b="1">
            <a:latin typeface="Century" panose="02040604050505020304" pitchFamily="18" charset="0"/>
          </a:endParaRPr>
        </a:p>
        <a:p xmlns:a="http://schemas.openxmlformats.org/drawingml/2006/main">
          <a:pPr algn="ctr"/>
          <a:r>
            <a:rPr lang="ru-RU" sz="800" b="1">
              <a:latin typeface="Century" panose="02040604050505020304" pitchFamily="18" charset="0"/>
            </a:rPr>
            <a:t>73,7%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B373-5779-4528-A3E2-F499921C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23</Pages>
  <Words>6683</Words>
  <Characters>38095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Евгения Петровна</dc:creator>
  <cp:lastModifiedBy>Виктория</cp:lastModifiedBy>
  <cp:revision>63</cp:revision>
  <cp:lastPrinted>2020-12-24T07:53:00Z</cp:lastPrinted>
  <dcterms:created xsi:type="dcterms:W3CDTF">2020-12-24T10:16:00Z</dcterms:created>
  <dcterms:modified xsi:type="dcterms:W3CDTF">2020-12-30T09:11:00Z</dcterms:modified>
</cp:coreProperties>
</file>