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DD7" w:rsidRDefault="00555DD7" w:rsidP="007725EF">
      <w:pPr>
        <w:jc w:val="center"/>
        <w:rPr>
          <w:b/>
          <w:sz w:val="36"/>
        </w:rPr>
      </w:pPr>
      <w:r>
        <w:rPr>
          <w:b/>
          <w:sz w:val="36"/>
        </w:rPr>
        <w:t>Информация об исполнении консолидированных бюджетов</w:t>
      </w:r>
      <w:r w:rsidR="0009731F">
        <w:rPr>
          <w:b/>
          <w:sz w:val="36"/>
        </w:rPr>
        <w:t xml:space="preserve"> субъектов Российской Федерации</w:t>
      </w:r>
      <w:r w:rsidR="0009731F">
        <w:rPr>
          <w:b/>
          <w:sz w:val="36"/>
        </w:rPr>
        <w:br/>
      </w:r>
      <w:r>
        <w:rPr>
          <w:b/>
          <w:sz w:val="36"/>
        </w:rPr>
        <w:t>на 1 июля 2020 года.</w:t>
      </w:r>
    </w:p>
    <w:p w:rsidR="003B26D3" w:rsidRDefault="003B26D3" w:rsidP="007725EF">
      <w:pPr>
        <w:jc w:val="center"/>
        <w:rPr>
          <w:szCs w:val="21"/>
        </w:rPr>
      </w:pPr>
    </w:p>
    <w:p w:rsidR="0009731F" w:rsidRDefault="0009731F" w:rsidP="007725EF">
      <w:pPr>
        <w:jc w:val="center"/>
        <w:rPr>
          <w:szCs w:val="21"/>
        </w:rPr>
      </w:pPr>
    </w:p>
    <w:p w:rsidR="0009731F" w:rsidRPr="007725EF" w:rsidRDefault="0009731F" w:rsidP="007725EF">
      <w:pPr>
        <w:jc w:val="center"/>
        <w:rPr>
          <w:szCs w:val="21"/>
        </w:rPr>
      </w:pPr>
    </w:p>
    <w:p w:rsidR="00A13D08" w:rsidRPr="0009731F" w:rsidRDefault="009812CA" w:rsidP="0009731F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09731F">
        <w:rPr>
          <w:i/>
          <w:sz w:val="37"/>
          <w:szCs w:val="37"/>
        </w:rPr>
        <w:t>Доходы</w:t>
      </w:r>
      <w:r w:rsidRPr="0009731F">
        <w:rPr>
          <w:sz w:val="37"/>
          <w:szCs w:val="37"/>
        </w:rPr>
        <w:t xml:space="preserve"> составили 6 329 млрд. </w:t>
      </w:r>
      <w:r w:rsidR="00513828" w:rsidRPr="0009731F">
        <w:rPr>
          <w:sz w:val="37"/>
          <w:szCs w:val="37"/>
        </w:rPr>
        <w:t>рублей</w:t>
      </w:r>
      <w:r w:rsidRPr="0009731F">
        <w:rPr>
          <w:sz w:val="37"/>
          <w:szCs w:val="37"/>
        </w:rPr>
        <w:t xml:space="preserve"> с </w:t>
      </w:r>
      <w:r w:rsidRPr="0009731F">
        <w:rPr>
          <w:b/>
          <w:sz w:val="37"/>
          <w:szCs w:val="37"/>
        </w:rPr>
        <w:t>ростом на 2%</w:t>
      </w:r>
      <w:r w:rsidR="00513828" w:rsidRPr="0009731F">
        <w:rPr>
          <w:sz w:val="37"/>
          <w:szCs w:val="37"/>
        </w:rPr>
        <w:br/>
      </w:r>
      <w:r w:rsidRPr="0009731F">
        <w:rPr>
          <w:sz w:val="37"/>
          <w:szCs w:val="37"/>
        </w:rPr>
        <w:t xml:space="preserve">(+132 млрд. </w:t>
      </w:r>
      <w:r w:rsidR="00513828" w:rsidRPr="0009731F">
        <w:rPr>
          <w:sz w:val="37"/>
          <w:szCs w:val="37"/>
        </w:rPr>
        <w:t>рублей</w:t>
      </w:r>
      <w:r w:rsidRPr="0009731F">
        <w:rPr>
          <w:sz w:val="37"/>
          <w:szCs w:val="37"/>
        </w:rPr>
        <w:t>).</w:t>
      </w:r>
    </w:p>
    <w:p w:rsidR="00A13D08" w:rsidRPr="0009731F" w:rsidRDefault="009812CA" w:rsidP="0009731F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09731F">
        <w:rPr>
          <w:sz w:val="37"/>
          <w:szCs w:val="37"/>
        </w:rPr>
        <w:t xml:space="preserve">Поступление </w:t>
      </w:r>
      <w:r w:rsidRPr="0009731F">
        <w:rPr>
          <w:i/>
          <w:sz w:val="37"/>
          <w:szCs w:val="37"/>
        </w:rPr>
        <w:t>налоговых и неналоговых доходов</w:t>
      </w:r>
      <w:r w:rsidRPr="0009731F">
        <w:rPr>
          <w:sz w:val="37"/>
          <w:szCs w:val="37"/>
        </w:rPr>
        <w:t xml:space="preserve"> </w:t>
      </w:r>
      <w:r w:rsidR="00E6271B">
        <w:rPr>
          <w:b/>
          <w:sz w:val="37"/>
          <w:szCs w:val="37"/>
        </w:rPr>
        <w:t>сократилось</w:t>
      </w:r>
      <w:r w:rsidR="00E6271B">
        <w:rPr>
          <w:b/>
          <w:sz w:val="37"/>
          <w:szCs w:val="37"/>
        </w:rPr>
        <w:br/>
      </w:r>
      <w:bookmarkStart w:id="0" w:name="_GoBack"/>
      <w:bookmarkEnd w:id="0"/>
      <w:r w:rsidRPr="0009731F">
        <w:rPr>
          <w:b/>
          <w:sz w:val="37"/>
          <w:szCs w:val="37"/>
        </w:rPr>
        <w:t>на 7%</w:t>
      </w:r>
      <w:r w:rsidR="0009731F">
        <w:rPr>
          <w:sz w:val="37"/>
          <w:szCs w:val="37"/>
        </w:rPr>
        <w:t xml:space="preserve"> </w:t>
      </w:r>
      <w:r w:rsidRPr="0009731F">
        <w:rPr>
          <w:sz w:val="37"/>
          <w:szCs w:val="37"/>
        </w:rPr>
        <w:t xml:space="preserve">(-379 млрд. </w:t>
      </w:r>
      <w:r w:rsidR="00513828" w:rsidRPr="0009731F">
        <w:rPr>
          <w:sz w:val="37"/>
          <w:szCs w:val="37"/>
        </w:rPr>
        <w:t>рублей</w:t>
      </w:r>
      <w:r w:rsidRPr="0009731F">
        <w:rPr>
          <w:sz w:val="37"/>
          <w:szCs w:val="37"/>
        </w:rPr>
        <w:t xml:space="preserve">), составив 4 870 млрд. </w:t>
      </w:r>
      <w:r w:rsidR="00513828" w:rsidRPr="0009731F">
        <w:rPr>
          <w:sz w:val="37"/>
          <w:szCs w:val="37"/>
        </w:rPr>
        <w:t>рублей.</w:t>
      </w:r>
    </w:p>
    <w:p w:rsidR="00A13D08" w:rsidRPr="0009731F" w:rsidRDefault="009812CA" w:rsidP="0009731F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09731F">
        <w:rPr>
          <w:sz w:val="37"/>
          <w:szCs w:val="37"/>
        </w:rPr>
        <w:t xml:space="preserve">Поступление </w:t>
      </w:r>
      <w:r w:rsidRPr="0009731F">
        <w:rPr>
          <w:i/>
          <w:sz w:val="37"/>
          <w:szCs w:val="37"/>
        </w:rPr>
        <w:t>налога на прибыль</w:t>
      </w:r>
      <w:r w:rsidRPr="0009731F">
        <w:rPr>
          <w:sz w:val="37"/>
          <w:szCs w:val="37"/>
        </w:rPr>
        <w:t xml:space="preserve"> </w:t>
      </w:r>
      <w:r w:rsidRPr="0009731F">
        <w:rPr>
          <w:b/>
          <w:sz w:val="37"/>
          <w:szCs w:val="37"/>
        </w:rPr>
        <w:t>снизилось на 14%</w:t>
      </w:r>
      <w:r w:rsidR="0009731F">
        <w:rPr>
          <w:sz w:val="37"/>
          <w:szCs w:val="37"/>
        </w:rPr>
        <w:br/>
      </w:r>
      <w:r w:rsidRPr="0009731F">
        <w:rPr>
          <w:sz w:val="37"/>
          <w:szCs w:val="37"/>
        </w:rPr>
        <w:t xml:space="preserve">(-249 млрд. </w:t>
      </w:r>
      <w:r w:rsidR="00513828" w:rsidRPr="0009731F">
        <w:rPr>
          <w:sz w:val="37"/>
          <w:szCs w:val="37"/>
        </w:rPr>
        <w:t>рублей</w:t>
      </w:r>
      <w:r w:rsidRPr="0009731F">
        <w:rPr>
          <w:sz w:val="37"/>
          <w:szCs w:val="37"/>
        </w:rPr>
        <w:t xml:space="preserve">) по сравнению с 2019 годом, объем которого составил 1 541 млрд. </w:t>
      </w:r>
      <w:r w:rsidR="00513828" w:rsidRPr="0009731F">
        <w:rPr>
          <w:sz w:val="37"/>
          <w:szCs w:val="37"/>
        </w:rPr>
        <w:t>рублей</w:t>
      </w:r>
      <w:r w:rsidR="00513828" w:rsidRPr="0009731F">
        <w:rPr>
          <w:spacing w:val="-4"/>
          <w:sz w:val="37"/>
          <w:szCs w:val="37"/>
        </w:rPr>
        <w:t>.</w:t>
      </w:r>
    </w:p>
    <w:p w:rsidR="00A13D08" w:rsidRPr="0009731F" w:rsidRDefault="009812CA" w:rsidP="0009731F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09731F">
        <w:rPr>
          <w:sz w:val="37"/>
          <w:szCs w:val="37"/>
        </w:rPr>
        <w:t xml:space="preserve">Поступление </w:t>
      </w:r>
      <w:r w:rsidRPr="0009731F">
        <w:rPr>
          <w:i/>
          <w:sz w:val="37"/>
          <w:szCs w:val="37"/>
        </w:rPr>
        <w:t>НДФЛ</w:t>
      </w:r>
      <w:r w:rsidRPr="0009731F">
        <w:rPr>
          <w:sz w:val="37"/>
          <w:szCs w:val="37"/>
        </w:rPr>
        <w:t xml:space="preserve"> </w:t>
      </w:r>
      <w:r w:rsidRPr="0009731F">
        <w:rPr>
          <w:b/>
          <w:sz w:val="37"/>
          <w:szCs w:val="37"/>
        </w:rPr>
        <w:t>осталось на том же уровне</w:t>
      </w:r>
      <w:r w:rsidR="0009731F">
        <w:rPr>
          <w:sz w:val="37"/>
          <w:szCs w:val="37"/>
        </w:rPr>
        <w:br/>
      </w:r>
      <w:r w:rsidRPr="0009731F">
        <w:rPr>
          <w:sz w:val="37"/>
          <w:szCs w:val="37"/>
        </w:rPr>
        <w:t xml:space="preserve">(-3 млрд. </w:t>
      </w:r>
      <w:r w:rsidR="00513828" w:rsidRPr="0009731F">
        <w:rPr>
          <w:sz w:val="37"/>
          <w:szCs w:val="37"/>
        </w:rPr>
        <w:t>рублей</w:t>
      </w:r>
      <w:r w:rsidRPr="0009731F">
        <w:rPr>
          <w:sz w:val="37"/>
          <w:szCs w:val="37"/>
        </w:rPr>
        <w:t xml:space="preserve">) относительно уровня 2019 года, составив 1 773 млрд. </w:t>
      </w:r>
      <w:r w:rsidR="00513828" w:rsidRPr="0009731F">
        <w:rPr>
          <w:sz w:val="37"/>
          <w:szCs w:val="37"/>
        </w:rPr>
        <w:t>рублей.</w:t>
      </w:r>
    </w:p>
    <w:p w:rsidR="00A13D08" w:rsidRPr="0009731F" w:rsidRDefault="009812CA" w:rsidP="0009731F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09731F">
        <w:rPr>
          <w:sz w:val="37"/>
          <w:szCs w:val="37"/>
        </w:rPr>
        <w:t xml:space="preserve">Поступление </w:t>
      </w:r>
      <w:r w:rsidRPr="0009731F">
        <w:rPr>
          <w:i/>
          <w:sz w:val="37"/>
          <w:szCs w:val="37"/>
        </w:rPr>
        <w:t>акцизов</w:t>
      </w:r>
      <w:r w:rsidRPr="0009731F">
        <w:rPr>
          <w:sz w:val="37"/>
          <w:szCs w:val="37"/>
        </w:rPr>
        <w:t xml:space="preserve"> </w:t>
      </w:r>
      <w:r w:rsidRPr="0009731F">
        <w:rPr>
          <w:b/>
          <w:sz w:val="37"/>
          <w:szCs w:val="37"/>
        </w:rPr>
        <w:t>увеличилось на 3%</w:t>
      </w:r>
      <w:r w:rsidRPr="0009731F">
        <w:rPr>
          <w:sz w:val="37"/>
          <w:szCs w:val="37"/>
        </w:rPr>
        <w:t xml:space="preserve"> (+11 млрд. </w:t>
      </w:r>
      <w:r w:rsidR="00513828" w:rsidRPr="0009731F">
        <w:rPr>
          <w:sz w:val="37"/>
          <w:szCs w:val="37"/>
        </w:rPr>
        <w:t>рублей)</w:t>
      </w:r>
      <w:r w:rsidR="00513828" w:rsidRPr="0009731F">
        <w:rPr>
          <w:sz w:val="37"/>
          <w:szCs w:val="37"/>
        </w:rPr>
        <w:br/>
      </w:r>
      <w:r w:rsidRPr="0009731F">
        <w:rPr>
          <w:sz w:val="37"/>
          <w:szCs w:val="37"/>
        </w:rPr>
        <w:t>по сравнению с 2</w:t>
      </w:r>
      <w:r w:rsidR="0009731F">
        <w:rPr>
          <w:sz w:val="37"/>
          <w:szCs w:val="37"/>
        </w:rPr>
        <w:t>019 годом, объем которых достиг</w:t>
      </w:r>
      <w:r w:rsidR="0009731F">
        <w:rPr>
          <w:sz w:val="37"/>
          <w:szCs w:val="37"/>
        </w:rPr>
        <w:br/>
      </w:r>
      <w:r w:rsidRPr="0009731F">
        <w:rPr>
          <w:sz w:val="37"/>
          <w:szCs w:val="37"/>
        </w:rPr>
        <w:t xml:space="preserve">367 млрд. </w:t>
      </w:r>
      <w:r w:rsidR="00513828" w:rsidRPr="0009731F">
        <w:rPr>
          <w:sz w:val="37"/>
          <w:szCs w:val="37"/>
        </w:rPr>
        <w:t>рублей.</w:t>
      </w:r>
    </w:p>
    <w:p w:rsidR="00A13D08" w:rsidRPr="0009731F" w:rsidRDefault="009812CA" w:rsidP="0009731F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09731F">
        <w:rPr>
          <w:sz w:val="37"/>
          <w:szCs w:val="37"/>
        </w:rPr>
        <w:t xml:space="preserve">Поступление </w:t>
      </w:r>
      <w:r w:rsidRPr="0009731F">
        <w:rPr>
          <w:i/>
          <w:sz w:val="37"/>
          <w:szCs w:val="37"/>
        </w:rPr>
        <w:t>налога на имущество организаций</w:t>
      </w:r>
      <w:r w:rsidRPr="0009731F">
        <w:rPr>
          <w:sz w:val="37"/>
          <w:szCs w:val="37"/>
        </w:rPr>
        <w:t xml:space="preserve"> </w:t>
      </w:r>
      <w:r w:rsidRPr="0009731F">
        <w:rPr>
          <w:b/>
          <w:sz w:val="37"/>
          <w:szCs w:val="37"/>
        </w:rPr>
        <w:t>сократилось на 8%</w:t>
      </w:r>
      <w:r w:rsidR="0009731F">
        <w:rPr>
          <w:sz w:val="37"/>
          <w:szCs w:val="37"/>
        </w:rPr>
        <w:t xml:space="preserve"> </w:t>
      </w:r>
      <w:r w:rsidRPr="0009731F">
        <w:rPr>
          <w:sz w:val="37"/>
          <w:szCs w:val="37"/>
        </w:rPr>
        <w:t xml:space="preserve">(-36 млрд. </w:t>
      </w:r>
      <w:r w:rsidR="00513828" w:rsidRPr="0009731F">
        <w:rPr>
          <w:sz w:val="37"/>
          <w:szCs w:val="37"/>
        </w:rPr>
        <w:t>рублей</w:t>
      </w:r>
      <w:r w:rsidRPr="0009731F">
        <w:rPr>
          <w:sz w:val="37"/>
          <w:szCs w:val="37"/>
        </w:rPr>
        <w:t>) относите</w:t>
      </w:r>
      <w:r w:rsidR="0009731F">
        <w:rPr>
          <w:sz w:val="37"/>
          <w:szCs w:val="37"/>
        </w:rPr>
        <w:t xml:space="preserve">льно уровня 2019 года, составив </w:t>
      </w:r>
      <w:r w:rsidRPr="0009731F">
        <w:rPr>
          <w:sz w:val="37"/>
          <w:szCs w:val="37"/>
        </w:rPr>
        <w:t xml:space="preserve">427 млрд. </w:t>
      </w:r>
      <w:r w:rsidR="00513828" w:rsidRPr="0009731F">
        <w:rPr>
          <w:sz w:val="37"/>
          <w:szCs w:val="37"/>
        </w:rPr>
        <w:t>рублей.</w:t>
      </w:r>
    </w:p>
    <w:p w:rsidR="00A13D08" w:rsidRPr="0009731F" w:rsidRDefault="009812CA" w:rsidP="0009731F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09731F">
        <w:rPr>
          <w:sz w:val="37"/>
          <w:szCs w:val="37"/>
        </w:rPr>
        <w:t xml:space="preserve">Доходы от </w:t>
      </w:r>
      <w:r w:rsidRPr="0009731F">
        <w:rPr>
          <w:i/>
          <w:sz w:val="37"/>
          <w:szCs w:val="37"/>
        </w:rPr>
        <w:t>других налогов</w:t>
      </w:r>
      <w:r w:rsidRPr="0009731F">
        <w:rPr>
          <w:sz w:val="37"/>
          <w:szCs w:val="37"/>
        </w:rPr>
        <w:t xml:space="preserve"> поступили в сумме 452 млрд. </w:t>
      </w:r>
      <w:r w:rsidR="00513828" w:rsidRPr="0009731F">
        <w:rPr>
          <w:sz w:val="37"/>
          <w:szCs w:val="37"/>
        </w:rPr>
        <w:t>рублей</w:t>
      </w:r>
      <w:r w:rsidRPr="0009731F">
        <w:rPr>
          <w:sz w:val="37"/>
          <w:szCs w:val="37"/>
        </w:rPr>
        <w:t xml:space="preserve"> и </w:t>
      </w:r>
      <w:r w:rsidRPr="0009731F">
        <w:rPr>
          <w:b/>
          <w:sz w:val="37"/>
          <w:szCs w:val="37"/>
        </w:rPr>
        <w:t>снизились на 10%</w:t>
      </w:r>
      <w:r w:rsidRPr="0009731F">
        <w:rPr>
          <w:sz w:val="37"/>
          <w:szCs w:val="37"/>
        </w:rPr>
        <w:t xml:space="preserve"> (-50 млрд. </w:t>
      </w:r>
      <w:r w:rsidR="00513828" w:rsidRPr="0009731F">
        <w:rPr>
          <w:sz w:val="37"/>
          <w:szCs w:val="37"/>
        </w:rPr>
        <w:t>рублей</w:t>
      </w:r>
      <w:r w:rsidRPr="0009731F">
        <w:rPr>
          <w:sz w:val="37"/>
          <w:szCs w:val="37"/>
        </w:rPr>
        <w:t>).</w:t>
      </w:r>
    </w:p>
    <w:p w:rsidR="00A13D08" w:rsidRPr="0009731F" w:rsidRDefault="009812CA" w:rsidP="0009731F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09731F">
        <w:rPr>
          <w:i/>
          <w:sz w:val="37"/>
          <w:szCs w:val="37"/>
        </w:rPr>
        <w:t>Неналоговые доходы</w:t>
      </w:r>
      <w:r w:rsidRPr="0009731F">
        <w:rPr>
          <w:sz w:val="37"/>
          <w:szCs w:val="37"/>
        </w:rPr>
        <w:t xml:space="preserve"> </w:t>
      </w:r>
      <w:r w:rsidRPr="0009731F">
        <w:rPr>
          <w:b/>
          <w:sz w:val="37"/>
          <w:szCs w:val="37"/>
        </w:rPr>
        <w:t>сократились на 14%</w:t>
      </w:r>
      <w:r w:rsidRPr="0009731F">
        <w:rPr>
          <w:sz w:val="37"/>
          <w:szCs w:val="37"/>
        </w:rPr>
        <w:t xml:space="preserve"> (-52 млрд. </w:t>
      </w:r>
      <w:r w:rsidR="00513828" w:rsidRPr="0009731F">
        <w:rPr>
          <w:sz w:val="37"/>
          <w:szCs w:val="37"/>
        </w:rPr>
        <w:t>рублей</w:t>
      </w:r>
      <w:r w:rsidRPr="0009731F">
        <w:rPr>
          <w:sz w:val="37"/>
          <w:szCs w:val="37"/>
        </w:rPr>
        <w:t xml:space="preserve">), составив 310 млрд. </w:t>
      </w:r>
      <w:r w:rsidR="00513828" w:rsidRPr="0009731F">
        <w:rPr>
          <w:sz w:val="37"/>
          <w:szCs w:val="37"/>
        </w:rPr>
        <w:t>рублей.</w:t>
      </w:r>
    </w:p>
    <w:p w:rsidR="00A13D08" w:rsidRPr="0009731F" w:rsidRDefault="009812CA" w:rsidP="0009731F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09731F">
        <w:rPr>
          <w:i/>
          <w:sz w:val="37"/>
          <w:szCs w:val="37"/>
        </w:rPr>
        <w:lastRenderedPageBreak/>
        <w:t>Безвозмездные поступления из федерального бюджета</w:t>
      </w:r>
      <w:r w:rsidRPr="0009731F">
        <w:rPr>
          <w:sz w:val="37"/>
          <w:szCs w:val="37"/>
        </w:rPr>
        <w:t xml:space="preserve"> поступили в объеме </w:t>
      </w:r>
      <w:r w:rsidRPr="0009731F">
        <w:rPr>
          <w:b/>
          <w:sz w:val="37"/>
          <w:szCs w:val="37"/>
        </w:rPr>
        <w:t xml:space="preserve">1 391 млрд. </w:t>
      </w:r>
      <w:r w:rsidR="00513828" w:rsidRPr="0009731F">
        <w:rPr>
          <w:b/>
          <w:sz w:val="37"/>
          <w:szCs w:val="37"/>
        </w:rPr>
        <w:t>рублей</w:t>
      </w:r>
      <w:r w:rsidRPr="0009731F">
        <w:rPr>
          <w:sz w:val="37"/>
          <w:szCs w:val="37"/>
        </w:rPr>
        <w:t xml:space="preserve">, с </w:t>
      </w:r>
      <w:r w:rsidRPr="0009731F">
        <w:rPr>
          <w:b/>
          <w:sz w:val="37"/>
          <w:szCs w:val="37"/>
        </w:rPr>
        <w:t>ростом на 57%</w:t>
      </w:r>
      <w:r w:rsidRPr="0009731F">
        <w:rPr>
          <w:sz w:val="37"/>
          <w:szCs w:val="37"/>
        </w:rPr>
        <w:t xml:space="preserve"> (+505 млрд. </w:t>
      </w:r>
      <w:r w:rsidR="00513828" w:rsidRPr="0009731F">
        <w:rPr>
          <w:sz w:val="37"/>
          <w:szCs w:val="37"/>
        </w:rPr>
        <w:t>рублей</w:t>
      </w:r>
      <w:r w:rsidRPr="0009731F">
        <w:rPr>
          <w:sz w:val="37"/>
          <w:szCs w:val="37"/>
        </w:rPr>
        <w:t>), что составляет 22% доходов.</w:t>
      </w:r>
    </w:p>
    <w:p w:rsidR="00A13D08" w:rsidRPr="0009731F" w:rsidRDefault="009812CA" w:rsidP="0009731F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09731F">
        <w:rPr>
          <w:i/>
          <w:sz w:val="37"/>
          <w:szCs w:val="37"/>
        </w:rPr>
        <w:t>Расходы</w:t>
      </w:r>
      <w:r w:rsidRPr="0009731F">
        <w:rPr>
          <w:sz w:val="37"/>
          <w:szCs w:val="37"/>
        </w:rPr>
        <w:t xml:space="preserve"> профинансированы в объеме </w:t>
      </w:r>
      <w:r w:rsidRPr="0009731F">
        <w:rPr>
          <w:b/>
          <w:sz w:val="37"/>
          <w:szCs w:val="37"/>
        </w:rPr>
        <w:t xml:space="preserve">6 543 млрд. </w:t>
      </w:r>
      <w:r w:rsidR="00513828" w:rsidRPr="0009731F">
        <w:rPr>
          <w:b/>
          <w:sz w:val="37"/>
          <w:szCs w:val="37"/>
        </w:rPr>
        <w:t>рублей</w:t>
      </w:r>
      <w:r w:rsidR="0009731F">
        <w:rPr>
          <w:sz w:val="37"/>
          <w:szCs w:val="37"/>
        </w:rPr>
        <w:t>,</w:t>
      </w:r>
      <w:r w:rsidR="0009731F">
        <w:rPr>
          <w:sz w:val="37"/>
          <w:szCs w:val="37"/>
        </w:rPr>
        <w:br/>
      </w:r>
      <w:r w:rsidRPr="0009731F">
        <w:rPr>
          <w:sz w:val="37"/>
          <w:szCs w:val="37"/>
        </w:rPr>
        <w:t xml:space="preserve">с </w:t>
      </w:r>
      <w:r w:rsidRPr="0009731F">
        <w:rPr>
          <w:b/>
          <w:sz w:val="37"/>
          <w:szCs w:val="37"/>
        </w:rPr>
        <w:t>ростом на 19%</w:t>
      </w:r>
      <w:r w:rsidRPr="0009731F">
        <w:rPr>
          <w:sz w:val="37"/>
          <w:szCs w:val="37"/>
        </w:rPr>
        <w:t xml:space="preserve"> (+1 041 млрд. </w:t>
      </w:r>
      <w:r w:rsidR="00513828" w:rsidRPr="0009731F">
        <w:rPr>
          <w:sz w:val="37"/>
          <w:szCs w:val="37"/>
        </w:rPr>
        <w:t>рублей</w:t>
      </w:r>
      <w:r w:rsidRPr="0009731F">
        <w:rPr>
          <w:sz w:val="37"/>
          <w:szCs w:val="37"/>
        </w:rPr>
        <w:t>).</w:t>
      </w:r>
    </w:p>
    <w:p w:rsidR="00A13D08" w:rsidRPr="0009731F" w:rsidRDefault="009812CA" w:rsidP="0009731F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09731F">
        <w:rPr>
          <w:i/>
          <w:sz w:val="37"/>
          <w:szCs w:val="37"/>
        </w:rPr>
        <w:t>Дефицит</w:t>
      </w:r>
      <w:r w:rsidRPr="0009731F">
        <w:rPr>
          <w:sz w:val="37"/>
          <w:szCs w:val="37"/>
        </w:rPr>
        <w:t xml:space="preserve"> </w:t>
      </w:r>
      <w:r w:rsidR="00513828" w:rsidRPr="0009731F">
        <w:rPr>
          <w:sz w:val="37"/>
          <w:szCs w:val="37"/>
        </w:rPr>
        <w:t>консолидированных</w:t>
      </w:r>
      <w:r w:rsidRPr="0009731F">
        <w:rPr>
          <w:sz w:val="37"/>
          <w:szCs w:val="37"/>
        </w:rPr>
        <w:t xml:space="preserve"> бюджетов </w:t>
      </w:r>
      <w:r w:rsidRPr="0009731F">
        <w:rPr>
          <w:b/>
          <w:sz w:val="37"/>
          <w:szCs w:val="37"/>
        </w:rPr>
        <w:t>214 млрд. рублей</w:t>
      </w:r>
      <w:r w:rsidR="0009731F">
        <w:rPr>
          <w:sz w:val="37"/>
          <w:szCs w:val="37"/>
        </w:rPr>
        <w:br/>
      </w:r>
      <w:r w:rsidRPr="0009731F">
        <w:rPr>
          <w:sz w:val="37"/>
          <w:szCs w:val="37"/>
        </w:rPr>
        <w:t xml:space="preserve">(в 2019 году </w:t>
      </w:r>
      <w:r w:rsidRPr="0009731F">
        <w:rPr>
          <w:i/>
          <w:sz w:val="37"/>
          <w:szCs w:val="37"/>
        </w:rPr>
        <w:t>профицит</w:t>
      </w:r>
      <w:r w:rsidRPr="0009731F">
        <w:rPr>
          <w:sz w:val="37"/>
          <w:szCs w:val="37"/>
        </w:rPr>
        <w:t xml:space="preserve"> </w:t>
      </w:r>
      <w:r w:rsidR="00513828" w:rsidRPr="0009731F">
        <w:rPr>
          <w:sz w:val="37"/>
          <w:szCs w:val="37"/>
        </w:rPr>
        <w:t>–</w:t>
      </w:r>
      <w:r w:rsidRPr="0009731F">
        <w:rPr>
          <w:sz w:val="37"/>
          <w:szCs w:val="37"/>
        </w:rPr>
        <w:t xml:space="preserve"> </w:t>
      </w:r>
      <w:r w:rsidRPr="0009731F">
        <w:rPr>
          <w:b/>
          <w:sz w:val="37"/>
          <w:szCs w:val="37"/>
        </w:rPr>
        <w:t>696 млрд. рублей</w:t>
      </w:r>
      <w:r w:rsidRPr="0009731F">
        <w:rPr>
          <w:sz w:val="37"/>
          <w:szCs w:val="37"/>
        </w:rPr>
        <w:t>)</w:t>
      </w:r>
      <w:r w:rsidR="0009731F">
        <w:rPr>
          <w:sz w:val="37"/>
          <w:szCs w:val="37"/>
        </w:rPr>
        <w:t xml:space="preserve">. </w:t>
      </w:r>
      <w:r w:rsidRPr="0009731F">
        <w:rPr>
          <w:sz w:val="37"/>
          <w:szCs w:val="37"/>
        </w:rPr>
        <w:t xml:space="preserve">С дефицитом исполнены бюджеты </w:t>
      </w:r>
      <w:r w:rsidRPr="0009731F">
        <w:rPr>
          <w:b/>
          <w:sz w:val="37"/>
          <w:szCs w:val="37"/>
        </w:rPr>
        <w:t>47 регионов</w:t>
      </w:r>
      <w:r w:rsidR="0009731F">
        <w:rPr>
          <w:sz w:val="37"/>
          <w:szCs w:val="37"/>
        </w:rPr>
        <w:t xml:space="preserve"> (против 26 в 2019 году),</w:t>
      </w:r>
      <w:r w:rsidR="0009731F">
        <w:rPr>
          <w:sz w:val="37"/>
          <w:szCs w:val="37"/>
        </w:rPr>
        <w:br/>
      </w:r>
      <w:r w:rsidRPr="0009731F">
        <w:rPr>
          <w:sz w:val="37"/>
          <w:szCs w:val="37"/>
        </w:rPr>
        <w:t xml:space="preserve">с суммарным дефицитом </w:t>
      </w:r>
      <w:r w:rsidRPr="0009731F">
        <w:rPr>
          <w:b/>
          <w:sz w:val="37"/>
          <w:szCs w:val="37"/>
        </w:rPr>
        <w:t>387 млрд. рублей</w:t>
      </w:r>
      <w:r w:rsidRPr="0009731F">
        <w:rPr>
          <w:sz w:val="37"/>
          <w:szCs w:val="37"/>
        </w:rPr>
        <w:t xml:space="preserve">. С профицитом исполнены бюджеты </w:t>
      </w:r>
      <w:r w:rsidRPr="0009731F">
        <w:rPr>
          <w:b/>
          <w:sz w:val="37"/>
          <w:szCs w:val="37"/>
        </w:rPr>
        <w:t>38 регионов</w:t>
      </w:r>
      <w:r w:rsidR="0009731F">
        <w:rPr>
          <w:sz w:val="37"/>
          <w:szCs w:val="37"/>
        </w:rPr>
        <w:t xml:space="preserve"> (против 59 в 2019 году),</w:t>
      </w:r>
      <w:r w:rsidR="0009731F">
        <w:rPr>
          <w:sz w:val="37"/>
          <w:szCs w:val="37"/>
        </w:rPr>
        <w:br/>
      </w:r>
      <w:r w:rsidRPr="0009731F">
        <w:rPr>
          <w:sz w:val="37"/>
          <w:szCs w:val="37"/>
        </w:rPr>
        <w:t xml:space="preserve">с суммарным профицитом </w:t>
      </w:r>
      <w:r w:rsidRPr="0009731F">
        <w:rPr>
          <w:b/>
          <w:sz w:val="37"/>
          <w:szCs w:val="37"/>
        </w:rPr>
        <w:t>174 млрд. рублей</w:t>
      </w:r>
      <w:r w:rsidRPr="0009731F">
        <w:rPr>
          <w:sz w:val="37"/>
          <w:szCs w:val="37"/>
        </w:rPr>
        <w:t>.</w:t>
      </w:r>
    </w:p>
    <w:p w:rsidR="00A13D08" w:rsidRPr="0009731F" w:rsidRDefault="009812CA" w:rsidP="0009731F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09731F">
        <w:rPr>
          <w:i/>
          <w:sz w:val="37"/>
          <w:szCs w:val="37"/>
        </w:rPr>
        <w:t>Привлечение кредитов кредитных организаций</w:t>
      </w:r>
      <w:r w:rsidRPr="0009731F">
        <w:rPr>
          <w:sz w:val="37"/>
          <w:szCs w:val="37"/>
        </w:rPr>
        <w:t xml:space="preserve"> составило</w:t>
      </w:r>
      <w:r w:rsidR="00513828" w:rsidRPr="0009731F">
        <w:rPr>
          <w:sz w:val="37"/>
          <w:szCs w:val="37"/>
        </w:rPr>
        <w:br/>
      </w:r>
      <w:r w:rsidRPr="0009731F">
        <w:rPr>
          <w:b/>
          <w:sz w:val="37"/>
          <w:szCs w:val="37"/>
        </w:rPr>
        <w:t>337 млрд. рублей</w:t>
      </w:r>
      <w:r w:rsidRPr="0009731F">
        <w:rPr>
          <w:sz w:val="37"/>
          <w:szCs w:val="37"/>
        </w:rPr>
        <w:t xml:space="preserve">, </w:t>
      </w:r>
      <w:r w:rsidRPr="0009731F">
        <w:rPr>
          <w:i/>
          <w:sz w:val="37"/>
          <w:szCs w:val="37"/>
        </w:rPr>
        <w:t>погашение</w:t>
      </w:r>
      <w:r w:rsidRPr="0009731F">
        <w:rPr>
          <w:sz w:val="37"/>
          <w:szCs w:val="37"/>
        </w:rPr>
        <w:t xml:space="preserve"> </w:t>
      </w:r>
      <w:r w:rsidR="00513828" w:rsidRPr="0009731F">
        <w:rPr>
          <w:sz w:val="37"/>
          <w:szCs w:val="37"/>
        </w:rPr>
        <w:t>–</w:t>
      </w:r>
      <w:r w:rsidRPr="0009731F">
        <w:rPr>
          <w:sz w:val="37"/>
          <w:szCs w:val="37"/>
        </w:rPr>
        <w:t xml:space="preserve"> </w:t>
      </w:r>
      <w:r w:rsidRPr="0009731F">
        <w:rPr>
          <w:b/>
          <w:sz w:val="37"/>
          <w:szCs w:val="37"/>
        </w:rPr>
        <w:t>527 млрд. рублей</w:t>
      </w:r>
      <w:r w:rsidRPr="0009731F">
        <w:rPr>
          <w:sz w:val="37"/>
          <w:szCs w:val="37"/>
        </w:rPr>
        <w:t xml:space="preserve"> (в 2019 году </w:t>
      </w:r>
      <w:r w:rsidR="00513828" w:rsidRPr="0009731F">
        <w:rPr>
          <w:sz w:val="37"/>
          <w:szCs w:val="37"/>
        </w:rPr>
        <w:t>–</w:t>
      </w:r>
      <w:r w:rsidRPr="0009731F">
        <w:rPr>
          <w:sz w:val="37"/>
          <w:szCs w:val="37"/>
        </w:rPr>
        <w:t xml:space="preserve"> 214 и 475 млрд. рублей соответственно).</w:t>
      </w:r>
    </w:p>
    <w:p w:rsidR="00A13D08" w:rsidRPr="0009731F" w:rsidRDefault="009812CA" w:rsidP="0009731F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09731F">
        <w:rPr>
          <w:i/>
          <w:sz w:val="37"/>
          <w:szCs w:val="37"/>
        </w:rPr>
        <w:t>Остатки средств бюджетов</w:t>
      </w:r>
      <w:r w:rsidRPr="0009731F">
        <w:rPr>
          <w:sz w:val="37"/>
          <w:szCs w:val="37"/>
        </w:rPr>
        <w:t xml:space="preserve"> на 1 июля 2020 года составили</w:t>
      </w:r>
      <w:r w:rsidR="00513828" w:rsidRPr="0009731F">
        <w:rPr>
          <w:sz w:val="37"/>
          <w:szCs w:val="37"/>
        </w:rPr>
        <w:br/>
      </w:r>
      <w:r w:rsidR="005B7AA6" w:rsidRPr="0009731F">
        <w:rPr>
          <w:b/>
          <w:sz w:val="37"/>
          <w:szCs w:val="37"/>
        </w:rPr>
        <w:t>2 050</w:t>
      </w:r>
      <w:r w:rsidRPr="0009731F">
        <w:rPr>
          <w:b/>
          <w:sz w:val="37"/>
          <w:szCs w:val="37"/>
        </w:rPr>
        <w:t xml:space="preserve"> млрд. рублей</w:t>
      </w:r>
      <w:r w:rsidRPr="0009731F">
        <w:rPr>
          <w:sz w:val="37"/>
          <w:szCs w:val="37"/>
        </w:rPr>
        <w:t xml:space="preserve"> и возросли с начала года </w:t>
      </w:r>
      <w:r w:rsidRPr="0009731F">
        <w:rPr>
          <w:b/>
          <w:sz w:val="37"/>
          <w:szCs w:val="37"/>
        </w:rPr>
        <w:t>на 2%</w:t>
      </w:r>
      <w:r w:rsidR="0009731F">
        <w:rPr>
          <w:sz w:val="37"/>
          <w:szCs w:val="37"/>
        </w:rPr>
        <w:br/>
      </w:r>
      <w:r w:rsidRPr="0009731F">
        <w:rPr>
          <w:sz w:val="37"/>
          <w:szCs w:val="37"/>
        </w:rPr>
        <w:t>(+3</w:t>
      </w:r>
      <w:r w:rsidR="005B7AA6" w:rsidRPr="0009731F">
        <w:rPr>
          <w:sz w:val="37"/>
          <w:szCs w:val="37"/>
        </w:rPr>
        <w:t>1</w:t>
      </w:r>
      <w:r w:rsidRPr="0009731F">
        <w:rPr>
          <w:sz w:val="37"/>
          <w:szCs w:val="37"/>
        </w:rPr>
        <w:t xml:space="preserve"> млрд. </w:t>
      </w:r>
      <w:r w:rsidR="00513828" w:rsidRPr="0009731F">
        <w:rPr>
          <w:sz w:val="37"/>
          <w:szCs w:val="37"/>
        </w:rPr>
        <w:t>рублей).</w:t>
      </w:r>
    </w:p>
    <w:p w:rsidR="00460A68" w:rsidRPr="0009731F" w:rsidRDefault="00460A68" w:rsidP="005F58FC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09731F">
        <w:rPr>
          <w:i/>
          <w:sz w:val="37"/>
          <w:szCs w:val="37"/>
        </w:rPr>
        <w:t>Государственный долг субъектов Российской Федерации</w:t>
      </w:r>
      <w:r w:rsidRPr="0009731F">
        <w:rPr>
          <w:sz w:val="37"/>
          <w:szCs w:val="37"/>
        </w:rPr>
        <w:t xml:space="preserve"> составляет </w:t>
      </w:r>
      <w:r w:rsidRPr="0009731F">
        <w:rPr>
          <w:b/>
          <w:sz w:val="37"/>
          <w:szCs w:val="37"/>
        </w:rPr>
        <w:t>2 139 млрд. рублей</w:t>
      </w:r>
      <w:r w:rsidRPr="0009731F">
        <w:rPr>
          <w:sz w:val="37"/>
          <w:szCs w:val="37"/>
        </w:rPr>
        <w:t xml:space="preserve"> и возрос с начала года </w:t>
      </w:r>
      <w:r w:rsidRPr="0009731F">
        <w:rPr>
          <w:b/>
          <w:sz w:val="37"/>
          <w:szCs w:val="37"/>
        </w:rPr>
        <w:t>на 1,2%</w:t>
      </w:r>
      <w:r w:rsidRPr="0009731F">
        <w:rPr>
          <w:sz w:val="37"/>
          <w:szCs w:val="37"/>
        </w:rPr>
        <w:t xml:space="preserve"> (26 млрд. </w:t>
      </w:r>
      <w:r w:rsidR="00513828" w:rsidRPr="0009731F">
        <w:rPr>
          <w:sz w:val="37"/>
          <w:szCs w:val="37"/>
        </w:rPr>
        <w:t>рублей</w:t>
      </w:r>
      <w:r w:rsidRPr="0009731F">
        <w:rPr>
          <w:sz w:val="37"/>
          <w:szCs w:val="37"/>
        </w:rPr>
        <w:t>).</w:t>
      </w:r>
    </w:p>
    <w:p w:rsidR="00A13D08" w:rsidRDefault="00A13D08">
      <w:pPr>
        <w:pageBreakBefore/>
      </w:pPr>
    </w:p>
    <w:p w:rsidR="00A13D08" w:rsidRPr="003B26D3" w:rsidRDefault="009812CA">
      <w:pPr>
        <w:jc w:val="center"/>
        <w:rPr>
          <w:b/>
        </w:rPr>
      </w:pPr>
      <w:r w:rsidRPr="003B26D3">
        <w:rPr>
          <w:b/>
          <w:sz w:val="28"/>
        </w:rPr>
        <w:t>Динамика нало</w:t>
      </w:r>
      <w:r w:rsidR="00513828">
        <w:rPr>
          <w:b/>
          <w:sz w:val="28"/>
        </w:rPr>
        <w:t>говых доходов консолидированных</w:t>
      </w:r>
      <w:r w:rsidR="00513828">
        <w:rPr>
          <w:b/>
          <w:sz w:val="28"/>
        </w:rPr>
        <w:br/>
      </w:r>
      <w:r w:rsidRPr="003B26D3">
        <w:rPr>
          <w:b/>
          <w:sz w:val="28"/>
        </w:rPr>
        <w:t>бюджетов субъектов Российской Федерации в 2018-2020 годах</w:t>
      </w:r>
    </w:p>
    <w:p w:rsidR="00A13D08" w:rsidRDefault="009812CA">
      <w:r>
        <w:rPr>
          <w:noProof/>
        </w:rPr>
        <w:drawing>
          <wp:inline distT="0" distB="0" distL="0" distR="0">
            <wp:extent cx="6315075" cy="4105275"/>
            <wp:effectExtent l="0" t="0" r="0" b="0"/>
            <wp:docPr id="4" name="Picture 4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D08" w:rsidRDefault="00A13D08"/>
    <w:p w:rsidR="00A13D08" w:rsidRPr="003B26D3" w:rsidRDefault="009812CA">
      <w:pPr>
        <w:jc w:val="center"/>
        <w:rPr>
          <w:b/>
        </w:rPr>
      </w:pPr>
      <w:r w:rsidRPr="003B26D3">
        <w:rPr>
          <w:b/>
          <w:sz w:val="28"/>
        </w:rPr>
        <w:t>Налоговые и неналоговые доходы в 2018-2020 гг.</w:t>
      </w:r>
    </w:p>
    <w:p w:rsidR="00A13D08" w:rsidRDefault="009812CA">
      <w:r>
        <w:rPr>
          <w:noProof/>
        </w:rPr>
        <w:drawing>
          <wp:inline distT="0" distB="0" distL="0" distR="0">
            <wp:extent cx="6667500" cy="4000500"/>
            <wp:effectExtent l="0" t="0" r="0" b="0"/>
            <wp:docPr id="5" name="Picture 5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D08" w:rsidRDefault="00A13D08">
      <w:pPr>
        <w:pageBreakBefore/>
      </w:pPr>
    </w:p>
    <w:p w:rsidR="00A13D08" w:rsidRPr="003B26D3" w:rsidRDefault="009812CA">
      <w:pPr>
        <w:jc w:val="center"/>
        <w:rPr>
          <w:b/>
        </w:rPr>
      </w:pPr>
      <w:r w:rsidRPr="003B26D3">
        <w:rPr>
          <w:b/>
          <w:sz w:val="28"/>
        </w:rPr>
        <w:t>Налог на прибыль организаций в 2018-2020 гг.</w:t>
      </w:r>
    </w:p>
    <w:p w:rsidR="00A13D08" w:rsidRDefault="009812CA">
      <w:r>
        <w:rPr>
          <w:noProof/>
        </w:rPr>
        <w:drawing>
          <wp:inline distT="0" distB="0" distL="0" distR="0">
            <wp:extent cx="6677025" cy="3933825"/>
            <wp:effectExtent l="0" t="0" r="0" b="0"/>
            <wp:docPr id="6" name="Picture 6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D08" w:rsidRDefault="00A13D08"/>
    <w:p w:rsidR="00A13D08" w:rsidRPr="003B26D3" w:rsidRDefault="009812CA">
      <w:pPr>
        <w:jc w:val="center"/>
        <w:rPr>
          <w:b/>
        </w:rPr>
      </w:pPr>
      <w:r w:rsidRPr="003B26D3">
        <w:rPr>
          <w:b/>
          <w:sz w:val="28"/>
        </w:rPr>
        <w:t>Налог на доходы физических лиц в 2018-2020 гг.</w:t>
      </w:r>
    </w:p>
    <w:p w:rsidR="00A13D08" w:rsidRDefault="009812CA">
      <w:r>
        <w:rPr>
          <w:noProof/>
        </w:rPr>
        <w:drawing>
          <wp:inline distT="0" distB="0" distL="0" distR="0">
            <wp:extent cx="6657975" cy="4048125"/>
            <wp:effectExtent l="0" t="0" r="0" b="0"/>
            <wp:docPr id="7" name="Picture 7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D08" w:rsidRDefault="00A13D08">
      <w:pPr>
        <w:pageBreakBefore/>
      </w:pPr>
    </w:p>
    <w:p w:rsidR="00A13D08" w:rsidRPr="003B26D3" w:rsidRDefault="009812CA">
      <w:pPr>
        <w:jc w:val="center"/>
        <w:rPr>
          <w:b/>
        </w:rPr>
      </w:pPr>
      <w:r w:rsidRPr="003B26D3">
        <w:rPr>
          <w:b/>
          <w:sz w:val="28"/>
        </w:rPr>
        <w:t>Структура налоговых дох</w:t>
      </w:r>
      <w:r w:rsidR="00513828">
        <w:rPr>
          <w:b/>
          <w:sz w:val="28"/>
        </w:rPr>
        <w:t>одов консолидированных бюджетов</w:t>
      </w:r>
      <w:r w:rsidR="00513828">
        <w:rPr>
          <w:b/>
          <w:sz w:val="28"/>
        </w:rPr>
        <w:br/>
      </w:r>
      <w:r w:rsidRPr="003B26D3">
        <w:rPr>
          <w:b/>
          <w:sz w:val="28"/>
        </w:rPr>
        <w:t>субъектов Российской Федерации на 1 июля 2019 и 2020 гг.</w:t>
      </w:r>
    </w:p>
    <w:p w:rsidR="00A13D08" w:rsidRPr="00513828" w:rsidRDefault="009812CA">
      <w:pPr>
        <w:rPr>
          <w:i/>
        </w:rPr>
      </w:pPr>
      <w:r>
        <w:rPr>
          <w:sz w:val="28"/>
        </w:rPr>
        <w:t xml:space="preserve">                   </w:t>
      </w:r>
      <w:r w:rsidRPr="00513828">
        <w:rPr>
          <w:i/>
          <w:sz w:val="28"/>
        </w:rPr>
        <w:t>на 1 июля 2019 года                                      на 1 июля 2020 года</w:t>
      </w:r>
    </w:p>
    <w:p w:rsidR="00A13D08" w:rsidRDefault="009812CA">
      <w:r>
        <w:rPr>
          <w:noProof/>
        </w:rPr>
        <w:drawing>
          <wp:inline distT="0" distB="0" distL="0" distR="0">
            <wp:extent cx="3105150" cy="3457575"/>
            <wp:effectExtent l="0" t="0" r="0" b="0"/>
            <wp:docPr id="8" name="Picture 8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05150" cy="3457575"/>
            <wp:effectExtent l="0" t="0" r="0" b="0"/>
            <wp:docPr id="9" name="Picture 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31F" w:rsidRDefault="0009731F">
      <w:pPr>
        <w:jc w:val="center"/>
        <w:rPr>
          <w:b/>
          <w:sz w:val="28"/>
        </w:rPr>
      </w:pPr>
    </w:p>
    <w:p w:rsidR="00A13D08" w:rsidRPr="003B26D3" w:rsidRDefault="009812CA">
      <w:pPr>
        <w:jc w:val="center"/>
        <w:rPr>
          <w:b/>
        </w:rPr>
      </w:pPr>
      <w:r w:rsidRPr="003B26D3">
        <w:rPr>
          <w:b/>
          <w:sz w:val="28"/>
        </w:rPr>
        <w:t>Расходы в 2018-2020 гг.</w:t>
      </w:r>
    </w:p>
    <w:p w:rsidR="00A13D08" w:rsidRDefault="009812CA">
      <w:r>
        <w:rPr>
          <w:noProof/>
        </w:rPr>
        <w:drawing>
          <wp:inline distT="0" distB="0" distL="0" distR="0">
            <wp:extent cx="6810375" cy="4362450"/>
            <wp:effectExtent l="0" t="0" r="0" b="0"/>
            <wp:docPr id="11" name="Picture 11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3D08" w:rsidSect="007725E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363" w:right="567" w:bottom="567" w:left="851" w:header="624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07D" w:rsidRDefault="008C107D" w:rsidP="00537A10">
      <w:pPr>
        <w:pStyle w:val="a5"/>
      </w:pPr>
      <w:r>
        <w:separator/>
      </w:r>
    </w:p>
  </w:endnote>
  <w:endnote w:type="continuationSeparator" w:id="0">
    <w:p w:rsidR="008C107D" w:rsidRDefault="008C107D" w:rsidP="00537A10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A68" w:rsidRDefault="00460A68" w:rsidP="00537A1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0A68" w:rsidRDefault="00460A68" w:rsidP="00A54F8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34" w:type="dxa"/>
      <w:shd w:val="clear" w:color="auto" w:fill="00004C"/>
      <w:tblLook w:val="01E0" w:firstRow="1" w:lastRow="1" w:firstColumn="1" w:lastColumn="1" w:noHBand="0" w:noVBand="0"/>
    </w:tblPr>
    <w:tblGrid>
      <w:gridCol w:w="10632"/>
    </w:tblGrid>
    <w:tr w:rsidR="00460A68" w:rsidTr="007725EF">
      <w:tc>
        <w:tcPr>
          <w:tcW w:w="10632" w:type="dxa"/>
          <w:shd w:val="clear" w:color="auto" w:fill="00004C"/>
        </w:tcPr>
        <w:p w:rsidR="00460A68" w:rsidRPr="00DC0341" w:rsidRDefault="00460A68" w:rsidP="007725EF">
          <w:pPr>
            <w:pStyle w:val="a6"/>
            <w:ind w:left="34"/>
            <w:jc w:val="center"/>
            <w:rPr>
              <w:b/>
              <w:sz w:val="24"/>
              <w:szCs w:val="24"/>
            </w:rPr>
          </w:pPr>
          <w:r w:rsidRPr="00DC0341">
            <w:rPr>
              <w:rStyle w:val="a7"/>
              <w:b/>
              <w:sz w:val="24"/>
              <w:szCs w:val="24"/>
            </w:rPr>
            <w:fldChar w:fldCharType="begin"/>
          </w:r>
          <w:r w:rsidRPr="00DC0341">
            <w:rPr>
              <w:rStyle w:val="a7"/>
              <w:b/>
              <w:sz w:val="24"/>
              <w:szCs w:val="24"/>
            </w:rPr>
            <w:instrText xml:space="preserve"> PAGE </w:instrText>
          </w:r>
          <w:r w:rsidRPr="00DC0341">
            <w:rPr>
              <w:rStyle w:val="a7"/>
              <w:b/>
              <w:sz w:val="24"/>
              <w:szCs w:val="24"/>
            </w:rPr>
            <w:fldChar w:fldCharType="separate"/>
          </w:r>
          <w:r w:rsidR="00E6271B">
            <w:rPr>
              <w:rStyle w:val="a7"/>
              <w:b/>
              <w:noProof/>
              <w:sz w:val="24"/>
              <w:szCs w:val="24"/>
            </w:rPr>
            <w:t>5</w:t>
          </w:r>
          <w:r w:rsidRPr="00DC0341">
            <w:rPr>
              <w:rStyle w:val="a7"/>
              <w:b/>
              <w:sz w:val="24"/>
              <w:szCs w:val="24"/>
            </w:rPr>
            <w:fldChar w:fldCharType="end"/>
          </w:r>
        </w:p>
      </w:tc>
    </w:tr>
  </w:tbl>
  <w:p w:rsidR="00460A68" w:rsidRDefault="00460A68" w:rsidP="00A54F8B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A68" w:rsidRDefault="00460A6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07D" w:rsidRDefault="008C107D" w:rsidP="00537A10">
      <w:pPr>
        <w:pStyle w:val="a5"/>
      </w:pPr>
      <w:r>
        <w:separator/>
      </w:r>
    </w:p>
  </w:footnote>
  <w:footnote w:type="continuationSeparator" w:id="0">
    <w:p w:rsidR="008C107D" w:rsidRDefault="008C107D" w:rsidP="00537A10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A68" w:rsidRDefault="00460A6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00002E"/>
      <w:tblLayout w:type="fixed"/>
      <w:tblLook w:val="01E0" w:firstRow="1" w:lastRow="1" w:firstColumn="1" w:lastColumn="1" w:noHBand="0" w:noVBand="0"/>
    </w:tblPr>
    <w:tblGrid>
      <w:gridCol w:w="4395"/>
      <w:gridCol w:w="4961"/>
      <w:gridCol w:w="1134"/>
    </w:tblGrid>
    <w:tr w:rsidR="00460A68" w:rsidRPr="00DC0341" w:rsidTr="007725EF">
      <w:tc>
        <w:tcPr>
          <w:tcW w:w="4395" w:type="dxa"/>
          <w:shd w:val="clear" w:color="auto" w:fill="00002E"/>
          <w:tcMar>
            <w:left w:w="0" w:type="dxa"/>
            <w:right w:w="0" w:type="dxa"/>
          </w:tcMar>
        </w:tcPr>
        <w:p w:rsidR="00460A68" w:rsidRPr="00DC0341" w:rsidRDefault="00460A68" w:rsidP="00206DDC">
          <w:pPr>
            <w:rPr>
              <w:b/>
              <w:sz w:val="28"/>
              <w:szCs w:val="28"/>
              <w:lang w:val="en-US"/>
            </w:rPr>
          </w:pPr>
          <w:r w:rsidRPr="00DC0341">
            <w:rPr>
              <w:b/>
              <w:noProof/>
              <w:sz w:val="28"/>
              <w:szCs w:val="28"/>
            </w:rPr>
            <w:drawing>
              <wp:inline distT="0" distB="0" distL="0" distR="0">
                <wp:extent cx="3124835" cy="401955"/>
                <wp:effectExtent l="0" t="0" r="0" b="0"/>
                <wp:docPr id="2" name="Рисунок 2" descr="Надпись Минфи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Надпись Минфин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24835" cy="4019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shd w:val="clear" w:color="auto" w:fill="00002E"/>
        </w:tcPr>
        <w:p w:rsidR="00460A68" w:rsidRPr="00DC0341" w:rsidRDefault="00460A68" w:rsidP="007725EF">
          <w:pPr>
            <w:ind w:left="33"/>
            <w:jc w:val="center"/>
            <w:rPr>
              <w:rFonts w:ascii="Book Antiqua" w:hAnsi="Book Antiqua"/>
              <w:b/>
              <w:color w:val="FFFFFF"/>
              <w:sz w:val="30"/>
              <w:szCs w:val="30"/>
            </w:rPr>
          </w:pPr>
          <w:r w:rsidRPr="00DC0341">
            <w:rPr>
              <w:b/>
              <w:noProof/>
              <w:sz w:val="28"/>
              <w:szCs w:val="28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0</wp:posOffset>
                </wp:positionV>
                <wp:extent cx="868680" cy="457200"/>
                <wp:effectExtent l="0" t="0" r="7620" b="0"/>
                <wp:wrapNone/>
                <wp:docPr id="1" name="Рисунок 1" descr="untitled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C0341">
            <w:rPr>
              <w:rFonts w:ascii="Book Antiqua" w:hAnsi="Book Antiqua"/>
              <w:b/>
              <w:color w:val="FFFFFF"/>
              <w:sz w:val="30"/>
              <w:szCs w:val="30"/>
            </w:rPr>
            <w:t xml:space="preserve">Департамент </w:t>
          </w:r>
        </w:p>
        <w:p w:rsidR="00460A68" w:rsidRPr="00DC0341" w:rsidRDefault="00460A68" w:rsidP="00DC0341">
          <w:pPr>
            <w:jc w:val="center"/>
            <w:rPr>
              <w:rFonts w:ascii="Book Antiqua" w:hAnsi="Book Antiqua"/>
              <w:b/>
              <w:color w:val="FFFFFF"/>
              <w:sz w:val="28"/>
              <w:szCs w:val="28"/>
            </w:rPr>
          </w:pPr>
          <w:r w:rsidRPr="00DC0341">
            <w:rPr>
              <w:rFonts w:ascii="Book Antiqua" w:hAnsi="Book Antiqua"/>
              <w:b/>
              <w:color w:val="FFFFFF"/>
              <w:sz w:val="30"/>
              <w:szCs w:val="30"/>
            </w:rPr>
            <w:t>межбюджетных отношений</w:t>
          </w:r>
        </w:p>
      </w:tc>
      <w:tc>
        <w:tcPr>
          <w:tcW w:w="1134" w:type="dxa"/>
          <w:shd w:val="clear" w:color="auto" w:fill="00002E"/>
        </w:tcPr>
        <w:p w:rsidR="00460A68" w:rsidRPr="00DC0341" w:rsidRDefault="00460A68" w:rsidP="00DC0341">
          <w:pPr>
            <w:jc w:val="right"/>
            <w:rPr>
              <w:b/>
              <w:sz w:val="28"/>
              <w:szCs w:val="28"/>
              <w:lang w:val="en-US"/>
            </w:rPr>
          </w:pPr>
        </w:p>
      </w:tc>
    </w:tr>
  </w:tbl>
  <w:p w:rsidR="00460A68" w:rsidRDefault="00460A6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A68" w:rsidRDefault="00460A6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4707E"/>
    <w:multiLevelType w:val="multilevel"/>
    <w:tmpl w:val="ABA2EFEA"/>
    <w:lvl w:ilvl="0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2E3513D"/>
    <w:multiLevelType w:val="hybridMultilevel"/>
    <w:tmpl w:val="ABA2EFEA"/>
    <w:lvl w:ilvl="0" w:tplc="4DA29238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E11308A"/>
    <w:multiLevelType w:val="multilevel"/>
    <w:tmpl w:val="AD54225E"/>
    <w:lvl w:ilvl="0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55A9074A"/>
    <w:multiLevelType w:val="hybridMultilevel"/>
    <w:tmpl w:val="AD54225E"/>
    <w:lvl w:ilvl="0" w:tplc="04190005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59637F25"/>
    <w:multiLevelType w:val="hybridMultilevel"/>
    <w:tmpl w:val="0AD29BFE"/>
    <w:lvl w:ilvl="0" w:tplc="8C482458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AF"/>
    <w:rsid w:val="0000226C"/>
    <w:rsid w:val="0003054B"/>
    <w:rsid w:val="00030B7B"/>
    <w:rsid w:val="00034590"/>
    <w:rsid w:val="0003583C"/>
    <w:rsid w:val="00041F21"/>
    <w:rsid w:val="00055A92"/>
    <w:rsid w:val="000818E7"/>
    <w:rsid w:val="0009731F"/>
    <w:rsid w:val="000C3CF8"/>
    <w:rsid w:val="000C6475"/>
    <w:rsid w:val="000D61F8"/>
    <w:rsid w:val="000E0F8D"/>
    <w:rsid w:val="000F681D"/>
    <w:rsid w:val="001047F7"/>
    <w:rsid w:val="00111FEE"/>
    <w:rsid w:val="0012668F"/>
    <w:rsid w:val="00135D40"/>
    <w:rsid w:val="00154758"/>
    <w:rsid w:val="001635CD"/>
    <w:rsid w:val="001644D7"/>
    <w:rsid w:val="00193F57"/>
    <w:rsid w:val="001A09B2"/>
    <w:rsid w:val="001B0D32"/>
    <w:rsid w:val="001B0D9C"/>
    <w:rsid w:val="001B35E0"/>
    <w:rsid w:val="001C2FF6"/>
    <w:rsid w:val="001D047E"/>
    <w:rsid w:val="001D3CB3"/>
    <w:rsid w:val="001D594E"/>
    <w:rsid w:val="001F5458"/>
    <w:rsid w:val="00203D6E"/>
    <w:rsid w:val="00206DDC"/>
    <w:rsid w:val="0021261B"/>
    <w:rsid w:val="00213F14"/>
    <w:rsid w:val="0021496C"/>
    <w:rsid w:val="00215959"/>
    <w:rsid w:val="00233905"/>
    <w:rsid w:val="00250C2E"/>
    <w:rsid w:val="00254324"/>
    <w:rsid w:val="00254FED"/>
    <w:rsid w:val="00255C4E"/>
    <w:rsid w:val="00263F81"/>
    <w:rsid w:val="00264BC0"/>
    <w:rsid w:val="00282601"/>
    <w:rsid w:val="002908A8"/>
    <w:rsid w:val="002A260E"/>
    <w:rsid w:val="002B0D13"/>
    <w:rsid w:val="002B66A2"/>
    <w:rsid w:val="002C43B2"/>
    <w:rsid w:val="002E117F"/>
    <w:rsid w:val="00305423"/>
    <w:rsid w:val="00311809"/>
    <w:rsid w:val="00322F1A"/>
    <w:rsid w:val="003258FA"/>
    <w:rsid w:val="00341608"/>
    <w:rsid w:val="003447C9"/>
    <w:rsid w:val="003619F0"/>
    <w:rsid w:val="00361DC8"/>
    <w:rsid w:val="00380606"/>
    <w:rsid w:val="00385527"/>
    <w:rsid w:val="00396EC4"/>
    <w:rsid w:val="003A2704"/>
    <w:rsid w:val="003B183D"/>
    <w:rsid w:val="003B26D3"/>
    <w:rsid w:val="003B5E13"/>
    <w:rsid w:val="003B739F"/>
    <w:rsid w:val="003C30D6"/>
    <w:rsid w:val="003C7E14"/>
    <w:rsid w:val="00401F6E"/>
    <w:rsid w:val="0041667A"/>
    <w:rsid w:val="00426316"/>
    <w:rsid w:val="004461D9"/>
    <w:rsid w:val="00460A68"/>
    <w:rsid w:val="004647F0"/>
    <w:rsid w:val="0047541F"/>
    <w:rsid w:val="00491D9D"/>
    <w:rsid w:val="00494A08"/>
    <w:rsid w:val="004D20B0"/>
    <w:rsid w:val="004E0F8F"/>
    <w:rsid w:val="004E1D6D"/>
    <w:rsid w:val="00511BD3"/>
    <w:rsid w:val="00513828"/>
    <w:rsid w:val="005202D1"/>
    <w:rsid w:val="00524A3D"/>
    <w:rsid w:val="005340B2"/>
    <w:rsid w:val="005348AC"/>
    <w:rsid w:val="005374FD"/>
    <w:rsid w:val="00537A10"/>
    <w:rsid w:val="00551574"/>
    <w:rsid w:val="005531FA"/>
    <w:rsid w:val="0055353A"/>
    <w:rsid w:val="00555DD7"/>
    <w:rsid w:val="00560FB2"/>
    <w:rsid w:val="00585A4D"/>
    <w:rsid w:val="00587B0A"/>
    <w:rsid w:val="00594124"/>
    <w:rsid w:val="005A406F"/>
    <w:rsid w:val="005B4A42"/>
    <w:rsid w:val="005B7AA6"/>
    <w:rsid w:val="005C0186"/>
    <w:rsid w:val="005F064E"/>
    <w:rsid w:val="00615835"/>
    <w:rsid w:val="006338BA"/>
    <w:rsid w:val="00635645"/>
    <w:rsid w:val="006418BE"/>
    <w:rsid w:val="006457BF"/>
    <w:rsid w:val="00647480"/>
    <w:rsid w:val="00653D97"/>
    <w:rsid w:val="00656EAB"/>
    <w:rsid w:val="006655DD"/>
    <w:rsid w:val="006958C5"/>
    <w:rsid w:val="006A4437"/>
    <w:rsid w:val="006B2FD5"/>
    <w:rsid w:val="006C0398"/>
    <w:rsid w:val="006D1C04"/>
    <w:rsid w:val="006F055E"/>
    <w:rsid w:val="00715FB2"/>
    <w:rsid w:val="0072492B"/>
    <w:rsid w:val="007428DF"/>
    <w:rsid w:val="00754BD0"/>
    <w:rsid w:val="007725EF"/>
    <w:rsid w:val="00776C64"/>
    <w:rsid w:val="00794A4A"/>
    <w:rsid w:val="0079669B"/>
    <w:rsid w:val="007C4C43"/>
    <w:rsid w:val="007D27D4"/>
    <w:rsid w:val="007D2FD4"/>
    <w:rsid w:val="007F653E"/>
    <w:rsid w:val="00832082"/>
    <w:rsid w:val="00833669"/>
    <w:rsid w:val="00834360"/>
    <w:rsid w:val="00854D7A"/>
    <w:rsid w:val="00856E5E"/>
    <w:rsid w:val="008660BC"/>
    <w:rsid w:val="00871426"/>
    <w:rsid w:val="008754C9"/>
    <w:rsid w:val="008777E8"/>
    <w:rsid w:val="00883EB5"/>
    <w:rsid w:val="008946BF"/>
    <w:rsid w:val="008B312E"/>
    <w:rsid w:val="008C107D"/>
    <w:rsid w:val="008D22AD"/>
    <w:rsid w:val="008D2413"/>
    <w:rsid w:val="00903B2A"/>
    <w:rsid w:val="00905147"/>
    <w:rsid w:val="00914EB8"/>
    <w:rsid w:val="0091526E"/>
    <w:rsid w:val="00920854"/>
    <w:rsid w:val="009317BC"/>
    <w:rsid w:val="00936811"/>
    <w:rsid w:val="0095622A"/>
    <w:rsid w:val="00956ED7"/>
    <w:rsid w:val="00956EE0"/>
    <w:rsid w:val="00973D97"/>
    <w:rsid w:val="00973EF0"/>
    <w:rsid w:val="009812CA"/>
    <w:rsid w:val="009A4DA3"/>
    <w:rsid w:val="009B6576"/>
    <w:rsid w:val="00A13D08"/>
    <w:rsid w:val="00A22E95"/>
    <w:rsid w:val="00A4197C"/>
    <w:rsid w:val="00A432C7"/>
    <w:rsid w:val="00A54F8B"/>
    <w:rsid w:val="00A553AF"/>
    <w:rsid w:val="00A81E55"/>
    <w:rsid w:val="00AA3593"/>
    <w:rsid w:val="00AC0AFA"/>
    <w:rsid w:val="00AC2AEC"/>
    <w:rsid w:val="00AE4A33"/>
    <w:rsid w:val="00AE5027"/>
    <w:rsid w:val="00AE6308"/>
    <w:rsid w:val="00AE644D"/>
    <w:rsid w:val="00AF297D"/>
    <w:rsid w:val="00B13E5E"/>
    <w:rsid w:val="00B21C64"/>
    <w:rsid w:val="00B41EFA"/>
    <w:rsid w:val="00B44175"/>
    <w:rsid w:val="00B46F6F"/>
    <w:rsid w:val="00B544ED"/>
    <w:rsid w:val="00B72544"/>
    <w:rsid w:val="00B95B79"/>
    <w:rsid w:val="00BA27B2"/>
    <w:rsid w:val="00BB4B27"/>
    <w:rsid w:val="00BC6157"/>
    <w:rsid w:val="00BD7CCF"/>
    <w:rsid w:val="00BE308F"/>
    <w:rsid w:val="00BF41BB"/>
    <w:rsid w:val="00C06A00"/>
    <w:rsid w:val="00C17DAE"/>
    <w:rsid w:val="00C50887"/>
    <w:rsid w:val="00C632BC"/>
    <w:rsid w:val="00C6581D"/>
    <w:rsid w:val="00C83878"/>
    <w:rsid w:val="00CA1A06"/>
    <w:rsid w:val="00CB62FA"/>
    <w:rsid w:val="00CC34CD"/>
    <w:rsid w:val="00CD1A5E"/>
    <w:rsid w:val="00CD6C85"/>
    <w:rsid w:val="00CE6914"/>
    <w:rsid w:val="00D04EAD"/>
    <w:rsid w:val="00D37B95"/>
    <w:rsid w:val="00D522DA"/>
    <w:rsid w:val="00D821D7"/>
    <w:rsid w:val="00DA04D2"/>
    <w:rsid w:val="00DA411C"/>
    <w:rsid w:val="00DC0341"/>
    <w:rsid w:val="00DC21AF"/>
    <w:rsid w:val="00DD48C3"/>
    <w:rsid w:val="00E102C8"/>
    <w:rsid w:val="00E15ED1"/>
    <w:rsid w:val="00E3240D"/>
    <w:rsid w:val="00E37F48"/>
    <w:rsid w:val="00E55446"/>
    <w:rsid w:val="00E6271B"/>
    <w:rsid w:val="00E77BD9"/>
    <w:rsid w:val="00EA2883"/>
    <w:rsid w:val="00EC218F"/>
    <w:rsid w:val="00EC4715"/>
    <w:rsid w:val="00ED5BD9"/>
    <w:rsid w:val="00EE02DD"/>
    <w:rsid w:val="00EE172C"/>
    <w:rsid w:val="00EF62FA"/>
    <w:rsid w:val="00F14B3F"/>
    <w:rsid w:val="00F20961"/>
    <w:rsid w:val="00F20D9F"/>
    <w:rsid w:val="00F41A71"/>
    <w:rsid w:val="00F51E81"/>
    <w:rsid w:val="00F564A5"/>
    <w:rsid w:val="00F612D8"/>
    <w:rsid w:val="00F670A0"/>
    <w:rsid w:val="00F76311"/>
    <w:rsid w:val="00F82B2E"/>
    <w:rsid w:val="00FA41CA"/>
    <w:rsid w:val="00FD0AB3"/>
    <w:rsid w:val="00FD282D"/>
    <w:rsid w:val="00FD3605"/>
    <w:rsid w:val="00FE6516"/>
    <w:rsid w:val="00FE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081959"/>
  <w15:docId w15:val="{55D30959-7C3E-4C78-94E6-9CF13BC7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522D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A54F8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54F8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54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Danilov, Dmitriy A.</dc:creator>
  <cp:lastModifiedBy>КЛОКОВ АЛЕКСАНДР ВИКТОРОВИЧ</cp:lastModifiedBy>
  <cp:revision>3</cp:revision>
  <cp:lastPrinted>2020-07-23T13:43:00Z</cp:lastPrinted>
  <dcterms:created xsi:type="dcterms:W3CDTF">2020-08-28T14:31:00Z</dcterms:created>
  <dcterms:modified xsi:type="dcterms:W3CDTF">2020-08-28T14:32:00Z</dcterms:modified>
</cp:coreProperties>
</file>