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7A" w:rsidRDefault="00C3287A" w:rsidP="00864005">
      <w:pPr>
        <w:spacing w:line="276" w:lineRule="auto"/>
        <w:ind w:left="6663"/>
        <w:jc w:val="right"/>
        <w:rPr>
          <w:b/>
          <w:sz w:val="28"/>
          <w:szCs w:val="28"/>
        </w:rPr>
      </w:pPr>
    </w:p>
    <w:p w:rsidR="00864005" w:rsidRPr="00214D0B" w:rsidRDefault="00864005" w:rsidP="00864005">
      <w:pPr>
        <w:spacing w:line="276" w:lineRule="auto"/>
        <w:ind w:left="6663"/>
        <w:jc w:val="right"/>
        <w:rPr>
          <w:b/>
          <w:sz w:val="28"/>
          <w:szCs w:val="28"/>
        </w:rPr>
      </w:pPr>
      <w:r w:rsidRPr="00214D0B">
        <w:rPr>
          <w:b/>
          <w:sz w:val="28"/>
          <w:szCs w:val="28"/>
        </w:rPr>
        <w:t>Приложение № 2</w:t>
      </w:r>
    </w:p>
    <w:p w:rsidR="00864005" w:rsidRPr="00214D0B" w:rsidRDefault="00864005" w:rsidP="00864005">
      <w:pPr>
        <w:tabs>
          <w:tab w:val="left" w:pos="1134"/>
          <w:tab w:val="left" w:pos="1418"/>
        </w:tabs>
        <w:spacing w:line="276" w:lineRule="auto"/>
        <w:ind w:left="6663"/>
        <w:jc w:val="right"/>
        <w:rPr>
          <w:sz w:val="28"/>
          <w:szCs w:val="28"/>
        </w:rPr>
      </w:pPr>
      <w:r w:rsidRPr="00214D0B">
        <w:rPr>
          <w:sz w:val="28"/>
          <w:szCs w:val="28"/>
        </w:rPr>
        <w:t>к Порядку подготовки ежегодной публичной декларации целей и задач Министерства финансов Российской Федерации и отчетов о ходе ее реализации, утвержденному приказом Министерства финансов Российской Федерации от</w:t>
      </w:r>
      <w:r>
        <w:rPr>
          <w:sz w:val="28"/>
          <w:szCs w:val="28"/>
        </w:rPr>
        <w:t xml:space="preserve"> 24.11.2016 </w:t>
      </w:r>
      <w:r w:rsidRPr="00214D0B">
        <w:rPr>
          <w:sz w:val="28"/>
          <w:szCs w:val="28"/>
        </w:rPr>
        <w:t>№</w:t>
      </w:r>
      <w:r>
        <w:rPr>
          <w:sz w:val="28"/>
          <w:szCs w:val="28"/>
        </w:rPr>
        <w:t xml:space="preserve"> 516</w:t>
      </w:r>
    </w:p>
    <w:p w:rsidR="00864005" w:rsidRDefault="00864005" w:rsidP="00864005">
      <w:pPr>
        <w:jc w:val="right"/>
        <w:rPr>
          <w:b/>
          <w:sz w:val="28"/>
          <w:szCs w:val="28"/>
        </w:rPr>
      </w:pPr>
    </w:p>
    <w:p w:rsidR="00C3287A" w:rsidRPr="00214D0B" w:rsidRDefault="00C3287A" w:rsidP="00864005">
      <w:pPr>
        <w:jc w:val="right"/>
        <w:rPr>
          <w:b/>
          <w:sz w:val="28"/>
          <w:szCs w:val="28"/>
        </w:rPr>
      </w:pPr>
    </w:p>
    <w:p w:rsidR="00864005" w:rsidRPr="00214D0B" w:rsidRDefault="00864005" w:rsidP="00864005">
      <w:pPr>
        <w:spacing w:line="276" w:lineRule="auto"/>
        <w:jc w:val="center"/>
        <w:rPr>
          <w:b/>
          <w:bCs/>
          <w:sz w:val="28"/>
          <w:szCs w:val="28"/>
        </w:rPr>
      </w:pPr>
    </w:p>
    <w:p w:rsidR="001D3534" w:rsidRDefault="00864005" w:rsidP="00864005">
      <w:pPr>
        <w:spacing w:line="276" w:lineRule="auto"/>
        <w:jc w:val="center"/>
        <w:rPr>
          <w:bCs/>
          <w:sz w:val="28"/>
          <w:szCs w:val="28"/>
        </w:rPr>
      </w:pPr>
      <w:r w:rsidRPr="00214D0B">
        <w:rPr>
          <w:b/>
          <w:bCs/>
          <w:sz w:val="28"/>
          <w:szCs w:val="28"/>
        </w:rPr>
        <w:t xml:space="preserve">Результаты рассмотрения экспертных предложений </w:t>
      </w:r>
      <w:r w:rsidR="006358DA">
        <w:rPr>
          <w:b/>
          <w:bCs/>
          <w:sz w:val="28"/>
          <w:szCs w:val="28"/>
        </w:rPr>
        <w:t>членом</w:t>
      </w:r>
      <w:r w:rsidR="00A56103">
        <w:rPr>
          <w:b/>
          <w:bCs/>
          <w:sz w:val="28"/>
          <w:szCs w:val="28"/>
        </w:rPr>
        <w:t xml:space="preserve"> Общественного совета </w:t>
      </w:r>
      <w:r w:rsidR="006358DA">
        <w:rPr>
          <w:b/>
          <w:bCs/>
          <w:sz w:val="28"/>
          <w:szCs w:val="28"/>
        </w:rPr>
        <w:br/>
      </w:r>
      <w:r w:rsidR="00A56103">
        <w:rPr>
          <w:b/>
          <w:bCs/>
          <w:sz w:val="28"/>
          <w:szCs w:val="28"/>
        </w:rPr>
        <w:t xml:space="preserve">при Минфине России </w:t>
      </w:r>
      <w:r w:rsidR="001D3534" w:rsidRPr="001D3534">
        <w:rPr>
          <w:b/>
          <w:sz w:val="28"/>
          <w:szCs w:val="28"/>
        </w:rPr>
        <w:t>В.С. Лисина</w:t>
      </w:r>
      <w:r w:rsidR="001D3534" w:rsidRPr="00214D0B">
        <w:rPr>
          <w:bCs/>
          <w:sz w:val="28"/>
          <w:szCs w:val="28"/>
        </w:rPr>
        <w:t xml:space="preserve"> </w:t>
      </w:r>
    </w:p>
    <w:p w:rsidR="00864005" w:rsidRPr="00214D0B" w:rsidRDefault="00864005" w:rsidP="00864005">
      <w:pPr>
        <w:spacing w:line="276" w:lineRule="auto"/>
        <w:jc w:val="center"/>
        <w:rPr>
          <w:sz w:val="28"/>
          <w:szCs w:val="28"/>
        </w:rPr>
      </w:pPr>
      <w:r w:rsidRPr="00214D0B">
        <w:rPr>
          <w:bCs/>
          <w:sz w:val="28"/>
          <w:szCs w:val="28"/>
        </w:rPr>
        <w:t>(</w:t>
      </w:r>
      <w:r w:rsidRPr="00214D0B">
        <w:rPr>
          <w:sz w:val="28"/>
          <w:szCs w:val="28"/>
        </w:rPr>
        <w:t xml:space="preserve">к отчету о ходе реализации </w:t>
      </w:r>
      <w:r w:rsidR="00A56103">
        <w:rPr>
          <w:sz w:val="28"/>
          <w:szCs w:val="28"/>
        </w:rPr>
        <w:t>П</w:t>
      </w:r>
      <w:r w:rsidRPr="00214D0B">
        <w:rPr>
          <w:sz w:val="28"/>
          <w:szCs w:val="28"/>
        </w:rPr>
        <w:t>убличной декларации</w:t>
      </w:r>
      <w:r w:rsidR="00A56103">
        <w:rPr>
          <w:sz w:val="28"/>
          <w:szCs w:val="28"/>
        </w:rPr>
        <w:t xml:space="preserve"> целей и задач</w:t>
      </w:r>
      <w:r w:rsidRPr="00214D0B">
        <w:rPr>
          <w:sz w:val="28"/>
          <w:szCs w:val="28"/>
        </w:rPr>
        <w:t xml:space="preserve"> за </w:t>
      </w:r>
      <w:r w:rsidR="00A56103">
        <w:rPr>
          <w:sz w:val="28"/>
          <w:szCs w:val="28"/>
        </w:rPr>
        <w:t>201</w:t>
      </w:r>
      <w:r w:rsidR="006358DA">
        <w:rPr>
          <w:sz w:val="28"/>
          <w:szCs w:val="28"/>
        </w:rPr>
        <w:t>9</w:t>
      </w:r>
      <w:r w:rsidRPr="00214D0B">
        <w:rPr>
          <w:sz w:val="28"/>
          <w:szCs w:val="28"/>
        </w:rPr>
        <w:t xml:space="preserve"> год) </w:t>
      </w:r>
    </w:p>
    <w:p w:rsidR="00C3287A" w:rsidRPr="00214D0B" w:rsidRDefault="00C3287A" w:rsidP="00864005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837"/>
        <w:gridCol w:w="6429"/>
        <w:gridCol w:w="7186"/>
      </w:tblGrid>
      <w:tr w:rsidR="00864005" w:rsidRPr="00214D0B" w:rsidTr="008466E5">
        <w:tc>
          <w:tcPr>
            <w:tcW w:w="1837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 w:rsidDel="00AF277F">
              <w:rPr>
                <w:sz w:val="28"/>
                <w:szCs w:val="28"/>
              </w:rPr>
              <w:t xml:space="preserve"> </w:t>
            </w:r>
            <w:r w:rsidRPr="00214D0B">
              <w:rPr>
                <w:b/>
                <w:sz w:val="28"/>
                <w:szCs w:val="28"/>
              </w:rPr>
              <w:t>№</w:t>
            </w:r>
            <w:r w:rsidRPr="00214D0B">
              <w:rPr>
                <w:b/>
                <w:sz w:val="28"/>
                <w:szCs w:val="28"/>
              </w:rPr>
              <w:br/>
            </w:r>
            <w:proofErr w:type="gramStart"/>
            <w:r w:rsidRPr="00214D0B">
              <w:rPr>
                <w:b/>
                <w:sz w:val="28"/>
                <w:szCs w:val="28"/>
              </w:rPr>
              <w:t>п</w:t>
            </w:r>
            <w:proofErr w:type="gramEnd"/>
            <w:r w:rsidRPr="00214D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29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Экспертное предложение</w:t>
            </w:r>
          </w:p>
        </w:tc>
        <w:tc>
          <w:tcPr>
            <w:tcW w:w="7186" w:type="dxa"/>
            <w:vAlign w:val="center"/>
          </w:tcPr>
          <w:p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Позиция Министерства финансов Российской Федерации по экспертному предложению, обоснование позиции</w:t>
            </w:r>
          </w:p>
        </w:tc>
      </w:tr>
      <w:tr w:rsidR="00A65B0D" w:rsidRPr="00A65B0D" w:rsidTr="00301B8B">
        <w:tc>
          <w:tcPr>
            <w:tcW w:w="15452" w:type="dxa"/>
            <w:gridSpan w:val="3"/>
            <w:vAlign w:val="center"/>
          </w:tcPr>
          <w:p w:rsidR="00A65B0D" w:rsidRPr="00A65B0D" w:rsidRDefault="00C3287A" w:rsidP="00A65B0D">
            <w:pPr>
              <w:ind w:firstLine="430"/>
              <w:jc w:val="center"/>
              <w:rPr>
                <w:b/>
                <w:sz w:val="28"/>
                <w:szCs w:val="28"/>
              </w:rPr>
            </w:pPr>
            <w:r w:rsidRPr="00A65B0D">
              <w:rPr>
                <w:b/>
                <w:sz w:val="28"/>
                <w:szCs w:val="28"/>
              </w:rPr>
              <w:t>Отрицательный результат</w:t>
            </w:r>
          </w:p>
        </w:tc>
      </w:tr>
      <w:tr w:rsidR="00864005" w:rsidRPr="00214D0B" w:rsidTr="008466E5">
        <w:tc>
          <w:tcPr>
            <w:tcW w:w="1837" w:type="dxa"/>
            <w:vAlign w:val="center"/>
          </w:tcPr>
          <w:p w:rsidR="00864005" w:rsidRPr="003140D4" w:rsidRDefault="00B65681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4005" w:rsidRPr="003140D4">
              <w:rPr>
                <w:sz w:val="28"/>
                <w:szCs w:val="28"/>
              </w:rPr>
              <w:t>.</w:t>
            </w:r>
          </w:p>
        </w:tc>
        <w:tc>
          <w:tcPr>
            <w:tcW w:w="6429" w:type="dxa"/>
            <w:vAlign w:val="center"/>
          </w:tcPr>
          <w:p w:rsidR="005405F4" w:rsidRPr="005405F4" w:rsidRDefault="005405F4" w:rsidP="005405F4">
            <w:pPr>
              <w:ind w:firstLine="429"/>
              <w:jc w:val="both"/>
              <w:rPr>
                <w:sz w:val="28"/>
                <w:szCs w:val="28"/>
              </w:rPr>
            </w:pPr>
            <w:r w:rsidRPr="005405F4">
              <w:rPr>
                <w:sz w:val="28"/>
                <w:szCs w:val="28"/>
              </w:rPr>
              <w:t xml:space="preserve">Скорректировать сам подход к составлению публичной декларации целей и задач. Сейчас Минфином выбран подход, при котором цели в ПД – это в целом </w:t>
            </w:r>
            <w:proofErr w:type="spellStart"/>
            <w:r w:rsidRPr="005405F4">
              <w:rPr>
                <w:sz w:val="28"/>
                <w:szCs w:val="28"/>
              </w:rPr>
              <w:t>верхнеуровневые</w:t>
            </w:r>
            <w:proofErr w:type="spellEnd"/>
            <w:r w:rsidRPr="005405F4">
              <w:rPr>
                <w:sz w:val="28"/>
                <w:szCs w:val="28"/>
              </w:rPr>
              <w:t xml:space="preserve"> стратегические цели и задачи Министерства. Они практически неизменны из года в год, их декомпозиция в подзадачи присутствует, но также носит довольно обобщенный характер, отсутствуют конкретные измерения ожидаемых результатов. </w:t>
            </w:r>
            <w:proofErr w:type="gramStart"/>
            <w:r w:rsidRPr="005405F4">
              <w:rPr>
                <w:sz w:val="28"/>
                <w:szCs w:val="28"/>
              </w:rPr>
              <w:t xml:space="preserve">Цель же этого документа, которую закладывало Правительство </w:t>
            </w:r>
            <w:r w:rsidRPr="005405F4">
              <w:rPr>
                <w:sz w:val="28"/>
                <w:szCs w:val="28"/>
              </w:rPr>
              <w:lastRenderedPageBreak/>
              <w:t>РФ в рамках системы «Открытое правительство», установив ПД частью текстовой части плана деятельности ФОИВ (ППРФ от 26 декабря 2015 г. N 1449), в том, чтобы ФОИВ использовал ПД как более прикладное и практическое описание тех целей и задач (из всего многообразия), которые приоритетны именно в этом году, с понятными результатами, которые можно оценить</w:t>
            </w:r>
            <w:proofErr w:type="gramEnd"/>
            <w:r w:rsidRPr="005405F4">
              <w:rPr>
                <w:sz w:val="28"/>
                <w:szCs w:val="28"/>
              </w:rPr>
              <w:t xml:space="preserve">, и счетными показателями. </w:t>
            </w:r>
          </w:p>
          <w:p w:rsidR="005405F4" w:rsidRPr="005405F4" w:rsidRDefault="005405F4" w:rsidP="005405F4">
            <w:pPr>
              <w:jc w:val="both"/>
              <w:rPr>
                <w:sz w:val="28"/>
                <w:szCs w:val="28"/>
              </w:rPr>
            </w:pPr>
            <w:r w:rsidRPr="005405F4">
              <w:rPr>
                <w:sz w:val="28"/>
                <w:szCs w:val="28"/>
              </w:rPr>
              <w:t>a.</w:t>
            </w:r>
            <w:r w:rsidRPr="005405F4">
              <w:rPr>
                <w:sz w:val="28"/>
                <w:szCs w:val="28"/>
              </w:rPr>
              <w:tab/>
            </w:r>
            <w:proofErr w:type="gramStart"/>
            <w:r w:rsidRPr="005405F4">
              <w:rPr>
                <w:sz w:val="28"/>
                <w:szCs w:val="28"/>
              </w:rPr>
              <w:t xml:space="preserve">Полезно проанализировать международный опыт лучших практик (например, </w:t>
            </w:r>
            <w:hyperlink r:id="rId7" w:history="1">
              <w:r w:rsidRPr="005405F4">
                <w:rPr>
                  <w:rStyle w:val="aa"/>
                  <w:sz w:val="22"/>
                  <w:szCs w:val="22"/>
                </w:rPr>
                <w:t>https://www.treasury.gov/about/budget-performance/annual-performance -plan/Documents/Treasury_Measure_Verification_and_Validation.pdf</w:t>
              </w:r>
            </w:hyperlink>
            <w:r w:rsidRPr="005405F4">
              <w:rPr>
                <w:sz w:val="22"/>
                <w:szCs w:val="22"/>
              </w:rPr>
              <w:t xml:space="preserve">) </w:t>
            </w:r>
            <w:r w:rsidRPr="005405F4">
              <w:rPr>
                <w:sz w:val="28"/>
                <w:szCs w:val="28"/>
              </w:rPr>
              <w:t xml:space="preserve"> и конкретизировать ПД в части каждой из целей, заложив именно те ключевые действия, которые планируется внутри целей реализовать (какие НПА принять, какие системы запустить, какие меры принять), а также снабдить ожидаемыми КПЭ по каждой цели, к чему приведут</w:t>
            </w:r>
            <w:proofErr w:type="gramEnd"/>
            <w:r w:rsidRPr="005405F4">
              <w:rPr>
                <w:sz w:val="28"/>
                <w:szCs w:val="28"/>
              </w:rPr>
              <w:t xml:space="preserve"> данные меры (например, перечисление ожидаемых налоговых новаций с оценкой экономического эффекта, выражающегося, например, в % увеличении доходной части бюджета и в конкретном объеме социальных расходов, профинансированных за счет данных мер).</w:t>
            </w:r>
          </w:p>
          <w:p w:rsidR="00864005" w:rsidRPr="003140D4" w:rsidRDefault="005405F4" w:rsidP="005405F4">
            <w:pPr>
              <w:jc w:val="both"/>
              <w:rPr>
                <w:sz w:val="28"/>
                <w:szCs w:val="28"/>
              </w:rPr>
            </w:pPr>
            <w:r w:rsidRPr="005405F4">
              <w:rPr>
                <w:sz w:val="28"/>
                <w:szCs w:val="28"/>
              </w:rPr>
              <w:t>b.</w:t>
            </w:r>
            <w:r w:rsidRPr="005405F4">
              <w:rPr>
                <w:sz w:val="28"/>
                <w:szCs w:val="28"/>
              </w:rPr>
              <w:tab/>
              <w:t>Сейчас цели бессрочны, и нет оценок именно за год, как мы приблизились к их достижению и, главное, к достижению чего? Соответственно отчет о П</w:t>
            </w:r>
            <w:r>
              <w:rPr>
                <w:sz w:val="28"/>
                <w:szCs w:val="28"/>
              </w:rPr>
              <w:t>убличной декларации</w:t>
            </w:r>
            <w:r w:rsidRPr="005405F4">
              <w:rPr>
                <w:sz w:val="28"/>
                <w:szCs w:val="28"/>
              </w:rPr>
              <w:t xml:space="preserve"> должен содержать не </w:t>
            </w:r>
            <w:r w:rsidRPr="005405F4">
              <w:rPr>
                <w:sz w:val="28"/>
                <w:szCs w:val="28"/>
              </w:rPr>
              <w:lastRenderedPageBreak/>
              <w:t xml:space="preserve">только описательную часть, а именно соотношение фактических результатов с </w:t>
            </w:r>
            <w:proofErr w:type="gramStart"/>
            <w:r w:rsidRPr="005405F4">
              <w:rPr>
                <w:sz w:val="28"/>
                <w:szCs w:val="28"/>
              </w:rPr>
              <w:t>запланированными</w:t>
            </w:r>
            <w:proofErr w:type="gramEnd"/>
            <w:r w:rsidRPr="005405F4">
              <w:rPr>
                <w:sz w:val="28"/>
                <w:szCs w:val="28"/>
              </w:rPr>
              <w:t>.</w:t>
            </w:r>
          </w:p>
        </w:tc>
        <w:tc>
          <w:tcPr>
            <w:tcW w:w="7186" w:type="dxa"/>
          </w:tcPr>
          <w:p w:rsidR="00F2182B" w:rsidRPr="00F2182B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 w:rsidRPr="00F2182B">
              <w:rPr>
                <w:sz w:val="28"/>
                <w:szCs w:val="28"/>
              </w:rPr>
              <w:lastRenderedPageBreak/>
              <w:t xml:space="preserve">Постановлением Правительства Российской Федерации от 26 декабря 2015 г. № 1449 «О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 установлено, что Планы деятельности федеральных органов исполнительной власти (далее – План) разрабатываются на 6 лет с учетом основных направлений деятельности </w:t>
            </w:r>
            <w:r w:rsidRPr="00F2182B">
              <w:rPr>
                <w:sz w:val="28"/>
                <w:szCs w:val="28"/>
              </w:rPr>
              <w:lastRenderedPageBreak/>
              <w:t>Правительства Российской Федерации в целях организации деятельности федерального органа</w:t>
            </w:r>
            <w:proofErr w:type="gramEnd"/>
            <w:r w:rsidRPr="00F2182B">
              <w:rPr>
                <w:sz w:val="28"/>
                <w:szCs w:val="28"/>
              </w:rPr>
              <w:t xml:space="preserve"> исполнительной власти по реализации документов стратегического планирования, по которым этот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      </w:r>
          </w:p>
          <w:p w:rsidR="00F2182B" w:rsidRPr="00F2182B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r w:rsidRPr="00F2182B">
              <w:rPr>
                <w:sz w:val="28"/>
                <w:szCs w:val="28"/>
              </w:rPr>
              <w:t>При этом План состоит из двух частей: текстовой и Плана-графика мероприятий по реализации документов стратегического планирования (далее – План-график). Публичная декларация целей и задач на очередной год входит в текстовую часть плана, а План-график содержит в табличной форме, структурированн</w:t>
            </w:r>
            <w:r w:rsidR="00254D51">
              <w:rPr>
                <w:sz w:val="28"/>
                <w:szCs w:val="28"/>
              </w:rPr>
              <w:t>ые</w:t>
            </w:r>
            <w:r w:rsidRPr="00F2182B">
              <w:rPr>
                <w:sz w:val="28"/>
                <w:szCs w:val="28"/>
              </w:rPr>
              <w:t xml:space="preserve"> по реализуемым документам стратегического планирования и иным ключевым направлениям, следующие сведения:</w:t>
            </w:r>
          </w:p>
          <w:p w:rsidR="00F2182B" w:rsidRPr="00F2182B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r w:rsidRPr="00F2182B">
              <w:rPr>
                <w:sz w:val="28"/>
                <w:szCs w:val="28"/>
              </w:rPr>
              <w:t>а) о планируемых мероприятиях, этапах, сроках и планируемых результатах (промежуточных и окончательных) по годам их выполнения;</w:t>
            </w:r>
          </w:p>
          <w:p w:rsidR="00F2182B" w:rsidRPr="00F2182B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r w:rsidRPr="00F2182B">
              <w:rPr>
                <w:sz w:val="28"/>
                <w:szCs w:val="28"/>
              </w:rPr>
              <w:t>б) об ответственных исполнителях или соисполнителях;</w:t>
            </w:r>
          </w:p>
          <w:p w:rsidR="00F2182B" w:rsidRPr="00F2182B" w:rsidRDefault="00B83186" w:rsidP="00B8318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F2182B" w:rsidRPr="00F2182B">
              <w:rPr>
                <w:sz w:val="28"/>
                <w:szCs w:val="28"/>
              </w:rPr>
              <w:t>об индикаторах деятельности федерального органа исполнительной власти и их плановых значениях (по годам реализации планов деятельности);</w:t>
            </w:r>
          </w:p>
          <w:p w:rsidR="00F2182B" w:rsidRPr="00F2182B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r w:rsidRPr="00F2182B">
              <w:rPr>
                <w:sz w:val="28"/>
                <w:szCs w:val="28"/>
              </w:rPr>
              <w:t>г) ссылки на соответствующие документы стратегического планирования.</w:t>
            </w:r>
          </w:p>
          <w:p w:rsidR="007A1277" w:rsidRDefault="00F2182B" w:rsidP="00376F17">
            <w:pPr>
              <w:ind w:firstLine="430"/>
              <w:jc w:val="both"/>
              <w:rPr>
                <w:sz w:val="28"/>
                <w:szCs w:val="28"/>
              </w:rPr>
            </w:pPr>
            <w:r w:rsidRPr="00F2182B">
              <w:rPr>
                <w:sz w:val="28"/>
                <w:szCs w:val="28"/>
              </w:rPr>
              <w:t xml:space="preserve">Таким образом, конкретные измерения ожидаемых </w:t>
            </w:r>
            <w:r w:rsidRPr="00F2182B">
              <w:rPr>
                <w:sz w:val="28"/>
                <w:szCs w:val="28"/>
              </w:rPr>
              <w:lastRenderedPageBreak/>
              <w:t>результатов, индикаторы и плановые значения установлены в Плане-графике и, по мнению Министерства, не требуют дублирования в публичную декларацию целей и задач.</w:t>
            </w:r>
          </w:p>
          <w:p w:rsidR="000D1036" w:rsidRPr="000D1036" w:rsidRDefault="000D1036" w:rsidP="000D1036">
            <w:pPr>
              <w:ind w:firstLine="430"/>
              <w:jc w:val="both"/>
              <w:rPr>
                <w:sz w:val="28"/>
                <w:szCs w:val="28"/>
              </w:rPr>
            </w:pPr>
            <w:r w:rsidRPr="000D1036">
              <w:rPr>
                <w:sz w:val="28"/>
                <w:szCs w:val="28"/>
              </w:rPr>
              <w:t xml:space="preserve">План деятельности Минфина России на 2019 – 2024 годы, утвержденный Министром финансов Российской Федерации А.Г. </w:t>
            </w:r>
            <w:proofErr w:type="spellStart"/>
            <w:r w:rsidRPr="000D1036">
              <w:rPr>
                <w:sz w:val="28"/>
                <w:szCs w:val="28"/>
              </w:rPr>
              <w:t>Силуановым</w:t>
            </w:r>
            <w:proofErr w:type="spellEnd"/>
            <w:r w:rsidRPr="000D1036">
              <w:rPr>
                <w:sz w:val="28"/>
                <w:szCs w:val="28"/>
              </w:rPr>
              <w:t xml:space="preserve"> 1 марта 2019 г. (далее – среднесрочный план), сформирован преимущественно на основе государственных программ Российской Федерации, по которым Минфин России является ответственным исполнителем и соисполнителем (далее – государственные программы). Таким образом, среднесрочный план включает в себя мероприятия государственных программ с указанием ожидаемых результатов, в </w:t>
            </w:r>
            <w:proofErr w:type="spellStart"/>
            <w:r w:rsidRPr="000D1036">
              <w:rPr>
                <w:sz w:val="28"/>
                <w:szCs w:val="28"/>
              </w:rPr>
              <w:t>т.ч</w:t>
            </w:r>
            <w:proofErr w:type="spellEnd"/>
            <w:r w:rsidRPr="000D1036">
              <w:rPr>
                <w:sz w:val="28"/>
                <w:szCs w:val="28"/>
              </w:rPr>
              <w:t xml:space="preserve">. в части планируемых к принятию нормативных правовых актов и с конкретными контрольными событиями, а также показатели (индикаторы) по каждому направлению с конкретными целевыми значениями на каждый год. </w:t>
            </w:r>
          </w:p>
          <w:p w:rsidR="000D1036" w:rsidRPr="000D1036" w:rsidRDefault="000D1036" w:rsidP="000D1036">
            <w:pPr>
              <w:ind w:firstLine="430"/>
              <w:jc w:val="both"/>
              <w:rPr>
                <w:sz w:val="28"/>
                <w:szCs w:val="28"/>
              </w:rPr>
            </w:pPr>
            <w:r w:rsidRPr="000D1036">
              <w:rPr>
                <w:sz w:val="28"/>
                <w:szCs w:val="28"/>
              </w:rPr>
              <w:t>Отчет о ходе реализации среднесрочного плана формируется на ежегодной основе в сроки, установленные для подготовки годовых отчетов о ходе реализации государственных программ в соответствии с Порядком разработки, реализации и оценки эффективности государственных программ Российской Федерации.</w:t>
            </w:r>
          </w:p>
          <w:p w:rsidR="000D1036" w:rsidRDefault="000D1036" w:rsidP="000D1036">
            <w:pPr>
              <w:ind w:firstLine="430"/>
              <w:jc w:val="both"/>
              <w:rPr>
                <w:sz w:val="28"/>
                <w:szCs w:val="28"/>
              </w:rPr>
            </w:pPr>
            <w:r w:rsidRPr="000D1036">
              <w:rPr>
                <w:sz w:val="28"/>
                <w:szCs w:val="28"/>
              </w:rPr>
              <w:t xml:space="preserve">Таким образом, прогресс в достижении целей и задач может быть отслежен через достижение показателей (индикаторов) и степень выполнения мероприятий </w:t>
            </w:r>
            <w:r w:rsidRPr="000D1036">
              <w:rPr>
                <w:sz w:val="28"/>
                <w:szCs w:val="28"/>
              </w:rPr>
              <w:lastRenderedPageBreak/>
              <w:t>государственных программ в рамках годового отчета о ходе реализации среднесрочного плана.</w:t>
            </w:r>
          </w:p>
          <w:p w:rsidR="006E3036" w:rsidRPr="003140D4" w:rsidRDefault="000D1036" w:rsidP="00B05E91">
            <w:pPr>
              <w:ind w:firstLine="4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Кроме того сообщаем, что</w:t>
            </w:r>
            <w:r w:rsidR="00254D51">
              <w:t xml:space="preserve"> </w:t>
            </w:r>
            <w:r w:rsidR="00254D51" w:rsidRPr="00254D51">
              <w:rPr>
                <w:sz w:val="28"/>
                <w:szCs w:val="28"/>
              </w:rPr>
              <w:t xml:space="preserve">проект среднесрочного плана был рассмотрен на </w:t>
            </w:r>
            <w:r w:rsidR="001F3205">
              <w:rPr>
                <w:sz w:val="28"/>
                <w:szCs w:val="28"/>
              </w:rPr>
              <w:t xml:space="preserve">заочном </w:t>
            </w:r>
            <w:r w:rsidR="00254D51" w:rsidRPr="00254D51">
              <w:rPr>
                <w:sz w:val="28"/>
                <w:szCs w:val="28"/>
              </w:rPr>
              <w:t>заседании Общественного совета при Минфине России</w:t>
            </w:r>
            <w:r w:rsidR="00254D51">
              <w:t xml:space="preserve"> </w:t>
            </w:r>
            <w:r w:rsidR="00254D51" w:rsidRPr="008466E5">
              <w:rPr>
                <w:sz w:val="28"/>
                <w:szCs w:val="28"/>
              </w:rPr>
              <w:t xml:space="preserve">(протокол </w:t>
            </w:r>
            <w:r w:rsidR="008466E5" w:rsidRPr="008466E5">
              <w:rPr>
                <w:sz w:val="28"/>
                <w:szCs w:val="28"/>
              </w:rPr>
              <w:t xml:space="preserve">от </w:t>
            </w:r>
            <w:r w:rsidR="001F3205">
              <w:rPr>
                <w:sz w:val="28"/>
                <w:szCs w:val="28"/>
              </w:rPr>
              <w:t>20-</w:t>
            </w:r>
            <w:r w:rsidR="008466E5" w:rsidRPr="008466E5">
              <w:rPr>
                <w:sz w:val="28"/>
                <w:szCs w:val="28"/>
              </w:rPr>
              <w:t>27 февраля 2019 года № 4)</w:t>
            </w:r>
            <w:r w:rsidR="008466E5">
              <w:t xml:space="preserve">, </w:t>
            </w:r>
            <w:r w:rsidR="008466E5" w:rsidRPr="008466E5">
              <w:rPr>
                <w:sz w:val="28"/>
                <w:szCs w:val="28"/>
              </w:rPr>
              <w:t xml:space="preserve">а </w:t>
            </w:r>
            <w:r w:rsidR="00B05E91" w:rsidRPr="00B05E91">
              <w:rPr>
                <w:sz w:val="28"/>
                <w:szCs w:val="28"/>
              </w:rPr>
              <w:t>Отчет о ходе реализации среднесрочного плана</w:t>
            </w:r>
            <w:r w:rsidR="00D74BC0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2019 год</w:t>
            </w:r>
            <w:r w:rsidR="00D74BC0">
              <w:rPr>
                <w:sz w:val="28"/>
                <w:szCs w:val="28"/>
              </w:rPr>
              <w:t xml:space="preserve"> будет направлен на </w:t>
            </w:r>
            <w:r w:rsidR="00D74BC0" w:rsidRPr="00D74BC0">
              <w:rPr>
                <w:sz w:val="28"/>
                <w:szCs w:val="28"/>
              </w:rPr>
              <w:t xml:space="preserve">рассмотрение в Общественный совет при Министерстве в сроки, установленные Планом работы Общественного </w:t>
            </w:r>
            <w:r w:rsidR="00D74BC0">
              <w:rPr>
                <w:sz w:val="28"/>
                <w:szCs w:val="28"/>
              </w:rPr>
              <w:t>совета при Минфине России на 2020</w:t>
            </w:r>
            <w:r w:rsidR="00D74BC0" w:rsidRPr="00D74BC0">
              <w:rPr>
                <w:sz w:val="28"/>
                <w:szCs w:val="28"/>
              </w:rPr>
              <w:t xml:space="preserve"> г.</w:t>
            </w:r>
            <w:proofErr w:type="gramEnd"/>
          </w:p>
        </w:tc>
      </w:tr>
      <w:tr w:rsidR="008466E5" w:rsidRPr="00214D0B" w:rsidTr="00B851A3">
        <w:tc>
          <w:tcPr>
            <w:tcW w:w="15452" w:type="dxa"/>
            <w:gridSpan w:val="3"/>
          </w:tcPr>
          <w:p w:rsidR="008466E5" w:rsidRDefault="008466E5" w:rsidP="008466E5">
            <w:pPr>
              <w:ind w:firstLine="430"/>
              <w:jc w:val="center"/>
            </w:pPr>
            <w:r w:rsidRPr="008466E5">
              <w:rPr>
                <w:b/>
                <w:sz w:val="28"/>
                <w:szCs w:val="28"/>
              </w:rPr>
              <w:lastRenderedPageBreak/>
              <w:t>Отрицательный результат</w:t>
            </w:r>
          </w:p>
        </w:tc>
      </w:tr>
      <w:tr w:rsidR="00B65681" w:rsidRPr="00214D0B" w:rsidTr="008466E5">
        <w:tc>
          <w:tcPr>
            <w:tcW w:w="1837" w:type="dxa"/>
            <w:vAlign w:val="center"/>
          </w:tcPr>
          <w:p w:rsidR="00B65681" w:rsidRPr="003140D4" w:rsidRDefault="00B65681" w:rsidP="000479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140D4">
              <w:rPr>
                <w:sz w:val="28"/>
                <w:szCs w:val="28"/>
              </w:rPr>
              <w:t>.</w:t>
            </w:r>
          </w:p>
        </w:tc>
        <w:tc>
          <w:tcPr>
            <w:tcW w:w="6429" w:type="dxa"/>
            <w:vAlign w:val="center"/>
          </w:tcPr>
          <w:p w:rsidR="00B65681" w:rsidRPr="003140D4" w:rsidRDefault="00C44926" w:rsidP="000479D4">
            <w:pPr>
              <w:ind w:firstLine="43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lang w:eastAsia="en-US"/>
              </w:rPr>
              <w:t>Ц</w:t>
            </w:r>
            <w:r w:rsidR="003C18E4" w:rsidRPr="003C18E4">
              <w:rPr>
                <w:color w:val="auto"/>
                <w:sz w:val="28"/>
                <w:lang w:eastAsia="en-US"/>
              </w:rPr>
              <w:t xml:space="preserve">елесообразно дать оценку результатов по эффектам для затрагиваемых </w:t>
            </w:r>
            <w:proofErr w:type="spellStart"/>
            <w:r w:rsidR="003C18E4" w:rsidRPr="003C18E4">
              <w:rPr>
                <w:color w:val="auto"/>
                <w:sz w:val="28"/>
                <w:lang w:eastAsia="en-US"/>
              </w:rPr>
              <w:t>референтных</w:t>
            </w:r>
            <w:proofErr w:type="spellEnd"/>
            <w:r w:rsidR="003C18E4" w:rsidRPr="003C18E4">
              <w:rPr>
                <w:color w:val="auto"/>
                <w:sz w:val="28"/>
                <w:lang w:eastAsia="en-US"/>
              </w:rPr>
              <w:t xml:space="preserve"> групп и объяснения, какие эффекты в итоге перевесили. Например, в части целей 1 и 2 – была бы полезна оценка действий Минфина с точки зрения влияния решений на бизнес, административные расходы бизнеса, инвестиционную стратегию, и через это, в итоге на экономику в целом. Например, есть мера по неналоговым платежам или повышению НДС, но нет оценки для бизнеса.</w:t>
            </w:r>
          </w:p>
        </w:tc>
        <w:tc>
          <w:tcPr>
            <w:tcW w:w="7186" w:type="dxa"/>
          </w:tcPr>
          <w:p w:rsidR="00376F17" w:rsidRPr="00376F17" w:rsidRDefault="00376F17" w:rsidP="00376F17">
            <w:pPr>
              <w:ind w:firstLine="431"/>
              <w:jc w:val="both"/>
              <w:rPr>
                <w:sz w:val="28"/>
                <w:szCs w:val="28"/>
              </w:rPr>
            </w:pPr>
            <w:r w:rsidRPr="00376F17">
              <w:rPr>
                <w:sz w:val="28"/>
                <w:szCs w:val="28"/>
              </w:rPr>
              <w:t xml:space="preserve">Систематизация актуальных для предпринимателей неналоговых платежей, которые могут иметь разную правовую природу, устанавливаться с разными целями и различны по размерам, а также определение подходов по совершенствованию их регулирования и оптимизации их количества позволит повысить предсказуемость условий ведения бизнеса и прозрачность системы публичных платежей. </w:t>
            </w:r>
          </w:p>
          <w:p w:rsidR="00376F17" w:rsidRPr="00376F17" w:rsidRDefault="00376F17" w:rsidP="00376F17">
            <w:pPr>
              <w:ind w:firstLine="431"/>
              <w:jc w:val="both"/>
              <w:rPr>
                <w:sz w:val="28"/>
                <w:szCs w:val="28"/>
              </w:rPr>
            </w:pPr>
            <w:r w:rsidRPr="00376F17">
              <w:rPr>
                <w:sz w:val="28"/>
                <w:szCs w:val="28"/>
              </w:rPr>
              <w:t xml:space="preserve">В целях </w:t>
            </w:r>
            <w:proofErr w:type="gramStart"/>
            <w:r w:rsidRPr="00376F17">
              <w:rPr>
                <w:sz w:val="28"/>
                <w:szCs w:val="28"/>
              </w:rPr>
              <w:t>повышения прозрачности системы взимания неналоговых платежей</w:t>
            </w:r>
            <w:proofErr w:type="gramEnd"/>
            <w:r w:rsidRPr="00376F17">
              <w:rPr>
                <w:sz w:val="28"/>
                <w:szCs w:val="28"/>
              </w:rPr>
              <w:t xml:space="preserve"> поставлена задача о поэтапном включении неналоговых платежей, имеющих </w:t>
            </w:r>
            <w:proofErr w:type="spellStart"/>
            <w:r w:rsidRPr="00376F17">
              <w:rPr>
                <w:sz w:val="28"/>
                <w:szCs w:val="28"/>
              </w:rPr>
              <w:t>квазиналоговый</w:t>
            </w:r>
            <w:proofErr w:type="spellEnd"/>
            <w:r w:rsidRPr="00376F17">
              <w:rPr>
                <w:sz w:val="28"/>
                <w:szCs w:val="28"/>
              </w:rPr>
              <w:t xml:space="preserve"> характер (публично-правовая природа, обязательность уплаты, наличие характерных для налога элементов платежа) в Налоговый кодекс Российской Федерации. Включение таких платежей в сферу действия законодательства о налогах и сборах позволит применить к ним инструментарий общих положений Налогового кодекса Российской Федерации, в том числе о правах их </w:t>
            </w:r>
            <w:r w:rsidRPr="00376F17">
              <w:rPr>
                <w:sz w:val="28"/>
                <w:szCs w:val="28"/>
              </w:rPr>
              <w:lastRenderedPageBreak/>
              <w:t>плательщиков.</w:t>
            </w:r>
          </w:p>
          <w:p w:rsidR="00376F17" w:rsidRDefault="00376F17" w:rsidP="00376F17">
            <w:pPr>
              <w:ind w:firstLine="431"/>
              <w:jc w:val="both"/>
              <w:rPr>
                <w:sz w:val="28"/>
                <w:szCs w:val="28"/>
              </w:rPr>
            </w:pPr>
            <w:r w:rsidRPr="00376F17">
              <w:rPr>
                <w:sz w:val="28"/>
                <w:szCs w:val="28"/>
              </w:rPr>
              <w:t xml:space="preserve">Остальные неналоговые платежи предпринимателей, которые не планируется включать в Налоговый кодекс Российской Федерации, учитывая их правовую природу, разделены на несколько однородных категорий, по каждой из которых при участии </w:t>
            </w:r>
            <w:proofErr w:type="gramStart"/>
            <w:r w:rsidRPr="00376F17">
              <w:rPr>
                <w:sz w:val="28"/>
                <w:szCs w:val="28"/>
              </w:rPr>
              <w:t>бизнес-сообщества</w:t>
            </w:r>
            <w:proofErr w:type="gramEnd"/>
            <w:r w:rsidRPr="00376F17">
              <w:rPr>
                <w:sz w:val="28"/>
                <w:szCs w:val="28"/>
              </w:rPr>
              <w:t xml:space="preserve"> прорабатываются основные проблемные вопросы, в том числе с учетом поставленной Правительством Р</w:t>
            </w:r>
            <w:r w:rsidR="00B83186">
              <w:rPr>
                <w:sz w:val="28"/>
                <w:szCs w:val="28"/>
              </w:rPr>
              <w:t>оссийской Федерации</w:t>
            </w:r>
            <w:r w:rsidRPr="00376F17">
              <w:rPr>
                <w:sz w:val="28"/>
                <w:szCs w:val="28"/>
              </w:rPr>
              <w:t xml:space="preserve"> задачи по сокращению избыточного государственного регулирования.</w:t>
            </w:r>
          </w:p>
          <w:p w:rsidR="007946EF" w:rsidRPr="007946EF" w:rsidRDefault="007946EF" w:rsidP="007946EF">
            <w:pPr>
              <w:ind w:firstLine="431"/>
              <w:jc w:val="both"/>
              <w:rPr>
                <w:sz w:val="28"/>
                <w:szCs w:val="28"/>
              </w:rPr>
            </w:pPr>
            <w:r w:rsidRPr="007946EF">
              <w:rPr>
                <w:sz w:val="28"/>
                <w:szCs w:val="28"/>
              </w:rPr>
              <w:t xml:space="preserve">При этом ежегодно для широкой общественности в рамках подготовки основных направлений бюджетной, налоговой и таможенно-тарифной </w:t>
            </w:r>
            <w:proofErr w:type="gramStart"/>
            <w:r w:rsidRPr="007946EF">
              <w:rPr>
                <w:sz w:val="28"/>
                <w:szCs w:val="28"/>
              </w:rPr>
              <w:t>политики</w:t>
            </w:r>
            <w:proofErr w:type="gramEnd"/>
            <w:r w:rsidRPr="007946EF">
              <w:rPr>
                <w:sz w:val="28"/>
                <w:szCs w:val="28"/>
              </w:rPr>
              <w:t xml:space="preserve"> на очередной финансовый год и плановый период представляются итоги реализации бюджетной, налоговой и таможенно-тарифной политики, внутренние и внешние условия, а также цели реализации бюджетной, налоговой и таможенно-тарифной политики на предстоящий период. В указанных разделах в числе прочего представлено влияние ранее принятых решений на экономические и бюджетные показатели. </w:t>
            </w:r>
          </w:p>
          <w:p w:rsidR="007946EF" w:rsidRPr="007946EF" w:rsidRDefault="007946EF" w:rsidP="007946EF">
            <w:pPr>
              <w:ind w:firstLine="431"/>
              <w:jc w:val="both"/>
              <w:rPr>
                <w:sz w:val="28"/>
                <w:szCs w:val="28"/>
              </w:rPr>
            </w:pPr>
            <w:r w:rsidRPr="007946EF">
              <w:rPr>
                <w:sz w:val="28"/>
                <w:szCs w:val="28"/>
              </w:rPr>
              <w:t xml:space="preserve">Аналогичные разделы также будут подготовлены в </w:t>
            </w:r>
            <w:r w:rsidR="00B05E91">
              <w:rPr>
                <w:sz w:val="28"/>
                <w:szCs w:val="28"/>
              </w:rPr>
              <w:br/>
            </w:r>
            <w:r w:rsidRPr="007946EF">
              <w:rPr>
                <w:sz w:val="28"/>
                <w:szCs w:val="28"/>
              </w:rPr>
              <w:t xml:space="preserve">2020 году при формировании проекта основных направлений бюджетной, налоговой и таможенно-тарифной политики на 2021-2023 годы. </w:t>
            </w:r>
          </w:p>
          <w:p w:rsidR="00C3287A" w:rsidRPr="003140D4" w:rsidRDefault="007946EF" w:rsidP="008466E5">
            <w:pPr>
              <w:ind w:firstLine="431"/>
              <w:jc w:val="both"/>
              <w:rPr>
                <w:sz w:val="28"/>
                <w:szCs w:val="28"/>
              </w:rPr>
            </w:pPr>
            <w:r w:rsidRPr="007946EF">
              <w:rPr>
                <w:sz w:val="28"/>
                <w:szCs w:val="28"/>
              </w:rPr>
              <w:t>Указанный документ на соответствующий период ежегодно размещается на официальном сайте Минфина России (Минфин России / Деятельность / Бюджет / Бюджетная политика).</w:t>
            </w:r>
          </w:p>
        </w:tc>
      </w:tr>
      <w:tr w:rsidR="008466E5" w:rsidRPr="00214D0B" w:rsidTr="00961ECD">
        <w:tc>
          <w:tcPr>
            <w:tcW w:w="15452" w:type="dxa"/>
            <w:gridSpan w:val="3"/>
            <w:vAlign w:val="center"/>
          </w:tcPr>
          <w:p w:rsidR="008466E5" w:rsidRPr="00376F17" w:rsidRDefault="00744B90" w:rsidP="008466E5">
            <w:pPr>
              <w:ind w:firstLine="4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Положительный</w:t>
            </w:r>
            <w:r w:rsidR="008466E5" w:rsidRPr="008466E5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5405F4" w:rsidRPr="00214D0B" w:rsidTr="008466E5">
        <w:tc>
          <w:tcPr>
            <w:tcW w:w="1837" w:type="dxa"/>
            <w:vAlign w:val="center"/>
          </w:tcPr>
          <w:p w:rsidR="005405F4" w:rsidRDefault="005405F4" w:rsidP="000479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29" w:type="dxa"/>
            <w:vAlign w:val="center"/>
          </w:tcPr>
          <w:p w:rsidR="005405F4" w:rsidRPr="005405F4" w:rsidRDefault="005405F4" w:rsidP="005405F4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 xml:space="preserve">При этом даже независимо от самой формы и подхода к ПД отчет и сам по себе требует доработки, так например: </w:t>
            </w:r>
          </w:p>
          <w:p w:rsidR="005405F4" w:rsidRPr="005405F4" w:rsidRDefault="005405F4" w:rsidP="005405F4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>1.</w:t>
            </w:r>
            <w:r w:rsidRPr="005405F4">
              <w:rPr>
                <w:color w:val="auto"/>
                <w:sz w:val="28"/>
                <w:lang w:eastAsia="en-US"/>
              </w:rPr>
              <w:tab/>
              <w:t xml:space="preserve">Отсутствие в описании реальных результатов – что было сделано и к чему это привело в разрезе выгодоприобретателей. Например, </w:t>
            </w:r>
          </w:p>
          <w:p w:rsidR="005405F4" w:rsidRPr="005405F4" w:rsidRDefault="005405F4" w:rsidP="005405F4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>По цели: ЦЕЛЬ 1. «ОБЕСПЕЧЕНИЕ СТАБИЛЬНЫХ ЭКОНОМИЧЕСКИХ УСЛОВИЙ И СТРУКТУРНАЯ ТРАНСФОРМАЦИЯ ЭКОНОМИКИ». Создание условий для достижения национальных целей развития</w:t>
            </w:r>
          </w:p>
          <w:p w:rsidR="005405F4" w:rsidRPr="005405F4" w:rsidRDefault="005405F4" w:rsidP="005405F4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 xml:space="preserve">В качестве результата декларируется, что «В ближайшие 6 лет на реализацию национальных проектов будет направлено порядка 13,4 </w:t>
            </w:r>
            <w:proofErr w:type="gramStart"/>
            <w:r w:rsidRPr="005405F4">
              <w:rPr>
                <w:color w:val="auto"/>
                <w:sz w:val="28"/>
                <w:lang w:eastAsia="en-US"/>
              </w:rPr>
              <w:t>трлн</w:t>
            </w:r>
            <w:proofErr w:type="gramEnd"/>
            <w:r w:rsidRPr="005405F4">
              <w:rPr>
                <w:color w:val="auto"/>
                <w:sz w:val="28"/>
                <w:lang w:eastAsia="en-US"/>
              </w:rPr>
              <w:t xml:space="preserve"> рублей средств федерального бюджета и порядка 18,2 трлн рублей в целом по бюджетной системе. </w:t>
            </w:r>
          </w:p>
          <w:p w:rsidR="005405F4" w:rsidRPr="005405F4" w:rsidRDefault="005405F4" w:rsidP="005405F4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 xml:space="preserve">В настоящее время осуществляется оценка влияния мероприятий государственных программ Российской Федерации и результатов национальных проектов на предмет их вклада в достижение национальных целей развития, </w:t>
            </w:r>
            <w:proofErr w:type="gramStart"/>
            <w:r w:rsidRPr="005405F4">
              <w:rPr>
                <w:color w:val="auto"/>
                <w:sz w:val="28"/>
                <w:lang w:eastAsia="en-US"/>
              </w:rPr>
              <w:t>факторы</w:t>
            </w:r>
            <w:proofErr w:type="gramEnd"/>
            <w:r w:rsidRPr="005405F4">
              <w:rPr>
                <w:color w:val="auto"/>
                <w:sz w:val="28"/>
                <w:lang w:eastAsia="en-US"/>
              </w:rPr>
              <w:t xml:space="preserve"> достижения которых определены в соответствии с Единым планом по достижению национальных целей развития Российской Ф</w:t>
            </w:r>
            <w:r w:rsidR="00852BAF">
              <w:rPr>
                <w:color w:val="auto"/>
                <w:sz w:val="28"/>
                <w:lang w:eastAsia="en-US"/>
              </w:rPr>
              <w:t>едерации на период до 2024 года.</w:t>
            </w:r>
            <w:r w:rsidRPr="005405F4">
              <w:rPr>
                <w:color w:val="auto"/>
                <w:sz w:val="28"/>
                <w:lang w:eastAsia="en-US"/>
              </w:rPr>
              <w:t>»</w:t>
            </w:r>
            <w:r w:rsidR="00852BAF">
              <w:rPr>
                <w:color w:val="auto"/>
                <w:sz w:val="28"/>
                <w:lang w:eastAsia="en-US"/>
              </w:rPr>
              <w:t>.</w:t>
            </w:r>
          </w:p>
          <w:p w:rsidR="005405F4" w:rsidRDefault="005405F4" w:rsidP="00744B90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 xml:space="preserve">В этом описании, на наш взгляд, не содержится результата как такового. </w:t>
            </w:r>
            <w:proofErr w:type="gramStart"/>
            <w:r w:rsidRPr="005405F4">
              <w:rPr>
                <w:color w:val="auto"/>
                <w:sz w:val="28"/>
                <w:lang w:eastAsia="en-US"/>
              </w:rPr>
              <w:t xml:space="preserve">При этом предпосылка, что в ближайшее время существенные средства </w:t>
            </w:r>
            <w:r w:rsidRPr="005405F4">
              <w:rPr>
                <w:color w:val="auto"/>
                <w:sz w:val="28"/>
                <w:lang w:eastAsia="en-US"/>
              </w:rPr>
              <w:lastRenderedPageBreak/>
              <w:t xml:space="preserve">будут потрачены на нацпроекты могла бы трансформироваться как в то, какие задачи непосредственно берет на себя Минфин в этой связи, так и в конкретные результаты этого года, например: разработана методика оценки бюджетной обеспеченности нацпроектов, эффективности </w:t>
            </w:r>
            <w:proofErr w:type="spellStart"/>
            <w:r w:rsidRPr="005405F4">
              <w:rPr>
                <w:color w:val="auto"/>
                <w:sz w:val="28"/>
                <w:lang w:eastAsia="en-US"/>
              </w:rPr>
              <w:t>раскассирования</w:t>
            </w:r>
            <w:proofErr w:type="spellEnd"/>
            <w:r w:rsidRPr="005405F4">
              <w:rPr>
                <w:color w:val="auto"/>
                <w:sz w:val="28"/>
                <w:lang w:eastAsia="en-US"/>
              </w:rPr>
              <w:t xml:space="preserve"> бюджетных средств, по итогам оценено, что Х% не освоено, причины, необходимые действия.</w:t>
            </w:r>
            <w:proofErr w:type="gramEnd"/>
          </w:p>
        </w:tc>
        <w:tc>
          <w:tcPr>
            <w:tcW w:w="7186" w:type="dxa"/>
          </w:tcPr>
          <w:p w:rsidR="005405F4" w:rsidRDefault="003D3B94" w:rsidP="008466E5">
            <w:pPr>
              <w:ind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Слайд </w:t>
            </w:r>
            <w:r w:rsidR="008466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проекта о</w:t>
            </w:r>
            <w:r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 ходе реализации Публичной декларации целей и задач Минфина России за 201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доработан в</w:t>
            </w:r>
            <w:r>
              <w:rPr>
                <w:sz w:val="28"/>
                <w:szCs w:val="28"/>
              </w:rPr>
              <w:t xml:space="preserve"> соответствии с экспертным мнением члена Общественного совета при Минфине России</w:t>
            </w:r>
            <w:r w:rsidR="008466E5">
              <w:rPr>
                <w:sz w:val="28"/>
                <w:szCs w:val="28"/>
              </w:rPr>
              <w:t xml:space="preserve"> </w:t>
            </w:r>
            <w:r w:rsidR="008466E5">
              <w:rPr>
                <w:sz w:val="28"/>
                <w:szCs w:val="28"/>
              </w:rPr>
              <w:br/>
              <w:t>В.С. Лисина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466E5" w:rsidRPr="00214D0B" w:rsidTr="001C334E">
        <w:tc>
          <w:tcPr>
            <w:tcW w:w="15452" w:type="dxa"/>
            <w:gridSpan w:val="3"/>
            <w:vAlign w:val="center"/>
          </w:tcPr>
          <w:p w:rsidR="008466E5" w:rsidRDefault="008466E5" w:rsidP="008466E5">
            <w:pPr>
              <w:ind w:firstLine="431"/>
              <w:jc w:val="center"/>
              <w:rPr>
                <w:sz w:val="28"/>
                <w:szCs w:val="28"/>
              </w:rPr>
            </w:pPr>
            <w:r w:rsidRPr="008466E5">
              <w:rPr>
                <w:b/>
                <w:sz w:val="28"/>
                <w:szCs w:val="28"/>
              </w:rPr>
              <w:lastRenderedPageBreak/>
              <w:t>Отрицательный результат</w:t>
            </w:r>
          </w:p>
        </w:tc>
      </w:tr>
      <w:tr w:rsidR="005405F4" w:rsidRPr="00214D0B" w:rsidTr="00744B90">
        <w:trPr>
          <w:trHeight w:val="2553"/>
        </w:trPr>
        <w:tc>
          <w:tcPr>
            <w:tcW w:w="1837" w:type="dxa"/>
            <w:vAlign w:val="center"/>
          </w:tcPr>
          <w:p w:rsidR="005405F4" w:rsidRDefault="005405F4" w:rsidP="000479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29" w:type="dxa"/>
          </w:tcPr>
          <w:p w:rsidR="005405F4" w:rsidRPr="005405F4" w:rsidRDefault="005405F4" w:rsidP="00744B90">
            <w:pPr>
              <w:ind w:firstLine="430"/>
              <w:jc w:val="both"/>
              <w:rPr>
                <w:color w:val="auto"/>
                <w:sz w:val="28"/>
                <w:lang w:eastAsia="en-US"/>
              </w:rPr>
            </w:pPr>
            <w:r w:rsidRPr="005405F4">
              <w:rPr>
                <w:color w:val="auto"/>
                <w:sz w:val="28"/>
                <w:lang w:eastAsia="en-US"/>
              </w:rPr>
              <w:t>Слишком длинный, неудобный и описательный текст</w:t>
            </w:r>
            <w:r>
              <w:rPr>
                <w:color w:val="auto"/>
                <w:sz w:val="28"/>
                <w:lang w:eastAsia="en-US"/>
              </w:rPr>
              <w:t xml:space="preserve">. </w:t>
            </w:r>
            <w:r w:rsidRPr="005405F4">
              <w:rPr>
                <w:color w:val="auto"/>
                <w:sz w:val="28"/>
                <w:lang w:eastAsia="en-US"/>
              </w:rPr>
              <w:t xml:space="preserve">Предлагается скорректировать формат – выделив на 1-2 слайда счетные и конкретные результаты по каждой цели и их соотнесение с изначально запланированными показателями. Все остальное вынести в приложение. Большинству </w:t>
            </w:r>
            <w:proofErr w:type="spellStart"/>
            <w:r w:rsidRPr="005405F4">
              <w:rPr>
                <w:color w:val="auto"/>
                <w:sz w:val="28"/>
                <w:lang w:eastAsia="en-US"/>
              </w:rPr>
              <w:t>референтных</w:t>
            </w:r>
            <w:proofErr w:type="spellEnd"/>
            <w:r w:rsidRPr="005405F4">
              <w:rPr>
                <w:color w:val="auto"/>
                <w:sz w:val="28"/>
                <w:lang w:eastAsia="en-US"/>
              </w:rPr>
              <w:t xml:space="preserve"> групп такие описания не дают ровным счетом ничего.</w:t>
            </w:r>
          </w:p>
        </w:tc>
        <w:tc>
          <w:tcPr>
            <w:tcW w:w="7186" w:type="dxa"/>
          </w:tcPr>
          <w:p w:rsidR="008466E5" w:rsidRDefault="002172B7" w:rsidP="008466E5">
            <w:pPr>
              <w:ind w:left="33" w:firstLine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 отчета о ходе реализации Публичной декларации целей и задач Минфина России за 2019 год</w:t>
            </w:r>
            <w:r>
              <w:rPr>
                <w:sz w:val="28"/>
                <w:szCs w:val="28"/>
              </w:rPr>
              <w:t xml:space="preserve"> </w:t>
            </w:r>
            <w:r w:rsidR="006E3036">
              <w:rPr>
                <w:sz w:val="28"/>
                <w:szCs w:val="28"/>
              </w:rPr>
              <w:t>подготовлен</w:t>
            </w:r>
            <w:r>
              <w:rPr>
                <w:sz w:val="28"/>
                <w:szCs w:val="28"/>
              </w:rPr>
              <w:t xml:space="preserve"> в соответствии </w:t>
            </w:r>
            <w:r w:rsidR="008466E5">
              <w:rPr>
                <w:sz w:val="28"/>
                <w:szCs w:val="28"/>
              </w:rPr>
              <w:t xml:space="preserve">Порядком подготовки </w:t>
            </w:r>
            <w:r w:rsidR="008466E5" w:rsidRPr="006E3036">
              <w:rPr>
                <w:sz w:val="28"/>
                <w:szCs w:val="28"/>
              </w:rPr>
              <w:t>ежегодной публичной декларации целей и задач Министерства финансов Российской Федерации и отчетов о ходе ее реализации</w:t>
            </w:r>
            <w:r w:rsidR="008466E5">
              <w:rPr>
                <w:sz w:val="28"/>
                <w:szCs w:val="28"/>
              </w:rPr>
              <w:t>, утвержденн</w:t>
            </w:r>
            <w:r w:rsidR="00744B90">
              <w:rPr>
                <w:sz w:val="28"/>
                <w:szCs w:val="28"/>
              </w:rPr>
              <w:t>ы</w:t>
            </w:r>
            <w:bookmarkStart w:id="0" w:name="_GoBack"/>
            <w:bookmarkEnd w:id="0"/>
            <w:r w:rsidR="008466E5">
              <w:rPr>
                <w:sz w:val="28"/>
                <w:szCs w:val="28"/>
              </w:rPr>
              <w:t xml:space="preserve">м приказом </w:t>
            </w:r>
            <w:r w:rsidR="006E3036" w:rsidRPr="006E3036">
              <w:rPr>
                <w:sz w:val="28"/>
                <w:szCs w:val="28"/>
              </w:rPr>
              <w:t xml:space="preserve"> </w:t>
            </w:r>
            <w:r w:rsidR="006E3036">
              <w:rPr>
                <w:sz w:val="28"/>
                <w:szCs w:val="28"/>
              </w:rPr>
              <w:t>Минфина России</w:t>
            </w:r>
            <w:r w:rsidR="006E3036" w:rsidRPr="006E3036">
              <w:rPr>
                <w:sz w:val="28"/>
                <w:szCs w:val="28"/>
              </w:rPr>
              <w:t xml:space="preserve"> от 24</w:t>
            </w:r>
            <w:r w:rsidR="006E3036">
              <w:rPr>
                <w:sz w:val="28"/>
                <w:szCs w:val="28"/>
              </w:rPr>
              <w:t xml:space="preserve"> ноября </w:t>
            </w:r>
            <w:r w:rsidR="006E3036" w:rsidRPr="006E3036">
              <w:rPr>
                <w:sz w:val="28"/>
                <w:szCs w:val="28"/>
              </w:rPr>
              <w:t>2016</w:t>
            </w:r>
            <w:r w:rsidR="006E3036">
              <w:rPr>
                <w:sz w:val="28"/>
                <w:szCs w:val="28"/>
              </w:rPr>
              <w:t xml:space="preserve"> г.</w:t>
            </w:r>
            <w:r w:rsidR="006E3036" w:rsidRPr="006E3036">
              <w:rPr>
                <w:sz w:val="28"/>
                <w:szCs w:val="28"/>
              </w:rPr>
              <w:t xml:space="preserve"> № 516</w:t>
            </w:r>
            <w:r w:rsidR="008466E5">
              <w:rPr>
                <w:sz w:val="28"/>
                <w:szCs w:val="28"/>
              </w:rPr>
              <w:t>.</w:t>
            </w:r>
          </w:p>
          <w:p w:rsidR="008466E5" w:rsidRDefault="008466E5" w:rsidP="008466E5">
            <w:pPr>
              <w:ind w:left="33" w:firstLine="398"/>
              <w:jc w:val="both"/>
              <w:rPr>
                <w:sz w:val="28"/>
                <w:szCs w:val="28"/>
              </w:rPr>
            </w:pPr>
          </w:p>
          <w:p w:rsidR="005405F4" w:rsidRDefault="005405F4" w:rsidP="008466E5">
            <w:pPr>
              <w:ind w:left="33" w:firstLine="398"/>
              <w:jc w:val="both"/>
              <w:rPr>
                <w:sz w:val="28"/>
                <w:szCs w:val="28"/>
              </w:rPr>
            </w:pPr>
          </w:p>
        </w:tc>
      </w:tr>
    </w:tbl>
    <w:p w:rsidR="00155621" w:rsidRDefault="00155621" w:rsidP="00376F17"/>
    <w:sectPr w:rsidR="00155621" w:rsidSect="00A1652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0" w:rsidRDefault="00C33140" w:rsidP="00E9246E">
      <w:r>
        <w:separator/>
      </w:r>
    </w:p>
  </w:endnote>
  <w:endnote w:type="continuationSeparator" w:id="0">
    <w:p w:rsidR="00C33140" w:rsidRDefault="00C33140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0" w:rsidRDefault="00C33140" w:rsidP="00E9246E">
      <w:r>
        <w:separator/>
      </w:r>
    </w:p>
  </w:footnote>
  <w:footnote w:type="continuationSeparator" w:id="0">
    <w:p w:rsidR="00C33140" w:rsidRDefault="00C33140" w:rsidP="00E9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5"/>
    <w:rsid w:val="00023A27"/>
    <w:rsid w:val="00087953"/>
    <w:rsid w:val="000B635B"/>
    <w:rsid w:val="000B6D8A"/>
    <w:rsid w:val="000D1036"/>
    <w:rsid w:val="001041E7"/>
    <w:rsid w:val="00113C7E"/>
    <w:rsid w:val="00115824"/>
    <w:rsid w:val="00140AFA"/>
    <w:rsid w:val="00155621"/>
    <w:rsid w:val="00162090"/>
    <w:rsid w:val="0018097D"/>
    <w:rsid w:val="001D3534"/>
    <w:rsid w:val="001E3EE9"/>
    <w:rsid w:val="001E7B6A"/>
    <w:rsid w:val="001F3205"/>
    <w:rsid w:val="0021719E"/>
    <w:rsid w:val="002172B7"/>
    <w:rsid w:val="0024308D"/>
    <w:rsid w:val="00254D51"/>
    <w:rsid w:val="00286781"/>
    <w:rsid w:val="002F460C"/>
    <w:rsid w:val="00301B8B"/>
    <w:rsid w:val="003140D4"/>
    <w:rsid w:val="00315AD3"/>
    <w:rsid w:val="0031703B"/>
    <w:rsid w:val="00376F17"/>
    <w:rsid w:val="003B47A1"/>
    <w:rsid w:val="003C18E4"/>
    <w:rsid w:val="003C5657"/>
    <w:rsid w:val="003D3B94"/>
    <w:rsid w:val="003D4180"/>
    <w:rsid w:val="0045024D"/>
    <w:rsid w:val="00450FDA"/>
    <w:rsid w:val="004602B8"/>
    <w:rsid w:val="0046094D"/>
    <w:rsid w:val="00461985"/>
    <w:rsid w:val="004A3677"/>
    <w:rsid w:val="004C6D58"/>
    <w:rsid w:val="0050061C"/>
    <w:rsid w:val="00506F71"/>
    <w:rsid w:val="0052553F"/>
    <w:rsid w:val="005405F4"/>
    <w:rsid w:val="00547061"/>
    <w:rsid w:val="00581DA0"/>
    <w:rsid w:val="005863A5"/>
    <w:rsid w:val="005974F6"/>
    <w:rsid w:val="00626D3A"/>
    <w:rsid w:val="006358DA"/>
    <w:rsid w:val="00654663"/>
    <w:rsid w:val="00673901"/>
    <w:rsid w:val="006D5B8E"/>
    <w:rsid w:val="006E3036"/>
    <w:rsid w:val="007315E2"/>
    <w:rsid w:val="00744B90"/>
    <w:rsid w:val="00765614"/>
    <w:rsid w:val="0079000E"/>
    <w:rsid w:val="007946EF"/>
    <w:rsid w:val="007A1277"/>
    <w:rsid w:val="007C05BD"/>
    <w:rsid w:val="007E256F"/>
    <w:rsid w:val="007F07DC"/>
    <w:rsid w:val="008466E5"/>
    <w:rsid w:val="00852BAF"/>
    <w:rsid w:val="00864005"/>
    <w:rsid w:val="00865D22"/>
    <w:rsid w:val="008776FA"/>
    <w:rsid w:val="008D3A26"/>
    <w:rsid w:val="008E5A3D"/>
    <w:rsid w:val="009053EF"/>
    <w:rsid w:val="0092232F"/>
    <w:rsid w:val="00930FFB"/>
    <w:rsid w:val="009428B1"/>
    <w:rsid w:val="009F079E"/>
    <w:rsid w:val="009F5FEF"/>
    <w:rsid w:val="00A16521"/>
    <w:rsid w:val="00A34E01"/>
    <w:rsid w:val="00A56103"/>
    <w:rsid w:val="00A6599C"/>
    <w:rsid w:val="00A65B0D"/>
    <w:rsid w:val="00A85682"/>
    <w:rsid w:val="00A902B6"/>
    <w:rsid w:val="00AA3B97"/>
    <w:rsid w:val="00AC12AD"/>
    <w:rsid w:val="00AC1BCD"/>
    <w:rsid w:val="00AC36AA"/>
    <w:rsid w:val="00AC387D"/>
    <w:rsid w:val="00B05E91"/>
    <w:rsid w:val="00B30688"/>
    <w:rsid w:val="00B36739"/>
    <w:rsid w:val="00B46AB7"/>
    <w:rsid w:val="00B63FEE"/>
    <w:rsid w:val="00B65681"/>
    <w:rsid w:val="00B83186"/>
    <w:rsid w:val="00B93441"/>
    <w:rsid w:val="00BF0714"/>
    <w:rsid w:val="00C25C2A"/>
    <w:rsid w:val="00C3287A"/>
    <w:rsid w:val="00C33140"/>
    <w:rsid w:val="00C44926"/>
    <w:rsid w:val="00C45EDE"/>
    <w:rsid w:val="00CA041B"/>
    <w:rsid w:val="00CC55E0"/>
    <w:rsid w:val="00D74BC0"/>
    <w:rsid w:val="00D83FFB"/>
    <w:rsid w:val="00E00358"/>
    <w:rsid w:val="00E6419F"/>
    <w:rsid w:val="00E9246E"/>
    <w:rsid w:val="00EC1437"/>
    <w:rsid w:val="00EE4C71"/>
    <w:rsid w:val="00F05C53"/>
    <w:rsid w:val="00F2182B"/>
    <w:rsid w:val="00F23DFF"/>
    <w:rsid w:val="00F25434"/>
    <w:rsid w:val="00F26218"/>
    <w:rsid w:val="00F374F1"/>
    <w:rsid w:val="00F60882"/>
    <w:rsid w:val="00F62E93"/>
    <w:rsid w:val="00F761F2"/>
    <w:rsid w:val="00FA11B2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4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4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asury.gov/about/budget-performance/annual-performance%20-plan/Documents/Treasury_Measure_Verification_and_Valida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НЕГМОНОВА ЛЮДМИЛА РУСЛАНОВНА</cp:lastModifiedBy>
  <cp:revision>8</cp:revision>
  <cp:lastPrinted>2020-02-25T17:36:00Z</cp:lastPrinted>
  <dcterms:created xsi:type="dcterms:W3CDTF">2020-02-21T08:34:00Z</dcterms:created>
  <dcterms:modified xsi:type="dcterms:W3CDTF">2020-02-25T17:38:00Z</dcterms:modified>
</cp:coreProperties>
</file>