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8D" w:rsidRPr="0086155C" w:rsidRDefault="00BB088D" w:rsidP="00BB088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5C">
        <w:rPr>
          <w:rFonts w:ascii="Times New Roman" w:hAnsi="Times New Roman" w:cs="Times New Roman"/>
          <w:b/>
          <w:bCs/>
          <w:sz w:val="28"/>
          <w:szCs w:val="28"/>
        </w:rPr>
        <w:t>О применении Международных стандартов финансовой отчетности</w:t>
      </w:r>
    </w:p>
    <w:p w:rsidR="00BB088D" w:rsidRPr="0086155C" w:rsidRDefault="00BB088D" w:rsidP="00BB088D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88D" w:rsidRDefault="00BB088D" w:rsidP="00BB088D">
      <w:pPr>
        <w:rPr>
          <w:rFonts w:ascii="Times New Roman" w:eastAsia="Calibri" w:hAnsi="Times New Roman" w:cs="Times New Roman"/>
          <w:sz w:val="28"/>
          <w:szCs w:val="28"/>
        </w:rPr>
      </w:pPr>
      <w:r w:rsidRPr="00F47A34"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 по применению Международных стандартов финансовой отчетности обобщила вопросы, поступающие в отношении применения Международных стандартов финансовой отчетности (далее – МСФО), и сообщает следующее.</w:t>
      </w:r>
    </w:p>
    <w:p w:rsidR="00BB088D" w:rsidRDefault="00BB088D" w:rsidP="00A779A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B088D" w:rsidRDefault="00BB088D" w:rsidP="00A779A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4348C" w:rsidRDefault="00A63BFA" w:rsidP="000F26D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Отсутствие оснований п</w:t>
      </w:r>
      <w:r w:rsidR="007F47EC" w:rsidRPr="007F47EC">
        <w:rPr>
          <w:rFonts w:ascii="Times New Roman" w:hAnsi="Times New Roman" w:cs="Times New Roman"/>
          <w:b/>
          <w:bCs/>
          <w:sz w:val="28"/>
        </w:rPr>
        <w:t>ризнани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="007F47EC" w:rsidRPr="007F47EC">
        <w:rPr>
          <w:rFonts w:ascii="Times New Roman" w:hAnsi="Times New Roman" w:cs="Times New Roman"/>
          <w:b/>
          <w:bCs/>
          <w:sz w:val="28"/>
        </w:rPr>
        <w:t xml:space="preserve"> негосударственных пенсионных фондов инвестиционными организациями </w:t>
      </w:r>
    </w:p>
    <w:p w:rsidR="000F26D2" w:rsidRPr="0024348C" w:rsidRDefault="000F26D2" w:rsidP="000F26D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730D6" w:rsidRPr="00B730D6" w:rsidRDefault="00404016" w:rsidP="00B730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Согласно пункту </w:t>
      </w:r>
      <w:r w:rsidR="00D23712">
        <w:rPr>
          <w:rFonts w:ascii="Times New Roman" w:eastAsia="CharterITC" w:hAnsi="Times New Roman" w:cs="Times New Roman"/>
          <w:sz w:val="28"/>
          <w:szCs w:val="28"/>
        </w:rPr>
        <w:t xml:space="preserve">31 </w:t>
      </w:r>
      <w:r w:rsidR="00D23712" w:rsidRPr="00D23712">
        <w:rPr>
          <w:rFonts w:ascii="Times New Roman" w:eastAsia="CharterITC" w:hAnsi="Times New Roman" w:cs="Times New Roman"/>
          <w:sz w:val="28"/>
          <w:szCs w:val="28"/>
        </w:rPr>
        <w:t>МСФО (</w:t>
      </w:r>
      <w:r w:rsidR="00D23712" w:rsidRPr="00D23712">
        <w:rPr>
          <w:rFonts w:ascii="Times New Roman" w:eastAsia="CharterITC" w:hAnsi="Times New Roman" w:cs="Times New Roman"/>
          <w:sz w:val="28"/>
          <w:szCs w:val="28"/>
          <w:lang w:val="en-US"/>
        </w:rPr>
        <w:t>IFRS</w:t>
      </w:r>
      <w:r w:rsidR="00D23712" w:rsidRPr="00D23712">
        <w:rPr>
          <w:rFonts w:ascii="Times New Roman" w:eastAsia="CharterITC" w:hAnsi="Times New Roman" w:cs="Times New Roman"/>
          <w:sz w:val="28"/>
          <w:szCs w:val="28"/>
        </w:rPr>
        <w:t>) 10</w:t>
      </w:r>
      <w:r w:rsidR="00D237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B730D6">
        <w:rPr>
          <w:rFonts w:ascii="Times New Roman" w:eastAsia="CharterITC" w:hAnsi="Times New Roman" w:cs="Times New Roman"/>
          <w:sz w:val="28"/>
          <w:szCs w:val="28"/>
        </w:rPr>
        <w:t>«Консолидированная финансовая отчетность»</w:t>
      </w:r>
      <w:r w:rsidR="00D2371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404016">
        <w:rPr>
          <w:rFonts w:ascii="Times New Roman" w:eastAsia="CharterITC" w:hAnsi="Times New Roman" w:cs="Times New Roman"/>
          <w:sz w:val="28"/>
          <w:szCs w:val="28"/>
        </w:rPr>
        <w:t>инвестиционн</w:t>
      </w:r>
      <w:r>
        <w:rPr>
          <w:rFonts w:ascii="Times New Roman" w:eastAsia="CharterITC" w:hAnsi="Times New Roman" w:cs="Times New Roman"/>
          <w:sz w:val="28"/>
          <w:szCs w:val="28"/>
        </w:rPr>
        <w:t>ая</w:t>
      </w:r>
      <w:r w:rsidRPr="00404016">
        <w:rPr>
          <w:rFonts w:ascii="Times New Roman" w:eastAsia="CharterITC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я </w:t>
      </w:r>
      <w:r w:rsidR="00D23712" w:rsidRPr="00D23712">
        <w:rPr>
          <w:rFonts w:ascii="Times New Roman" w:eastAsia="CharterITC" w:hAnsi="Times New Roman" w:cs="Times New Roman"/>
          <w:sz w:val="28"/>
          <w:szCs w:val="28"/>
        </w:rPr>
        <w:t xml:space="preserve">не должна консолидировать свои дочерние организации или применять </w:t>
      </w:r>
      <w:r w:rsidR="00B730D6">
        <w:rPr>
          <w:rFonts w:ascii="Times New Roman" w:eastAsia="CharterITC" w:hAnsi="Times New Roman" w:cs="Times New Roman"/>
          <w:sz w:val="28"/>
          <w:szCs w:val="28"/>
        </w:rPr>
        <w:t>МСФО (</w:t>
      </w:r>
      <w:r w:rsidR="00B730D6">
        <w:rPr>
          <w:rFonts w:ascii="Times New Roman" w:eastAsia="CharterITC" w:hAnsi="Times New Roman" w:cs="Times New Roman"/>
          <w:sz w:val="28"/>
          <w:szCs w:val="28"/>
          <w:lang w:val="en-US"/>
        </w:rPr>
        <w:t>IFRS</w:t>
      </w:r>
      <w:r w:rsidR="00B730D6" w:rsidRPr="00B730D6">
        <w:rPr>
          <w:rFonts w:ascii="Times New Roman" w:eastAsia="CharterITC" w:hAnsi="Times New Roman" w:cs="Times New Roman"/>
          <w:sz w:val="28"/>
          <w:szCs w:val="28"/>
        </w:rPr>
        <w:t xml:space="preserve">) 3 </w:t>
      </w:r>
      <w:r w:rsidR="00B730D6">
        <w:rPr>
          <w:rFonts w:ascii="Times New Roman" w:eastAsia="CharterITC" w:hAnsi="Times New Roman" w:cs="Times New Roman"/>
          <w:sz w:val="28"/>
          <w:szCs w:val="28"/>
        </w:rPr>
        <w:t xml:space="preserve">«Объединения бизнесов» </w:t>
      </w:r>
      <w:r w:rsidR="00D23712" w:rsidRPr="00D23712">
        <w:rPr>
          <w:rFonts w:ascii="Times New Roman" w:eastAsia="CharterITC" w:hAnsi="Times New Roman" w:cs="Times New Roman"/>
          <w:sz w:val="28"/>
          <w:szCs w:val="28"/>
        </w:rPr>
        <w:t xml:space="preserve">при получении ею контроля над другой организацией. Вместо этого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она </w:t>
      </w:r>
      <w:r w:rsidR="00D23712" w:rsidRPr="00D23712">
        <w:rPr>
          <w:rFonts w:ascii="Times New Roman" w:eastAsia="CharterITC" w:hAnsi="Times New Roman" w:cs="Times New Roman"/>
          <w:sz w:val="28"/>
          <w:szCs w:val="28"/>
        </w:rPr>
        <w:t xml:space="preserve">должна оценивать инвестицию в дочернюю организацию по справедливой стоимости через прибыль или убыток в соответствии с </w:t>
      </w:r>
      <w:r w:rsidR="00B730D6">
        <w:rPr>
          <w:rFonts w:ascii="Times New Roman" w:eastAsia="CharterITC" w:hAnsi="Times New Roman" w:cs="Times New Roman"/>
          <w:sz w:val="28"/>
          <w:szCs w:val="28"/>
        </w:rPr>
        <w:t>МСФО (</w:t>
      </w:r>
      <w:r w:rsidR="00B730D6">
        <w:rPr>
          <w:rFonts w:ascii="Times New Roman" w:eastAsia="CharterITC" w:hAnsi="Times New Roman" w:cs="Times New Roman"/>
          <w:sz w:val="28"/>
          <w:szCs w:val="28"/>
          <w:lang w:val="en-US"/>
        </w:rPr>
        <w:t>IFRS</w:t>
      </w:r>
      <w:r w:rsidR="00B730D6">
        <w:rPr>
          <w:rFonts w:ascii="Times New Roman" w:eastAsia="CharterITC" w:hAnsi="Times New Roman" w:cs="Times New Roman"/>
          <w:sz w:val="28"/>
          <w:szCs w:val="28"/>
        </w:rPr>
        <w:t xml:space="preserve">) 9 «Финансовые инструменты». </w:t>
      </w:r>
      <w:r w:rsidR="007F47EC">
        <w:rPr>
          <w:rFonts w:ascii="Times New Roman" w:eastAsia="CharterITC" w:hAnsi="Times New Roman" w:cs="Times New Roman"/>
          <w:sz w:val="28"/>
          <w:szCs w:val="28"/>
        </w:rPr>
        <w:t>Вместе с тем</w:t>
      </w:r>
      <w:r w:rsidR="00B730D6">
        <w:rPr>
          <w:rFonts w:ascii="Times New Roman" w:eastAsia="CharterITC" w:hAnsi="Times New Roman" w:cs="Times New Roman"/>
          <w:sz w:val="28"/>
          <w:szCs w:val="28"/>
        </w:rPr>
        <w:t xml:space="preserve"> согласно пункту 32 </w:t>
      </w:r>
      <w:r w:rsidR="00B730D6" w:rsidRPr="00B730D6">
        <w:rPr>
          <w:rFonts w:ascii="Times New Roman" w:eastAsia="CharterITC" w:hAnsi="Times New Roman" w:cs="Times New Roman"/>
          <w:sz w:val="28"/>
          <w:szCs w:val="28"/>
        </w:rPr>
        <w:t>МСФО (</w:t>
      </w:r>
      <w:r w:rsidR="00B730D6" w:rsidRPr="00B730D6">
        <w:rPr>
          <w:rFonts w:ascii="Times New Roman" w:eastAsia="CharterITC" w:hAnsi="Times New Roman" w:cs="Times New Roman"/>
          <w:sz w:val="28"/>
          <w:szCs w:val="28"/>
          <w:lang w:val="en-US"/>
        </w:rPr>
        <w:t>IFRS</w:t>
      </w:r>
      <w:r w:rsidR="00B730D6" w:rsidRPr="00B730D6">
        <w:rPr>
          <w:rFonts w:ascii="Times New Roman" w:eastAsia="CharterITC" w:hAnsi="Times New Roman" w:cs="Times New Roman"/>
          <w:sz w:val="28"/>
          <w:szCs w:val="28"/>
        </w:rPr>
        <w:t>) 10</w:t>
      </w:r>
      <w:r w:rsidR="00B730D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B730D6" w:rsidRPr="00B730D6">
        <w:rPr>
          <w:rFonts w:ascii="Times New Roman" w:eastAsia="CharterITC" w:hAnsi="Times New Roman" w:cs="Times New Roman"/>
          <w:sz w:val="28"/>
          <w:szCs w:val="28"/>
        </w:rPr>
        <w:t>если инвестиционная организация имеет дочернюю организацию, которая сама не является инвестиционной организацией и основной целью и деятельностью которой является оказание услуг, относящихся к деятельности инвестиционной организации по осуществлению инвестиций, она обязана консолидировать данную дочернюю организацию и применять требования МСФО (</w:t>
      </w:r>
      <w:r w:rsidR="00B730D6" w:rsidRPr="00B730D6">
        <w:rPr>
          <w:rFonts w:ascii="Times New Roman" w:eastAsia="CharterITC" w:hAnsi="Times New Roman" w:cs="Times New Roman"/>
          <w:sz w:val="28"/>
          <w:szCs w:val="28"/>
          <w:lang w:val="en-US"/>
        </w:rPr>
        <w:t>IFRS</w:t>
      </w:r>
      <w:r w:rsidR="00B730D6" w:rsidRPr="00B730D6">
        <w:rPr>
          <w:rFonts w:ascii="Times New Roman" w:eastAsia="CharterITC" w:hAnsi="Times New Roman" w:cs="Times New Roman"/>
          <w:sz w:val="28"/>
          <w:szCs w:val="28"/>
        </w:rPr>
        <w:t>) 3</w:t>
      </w:r>
      <w:r w:rsidR="00B730D6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B730D6" w:rsidRPr="00B730D6">
        <w:rPr>
          <w:rFonts w:ascii="Times New Roman" w:eastAsia="CharterITC" w:hAnsi="Times New Roman" w:cs="Times New Roman"/>
          <w:sz w:val="28"/>
          <w:szCs w:val="28"/>
        </w:rPr>
        <w:t>в отношении приобретения подобных дочерних организаций.</w:t>
      </w:r>
    </w:p>
    <w:p w:rsidR="00B730D6" w:rsidRPr="00B730D6" w:rsidRDefault="00B730D6" w:rsidP="00B730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 w:rsidRPr="00B730D6">
        <w:rPr>
          <w:rFonts w:ascii="Times New Roman" w:eastAsia="CharterITC" w:hAnsi="Times New Roman" w:cs="Times New Roman"/>
          <w:sz w:val="28"/>
          <w:szCs w:val="28"/>
        </w:rPr>
        <w:t>В соответствии с пунктом 27 МСФО (</w:t>
      </w:r>
      <w:r w:rsidRPr="00B730D6">
        <w:rPr>
          <w:rFonts w:ascii="Times New Roman" w:eastAsia="CharterITC" w:hAnsi="Times New Roman" w:cs="Times New Roman"/>
          <w:sz w:val="28"/>
          <w:szCs w:val="28"/>
          <w:lang w:val="en-US"/>
        </w:rPr>
        <w:t>IFRS</w:t>
      </w:r>
      <w:r w:rsidRPr="00B730D6">
        <w:rPr>
          <w:rFonts w:ascii="Times New Roman" w:eastAsia="CharterITC" w:hAnsi="Times New Roman" w:cs="Times New Roman"/>
          <w:sz w:val="28"/>
          <w:szCs w:val="28"/>
        </w:rPr>
        <w:t>) 10  материнская организация должна определить, является ли она инвестиционной организацией. Инвестиционная организация – это организация, которая:</w:t>
      </w:r>
    </w:p>
    <w:p w:rsidR="00B730D6" w:rsidRPr="00B730D6" w:rsidRDefault="00B730D6" w:rsidP="00B730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 w:rsidRPr="00B730D6">
        <w:rPr>
          <w:rFonts w:ascii="Times New Roman" w:eastAsia="CharterITC" w:hAnsi="Times New Roman" w:cs="Times New Roman"/>
          <w:sz w:val="28"/>
          <w:szCs w:val="28"/>
        </w:rPr>
        <w:t>получает средства от одного или более инвесторов с целью предоставления данному инвестору (данным инвесторам) услуг по управлению инвестициями;</w:t>
      </w:r>
    </w:p>
    <w:p w:rsidR="00B730D6" w:rsidRPr="00B730D6" w:rsidRDefault="00B730D6" w:rsidP="00B730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 w:rsidRPr="00B730D6">
        <w:rPr>
          <w:rFonts w:ascii="Times New Roman" w:eastAsia="CharterITC" w:hAnsi="Times New Roman" w:cs="Times New Roman"/>
          <w:sz w:val="28"/>
          <w:szCs w:val="28"/>
        </w:rPr>
        <w:t xml:space="preserve">принимает на себя перед инвестором (инвесторами) обязательство в том, что целью ее бизнеса является инвестирование средств исключительно для получения доходов от прироста стоимости, инвестиционного дохода либо и того, и другого; </w:t>
      </w:r>
    </w:p>
    <w:p w:rsidR="00B730D6" w:rsidRPr="00B730D6" w:rsidRDefault="00B730D6" w:rsidP="00B730D6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 w:rsidRPr="00B730D6">
        <w:rPr>
          <w:rFonts w:ascii="Times New Roman" w:eastAsia="CharterITC" w:hAnsi="Times New Roman" w:cs="Times New Roman"/>
          <w:sz w:val="28"/>
          <w:szCs w:val="28"/>
        </w:rPr>
        <w:t>оценивает и определяет результаты деятельности практически по всем своим инвестициям на основе их справедливой стоимости.</w:t>
      </w:r>
    </w:p>
    <w:p w:rsidR="00404016" w:rsidRDefault="00370A62" w:rsidP="00370A62">
      <w:pPr>
        <w:autoSpaceDE w:val="0"/>
        <w:autoSpaceDN w:val="0"/>
        <w:adjustRightInd w:val="0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В соответствии с </w:t>
      </w:r>
      <w:r w:rsidRPr="00370A62">
        <w:rPr>
          <w:rFonts w:ascii="Times New Roman" w:eastAsia="CharterITC" w:hAnsi="Times New Roman" w:cs="Times New Roman"/>
          <w:sz w:val="28"/>
          <w:szCs w:val="28"/>
        </w:rPr>
        <w:t>Федеральны</w:t>
      </w:r>
      <w:r>
        <w:rPr>
          <w:rFonts w:ascii="Times New Roman" w:eastAsia="CharterITC" w:hAnsi="Times New Roman" w:cs="Times New Roman"/>
          <w:sz w:val="28"/>
          <w:szCs w:val="28"/>
        </w:rPr>
        <w:t>м</w:t>
      </w:r>
      <w:r w:rsidRPr="00370A62">
        <w:rPr>
          <w:rFonts w:ascii="Times New Roman" w:eastAsia="CharterITC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harterITC" w:hAnsi="Times New Roman" w:cs="Times New Roman"/>
          <w:sz w:val="28"/>
          <w:szCs w:val="28"/>
        </w:rPr>
        <w:t>ом «</w:t>
      </w:r>
      <w:r w:rsidRPr="00370A62">
        <w:rPr>
          <w:rFonts w:ascii="Times New Roman" w:eastAsia="CharterITC" w:hAnsi="Times New Roman" w:cs="Times New Roman"/>
          <w:sz w:val="28"/>
          <w:szCs w:val="28"/>
        </w:rPr>
        <w:t>О него</w:t>
      </w:r>
      <w:r>
        <w:rPr>
          <w:rFonts w:ascii="Times New Roman" w:eastAsia="CharterITC" w:hAnsi="Times New Roman" w:cs="Times New Roman"/>
          <w:sz w:val="28"/>
          <w:szCs w:val="28"/>
        </w:rPr>
        <w:t>сударственных пенсионных фондах» н</w:t>
      </w:r>
      <w:r w:rsidRPr="00370A62">
        <w:rPr>
          <w:rFonts w:ascii="Times New Roman" w:eastAsia="CharterITC" w:hAnsi="Times New Roman" w:cs="Times New Roman"/>
          <w:sz w:val="28"/>
          <w:szCs w:val="28"/>
        </w:rPr>
        <w:t>егосударственный пенсионный фонд</w:t>
      </w:r>
      <w:r w:rsidR="00DB2349">
        <w:rPr>
          <w:rFonts w:ascii="Times New Roman" w:eastAsia="CharterITC" w:hAnsi="Times New Roman" w:cs="Times New Roman"/>
          <w:sz w:val="28"/>
          <w:szCs w:val="28"/>
        </w:rPr>
        <w:t xml:space="preserve"> (</w:t>
      </w:r>
      <w:r w:rsidR="007F47EC">
        <w:rPr>
          <w:rFonts w:ascii="Times New Roman" w:eastAsia="CharterITC" w:hAnsi="Times New Roman" w:cs="Times New Roman"/>
          <w:sz w:val="28"/>
          <w:szCs w:val="28"/>
        </w:rPr>
        <w:t>НПФ</w:t>
      </w:r>
      <w:r w:rsidR="00DB2349">
        <w:rPr>
          <w:rFonts w:ascii="Times New Roman" w:eastAsia="CharterITC" w:hAnsi="Times New Roman" w:cs="Times New Roman"/>
          <w:sz w:val="28"/>
          <w:szCs w:val="28"/>
        </w:rPr>
        <w:t>)</w:t>
      </w:r>
      <w:r w:rsidRPr="00370A62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DB2349">
        <w:rPr>
          <w:rFonts w:ascii="Times New Roman" w:eastAsia="CharterITC" w:hAnsi="Times New Roman" w:cs="Times New Roman"/>
          <w:sz w:val="28"/>
          <w:szCs w:val="28"/>
        </w:rPr>
        <w:t>–</w:t>
      </w:r>
      <w:r w:rsidRPr="00370A62">
        <w:rPr>
          <w:rFonts w:ascii="Times New Roman" w:eastAsia="CharterITC" w:hAnsi="Times New Roman" w:cs="Times New Roman"/>
          <w:sz w:val="28"/>
          <w:szCs w:val="28"/>
        </w:rPr>
        <w:t xml:space="preserve"> организация, исключительной деятельностью которой является негосударственное пенсионное обеспечение, в том числе досрочное негосударственное пенсионное обеспечение, и обязательное пенсионное страхование. </w:t>
      </w:r>
    </w:p>
    <w:p w:rsidR="00A32951" w:rsidRPr="00A32951" w:rsidRDefault="00A32951" w:rsidP="00A3295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A32951">
        <w:rPr>
          <w:rFonts w:ascii="Times New Roman" w:hAnsi="Times New Roman" w:cs="Times New Roman"/>
          <w:sz w:val="28"/>
          <w:szCs w:val="28"/>
        </w:rPr>
        <w:t>В связи с изложенным, основываясь на практике применения МСФО (</w:t>
      </w:r>
      <w:r w:rsidRPr="00A32951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A32951">
        <w:rPr>
          <w:rFonts w:ascii="Times New Roman" w:hAnsi="Times New Roman" w:cs="Times New Roman"/>
          <w:sz w:val="28"/>
          <w:szCs w:val="28"/>
        </w:rPr>
        <w:t xml:space="preserve">) 10, НПФ, </w:t>
      </w:r>
      <w:proofErr w:type="gramStart"/>
      <w:r w:rsidRPr="00A3295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A32951">
        <w:rPr>
          <w:rFonts w:ascii="Times New Roman" w:hAnsi="Times New Roman" w:cs="Times New Roman"/>
          <w:sz w:val="28"/>
          <w:szCs w:val="28"/>
        </w:rPr>
        <w:t>, среди прочего, обязательное пенсионное страхование, не может быть признан инвестиционной организацией.</w:t>
      </w:r>
    </w:p>
    <w:p w:rsidR="00C67843" w:rsidRPr="000F26D2" w:rsidRDefault="00C67843" w:rsidP="008474A4">
      <w:pPr>
        <w:autoSpaceDE w:val="0"/>
        <w:autoSpaceDN w:val="0"/>
        <w:adjustRightInd w:val="0"/>
        <w:ind w:firstLine="0"/>
        <w:rPr>
          <w:rFonts w:ascii="Times New Roman" w:eastAsia="CharterITC" w:hAnsi="Times New Roman" w:cs="Times New Roman"/>
          <w:sz w:val="28"/>
          <w:szCs w:val="28"/>
        </w:rPr>
      </w:pPr>
      <w:bookmarkStart w:id="0" w:name="_GoBack"/>
      <w:bookmarkEnd w:id="0"/>
    </w:p>
    <w:sectPr w:rsidR="00C67843" w:rsidRPr="000F26D2" w:rsidSect="00BB088D">
      <w:headerReference w:type="default" r:id="rId8"/>
      <w:pgSz w:w="11906" w:h="16838"/>
      <w:pgMar w:top="113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03" w:rsidRDefault="00E01003" w:rsidP="00694CB8">
      <w:r>
        <w:separator/>
      </w:r>
    </w:p>
  </w:endnote>
  <w:endnote w:type="continuationSeparator" w:id="0">
    <w:p w:rsidR="00E01003" w:rsidRDefault="00E01003" w:rsidP="006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03" w:rsidRDefault="00E01003" w:rsidP="00694CB8">
      <w:r>
        <w:separator/>
      </w:r>
    </w:p>
  </w:footnote>
  <w:footnote w:type="continuationSeparator" w:id="0">
    <w:p w:rsidR="00E01003" w:rsidRDefault="00E01003" w:rsidP="0069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4CB8" w:rsidRPr="00694CB8" w:rsidRDefault="00694CB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94CB8">
          <w:rPr>
            <w:rFonts w:ascii="Times New Roman" w:hAnsi="Times New Roman" w:cs="Times New Roman"/>
            <w:sz w:val="28"/>
          </w:rPr>
          <w:fldChar w:fldCharType="begin"/>
        </w:r>
        <w:r w:rsidRPr="00694CB8">
          <w:rPr>
            <w:rFonts w:ascii="Times New Roman" w:hAnsi="Times New Roman" w:cs="Times New Roman"/>
            <w:sz w:val="28"/>
          </w:rPr>
          <w:instrText>PAGE   \* MERGEFORMAT</w:instrText>
        </w:r>
        <w:r w:rsidRPr="00694CB8">
          <w:rPr>
            <w:rFonts w:ascii="Times New Roman" w:hAnsi="Times New Roman" w:cs="Times New Roman"/>
            <w:sz w:val="28"/>
          </w:rPr>
          <w:fldChar w:fldCharType="separate"/>
        </w:r>
        <w:r w:rsidR="008474A4">
          <w:rPr>
            <w:rFonts w:ascii="Times New Roman" w:hAnsi="Times New Roman" w:cs="Times New Roman"/>
            <w:noProof/>
            <w:sz w:val="28"/>
          </w:rPr>
          <w:t>2</w:t>
        </w:r>
        <w:r w:rsidRPr="00694C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94CB8" w:rsidRDefault="00694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CF"/>
    <w:multiLevelType w:val="hybridMultilevel"/>
    <w:tmpl w:val="63A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E767A"/>
    <w:multiLevelType w:val="hybridMultilevel"/>
    <w:tmpl w:val="1F24F6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Uzornikova">
    <w15:presenceInfo w15:providerId="AD" w15:userId="S::anna.uzornikova@pwc.com::c5a2e5d9-cf6e-4e2f-9b9d-18ac3a5d30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5"/>
    <w:rsid w:val="00015237"/>
    <w:rsid w:val="000271F3"/>
    <w:rsid w:val="0005071F"/>
    <w:rsid w:val="000552CD"/>
    <w:rsid w:val="0007407D"/>
    <w:rsid w:val="00075DB0"/>
    <w:rsid w:val="00092512"/>
    <w:rsid w:val="000E1A91"/>
    <w:rsid w:val="000F26D2"/>
    <w:rsid w:val="0014045C"/>
    <w:rsid w:val="00155992"/>
    <w:rsid w:val="001625ED"/>
    <w:rsid w:val="00196C06"/>
    <w:rsid w:val="001C0F02"/>
    <w:rsid w:val="001F20FF"/>
    <w:rsid w:val="0024348C"/>
    <w:rsid w:val="00253A46"/>
    <w:rsid w:val="002664A0"/>
    <w:rsid w:val="00270526"/>
    <w:rsid w:val="002734C3"/>
    <w:rsid w:val="002A6DD8"/>
    <w:rsid w:val="002E5C33"/>
    <w:rsid w:val="0034793D"/>
    <w:rsid w:val="00356F68"/>
    <w:rsid w:val="00370A62"/>
    <w:rsid w:val="00390EC1"/>
    <w:rsid w:val="00397A30"/>
    <w:rsid w:val="003B1D58"/>
    <w:rsid w:val="003E19E0"/>
    <w:rsid w:val="00404016"/>
    <w:rsid w:val="00473492"/>
    <w:rsid w:val="004B4D10"/>
    <w:rsid w:val="00505566"/>
    <w:rsid w:val="00522A12"/>
    <w:rsid w:val="00535728"/>
    <w:rsid w:val="005538DA"/>
    <w:rsid w:val="00583704"/>
    <w:rsid w:val="005B0816"/>
    <w:rsid w:val="005B358C"/>
    <w:rsid w:val="005B5179"/>
    <w:rsid w:val="005F3AD2"/>
    <w:rsid w:val="00624243"/>
    <w:rsid w:val="00694CB8"/>
    <w:rsid w:val="006D0954"/>
    <w:rsid w:val="00792D3B"/>
    <w:rsid w:val="007F47EC"/>
    <w:rsid w:val="008474A4"/>
    <w:rsid w:val="008500AC"/>
    <w:rsid w:val="00850982"/>
    <w:rsid w:val="008579EB"/>
    <w:rsid w:val="008C108E"/>
    <w:rsid w:val="00934797"/>
    <w:rsid w:val="00A10D6B"/>
    <w:rsid w:val="00A32951"/>
    <w:rsid w:val="00A63BFA"/>
    <w:rsid w:val="00A779A8"/>
    <w:rsid w:val="00B05CA9"/>
    <w:rsid w:val="00B56DFA"/>
    <w:rsid w:val="00B730D6"/>
    <w:rsid w:val="00BA6BD6"/>
    <w:rsid w:val="00BB088D"/>
    <w:rsid w:val="00BC145C"/>
    <w:rsid w:val="00BF2DF3"/>
    <w:rsid w:val="00C300AD"/>
    <w:rsid w:val="00C42950"/>
    <w:rsid w:val="00C67843"/>
    <w:rsid w:val="00C82BCA"/>
    <w:rsid w:val="00CD2740"/>
    <w:rsid w:val="00D23712"/>
    <w:rsid w:val="00D26AAA"/>
    <w:rsid w:val="00D5599B"/>
    <w:rsid w:val="00D811A0"/>
    <w:rsid w:val="00DB2349"/>
    <w:rsid w:val="00DB2949"/>
    <w:rsid w:val="00DB6FD8"/>
    <w:rsid w:val="00DC5E8A"/>
    <w:rsid w:val="00DE782E"/>
    <w:rsid w:val="00DF1971"/>
    <w:rsid w:val="00DF5BA4"/>
    <w:rsid w:val="00E01003"/>
    <w:rsid w:val="00E038CF"/>
    <w:rsid w:val="00EA79D6"/>
    <w:rsid w:val="00EB2B0B"/>
    <w:rsid w:val="00EC1155"/>
    <w:rsid w:val="00EF515A"/>
    <w:rsid w:val="00F76AF2"/>
    <w:rsid w:val="00FA20FF"/>
    <w:rsid w:val="00FC7259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CB8"/>
  </w:style>
  <w:style w:type="paragraph" w:styleId="a5">
    <w:name w:val="footer"/>
    <w:basedOn w:val="a"/>
    <w:link w:val="a6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CB8"/>
  </w:style>
  <w:style w:type="table" w:styleId="a7">
    <w:name w:val="Table Grid"/>
    <w:basedOn w:val="a1"/>
    <w:uiPriority w:val="59"/>
    <w:rsid w:val="005F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B2B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2B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B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2B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2B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2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B0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f"/>
    <w:link w:val="af0"/>
    <w:uiPriority w:val="99"/>
    <w:semiHidden/>
    <w:unhideWhenUsed/>
    <w:rsid w:val="000F26D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0F26D2"/>
    <w:rPr>
      <w:rFonts w:eastAsia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26D2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0F26D2"/>
    <w:rPr>
      <w:sz w:val="20"/>
      <w:szCs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0F26D2"/>
    <w:rPr>
      <w:sz w:val="20"/>
      <w:szCs w:val="20"/>
    </w:rPr>
  </w:style>
  <w:style w:type="character" w:styleId="af2">
    <w:name w:val="Hyperlink"/>
    <w:basedOn w:val="a0"/>
    <w:uiPriority w:val="99"/>
    <w:unhideWhenUsed/>
    <w:rsid w:val="00D2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CB8"/>
  </w:style>
  <w:style w:type="paragraph" w:styleId="a5">
    <w:name w:val="footer"/>
    <w:basedOn w:val="a"/>
    <w:link w:val="a6"/>
    <w:uiPriority w:val="99"/>
    <w:unhideWhenUsed/>
    <w:rsid w:val="00694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CB8"/>
  </w:style>
  <w:style w:type="table" w:styleId="a7">
    <w:name w:val="Table Grid"/>
    <w:basedOn w:val="a1"/>
    <w:uiPriority w:val="59"/>
    <w:rsid w:val="005F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B2B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2B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B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2B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2B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2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B0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f"/>
    <w:link w:val="af0"/>
    <w:uiPriority w:val="99"/>
    <w:semiHidden/>
    <w:unhideWhenUsed/>
    <w:rsid w:val="000F26D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0F26D2"/>
    <w:rPr>
      <w:rFonts w:eastAsia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26D2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0F26D2"/>
    <w:rPr>
      <w:sz w:val="20"/>
      <w:szCs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0F26D2"/>
    <w:rPr>
      <w:sz w:val="20"/>
      <w:szCs w:val="20"/>
    </w:rPr>
  </w:style>
  <w:style w:type="character" w:styleId="af2">
    <w:name w:val="Hyperlink"/>
    <w:basedOn w:val="a0"/>
    <w:uiPriority w:val="99"/>
    <w:unhideWhenUsed/>
    <w:rsid w:val="00D2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СЕРГЕЕВНА</dc:creator>
  <cp:lastModifiedBy>БАКУЛИНА ТАТЬЯНА СЕРГЕЕВНА</cp:lastModifiedBy>
  <cp:revision>5</cp:revision>
  <cp:lastPrinted>2019-11-19T15:12:00Z</cp:lastPrinted>
  <dcterms:created xsi:type="dcterms:W3CDTF">2019-11-26T06:41:00Z</dcterms:created>
  <dcterms:modified xsi:type="dcterms:W3CDTF">2019-12-03T12:51:00Z</dcterms:modified>
</cp:coreProperties>
</file>