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8"/>
        <w:gridCol w:w="8146"/>
      </w:tblGrid>
      <w:tr w:rsidR="009B3631" w:rsidRPr="009B3631" w:rsidTr="009B3631">
        <w:tc>
          <w:tcPr>
            <w:tcW w:w="750" w:type="pct"/>
            <w:tcBorders>
              <w:right w:val="single" w:sz="18" w:space="0" w:color="4F81B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B3631" w:rsidRPr="009B3631" w:rsidRDefault="009B3631" w:rsidP="009B3631">
            <w:pPr>
              <w:ind w:firstLine="0"/>
              <w:jc w:val="left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</w:p>
        </w:tc>
        <w:tc>
          <w:tcPr>
            <w:tcW w:w="4250" w:type="pct"/>
            <w:tcBorders>
              <w:left w:val="single" w:sz="18" w:space="0" w:color="4F81BD"/>
            </w:tcBorders>
            <w:tcMar>
              <w:top w:w="58" w:type="dxa"/>
              <w:left w:w="115" w:type="dxa"/>
              <w:bottom w:w="58" w:type="dxa"/>
              <w:right w:w="115" w:type="dxa"/>
            </w:tcMar>
            <w:hideMark/>
          </w:tcPr>
          <w:p w:rsidR="009B3631" w:rsidRPr="009B3631" w:rsidRDefault="009B3631" w:rsidP="009B3631">
            <w:pPr>
              <w:ind w:firstLine="0"/>
              <w:rPr>
                <w:rFonts w:ascii="Open Sans" w:eastAsia="Times New Roman" w:hAnsi="Open Sans"/>
                <w:sz w:val="24"/>
                <w:szCs w:val="24"/>
                <w:lang w:eastAsia="ru-RU"/>
              </w:rPr>
            </w:pPr>
            <w:r w:rsidRPr="009B3631">
              <w:rPr>
                <w:rFonts w:ascii="Cambria" w:eastAsia="Times New Roman" w:hAnsi="Cambria"/>
                <w:i/>
                <w:iCs/>
                <w:color w:val="4F81BD"/>
                <w:sz w:val="24"/>
                <w:szCs w:val="24"/>
                <w:lang w:eastAsia="ru-RU"/>
              </w:rPr>
  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</w:t>
            </w:r>
          </w:p>
        </w:tc>
      </w:tr>
    </w:tbl>
    <w:p w:rsidR="009B3631" w:rsidRPr="009B3631" w:rsidRDefault="009B3631" w:rsidP="009B3631">
      <w:pPr>
        <w:shd w:val="clear" w:color="auto" w:fill="FFFFFF"/>
        <w:ind w:firstLine="0"/>
        <w:jc w:val="left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color w:val="000000"/>
          <w:lang w:eastAsia="ru-RU"/>
        </w:rPr>
        <w:t> </w:t>
      </w:r>
    </w:p>
    <w:p w:rsidR="009B3631" w:rsidRPr="009B3631" w:rsidRDefault="009B3631" w:rsidP="00D30029">
      <w:pPr>
        <w:shd w:val="clear" w:color="auto" w:fill="FFFFFF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sz w:val="34"/>
          <w:szCs w:val="34"/>
          <w:lang w:eastAsia="ru-RU"/>
        </w:rPr>
        <w:t>НОВОЕ В БУХГАЛТЕРСКОМ ЗАКОНОДАТЕЛЬСТВЕ:</w:t>
      </w:r>
    </w:p>
    <w:p w:rsidR="009B3631" w:rsidRPr="009B3631" w:rsidRDefault="009B3631" w:rsidP="00D30029">
      <w:pPr>
        <w:shd w:val="clear" w:color="auto" w:fill="FFFFFF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sz w:val="34"/>
          <w:szCs w:val="34"/>
          <w:lang w:eastAsia="ru-RU"/>
        </w:rPr>
        <w:t>факты и комментарии</w:t>
      </w:r>
    </w:p>
    <w:p w:rsidR="009B3631" w:rsidRPr="009B3631" w:rsidRDefault="009B3631" w:rsidP="00D30029">
      <w:pPr>
        <w:shd w:val="clear" w:color="auto" w:fill="FFFFFF"/>
        <w:ind w:firstLine="0"/>
        <w:jc w:val="center"/>
        <w:rPr>
          <w:rFonts w:ascii="Open Sans" w:eastAsia="Times New Roman" w:hAnsi="Open Sans" w:cs="Arial"/>
          <w:color w:val="000000"/>
          <w:sz w:val="24"/>
          <w:szCs w:val="24"/>
          <w:lang w:eastAsia="ru-RU"/>
        </w:rPr>
      </w:pPr>
      <w:r w:rsidRPr="009B3631">
        <w:rPr>
          <w:rFonts w:eastAsia="Times New Roman"/>
          <w:b/>
          <w:bCs/>
          <w:color w:val="000000"/>
          <w:lang w:eastAsia="ru-RU"/>
        </w:rPr>
        <w:t> </w:t>
      </w:r>
    </w:p>
    <w:p w:rsidR="009B3631" w:rsidRPr="00A6786C" w:rsidRDefault="009B3631" w:rsidP="00D30029">
      <w:pPr>
        <w:shd w:val="clear" w:color="auto" w:fill="FFFFFF"/>
        <w:ind w:firstLine="0"/>
        <w:jc w:val="center"/>
        <w:rPr>
          <w:rFonts w:ascii="Open Sans" w:eastAsia="Times New Roman" w:hAnsi="Open Sans" w:cs="Arial"/>
          <w:color w:val="000000"/>
          <w:lang w:eastAsia="ru-RU"/>
        </w:rPr>
      </w:pPr>
      <w:r w:rsidRPr="00A6786C">
        <w:rPr>
          <w:rFonts w:eastAsia="Times New Roman"/>
          <w:b/>
          <w:bCs/>
          <w:color w:val="000000"/>
          <w:lang w:eastAsia="ru-RU"/>
        </w:rPr>
        <w:t>Информационное сообщение</w:t>
      </w:r>
    </w:p>
    <w:p w:rsidR="002550E9" w:rsidRDefault="00BD0AE6" w:rsidP="00D30029">
      <w:pPr>
        <w:shd w:val="clear" w:color="auto" w:fill="FFFFFF"/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25 </w:t>
      </w:r>
      <w:bookmarkStart w:id="0" w:name="_GoBack"/>
      <w:bookmarkEnd w:id="0"/>
      <w:r w:rsidR="00A05B7C">
        <w:rPr>
          <w:rFonts w:eastAsia="Times New Roman"/>
          <w:b/>
          <w:bCs/>
          <w:color w:val="000000"/>
          <w:lang w:eastAsia="ru-RU"/>
        </w:rPr>
        <w:t xml:space="preserve">декабря </w:t>
      </w:r>
      <w:r w:rsidR="002550E9">
        <w:rPr>
          <w:rFonts w:eastAsia="Times New Roman"/>
          <w:b/>
          <w:bCs/>
          <w:color w:val="000000"/>
          <w:lang w:eastAsia="ru-RU"/>
        </w:rPr>
        <w:t>201</w:t>
      </w:r>
      <w:r w:rsidR="00DE73E0">
        <w:rPr>
          <w:rFonts w:eastAsia="Times New Roman"/>
          <w:b/>
          <w:bCs/>
          <w:color w:val="000000"/>
          <w:lang w:eastAsia="ru-RU"/>
        </w:rPr>
        <w:t>9</w:t>
      </w:r>
      <w:r w:rsidR="002550E9">
        <w:rPr>
          <w:rFonts w:eastAsia="Times New Roman"/>
          <w:b/>
          <w:bCs/>
          <w:color w:val="000000"/>
          <w:lang w:eastAsia="ru-RU"/>
        </w:rPr>
        <w:t xml:space="preserve"> г. № ИС-учет-</w:t>
      </w:r>
      <w:r w:rsidR="00DE73E0">
        <w:rPr>
          <w:rFonts w:eastAsia="Times New Roman"/>
          <w:b/>
          <w:bCs/>
          <w:color w:val="000000"/>
          <w:lang w:eastAsia="ru-RU"/>
        </w:rPr>
        <w:t>21</w:t>
      </w:r>
    </w:p>
    <w:p w:rsidR="00F77EC6" w:rsidRDefault="00F77EC6" w:rsidP="00D30029">
      <w:pPr>
        <w:shd w:val="clear" w:color="auto" w:fill="FFFFFF"/>
        <w:ind w:firstLine="0"/>
        <w:jc w:val="center"/>
        <w:rPr>
          <w:b/>
        </w:rPr>
      </w:pPr>
    </w:p>
    <w:p w:rsidR="00AA2638" w:rsidRDefault="009A0743" w:rsidP="00AA2638">
      <w:pPr>
        <w:shd w:val="clear" w:color="auto" w:fill="FFFFFF"/>
        <w:ind w:firstLine="709"/>
      </w:pPr>
      <w:r>
        <w:t>В соответствии с</w:t>
      </w:r>
      <w:r w:rsidR="00D87914">
        <w:t xml:space="preserve"> Федеральн</w:t>
      </w:r>
      <w:r>
        <w:t>ым</w:t>
      </w:r>
      <w:r w:rsidR="00D87914">
        <w:t xml:space="preserve"> закон</w:t>
      </w:r>
      <w:r>
        <w:t>ом</w:t>
      </w:r>
      <w:r w:rsidR="00D87914">
        <w:t xml:space="preserve"> «О бухгалтерском учете»</w:t>
      </w:r>
      <w:r w:rsidR="00AA2638">
        <w:rPr>
          <w:rStyle w:val="ab"/>
        </w:rPr>
        <w:footnoteReference w:id="1"/>
      </w:r>
      <w:r w:rsidR="00AA2638" w:rsidRPr="00AA2638">
        <w:t xml:space="preserve"> </w:t>
      </w:r>
      <w:r w:rsidR="00AA2638">
        <w:t xml:space="preserve">ФНС России утвердила: </w:t>
      </w:r>
    </w:p>
    <w:p w:rsidR="00AA2638" w:rsidRDefault="00AA2638" w:rsidP="00AA2638">
      <w:pPr>
        <w:shd w:val="clear" w:color="auto" w:fill="FFFFFF"/>
        <w:ind w:firstLine="709"/>
      </w:pPr>
      <w:r>
        <w:t xml:space="preserve">форматы представления </w:t>
      </w:r>
      <w:r w:rsidRPr="00DE73E0">
        <w:t>экземпляра составленной годовой бухгалтерской (финансовой) отчетности и аудиторского заключения о ней</w:t>
      </w:r>
      <w:r>
        <w:t xml:space="preserve"> в виде </w:t>
      </w:r>
      <w:r w:rsidRPr="00DE73E0">
        <w:t>электронных документов в целях формирования государственного информационного ресурса бухгалтерской (финансовой) отчетности</w:t>
      </w:r>
      <w:r>
        <w:t xml:space="preserve"> (далее – ГИРБО) – приказ от 13 ноября 2019 г. </w:t>
      </w:r>
      <w:r w:rsidRPr="00DE73E0">
        <w:t>№ ММВ-7-1/570@</w:t>
      </w:r>
      <w:r>
        <w:t>;</w:t>
      </w:r>
    </w:p>
    <w:p w:rsidR="00AA2638" w:rsidRDefault="00AA2638" w:rsidP="00AA2638">
      <w:pPr>
        <w:shd w:val="clear" w:color="auto" w:fill="FFFFFF"/>
        <w:ind w:firstLine="709"/>
      </w:pPr>
      <w:proofErr w:type="gramStart"/>
      <w:r>
        <w:t>п</w:t>
      </w:r>
      <w:r w:rsidRPr="00DE73E0">
        <w:t>оряд</w:t>
      </w:r>
      <w:r>
        <w:t>ок</w:t>
      </w:r>
      <w:r w:rsidRPr="00DE73E0">
        <w:t xml:space="preserve"> представления экземпляра составленной годовой бухгалтерской (финансовой) отчетности и аудиторского заключения </w:t>
      </w:r>
      <w:r w:rsidR="00D53C0F">
        <w:br/>
      </w:r>
      <w:r w:rsidRPr="00DE73E0">
        <w:t>о ней</w:t>
      </w:r>
      <w:r w:rsidR="00D53C0F">
        <w:t xml:space="preserve"> в целях формирования ГИРБО</w:t>
      </w:r>
      <w:r w:rsidRPr="00DE73E0">
        <w:t xml:space="preserve"> </w:t>
      </w:r>
      <w:r w:rsidR="0057144F">
        <w:t>–</w:t>
      </w:r>
      <w:r>
        <w:t xml:space="preserve"> приказ от 13 ноября 2019 г. </w:t>
      </w:r>
      <w:r w:rsidR="00D53C0F">
        <w:br/>
      </w:r>
      <w:r w:rsidRPr="00DE73E0">
        <w:t>№ ММВ-7-1/569@</w:t>
      </w:r>
      <w:r>
        <w:t>.</w:t>
      </w:r>
      <w:proofErr w:type="gramEnd"/>
    </w:p>
    <w:p w:rsidR="00DE73E0" w:rsidRDefault="002C5503" w:rsidP="00D30029">
      <w:pPr>
        <w:shd w:val="clear" w:color="auto" w:fill="FFFFFF"/>
        <w:ind w:firstLine="709"/>
      </w:pPr>
      <w:r>
        <w:t>Данные</w:t>
      </w:r>
      <w:r w:rsidR="00732358">
        <w:t xml:space="preserve"> приказы вступят в силу с 1 января 2020 г.</w:t>
      </w:r>
    </w:p>
    <w:p w:rsidR="00654FBD" w:rsidRDefault="00654FBD" w:rsidP="00D30029">
      <w:pPr>
        <w:shd w:val="clear" w:color="auto" w:fill="FFFFFF"/>
        <w:ind w:firstLine="709"/>
      </w:pPr>
      <w:r>
        <w:t xml:space="preserve">Подробные материалы </w:t>
      </w:r>
      <w:r w:rsidR="00AA2638">
        <w:t>по этому вопросу</w:t>
      </w:r>
      <w:r>
        <w:t xml:space="preserve"> размещены на официальном Интернет-сайте ФНС России </w:t>
      </w:r>
      <w:proofErr w:type="spellStart"/>
      <w:r w:rsidRPr="00691BDB">
        <w:rPr>
          <w:u w:val="single"/>
          <w:lang w:val="en-US"/>
        </w:rPr>
        <w:t>bo</w:t>
      </w:r>
      <w:proofErr w:type="spellEnd"/>
      <w:r w:rsidRPr="00691BDB">
        <w:rPr>
          <w:u w:val="single"/>
        </w:rPr>
        <w:t>.</w:t>
      </w:r>
      <w:proofErr w:type="spellStart"/>
      <w:r w:rsidRPr="00691BDB">
        <w:rPr>
          <w:u w:val="single"/>
          <w:lang w:val="en-US"/>
        </w:rPr>
        <w:t>nalog</w:t>
      </w:r>
      <w:proofErr w:type="spellEnd"/>
      <w:r w:rsidRPr="00691BDB">
        <w:rPr>
          <w:u w:val="single"/>
        </w:rPr>
        <w:t>.</w:t>
      </w:r>
      <w:proofErr w:type="spellStart"/>
      <w:r w:rsidRPr="00691BDB">
        <w:rPr>
          <w:u w:val="single"/>
          <w:lang w:val="en-US"/>
        </w:rPr>
        <w:t>ru</w:t>
      </w:r>
      <w:proofErr w:type="spellEnd"/>
      <w:r w:rsidRPr="00691BDB">
        <w:t>.</w:t>
      </w:r>
    </w:p>
    <w:p w:rsidR="009E3F33" w:rsidRPr="00B551CA" w:rsidRDefault="009E3F33" w:rsidP="00D30029">
      <w:pPr>
        <w:shd w:val="clear" w:color="auto" w:fill="FFFFFF"/>
        <w:ind w:firstLine="709"/>
        <w:rPr>
          <w:b/>
        </w:rPr>
      </w:pPr>
    </w:p>
    <w:p w:rsidR="00A05B7C" w:rsidRDefault="00DE55F8" w:rsidP="00F56E56">
      <w:pPr>
        <w:shd w:val="clear" w:color="auto" w:fill="FFFFFF"/>
        <w:ind w:firstLine="0"/>
        <w:jc w:val="center"/>
        <w:rPr>
          <w:b/>
        </w:rPr>
      </w:pPr>
      <w:r>
        <w:rPr>
          <w:b/>
        </w:rPr>
        <w:t>П</w:t>
      </w:r>
      <w:r w:rsidR="00A05B7C">
        <w:rPr>
          <w:b/>
        </w:rPr>
        <w:t>редставлени</w:t>
      </w:r>
      <w:r>
        <w:rPr>
          <w:b/>
        </w:rPr>
        <w:t xml:space="preserve">е </w:t>
      </w:r>
      <w:r w:rsidR="00F56E56">
        <w:rPr>
          <w:b/>
        </w:rPr>
        <w:t>документов</w:t>
      </w:r>
    </w:p>
    <w:p w:rsidR="00A05B7C" w:rsidRDefault="00A05B7C" w:rsidP="00D30029">
      <w:pPr>
        <w:shd w:val="clear" w:color="auto" w:fill="FFFFFF"/>
        <w:ind w:firstLine="0"/>
        <w:jc w:val="center"/>
      </w:pPr>
    </w:p>
    <w:p w:rsidR="00D30029" w:rsidRDefault="00D30029" w:rsidP="00D30029">
      <w:pPr>
        <w:shd w:val="clear" w:color="auto" w:fill="FFFFFF"/>
        <w:ind w:firstLine="709"/>
      </w:pPr>
      <w:r>
        <w:t>Бухгалтерская отчетность и аудиторское заключение о ней представляются в ГИРБО в виде электронных документов. Исключением является лишь представление отчетности за 2019 г. и аудиторского заключения о ней субъектами малого предпринимательства в 2020 г. (см. далее).</w:t>
      </w:r>
    </w:p>
    <w:p w:rsidR="00D30029" w:rsidRDefault="00D30029" w:rsidP="00D30029">
      <w:pPr>
        <w:shd w:val="clear" w:color="auto" w:fill="FFFFFF"/>
        <w:ind w:firstLine="709"/>
      </w:pPr>
      <w:r>
        <w:t>Аудиторское заключение о бухгалтерской отчетности представляется в ГИРБО в случае, если эта отчетность подлежит обязательному аудиту. При этом обязанность представл</w:t>
      </w:r>
      <w:r w:rsidR="002E6515">
        <w:t>ять</w:t>
      </w:r>
      <w:r>
        <w:t xml:space="preserve"> аудиторско</w:t>
      </w:r>
      <w:r w:rsidR="002E6515">
        <w:t>е</w:t>
      </w:r>
      <w:r>
        <w:t xml:space="preserve"> заключени</w:t>
      </w:r>
      <w:r w:rsidR="002E6515">
        <w:t>е</w:t>
      </w:r>
      <w:r>
        <w:t xml:space="preserve"> лежит на </w:t>
      </w:r>
      <w:proofErr w:type="spellStart"/>
      <w:r>
        <w:t>аудируемом</w:t>
      </w:r>
      <w:proofErr w:type="spellEnd"/>
      <w:r>
        <w:t xml:space="preserve"> лице, а не на аудиторской организации (индивидуальном аудиторе).</w:t>
      </w:r>
    </w:p>
    <w:p w:rsidR="00980631" w:rsidRDefault="00980631" w:rsidP="00D30029">
      <w:pPr>
        <w:shd w:val="clear" w:color="auto" w:fill="FFFFFF"/>
        <w:ind w:firstLine="709"/>
      </w:pPr>
      <w:r>
        <w:t xml:space="preserve">Аудиторское заключение представляется в налоговый орган в зависимости от того, когда проведен обязательный аудит бухгалтерской отчетности: либо вместе (одновременно) с отчетностью, либо после представления отчетности (не одновременно с ней). В последнем случае аудиторское заключение в виде электронного документа направляется вместе </w:t>
      </w:r>
      <w:r>
        <w:lastRenderedPageBreak/>
        <w:t>с сопроводительным документом. Такой документ представляется в электронной форме с применением формата, утвержденного приказом ФНС России от 18 января 2017 г. № ММВ-7-6/16</w:t>
      </w:r>
      <w:r w:rsidRPr="00980631">
        <w:t>@</w:t>
      </w:r>
      <w:r>
        <w:t xml:space="preserve"> «Об утверждении формата документа, необходимого для обеспечения электронного документооборота в отношениях, регулируемых законодательством о налогах и сборах». </w:t>
      </w:r>
    </w:p>
    <w:p w:rsidR="002E6515" w:rsidRDefault="002E6515" w:rsidP="002E6515">
      <w:pPr>
        <w:shd w:val="clear" w:color="auto" w:fill="FFFFFF"/>
        <w:ind w:firstLine="0"/>
      </w:pPr>
    </w:p>
    <w:p w:rsidR="002E6515" w:rsidRDefault="002E6515" w:rsidP="002E6515">
      <w:pPr>
        <w:shd w:val="clear" w:color="auto" w:fill="FFFFFF"/>
        <w:ind w:firstLine="0"/>
        <w:jc w:val="center"/>
      </w:pPr>
      <w:r>
        <w:rPr>
          <w:b/>
        </w:rPr>
        <w:t>Форматы представления</w:t>
      </w:r>
      <w:r w:rsidR="00F56E56">
        <w:rPr>
          <w:b/>
        </w:rPr>
        <w:t xml:space="preserve"> документов</w:t>
      </w:r>
    </w:p>
    <w:p w:rsidR="002E6515" w:rsidRDefault="002E6515" w:rsidP="002E6515">
      <w:pPr>
        <w:shd w:val="clear" w:color="auto" w:fill="FFFFFF"/>
        <w:ind w:firstLine="0"/>
      </w:pPr>
    </w:p>
    <w:p w:rsidR="002E6515" w:rsidRDefault="002E6515" w:rsidP="002E6515">
      <w:pPr>
        <w:shd w:val="clear" w:color="auto" w:fill="FFFFFF"/>
        <w:ind w:firstLine="709"/>
      </w:pPr>
      <w:r>
        <w:t>Б</w:t>
      </w:r>
      <w:r w:rsidR="00D30029">
        <w:t>ухгалтерск</w:t>
      </w:r>
      <w:r>
        <w:t>ая</w:t>
      </w:r>
      <w:r w:rsidR="00D30029">
        <w:t xml:space="preserve"> отчетност</w:t>
      </w:r>
      <w:r>
        <w:t>ь</w:t>
      </w:r>
      <w:r w:rsidR="00D30029">
        <w:t xml:space="preserve"> представл</w:t>
      </w:r>
      <w:r>
        <w:t>яется</w:t>
      </w:r>
      <w:r w:rsidR="00D30029">
        <w:t xml:space="preserve"> </w:t>
      </w:r>
      <w:r>
        <w:t xml:space="preserve">в виде </w:t>
      </w:r>
      <w:r w:rsidRPr="00244376">
        <w:t>XML файл</w:t>
      </w:r>
      <w:r>
        <w:t xml:space="preserve">ов. ФНС России утверждены требования </w:t>
      </w:r>
      <w:r w:rsidRPr="00244376">
        <w:t xml:space="preserve">к XML файлам передачи в электронной форме </w:t>
      </w:r>
      <w:r w:rsidR="00D30029">
        <w:t xml:space="preserve">«общей» </w:t>
      </w:r>
      <w:r>
        <w:t>отчетности и</w:t>
      </w:r>
      <w:r w:rsidR="00D30029">
        <w:t xml:space="preserve"> «упрощенной» отчетности.</w:t>
      </w:r>
    </w:p>
    <w:p w:rsidR="00D30029" w:rsidRDefault="00D30029" w:rsidP="002E6515">
      <w:pPr>
        <w:shd w:val="clear" w:color="auto" w:fill="FFFFFF"/>
        <w:ind w:firstLine="709"/>
      </w:pPr>
      <w:r>
        <w:t xml:space="preserve">Аудиторское заключение представляется в виде электронного документа в формате </w:t>
      </w:r>
      <w:r>
        <w:rPr>
          <w:lang w:val="en-US"/>
        </w:rPr>
        <w:t>PDF</w:t>
      </w:r>
      <w:r>
        <w:t>.</w:t>
      </w:r>
    </w:p>
    <w:p w:rsidR="002E6515" w:rsidRDefault="002E6515" w:rsidP="00D30029">
      <w:pPr>
        <w:shd w:val="clear" w:color="auto" w:fill="FFFFFF"/>
        <w:ind w:firstLine="709"/>
      </w:pPr>
    </w:p>
    <w:p w:rsidR="002E6515" w:rsidRDefault="002E6515" w:rsidP="002E6515">
      <w:pPr>
        <w:shd w:val="clear" w:color="auto" w:fill="FFFFFF"/>
        <w:ind w:firstLine="0"/>
        <w:jc w:val="center"/>
        <w:rPr>
          <w:b/>
        </w:rPr>
      </w:pPr>
      <w:r>
        <w:rPr>
          <w:b/>
        </w:rPr>
        <w:t xml:space="preserve">Передача </w:t>
      </w:r>
      <w:r w:rsidR="00F56E56">
        <w:rPr>
          <w:b/>
        </w:rPr>
        <w:t>документов</w:t>
      </w:r>
      <w:r>
        <w:rPr>
          <w:b/>
        </w:rPr>
        <w:t xml:space="preserve"> </w:t>
      </w:r>
    </w:p>
    <w:p w:rsidR="002E6515" w:rsidRDefault="002E6515" w:rsidP="002E6515">
      <w:pPr>
        <w:shd w:val="clear" w:color="auto" w:fill="FFFFFF"/>
        <w:ind w:firstLine="0"/>
      </w:pPr>
    </w:p>
    <w:p w:rsidR="007068B0" w:rsidRDefault="00F56E56" w:rsidP="00D30029">
      <w:pPr>
        <w:shd w:val="clear" w:color="auto" w:fill="FFFFFF"/>
        <w:ind w:firstLine="709"/>
      </w:pPr>
      <w:r>
        <w:t xml:space="preserve">Бухгалтерская отчетность и аудиторское заключение о ней </w:t>
      </w:r>
      <w:r w:rsidR="002E6515">
        <w:t>передаются в налоговый орган</w:t>
      </w:r>
      <w:r w:rsidR="00DE55F8">
        <w:t xml:space="preserve">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</w:t>
      </w:r>
      <w:r w:rsidR="002E6515">
        <w:t>енным</w:t>
      </w:r>
      <w:r w:rsidR="00DE55F8">
        <w:t xml:space="preserve"> ФНС России.</w:t>
      </w:r>
    </w:p>
    <w:p w:rsidR="00F56E56" w:rsidRDefault="00F56E56" w:rsidP="00F56E56">
      <w:pPr>
        <w:shd w:val="clear" w:color="auto" w:fill="FFFFFF"/>
        <w:ind w:firstLine="0"/>
      </w:pPr>
    </w:p>
    <w:p w:rsidR="00F56E56" w:rsidRPr="00F56E56" w:rsidRDefault="00F56E56" w:rsidP="00F56E56">
      <w:pPr>
        <w:shd w:val="clear" w:color="auto" w:fill="FFFFFF"/>
        <w:ind w:firstLine="0"/>
        <w:jc w:val="center"/>
        <w:rPr>
          <w:b/>
        </w:rPr>
      </w:pPr>
      <w:r>
        <w:rPr>
          <w:b/>
        </w:rPr>
        <w:t>Обязанности передающей организации</w:t>
      </w:r>
    </w:p>
    <w:p w:rsidR="00F56E56" w:rsidRDefault="00F56E56" w:rsidP="00F56E56">
      <w:pPr>
        <w:shd w:val="clear" w:color="auto" w:fill="FFFFFF"/>
        <w:ind w:firstLine="0"/>
      </w:pPr>
    </w:p>
    <w:p w:rsidR="007B0EE9" w:rsidRDefault="007B0EE9" w:rsidP="00D30029">
      <w:pPr>
        <w:shd w:val="clear" w:color="auto" w:fill="FFFFFF"/>
        <w:ind w:firstLine="709"/>
      </w:pPr>
      <w:proofErr w:type="gramStart"/>
      <w:r w:rsidRPr="007B0EE9">
        <w:t xml:space="preserve">Для представления </w:t>
      </w:r>
      <w:r w:rsidR="00F56E56">
        <w:t xml:space="preserve">бухгалтерской отчетности и </w:t>
      </w:r>
      <w:r w:rsidRPr="007B0EE9">
        <w:t xml:space="preserve">аудиторского заключения о ней </w:t>
      </w:r>
      <w:r>
        <w:t>организаци</w:t>
      </w:r>
      <w:r w:rsidR="002E6515">
        <w:t>я</w:t>
      </w:r>
      <w:r>
        <w:t xml:space="preserve"> должн</w:t>
      </w:r>
      <w:r w:rsidR="002E6515">
        <w:t>а</w:t>
      </w:r>
      <w:r>
        <w:t xml:space="preserve"> обеспечить</w:t>
      </w:r>
      <w:r w:rsidRPr="007B0EE9">
        <w:t>:</w:t>
      </w:r>
      <w:proofErr w:type="gramEnd"/>
    </w:p>
    <w:p w:rsidR="002E6515" w:rsidRPr="007B0EE9" w:rsidRDefault="002E6515" w:rsidP="00D30029">
      <w:pPr>
        <w:shd w:val="clear" w:color="auto" w:fill="FFFFFF"/>
        <w:ind w:firstLine="709"/>
      </w:pPr>
      <w:r>
        <w:t xml:space="preserve">формирование </w:t>
      </w:r>
      <w:r w:rsidR="00F56E56">
        <w:t>этих документов</w:t>
      </w:r>
      <w:r>
        <w:t xml:space="preserve"> в виде электронных документов;</w:t>
      </w:r>
    </w:p>
    <w:p w:rsidR="007B0EE9" w:rsidRPr="007B0EE9" w:rsidRDefault="007B0EE9" w:rsidP="00D30029">
      <w:pPr>
        <w:shd w:val="clear" w:color="auto" w:fill="FFFFFF"/>
        <w:ind w:firstLine="709"/>
      </w:pPr>
      <w:r w:rsidRPr="007B0EE9">
        <w:t>шифрование при отправке и дешифрование при получении информации с использованием шифровальных средств;</w:t>
      </w:r>
    </w:p>
    <w:p w:rsidR="007B0EE9" w:rsidRDefault="007B0EE9" w:rsidP="00D30029">
      <w:pPr>
        <w:shd w:val="clear" w:color="auto" w:fill="FFFFFF"/>
        <w:ind w:firstLine="709"/>
      </w:pPr>
      <w:r w:rsidRPr="007B0EE9">
        <w:t>формирование усиленной квалифицированной электронной подписи при передаче информац</w:t>
      </w:r>
      <w:proofErr w:type="gramStart"/>
      <w:r w:rsidRPr="007B0EE9">
        <w:t>ии и ее</w:t>
      </w:r>
      <w:proofErr w:type="gramEnd"/>
      <w:r w:rsidRPr="007B0EE9">
        <w:t xml:space="preserve"> проверку при получении информации.</w:t>
      </w:r>
    </w:p>
    <w:p w:rsidR="00F56E56" w:rsidRDefault="00F56E56" w:rsidP="00F56E56">
      <w:pPr>
        <w:shd w:val="clear" w:color="auto" w:fill="FFFFFF"/>
        <w:ind w:firstLine="0"/>
      </w:pPr>
    </w:p>
    <w:p w:rsidR="002D3973" w:rsidRPr="00F56E56" w:rsidRDefault="002D3973" w:rsidP="00D30029">
      <w:pPr>
        <w:shd w:val="clear" w:color="auto" w:fill="FFFFFF"/>
        <w:ind w:firstLine="0"/>
        <w:jc w:val="center"/>
        <w:rPr>
          <w:b/>
        </w:rPr>
      </w:pPr>
      <w:r w:rsidRPr="00F56E56">
        <w:rPr>
          <w:b/>
        </w:rPr>
        <w:t>Подтверждение получения</w:t>
      </w:r>
      <w:r w:rsidR="00F56E56">
        <w:rPr>
          <w:b/>
        </w:rPr>
        <w:t xml:space="preserve"> документов</w:t>
      </w:r>
    </w:p>
    <w:p w:rsidR="00F56E56" w:rsidRDefault="00F56E56" w:rsidP="00D30029">
      <w:pPr>
        <w:shd w:val="clear" w:color="auto" w:fill="FFFFFF"/>
        <w:ind w:firstLine="709"/>
      </w:pPr>
    </w:p>
    <w:p w:rsidR="002D3973" w:rsidRDefault="00FE48CF" w:rsidP="00D30029">
      <w:pPr>
        <w:shd w:val="clear" w:color="auto" w:fill="FFFFFF"/>
        <w:ind w:firstLine="709"/>
      </w:pPr>
      <w:r>
        <w:t xml:space="preserve">При получении </w:t>
      </w:r>
      <w:r w:rsidR="00F56E56">
        <w:t>бухгалтерской отчетности и аудиторского заключения о ней</w:t>
      </w:r>
      <w:r w:rsidR="00DE55F8" w:rsidRPr="00DE55F8">
        <w:t xml:space="preserve"> </w:t>
      </w:r>
      <w:r>
        <w:t>налоговый орган в течение одного рабочего дня направ</w:t>
      </w:r>
      <w:r w:rsidR="00F56E56">
        <w:t>ляет</w:t>
      </w:r>
      <w:r>
        <w:t xml:space="preserve"> </w:t>
      </w:r>
      <w:r w:rsidR="00F56E56">
        <w:t xml:space="preserve">отчитывающейся </w:t>
      </w:r>
      <w:r>
        <w:t xml:space="preserve">организации квитанцию о приеме, подписанную усиленной квалифицированной электронной подписью. </w:t>
      </w:r>
    </w:p>
    <w:p w:rsidR="007B0EE9" w:rsidRDefault="00E24130" w:rsidP="00D30029">
      <w:pPr>
        <w:shd w:val="clear" w:color="auto" w:fill="FFFFFF"/>
        <w:ind w:firstLine="709"/>
      </w:pPr>
      <w:r>
        <w:t xml:space="preserve">Датой получения </w:t>
      </w:r>
      <w:r w:rsidR="00F56E56">
        <w:t>указанных документов</w:t>
      </w:r>
      <w:r>
        <w:t xml:space="preserve"> налоговым органом считается дата, указанная в квитанции о приеме.</w:t>
      </w:r>
    </w:p>
    <w:p w:rsidR="00F56E56" w:rsidRDefault="00F56E56" w:rsidP="00F56E56">
      <w:pPr>
        <w:shd w:val="clear" w:color="auto" w:fill="FFFFFF"/>
        <w:ind w:firstLine="0"/>
      </w:pPr>
    </w:p>
    <w:p w:rsidR="002D3973" w:rsidRPr="00F56E56" w:rsidRDefault="002D3973" w:rsidP="00D30029">
      <w:pPr>
        <w:shd w:val="clear" w:color="auto" w:fill="FFFFFF"/>
        <w:ind w:firstLine="0"/>
        <w:jc w:val="center"/>
        <w:rPr>
          <w:b/>
        </w:rPr>
      </w:pPr>
      <w:r w:rsidRPr="00F56E56">
        <w:rPr>
          <w:b/>
        </w:rPr>
        <w:t>Основания для отказа в приеме</w:t>
      </w:r>
    </w:p>
    <w:p w:rsidR="00F56E56" w:rsidRDefault="00F56E56" w:rsidP="00D30029">
      <w:pPr>
        <w:shd w:val="clear" w:color="auto" w:fill="FFFFFF"/>
        <w:ind w:firstLine="709"/>
      </w:pPr>
    </w:p>
    <w:p w:rsidR="009E604F" w:rsidRDefault="009E604F" w:rsidP="00D30029">
      <w:pPr>
        <w:shd w:val="clear" w:color="auto" w:fill="FFFFFF"/>
        <w:ind w:firstLine="709"/>
      </w:pPr>
      <w:r>
        <w:t xml:space="preserve">Налоговый орган может отказать </w:t>
      </w:r>
      <w:r w:rsidR="00B57B98">
        <w:t xml:space="preserve">организации </w:t>
      </w:r>
      <w:r>
        <w:t xml:space="preserve">в приеме </w:t>
      </w:r>
      <w:r w:rsidR="00F56E56">
        <w:t>бухгалтерской отчетности</w:t>
      </w:r>
      <w:r w:rsidRPr="00FE48CF">
        <w:t xml:space="preserve"> и аудиторско</w:t>
      </w:r>
      <w:r>
        <w:t>го</w:t>
      </w:r>
      <w:r w:rsidRPr="00FE48CF">
        <w:t xml:space="preserve"> заключени</w:t>
      </w:r>
      <w:r>
        <w:t>я</w:t>
      </w:r>
      <w:r w:rsidRPr="00FE48CF">
        <w:t xml:space="preserve"> о ней</w:t>
      </w:r>
      <w:r>
        <w:t xml:space="preserve"> в случаях, если</w:t>
      </w:r>
      <w:r w:rsidR="00E24130">
        <w:t xml:space="preserve"> они представлены</w:t>
      </w:r>
      <w:r>
        <w:t>:</w:t>
      </w:r>
    </w:p>
    <w:p w:rsidR="009E604F" w:rsidRDefault="009E604F" w:rsidP="00D30029">
      <w:pPr>
        <w:shd w:val="clear" w:color="auto" w:fill="FFFFFF"/>
        <w:ind w:firstLine="709"/>
      </w:pPr>
      <w:proofErr w:type="gramStart"/>
      <w:r>
        <w:lastRenderedPageBreak/>
        <w:t>в форматах, отличных от утвержденных ФНС России;</w:t>
      </w:r>
      <w:proofErr w:type="gramEnd"/>
    </w:p>
    <w:p w:rsidR="009E604F" w:rsidRDefault="00E24130" w:rsidP="00D30029">
      <w:pPr>
        <w:shd w:val="clear" w:color="auto" w:fill="FFFFFF"/>
        <w:ind w:firstLine="709"/>
      </w:pPr>
      <w:r>
        <w:t xml:space="preserve">без </w:t>
      </w:r>
      <w:r w:rsidR="00E04654">
        <w:t xml:space="preserve">усиленной </w:t>
      </w:r>
      <w:r w:rsidR="009E604F">
        <w:t>квалифицированн</w:t>
      </w:r>
      <w:r>
        <w:t>ой</w:t>
      </w:r>
      <w:r w:rsidR="009E604F">
        <w:t xml:space="preserve"> электронн</w:t>
      </w:r>
      <w:r>
        <w:t>ой</w:t>
      </w:r>
      <w:r w:rsidR="009E604F">
        <w:t xml:space="preserve"> подпис</w:t>
      </w:r>
      <w:r>
        <w:t>и</w:t>
      </w:r>
      <w:r w:rsidR="009E604F">
        <w:t>;</w:t>
      </w:r>
    </w:p>
    <w:p w:rsidR="009E604F" w:rsidRDefault="00E24130" w:rsidP="00D30029">
      <w:pPr>
        <w:shd w:val="clear" w:color="auto" w:fill="FFFFFF"/>
        <w:ind w:firstLine="709"/>
      </w:pPr>
      <w:r>
        <w:t xml:space="preserve">в налоговый орган, в компетенцию которого не входит их прием. </w:t>
      </w:r>
    </w:p>
    <w:p w:rsidR="00E24130" w:rsidRDefault="00E24130" w:rsidP="00D30029">
      <w:pPr>
        <w:shd w:val="clear" w:color="auto" w:fill="FFFFFF"/>
        <w:ind w:firstLine="709"/>
      </w:pPr>
      <w:r>
        <w:t xml:space="preserve">В </w:t>
      </w:r>
      <w:r w:rsidR="00F56E56">
        <w:t>этих</w:t>
      </w:r>
      <w:r>
        <w:t xml:space="preserve"> случа</w:t>
      </w:r>
      <w:r w:rsidR="00F56E56">
        <w:t>ях</w:t>
      </w:r>
      <w:r>
        <w:t xml:space="preserve"> налоговый орган в течение одного рабочего дня с момента получения </w:t>
      </w:r>
      <w:r w:rsidR="00E04654" w:rsidRPr="00E04654">
        <w:t xml:space="preserve">отчетности </w:t>
      </w:r>
      <w:r w:rsidRPr="00E24130">
        <w:t xml:space="preserve">и аудиторского заключения о ней </w:t>
      </w:r>
      <w:r>
        <w:t>направ</w:t>
      </w:r>
      <w:r w:rsidR="00F56E56">
        <w:t>ляет</w:t>
      </w:r>
      <w:r>
        <w:t xml:space="preserve"> </w:t>
      </w:r>
      <w:r w:rsidR="00F56E56">
        <w:t xml:space="preserve">отчитывающейся </w:t>
      </w:r>
      <w:r>
        <w:t>организации уведомление об отказе в приеме</w:t>
      </w:r>
      <w:r w:rsidR="00F56E56">
        <w:t xml:space="preserve"> документов</w:t>
      </w:r>
      <w:r>
        <w:t xml:space="preserve">, подписанное </w:t>
      </w:r>
      <w:r w:rsidRPr="00E24130">
        <w:t>усиленной квалифицированной электронной подписью</w:t>
      </w:r>
      <w:r>
        <w:t xml:space="preserve">. При получении такого уведомления организация обязана устранить указанные в нем ошибки и повторить </w:t>
      </w:r>
      <w:r w:rsidR="00F56E56">
        <w:t>передачу документов</w:t>
      </w:r>
      <w:r>
        <w:t xml:space="preserve"> в налоговый орган.</w:t>
      </w:r>
    </w:p>
    <w:p w:rsidR="00B94661" w:rsidRPr="00B551CA" w:rsidRDefault="00B94661" w:rsidP="00D30029">
      <w:pPr>
        <w:shd w:val="clear" w:color="auto" w:fill="FFFFFF"/>
        <w:rPr>
          <w:b/>
        </w:rPr>
      </w:pPr>
    </w:p>
    <w:p w:rsidR="00B377F9" w:rsidRDefault="00B57B98" w:rsidP="00D30029">
      <w:pPr>
        <w:shd w:val="clear" w:color="auto" w:fill="FFFFFF"/>
        <w:jc w:val="center"/>
        <w:rPr>
          <w:b/>
        </w:rPr>
      </w:pPr>
      <w:r w:rsidRPr="00B57B98">
        <w:rPr>
          <w:b/>
        </w:rPr>
        <w:t>П</w:t>
      </w:r>
      <w:r w:rsidR="00DD7B08">
        <w:rPr>
          <w:b/>
        </w:rPr>
        <w:t xml:space="preserve">редставление </w:t>
      </w:r>
      <w:r w:rsidR="00B95D75">
        <w:rPr>
          <w:b/>
        </w:rPr>
        <w:t xml:space="preserve">бухгалтерской </w:t>
      </w:r>
      <w:r w:rsidR="00DD7B08" w:rsidRPr="00DD7B08">
        <w:rPr>
          <w:b/>
        </w:rPr>
        <w:t xml:space="preserve">отчетности </w:t>
      </w:r>
      <w:r w:rsidR="00B377F9">
        <w:rPr>
          <w:b/>
        </w:rPr>
        <w:t xml:space="preserve">за 2019 г. </w:t>
      </w:r>
    </w:p>
    <w:p w:rsidR="00B57B98" w:rsidRDefault="00B57B98" w:rsidP="00D30029">
      <w:pPr>
        <w:shd w:val="clear" w:color="auto" w:fill="FFFFFF"/>
        <w:jc w:val="center"/>
        <w:rPr>
          <w:b/>
        </w:rPr>
      </w:pPr>
      <w:r>
        <w:rPr>
          <w:b/>
        </w:rPr>
        <w:t>субъектами малого предпринимательства</w:t>
      </w:r>
    </w:p>
    <w:p w:rsidR="00B57B98" w:rsidRDefault="00B57B98" w:rsidP="00D30029">
      <w:pPr>
        <w:shd w:val="clear" w:color="auto" w:fill="FFFFFF"/>
        <w:jc w:val="center"/>
        <w:rPr>
          <w:b/>
        </w:rPr>
      </w:pPr>
    </w:p>
    <w:p w:rsidR="00683AC3" w:rsidRDefault="00B57B98" w:rsidP="00D30029">
      <w:pPr>
        <w:shd w:val="clear" w:color="auto" w:fill="FFFFFF"/>
        <w:ind w:firstLine="709"/>
      </w:pPr>
      <w:r>
        <w:t xml:space="preserve">Субъект малого предпринимательства </w:t>
      </w:r>
      <w:r w:rsidR="00B377F9">
        <w:t>в</w:t>
      </w:r>
      <w:r>
        <w:t>прав</w:t>
      </w:r>
      <w:r w:rsidR="00B377F9">
        <w:t>е</w:t>
      </w:r>
      <w:r w:rsidR="00683AC3">
        <w:t xml:space="preserve"> по собственному выбору</w:t>
      </w:r>
      <w:r>
        <w:t xml:space="preserve"> представ</w:t>
      </w:r>
      <w:r w:rsidR="00B377F9">
        <w:t>ить</w:t>
      </w:r>
      <w:r>
        <w:t xml:space="preserve"> </w:t>
      </w:r>
      <w:r w:rsidR="00B377F9">
        <w:t>бухгалтерск</w:t>
      </w:r>
      <w:r w:rsidR="00B95D75">
        <w:t>ую</w:t>
      </w:r>
      <w:r w:rsidR="00B377F9">
        <w:t xml:space="preserve"> </w:t>
      </w:r>
      <w:r w:rsidR="00DD7B08" w:rsidRPr="00DD7B08">
        <w:t>отчетност</w:t>
      </w:r>
      <w:r w:rsidR="00B95D75">
        <w:t>ь</w:t>
      </w:r>
      <w:r>
        <w:t xml:space="preserve"> за 2019 г. и аудиторское заключение о ней </w:t>
      </w:r>
      <w:r w:rsidR="00DD7B08">
        <w:t xml:space="preserve">в налоговый орган </w:t>
      </w:r>
      <w:r w:rsidR="00B377F9">
        <w:t xml:space="preserve">либо в виде электронных документов, либо </w:t>
      </w:r>
      <w:r>
        <w:t xml:space="preserve">на бумажном носителе. </w:t>
      </w:r>
      <w:r w:rsidR="00683AC3">
        <w:t xml:space="preserve">В первом случае субъект малого предпринимательства руководствуется общим порядком представления документов в виде электронных документов. </w:t>
      </w:r>
    </w:p>
    <w:p w:rsidR="00DD7B08" w:rsidRDefault="00683AC3" w:rsidP="00D30029">
      <w:pPr>
        <w:shd w:val="clear" w:color="auto" w:fill="FFFFFF"/>
        <w:ind w:firstLine="709"/>
      </w:pPr>
      <w:r>
        <w:t xml:space="preserve">Во втором случае отчетность и аудиторское заключение о ней представляются в налоговый орган субъектом малого предпринимательства </w:t>
      </w:r>
      <w:r w:rsidR="00B57B98">
        <w:t>лично</w:t>
      </w:r>
      <w:r>
        <w:t xml:space="preserve">, либо </w:t>
      </w:r>
      <w:r w:rsidR="00B57B98">
        <w:t>через уполномоченного представителя</w:t>
      </w:r>
      <w:r>
        <w:t>, либо</w:t>
      </w:r>
      <w:r w:rsidR="0057144F">
        <w:t xml:space="preserve"> </w:t>
      </w:r>
      <w:r w:rsidR="00B57B98">
        <w:t>в виде почтового отправления с описью вложения.</w:t>
      </w:r>
      <w:r>
        <w:t xml:space="preserve"> </w:t>
      </w:r>
      <w:r w:rsidR="00DD7B08">
        <w:t xml:space="preserve">Днем представления </w:t>
      </w:r>
      <w:r>
        <w:t>документов на</w:t>
      </w:r>
      <w:r w:rsidR="00DD7B08">
        <w:t xml:space="preserve"> бумажном </w:t>
      </w:r>
      <w:r>
        <w:t>носителе</w:t>
      </w:r>
      <w:r w:rsidR="00DD7B08">
        <w:t xml:space="preserve"> </w:t>
      </w:r>
      <w:r>
        <w:t xml:space="preserve">в налоговый орган </w:t>
      </w:r>
      <w:r w:rsidR="00DD7B08">
        <w:t>считается:</w:t>
      </w:r>
    </w:p>
    <w:p w:rsidR="00691BDB" w:rsidRDefault="00683AC3" w:rsidP="00D30029">
      <w:pPr>
        <w:shd w:val="clear" w:color="auto" w:fill="FFFFFF"/>
        <w:ind w:firstLine="709"/>
      </w:pPr>
      <w:r>
        <w:t>п</w:t>
      </w:r>
      <w:r w:rsidRPr="00B57B98">
        <w:t>ри представлении</w:t>
      </w:r>
      <w:r>
        <w:t xml:space="preserve"> </w:t>
      </w:r>
      <w:r w:rsidRPr="00B57B98">
        <w:t>лично или через уполномоченного представителя</w:t>
      </w:r>
      <w:r>
        <w:t xml:space="preserve"> </w:t>
      </w:r>
      <w:r w:rsidR="0057144F">
        <w:t xml:space="preserve">– </w:t>
      </w:r>
      <w:r w:rsidR="00691BDB" w:rsidRPr="00B57B98">
        <w:t>дат</w:t>
      </w:r>
      <w:r w:rsidR="00691BDB">
        <w:t>а</w:t>
      </w:r>
      <w:r w:rsidR="00691BDB" w:rsidRPr="00B57B98">
        <w:t xml:space="preserve"> их получения</w:t>
      </w:r>
      <w:r w:rsidR="00691BDB">
        <w:t xml:space="preserve">, указанная </w:t>
      </w:r>
      <w:r w:rsidR="00691BDB" w:rsidRPr="00DD7B08">
        <w:t>должностн</w:t>
      </w:r>
      <w:r w:rsidR="00691BDB">
        <w:t>ым</w:t>
      </w:r>
      <w:r w:rsidR="00691BDB" w:rsidRPr="00DD7B08">
        <w:t xml:space="preserve"> лицо</w:t>
      </w:r>
      <w:r w:rsidR="00691BDB">
        <w:t>м</w:t>
      </w:r>
      <w:r w:rsidR="00691BDB" w:rsidRPr="00DD7B08">
        <w:t xml:space="preserve"> налогового органа</w:t>
      </w:r>
      <w:r w:rsidR="00691BDB">
        <w:t xml:space="preserve"> на копии </w:t>
      </w:r>
      <w:r w:rsidR="00B95D75">
        <w:t xml:space="preserve">бухгалтерской </w:t>
      </w:r>
      <w:r w:rsidR="00691BDB" w:rsidRPr="00DD7B08">
        <w:t>отчетности и аудиторского заключения о ней</w:t>
      </w:r>
      <w:r w:rsidR="00691BDB">
        <w:t>;</w:t>
      </w:r>
    </w:p>
    <w:p w:rsidR="00B57B98" w:rsidRDefault="00683AC3" w:rsidP="00D30029">
      <w:pPr>
        <w:shd w:val="clear" w:color="auto" w:fill="FFFFFF"/>
        <w:ind w:firstLine="709"/>
      </w:pPr>
      <w:r>
        <w:t xml:space="preserve">при </w:t>
      </w:r>
      <w:r w:rsidRPr="00B57B98">
        <w:t xml:space="preserve">отправке </w:t>
      </w:r>
      <w:r w:rsidR="00B95D75">
        <w:t xml:space="preserve">бухгалтерской </w:t>
      </w:r>
      <w:r w:rsidRPr="00DD7B08">
        <w:t>отчетности и аудиторского заключения о ней</w:t>
      </w:r>
      <w:r>
        <w:t xml:space="preserve"> </w:t>
      </w:r>
      <w:r w:rsidRPr="00B57B98">
        <w:t>по почте</w:t>
      </w:r>
      <w:r w:rsidR="0057144F">
        <w:t xml:space="preserve"> – </w:t>
      </w:r>
      <w:r w:rsidR="00DD7B08" w:rsidRPr="00B57B98">
        <w:t>дата отправки почтового отправления с описью вложения</w:t>
      </w:r>
      <w:r w:rsidR="00691BDB">
        <w:t>.</w:t>
      </w:r>
    </w:p>
    <w:p w:rsidR="00244376" w:rsidRPr="00244376" w:rsidRDefault="00980631" w:rsidP="00D30029">
      <w:pPr>
        <w:shd w:val="clear" w:color="auto" w:fill="FFFFFF"/>
        <w:ind w:firstLine="709"/>
      </w:pPr>
      <w:r>
        <w:t xml:space="preserve">Бухгалтерская отчетность на бумажном носителе представляется по формам, утвержденным приказом Минфина России от </w:t>
      </w:r>
      <w:r w:rsidR="0057144F">
        <w:t>2</w:t>
      </w:r>
      <w:r w:rsidR="00CB4F12">
        <w:t xml:space="preserve"> июля </w:t>
      </w:r>
      <w:r w:rsidR="0057144F">
        <w:t xml:space="preserve">2010 </w:t>
      </w:r>
      <w:r w:rsidR="00CB4F12">
        <w:t xml:space="preserve">г. </w:t>
      </w:r>
      <w:r w:rsidR="0057144F">
        <w:t>№ 66н.</w:t>
      </w:r>
    </w:p>
    <w:p w:rsidR="00244376" w:rsidRDefault="00244376" w:rsidP="00D30029">
      <w:pPr>
        <w:shd w:val="clear" w:color="auto" w:fill="FFFFFF"/>
        <w:ind w:firstLine="709"/>
      </w:pPr>
    </w:p>
    <w:p w:rsidR="00B57B98" w:rsidRDefault="00B57B98" w:rsidP="00D30029">
      <w:pPr>
        <w:shd w:val="clear" w:color="auto" w:fill="FFFFFF"/>
        <w:ind w:firstLine="709"/>
      </w:pPr>
    </w:p>
    <w:p w:rsidR="00B57B98" w:rsidRDefault="00B57B98" w:rsidP="00D30029">
      <w:pPr>
        <w:shd w:val="clear" w:color="auto" w:fill="FFFFFF"/>
        <w:ind w:firstLine="709"/>
      </w:pPr>
    </w:p>
    <w:p w:rsidR="003E016D" w:rsidRDefault="00AC6F1A" w:rsidP="00D30029">
      <w:pPr>
        <w:pStyle w:val="ConsPlusNormal"/>
        <w:rPr>
          <w:i/>
        </w:rPr>
      </w:pPr>
      <w:r w:rsidRPr="003E016D">
        <w:rPr>
          <w:i/>
        </w:rPr>
        <w:t xml:space="preserve">Департамент регулирования бухгалтерского учета, </w:t>
      </w:r>
    </w:p>
    <w:p w:rsidR="003E016D" w:rsidRDefault="00AC6F1A" w:rsidP="00D30029">
      <w:pPr>
        <w:pStyle w:val="ConsPlusNormal"/>
        <w:rPr>
          <w:i/>
        </w:rPr>
      </w:pPr>
      <w:r w:rsidRPr="003E016D">
        <w:rPr>
          <w:i/>
        </w:rPr>
        <w:t>финансовой отчетности и аудиторской</w:t>
      </w:r>
      <w:r w:rsidR="003E016D">
        <w:rPr>
          <w:i/>
        </w:rPr>
        <w:t xml:space="preserve"> </w:t>
      </w:r>
      <w:r w:rsidRPr="003E016D">
        <w:rPr>
          <w:i/>
        </w:rPr>
        <w:t xml:space="preserve">деятельности </w:t>
      </w:r>
    </w:p>
    <w:p w:rsidR="00AC6F1A" w:rsidRPr="003E016D" w:rsidRDefault="00AC6F1A" w:rsidP="00D30029">
      <w:pPr>
        <w:pStyle w:val="ConsPlusNormal"/>
        <w:rPr>
          <w:i/>
        </w:rPr>
      </w:pPr>
      <w:r w:rsidRPr="003E016D">
        <w:rPr>
          <w:i/>
        </w:rPr>
        <w:t>Минфина России</w:t>
      </w:r>
    </w:p>
    <w:p w:rsidR="00AC6F1A" w:rsidRDefault="00AC6F1A" w:rsidP="007D4DC5">
      <w:pPr>
        <w:pStyle w:val="ConsPlusNormal"/>
      </w:pPr>
    </w:p>
    <w:sectPr w:rsidR="00AC6F1A" w:rsidSect="00D53C0F">
      <w:headerReference w:type="default" r:id="rId8"/>
      <w:pgSz w:w="11906" w:h="16838"/>
      <w:pgMar w:top="907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B55" w:rsidRDefault="00D23B55" w:rsidP="004C6E57">
      <w:r>
        <w:separator/>
      </w:r>
    </w:p>
  </w:endnote>
  <w:endnote w:type="continuationSeparator" w:id="0">
    <w:p w:rsidR="00D23B55" w:rsidRDefault="00D23B55" w:rsidP="004C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B55" w:rsidRDefault="00D23B55" w:rsidP="004C6E57">
      <w:r>
        <w:separator/>
      </w:r>
    </w:p>
  </w:footnote>
  <w:footnote w:type="continuationSeparator" w:id="0">
    <w:p w:rsidR="00D23B55" w:rsidRDefault="00D23B55" w:rsidP="004C6E57">
      <w:r>
        <w:continuationSeparator/>
      </w:r>
    </w:p>
  </w:footnote>
  <w:footnote w:id="1">
    <w:p w:rsidR="00AA2638" w:rsidRPr="00AA2638" w:rsidRDefault="00AA2638" w:rsidP="00AA2638">
      <w:pPr>
        <w:pStyle w:val="ConsPlusNormal"/>
        <w:jc w:val="both"/>
        <w:rPr>
          <w:sz w:val="24"/>
          <w:szCs w:val="24"/>
          <w:shd w:val="clear" w:color="auto" w:fill="FFFFFF"/>
        </w:rPr>
      </w:pPr>
      <w:r w:rsidRPr="00AA2638">
        <w:rPr>
          <w:rStyle w:val="ab"/>
          <w:sz w:val="24"/>
          <w:szCs w:val="24"/>
        </w:rPr>
        <w:footnoteRef/>
      </w:r>
      <w:r w:rsidRPr="00AA2638">
        <w:rPr>
          <w:sz w:val="24"/>
          <w:szCs w:val="24"/>
        </w:rPr>
        <w:t xml:space="preserve"> О представлении бухгалтерской отчетности см. информационное сообщение ИС-учет-12 (https://www.minfin.ru/ru/perfomance/accounting/accounting/legislation/legislation/).</w:t>
      </w:r>
    </w:p>
    <w:p w:rsidR="00AA2638" w:rsidRDefault="00AA2638" w:rsidP="00AA2638">
      <w:pPr>
        <w:pStyle w:val="a9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4695713"/>
      <w:docPartObj>
        <w:docPartGallery w:val="Page Numbers (Top of Page)"/>
        <w:docPartUnique/>
      </w:docPartObj>
    </w:sdtPr>
    <w:sdtEndPr/>
    <w:sdtContent>
      <w:p w:rsidR="004C6E57" w:rsidRDefault="004C6E5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AE6">
          <w:rPr>
            <w:noProof/>
          </w:rPr>
          <w:t>2</w:t>
        </w:r>
        <w:r>
          <w:fldChar w:fldCharType="end"/>
        </w:r>
      </w:p>
    </w:sdtContent>
  </w:sdt>
  <w:p w:rsidR="004C6E57" w:rsidRDefault="004C6E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5A"/>
    <w:rsid w:val="00002252"/>
    <w:rsid w:val="00016691"/>
    <w:rsid w:val="000177EB"/>
    <w:rsid w:val="000304A0"/>
    <w:rsid w:val="0003297C"/>
    <w:rsid w:val="00037A7A"/>
    <w:rsid w:val="00040892"/>
    <w:rsid w:val="0006131F"/>
    <w:rsid w:val="00066355"/>
    <w:rsid w:val="00067CA6"/>
    <w:rsid w:val="00070673"/>
    <w:rsid w:val="00071B1C"/>
    <w:rsid w:val="00073D0D"/>
    <w:rsid w:val="0007551C"/>
    <w:rsid w:val="000812DF"/>
    <w:rsid w:val="000836A3"/>
    <w:rsid w:val="00083B6E"/>
    <w:rsid w:val="00085655"/>
    <w:rsid w:val="00085910"/>
    <w:rsid w:val="0008720C"/>
    <w:rsid w:val="00090168"/>
    <w:rsid w:val="00093CD3"/>
    <w:rsid w:val="00095D64"/>
    <w:rsid w:val="00096A31"/>
    <w:rsid w:val="000A2D2D"/>
    <w:rsid w:val="000A7C78"/>
    <w:rsid w:val="000B06DD"/>
    <w:rsid w:val="000B521D"/>
    <w:rsid w:val="000C3370"/>
    <w:rsid w:val="000C62AE"/>
    <w:rsid w:val="000C64B5"/>
    <w:rsid w:val="000D665A"/>
    <w:rsid w:val="000E229B"/>
    <w:rsid w:val="000E61B4"/>
    <w:rsid w:val="000E729A"/>
    <w:rsid w:val="0010086C"/>
    <w:rsid w:val="0010570D"/>
    <w:rsid w:val="00116751"/>
    <w:rsid w:val="001207BC"/>
    <w:rsid w:val="00121895"/>
    <w:rsid w:val="00122922"/>
    <w:rsid w:val="00130C07"/>
    <w:rsid w:val="001313E9"/>
    <w:rsid w:val="00132E0B"/>
    <w:rsid w:val="001361E1"/>
    <w:rsid w:val="001441F3"/>
    <w:rsid w:val="00151DC8"/>
    <w:rsid w:val="0015758A"/>
    <w:rsid w:val="00161657"/>
    <w:rsid w:val="0016184D"/>
    <w:rsid w:val="00162528"/>
    <w:rsid w:val="00165800"/>
    <w:rsid w:val="001745FE"/>
    <w:rsid w:val="00176906"/>
    <w:rsid w:val="0017730E"/>
    <w:rsid w:val="00183E8C"/>
    <w:rsid w:val="00185E76"/>
    <w:rsid w:val="00191FC9"/>
    <w:rsid w:val="00192C41"/>
    <w:rsid w:val="00196E82"/>
    <w:rsid w:val="001A1015"/>
    <w:rsid w:val="001A3E50"/>
    <w:rsid w:val="001A75A4"/>
    <w:rsid w:val="001B267D"/>
    <w:rsid w:val="001C158B"/>
    <w:rsid w:val="001C30B3"/>
    <w:rsid w:val="001D11BF"/>
    <w:rsid w:val="001D2D1C"/>
    <w:rsid w:val="001F0D3C"/>
    <w:rsid w:val="001F7D00"/>
    <w:rsid w:val="002005E0"/>
    <w:rsid w:val="002071DC"/>
    <w:rsid w:val="002100EC"/>
    <w:rsid w:val="00211587"/>
    <w:rsid w:val="00212565"/>
    <w:rsid w:val="00213AB0"/>
    <w:rsid w:val="00220EBA"/>
    <w:rsid w:val="00235BFD"/>
    <w:rsid w:val="002365A6"/>
    <w:rsid w:val="0023673B"/>
    <w:rsid w:val="0024032D"/>
    <w:rsid w:val="00244376"/>
    <w:rsid w:val="00245255"/>
    <w:rsid w:val="0024532D"/>
    <w:rsid w:val="002550E9"/>
    <w:rsid w:val="00255AEB"/>
    <w:rsid w:val="00260A39"/>
    <w:rsid w:val="0026142A"/>
    <w:rsid w:val="002723E8"/>
    <w:rsid w:val="00275777"/>
    <w:rsid w:val="00281751"/>
    <w:rsid w:val="00281C56"/>
    <w:rsid w:val="002831A3"/>
    <w:rsid w:val="00286E83"/>
    <w:rsid w:val="0029116B"/>
    <w:rsid w:val="002942D9"/>
    <w:rsid w:val="002B00C7"/>
    <w:rsid w:val="002B0B04"/>
    <w:rsid w:val="002B74EF"/>
    <w:rsid w:val="002C0C9F"/>
    <w:rsid w:val="002C2F0C"/>
    <w:rsid w:val="002C492D"/>
    <w:rsid w:val="002C5503"/>
    <w:rsid w:val="002C7AEC"/>
    <w:rsid w:val="002C7B96"/>
    <w:rsid w:val="002D1F55"/>
    <w:rsid w:val="002D23A4"/>
    <w:rsid w:val="002D3973"/>
    <w:rsid w:val="002E6515"/>
    <w:rsid w:val="002F1DBE"/>
    <w:rsid w:val="002F4532"/>
    <w:rsid w:val="002F5AA9"/>
    <w:rsid w:val="00303A1C"/>
    <w:rsid w:val="00305421"/>
    <w:rsid w:val="00310FB7"/>
    <w:rsid w:val="00312303"/>
    <w:rsid w:val="003200DC"/>
    <w:rsid w:val="003269A6"/>
    <w:rsid w:val="00365905"/>
    <w:rsid w:val="003718C3"/>
    <w:rsid w:val="003819FC"/>
    <w:rsid w:val="0038416F"/>
    <w:rsid w:val="00387E45"/>
    <w:rsid w:val="003A6203"/>
    <w:rsid w:val="003B1BA0"/>
    <w:rsid w:val="003B4019"/>
    <w:rsid w:val="003C30B0"/>
    <w:rsid w:val="003D5926"/>
    <w:rsid w:val="003D5FD8"/>
    <w:rsid w:val="003E016D"/>
    <w:rsid w:val="003E0C0A"/>
    <w:rsid w:val="003F365D"/>
    <w:rsid w:val="003F5AA9"/>
    <w:rsid w:val="00400B53"/>
    <w:rsid w:val="00407B90"/>
    <w:rsid w:val="00407E54"/>
    <w:rsid w:val="0041007E"/>
    <w:rsid w:val="00424871"/>
    <w:rsid w:val="00431F64"/>
    <w:rsid w:val="0043529E"/>
    <w:rsid w:val="0043534C"/>
    <w:rsid w:val="00440E3F"/>
    <w:rsid w:val="00445ECD"/>
    <w:rsid w:val="004528CA"/>
    <w:rsid w:val="00457B95"/>
    <w:rsid w:val="004629A6"/>
    <w:rsid w:val="00472920"/>
    <w:rsid w:val="004770AC"/>
    <w:rsid w:val="004908B4"/>
    <w:rsid w:val="0049650E"/>
    <w:rsid w:val="004A7E93"/>
    <w:rsid w:val="004B0518"/>
    <w:rsid w:val="004B2139"/>
    <w:rsid w:val="004C3647"/>
    <w:rsid w:val="004C6E57"/>
    <w:rsid w:val="004C7F63"/>
    <w:rsid w:val="004D56D3"/>
    <w:rsid w:val="004D6AF7"/>
    <w:rsid w:val="004D7E7F"/>
    <w:rsid w:val="004F6A22"/>
    <w:rsid w:val="005119FC"/>
    <w:rsid w:val="0052127D"/>
    <w:rsid w:val="00521D9F"/>
    <w:rsid w:val="00525463"/>
    <w:rsid w:val="005254E3"/>
    <w:rsid w:val="0053692E"/>
    <w:rsid w:val="00536E34"/>
    <w:rsid w:val="00544601"/>
    <w:rsid w:val="00545B04"/>
    <w:rsid w:val="00546E97"/>
    <w:rsid w:val="00550DED"/>
    <w:rsid w:val="00550ED6"/>
    <w:rsid w:val="005670D3"/>
    <w:rsid w:val="005705A1"/>
    <w:rsid w:val="00570850"/>
    <w:rsid w:val="0057144F"/>
    <w:rsid w:val="00576AE3"/>
    <w:rsid w:val="00584539"/>
    <w:rsid w:val="00587770"/>
    <w:rsid w:val="005A53AA"/>
    <w:rsid w:val="005B7BC9"/>
    <w:rsid w:val="005E1288"/>
    <w:rsid w:val="005E66D6"/>
    <w:rsid w:val="005E67CB"/>
    <w:rsid w:val="005E79A0"/>
    <w:rsid w:val="005F097C"/>
    <w:rsid w:val="005F4320"/>
    <w:rsid w:val="005F7505"/>
    <w:rsid w:val="00603FCC"/>
    <w:rsid w:val="00604C55"/>
    <w:rsid w:val="006053B0"/>
    <w:rsid w:val="00612535"/>
    <w:rsid w:val="00626386"/>
    <w:rsid w:val="006414CA"/>
    <w:rsid w:val="00654FBD"/>
    <w:rsid w:val="006579D8"/>
    <w:rsid w:val="00662210"/>
    <w:rsid w:val="00666085"/>
    <w:rsid w:val="006718E1"/>
    <w:rsid w:val="00673E6D"/>
    <w:rsid w:val="00675A46"/>
    <w:rsid w:val="00675AEB"/>
    <w:rsid w:val="00680C6D"/>
    <w:rsid w:val="00682A56"/>
    <w:rsid w:val="00683AC3"/>
    <w:rsid w:val="00685AB5"/>
    <w:rsid w:val="00687A64"/>
    <w:rsid w:val="00691BDB"/>
    <w:rsid w:val="00696E51"/>
    <w:rsid w:val="006B39E5"/>
    <w:rsid w:val="006B5028"/>
    <w:rsid w:val="006B5740"/>
    <w:rsid w:val="006B6F79"/>
    <w:rsid w:val="006D77D4"/>
    <w:rsid w:val="006E0383"/>
    <w:rsid w:val="006E19A2"/>
    <w:rsid w:val="006F3D8D"/>
    <w:rsid w:val="006F5155"/>
    <w:rsid w:val="007068B0"/>
    <w:rsid w:val="00714212"/>
    <w:rsid w:val="00721558"/>
    <w:rsid w:val="00723DDC"/>
    <w:rsid w:val="00732358"/>
    <w:rsid w:val="007424B4"/>
    <w:rsid w:val="007437A6"/>
    <w:rsid w:val="0074399C"/>
    <w:rsid w:val="00750C6E"/>
    <w:rsid w:val="00757AF3"/>
    <w:rsid w:val="0076098C"/>
    <w:rsid w:val="00761689"/>
    <w:rsid w:val="00763557"/>
    <w:rsid w:val="00766877"/>
    <w:rsid w:val="007672A6"/>
    <w:rsid w:val="007738AA"/>
    <w:rsid w:val="007772E6"/>
    <w:rsid w:val="00782D76"/>
    <w:rsid w:val="0078319F"/>
    <w:rsid w:val="00784382"/>
    <w:rsid w:val="00787189"/>
    <w:rsid w:val="007937CC"/>
    <w:rsid w:val="00794FFB"/>
    <w:rsid w:val="007A3C2E"/>
    <w:rsid w:val="007B0EE9"/>
    <w:rsid w:val="007B13BD"/>
    <w:rsid w:val="007B2110"/>
    <w:rsid w:val="007B719B"/>
    <w:rsid w:val="007C275C"/>
    <w:rsid w:val="007D4DC5"/>
    <w:rsid w:val="007E1715"/>
    <w:rsid w:val="00800AD6"/>
    <w:rsid w:val="00802938"/>
    <w:rsid w:val="008053C3"/>
    <w:rsid w:val="00805C9D"/>
    <w:rsid w:val="00810843"/>
    <w:rsid w:val="00810938"/>
    <w:rsid w:val="0081245D"/>
    <w:rsid w:val="00816F5F"/>
    <w:rsid w:val="0082238D"/>
    <w:rsid w:val="00822E47"/>
    <w:rsid w:val="00825767"/>
    <w:rsid w:val="00825D18"/>
    <w:rsid w:val="00826204"/>
    <w:rsid w:val="008377C5"/>
    <w:rsid w:val="00840281"/>
    <w:rsid w:val="00852051"/>
    <w:rsid w:val="00855E8B"/>
    <w:rsid w:val="00856A0D"/>
    <w:rsid w:val="008670FB"/>
    <w:rsid w:val="00873AEA"/>
    <w:rsid w:val="0087668E"/>
    <w:rsid w:val="008767E2"/>
    <w:rsid w:val="00877CAF"/>
    <w:rsid w:val="008865E9"/>
    <w:rsid w:val="008878AF"/>
    <w:rsid w:val="008A515D"/>
    <w:rsid w:val="008A6F83"/>
    <w:rsid w:val="008A7460"/>
    <w:rsid w:val="008B31B0"/>
    <w:rsid w:val="008B405C"/>
    <w:rsid w:val="008B559C"/>
    <w:rsid w:val="008C19EA"/>
    <w:rsid w:val="008C26C9"/>
    <w:rsid w:val="008D0CB8"/>
    <w:rsid w:val="008D412D"/>
    <w:rsid w:val="008E2036"/>
    <w:rsid w:val="008E25F2"/>
    <w:rsid w:val="008E2F5F"/>
    <w:rsid w:val="008F0411"/>
    <w:rsid w:val="008F1963"/>
    <w:rsid w:val="008F7416"/>
    <w:rsid w:val="00910177"/>
    <w:rsid w:val="009104D0"/>
    <w:rsid w:val="0091220A"/>
    <w:rsid w:val="00913E00"/>
    <w:rsid w:val="009174B7"/>
    <w:rsid w:val="0094298D"/>
    <w:rsid w:val="00942AB3"/>
    <w:rsid w:val="00946C78"/>
    <w:rsid w:val="0095421F"/>
    <w:rsid w:val="009555E8"/>
    <w:rsid w:val="00965A9E"/>
    <w:rsid w:val="00967772"/>
    <w:rsid w:val="00971738"/>
    <w:rsid w:val="009778CC"/>
    <w:rsid w:val="00980631"/>
    <w:rsid w:val="00980FAC"/>
    <w:rsid w:val="0098427D"/>
    <w:rsid w:val="009842CF"/>
    <w:rsid w:val="00984B65"/>
    <w:rsid w:val="00986BD5"/>
    <w:rsid w:val="009876EA"/>
    <w:rsid w:val="009932F5"/>
    <w:rsid w:val="00993CD5"/>
    <w:rsid w:val="0099430D"/>
    <w:rsid w:val="00996553"/>
    <w:rsid w:val="00997E3F"/>
    <w:rsid w:val="009A0743"/>
    <w:rsid w:val="009A3300"/>
    <w:rsid w:val="009B3631"/>
    <w:rsid w:val="009B75AC"/>
    <w:rsid w:val="009B7DBA"/>
    <w:rsid w:val="009C119D"/>
    <w:rsid w:val="009C72C3"/>
    <w:rsid w:val="009C72CE"/>
    <w:rsid w:val="009D55E0"/>
    <w:rsid w:val="009D6933"/>
    <w:rsid w:val="009D7643"/>
    <w:rsid w:val="009E31BA"/>
    <w:rsid w:val="009E3F33"/>
    <w:rsid w:val="009E604F"/>
    <w:rsid w:val="009F0195"/>
    <w:rsid w:val="009F2996"/>
    <w:rsid w:val="009F3C49"/>
    <w:rsid w:val="00A03AC2"/>
    <w:rsid w:val="00A05B7C"/>
    <w:rsid w:val="00A15BF6"/>
    <w:rsid w:val="00A2317C"/>
    <w:rsid w:val="00A242CE"/>
    <w:rsid w:val="00A27279"/>
    <w:rsid w:val="00A34EB1"/>
    <w:rsid w:val="00A36C9A"/>
    <w:rsid w:val="00A37F12"/>
    <w:rsid w:val="00A508FC"/>
    <w:rsid w:val="00A51486"/>
    <w:rsid w:val="00A53807"/>
    <w:rsid w:val="00A56E93"/>
    <w:rsid w:val="00A601AA"/>
    <w:rsid w:val="00A6786C"/>
    <w:rsid w:val="00A80E4E"/>
    <w:rsid w:val="00A84AB2"/>
    <w:rsid w:val="00AA2638"/>
    <w:rsid w:val="00AB2FCB"/>
    <w:rsid w:val="00AB40A9"/>
    <w:rsid w:val="00AC628F"/>
    <w:rsid w:val="00AC6F1A"/>
    <w:rsid w:val="00AD5B44"/>
    <w:rsid w:val="00AF768D"/>
    <w:rsid w:val="00B05418"/>
    <w:rsid w:val="00B05D23"/>
    <w:rsid w:val="00B1236D"/>
    <w:rsid w:val="00B14DDA"/>
    <w:rsid w:val="00B23122"/>
    <w:rsid w:val="00B265C8"/>
    <w:rsid w:val="00B315EB"/>
    <w:rsid w:val="00B36CD9"/>
    <w:rsid w:val="00B377F9"/>
    <w:rsid w:val="00B505FF"/>
    <w:rsid w:val="00B5450C"/>
    <w:rsid w:val="00B551CA"/>
    <w:rsid w:val="00B56BB0"/>
    <w:rsid w:val="00B57B98"/>
    <w:rsid w:val="00B7276C"/>
    <w:rsid w:val="00B809A7"/>
    <w:rsid w:val="00B85A07"/>
    <w:rsid w:val="00B9029B"/>
    <w:rsid w:val="00B94661"/>
    <w:rsid w:val="00B95D75"/>
    <w:rsid w:val="00BA5E69"/>
    <w:rsid w:val="00BB54E0"/>
    <w:rsid w:val="00BC0ED9"/>
    <w:rsid w:val="00BC1BDB"/>
    <w:rsid w:val="00BC1DF7"/>
    <w:rsid w:val="00BC3B83"/>
    <w:rsid w:val="00BC7927"/>
    <w:rsid w:val="00BD0AE6"/>
    <w:rsid w:val="00BD4091"/>
    <w:rsid w:val="00BD638F"/>
    <w:rsid w:val="00BD7708"/>
    <w:rsid w:val="00BE1999"/>
    <w:rsid w:val="00BF0E1F"/>
    <w:rsid w:val="00BF41AA"/>
    <w:rsid w:val="00BF7933"/>
    <w:rsid w:val="00C043C5"/>
    <w:rsid w:val="00C062AE"/>
    <w:rsid w:val="00C1165A"/>
    <w:rsid w:val="00C2526A"/>
    <w:rsid w:val="00C3116C"/>
    <w:rsid w:val="00C50B44"/>
    <w:rsid w:val="00C624C7"/>
    <w:rsid w:val="00C62B41"/>
    <w:rsid w:val="00C67423"/>
    <w:rsid w:val="00C759D0"/>
    <w:rsid w:val="00C76C7C"/>
    <w:rsid w:val="00C81400"/>
    <w:rsid w:val="00C8514F"/>
    <w:rsid w:val="00C8582F"/>
    <w:rsid w:val="00CA081F"/>
    <w:rsid w:val="00CA30A7"/>
    <w:rsid w:val="00CA46FD"/>
    <w:rsid w:val="00CA531F"/>
    <w:rsid w:val="00CA64D3"/>
    <w:rsid w:val="00CA71E8"/>
    <w:rsid w:val="00CB1B29"/>
    <w:rsid w:val="00CB4796"/>
    <w:rsid w:val="00CB4F12"/>
    <w:rsid w:val="00CB646B"/>
    <w:rsid w:val="00CB6A01"/>
    <w:rsid w:val="00CC1EED"/>
    <w:rsid w:val="00CC1F5B"/>
    <w:rsid w:val="00CE34B6"/>
    <w:rsid w:val="00CF0FD0"/>
    <w:rsid w:val="00D13464"/>
    <w:rsid w:val="00D161F9"/>
    <w:rsid w:val="00D225D2"/>
    <w:rsid w:val="00D23B55"/>
    <w:rsid w:val="00D30029"/>
    <w:rsid w:val="00D36B51"/>
    <w:rsid w:val="00D5051C"/>
    <w:rsid w:val="00D521CB"/>
    <w:rsid w:val="00D53C0F"/>
    <w:rsid w:val="00D72491"/>
    <w:rsid w:val="00D777CA"/>
    <w:rsid w:val="00D8321B"/>
    <w:rsid w:val="00D87914"/>
    <w:rsid w:val="00D90CF1"/>
    <w:rsid w:val="00D92864"/>
    <w:rsid w:val="00D96A6C"/>
    <w:rsid w:val="00DA2E33"/>
    <w:rsid w:val="00DA738C"/>
    <w:rsid w:val="00DB30B7"/>
    <w:rsid w:val="00DD08A0"/>
    <w:rsid w:val="00DD505D"/>
    <w:rsid w:val="00DD7B08"/>
    <w:rsid w:val="00DE307A"/>
    <w:rsid w:val="00DE3DF8"/>
    <w:rsid w:val="00DE3FA9"/>
    <w:rsid w:val="00DE55F8"/>
    <w:rsid w:val="00DE5B58"/>
    <w:rsid w:val="00DE73E0"/>
    <w:rsid w:val="00DF2C78"/>
    <w:rsid w:val="00DF75F1"/>
    <w:rsid w:val="00E04654"/>
    <w:rsid w:val="00E22FA8"/>
    <w:rsid w:val="00E24130"/>
    <w:rsid w:val="00E31205"/>
    <w:rsid w:val="00E35454"/>
    <w:rsid w:val="00E36A83"/>
    <w:rsid w:val="00E37D25"/>
    <w:rsid w:val="00E42E5F"/>
    <w:rsid w:val="00E52AFE"/>
    <w:rsid w:val="00E546DC"/>
    <w:rsid w:val="00E55C20"/>
    <w:rsid w:val="00E57E4E"/>
    <w:rsid w:val="00E6074A"/>
    <w:rsid w:val="00E62572"/>
    <w:rsid w:val="00E76E45"/>
    <w:rsid w:val="00E92E67"/>
    <w:rsid w:val="00E9348E"/>
    <w:rsid w:val="00EA1580"/>
    <w:rsid w:val="00EB3D17"/>
    <w:rsid w:val="00EC074A"/>
    <w:rsid w:val="00EC23F6"/>
    <w:rsid w:val="00EC2907"/>
    <w:rsid w:val="00ED1BA2"/>
    <w:rsid w:val="00ED1E81"/>
    <w:rsid w:val="00ED30E7"/>
    <w:rsid w:val="00ED5FBA"/>
    <w:rsid w:val="00EE682C"/>
    <w:rsid w:val="00EF221F"/>
    <w:rsid w:val="00EF42F4"/>
    <w:rsid w:val="00EF5621"/>
    <w:rsid w:val="00F04CA3"/>
    <w:rsid w:val="00F11990"/>
    <w:rsid w:val="00F13BF3"/>
    <w:rsid w:val="00F16F99"/>
    <w:rsid w:val="00F233AB"/>
    <w:rsid w:val="00F258F9"/>
    <w:rsid w:val="00F33216"/>
    <w:rsid w:val="00F37D9A"/>
    <w:rsid w:val="00F400D1"/>
    <w:rsid w:val="00F4362E"/>
    <w:rsid w:val="00F446C0"/>
    <w:rsid w:val="00F448CC"/>
    <w:rsid w:val="00F50524"/>
    <w:rsid w:val="00F5584E"/>
    <w:rsid w:val="00F566DC"/>
    <w:rsid w:val="00F56E56"/>
    <w:rsid w:val="00F62F37"/>
    <w:rsid w:val="00F6381D"/>
    <w:rsid w:val="00F72CD9"/>
    <w:rsid w:val="00F77EC6"/>
    <w:rsid w:val="00F827B1"/>
    <w:rsid w:val="00F853F8"/>
    <w:rsid w:val="00F95E0B"/>
    <w:rsid w:val="00F95E3C"/>
    <w:rsid w:val="00F97B9A"/>
    <w:rsid w:val="00FA118A"/>
    <w:rsid w:val="00FA491C"/>
    <w:rsid w:val="00FA65DB"/>
    <w:rsid w:val="00FB506E"/>
    <w:rsid w:val="00FD2C46"/>
    <w:rsid w:val="00FD6E89"/>
    <w:rsid w:val="00FE117B"/>
    <w:rsid w:val="00FE339D"/>
    <w:rsid w:val="00FE48CF"/>
    <w:rsid w:val="00FF40EE"/>
    <w:rsid w:val="00FF54A5"/>
    <w:rsid w:val="00FF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1A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E57"/>
  </w:style>
  <w:style w:type="paragraph" w:styleId="a5">
    <w:name w:val="footer"/>
    <w:basedOn w:val="a"/>
    <w:link w:val="a6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E57"/>
  </w:style>
  <w:style w:type="table" w:styleId="a7">
    <w:name w:val="Table Grid"/>
    <w:basedOn w:val="a1"/>
    <w:uiPriority w:val="59"/>
    <w:rsid w:val="00FF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638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CA64D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C62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628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628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441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1F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5AEB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7068B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63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01AA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E57"/>
  </w:style>
  <w:style w:type="paragraph" w:styleId="a5">
    <w:name w:val="footer"/>
    <w:basedOn w:val="a"/>
    <w:link w:val="a6"/>
    <w:uiPriority w:val="99"/>
    <w:unhideWhenUsed/>
    <w:rsid w:val="004C6E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E57"/>
  </w:style>
  <w:style w:type="table" w:styleId="a7">
    <w:name w:val="Table Grid"/>
    <w:basedOn w:val="a1"/>
    <w:uiPriority w:val="59"/>
    <w:rsid w:val="00FF6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638F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CA64D3"/>
    <w:rPr>
      <w:color w:val="0000FF" w:themeColor="hyperlink"/>
      <w:u w:val="single"/>
    </w:rPr>
  </w:style>
  <w:style w:type="paragraph" w:styleId="a9">
    <w:name w:val="footnote text"/>
    <w:basedOn w:val="a"/>
    <w:link w:val="aa"/>
    <w:uiPriority w:val="99"/>
    <w:semiHidden/>
    <w:unhideWhenUsed/>
    <w:rsid w:val="00AC62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C628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C628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1441F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441F3"/>
    <w:rPr>
      <w:rFonts w:ascii="Tahoma" w:hAnsi="Tahoma" w:cs="Tahoma"/>
      <w:sz w:val="16"/>
      <w:szCs w:val="16"/>
    </w:rPr>
  </w:style>
  <w:style w:type="paragraph" w:styleId="ae">
    <w:name w:val="List Paragraph"/>
    <w:basedOn w:val="a"/>
    <w:uiPriority w:val="34"/>
    <w:qFormat/>
    <w:rsid w:val="00255AEB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706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01A0E0C5-70C8-4580-A698-03EE424BB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БАКУЛИНА ТАТЬЯНА СЕРГЕЕВНА</cp:lastModifiedBy>
  <cp:revision>16</cp:revision>
  <cp:lastPrinted>2019-12-24T15:11:00Z</cp:lastPrinted>
  <dcterms:created xsi:type="dcterms:W3CDTF">2019-12-24T06:40:00Z</dcterms:created>
  <dcterms:modified xsi:type="dcterms:W3CDTF">2019-12-24T15:12:00Z</dcterms:modified>
</cp:coreProperties>
</file>