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lang w:val="en-US"/>
        </w:rPr>
        <w:t>по</w:t>
      </w:r>
      <w:proofErr w:type="gramEnd"/>
      <w:r>
        <w:rPr>
          <w:b/>
          <w:sz w:val="20"/>
          <w:szCs w:val="20"/>
          <w:lang w:val="en-US"/>
        </w:rPr>
        <w:t xml:space="preserve"> состоянию на </w:t>
      </w:r>
      <w:r w:rsidR="00A8501E">
        <w:rPr>
          <w:b/>
          <w:sz w:val="20"/>
          <w:szCs w:val="20"/>
        </w:rPr>
        <w:t>2</w:t>
      </w:r>
      <w:r w:rsidR="00C41066">
        <w:rPr>
          <w:b/>
          <w:sz w:val="20"/>
          <w:szCs w:val="20"/>
        </w:rPr>
        <w:t>7</w:t>
      </w:r>
      <w:r w:rsidR="0078187E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0</w:t>
      </w:r>
      <w:r w:rsidR="004F46E2">
        <w:rPr>
          <w:b/>
          <w:sz w:val="20"/>
          <w:szCs w:val="20"/>
        </w:rPr>
        <w:t>9</w:t>
      </w:r>
      <w:r>
        <w:rPr>
          <w:b/>
          <w:sz w:val="20"/>
          <w:szCs w:val="20"/>
          <w:lang w:val="en-US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1A3A8E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A3A8E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8B5DF4">
        <w:trPr>
          <w:trHeight w:val="368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A8501E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(согласовано с замеч.)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A8501E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1A3A8E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1A3A8E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A8501E">
        <w:trPr>
          <w:trHeight w:val="228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A8501E">
        <w:trPr>
          <w:trHeight w:val="134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r>
              <w:rPr>
                <w:sz w:val="16"/>
                <w:szCs w:val="16"/>
              </w:rPr>
              <w:lastRenderedPageBreak/>
              <w:t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1A3A8E">
        <w:trPr>
          <w:trHeight w:val="124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A8501E">
        <w:trPr>
          <w:trHeight w:val="147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1A3A8E">
        <w:trPr>
          <w:trHeight w:val="193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пообъектном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17207-01.1-50-</w:t>
            </w:r>
            <w:r w:rsidRPr="00EE66CA">
              <w:rPr>
                <w:sz w:val="16"/>
                <w:szCs w:val="16"/>
              </w:rPr>
              <w:lastRenderedPageBreak/>
              <w:t xml:space="preserve">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lastRenderedPageBreak/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lastRenderedPageBreak/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43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Центр компетенций по импортозамещению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Госфонда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формирования Госфонда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A8501E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предпенсионного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Ростехнадзор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Ростехнадзор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6841E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>«Федеральная гидрогенерирующая компания – РусГидро»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>(согласовано с замеч.)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(согласовано с замеч.)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Волго-Ахтубинской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(согласовано с замеч.)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мукополисахаридозом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автономной некоммерческой организации «Центр компетенций по импортозамещению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</w:t>
            </w:r>
            <w:r>
              <w:rPr>
                <w:sz w:val="16"/>
                <w:szCs w:val="16"/>
              </w:rPr>
              <w:lastRenderedPageBreak/>
              <w:t>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12.06.2019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бюджетам субъектов Российской Федерации на софинансирование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</w:t>
            </w:r>
            <w:r>
              <w:rPr>
                <w:sz w:val="16"/>
                <w:szCs w:val="16"/>
              </w:rPr>
              <w:lastRenderedPageBreak/>
              <w:t>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lastRenderedPageBreak/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20.04.2019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экономика»,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«Агентство развития </w:t>
            </w:r>
            <w:r>
              <w:rPr>
                <w:sz w:val="16"/>
                <w:szCs w:val="16"/>
              </w:rPr>
              <w:lastRenderedPageBreak/>
              <w:t>профессиональных сообществ и рабочих кадров «Молодые профессионалы (Вордскиллс Россия)»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A8501E">
        <w:trPr>
          <w:trHeight w:val="3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(согласовано с замеч.)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A8501E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«Мамисон»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>(согласовано с замеч.)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421866" w:rsidTr="00A8501E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F05C9A" w:rsidRDefault="00421866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421866" w:rsidRDefault="00421866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421866" w:rsidRPr="004F6BA7" w:rsidRDefault="00421866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критериев приостановления открытия (отказа в открытии) лицевых счетов </w:t>
            </w:r>
            <w:r>
              <w:rPr>
                <w:sz w:val="16"/>
                <w:szCs w:val="16"/>
              </w:rPr>
              <w:lastRenderedPageBreak/>
              <w:t>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lastRenderedPageBreak/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>О внесении изменений в приказ Росавиаци</w:t>
            </w:r>
            <w:r>
              <w:rPr>
                <w:sz w:val="16"/>
                <w:szCs w:val="16"/>
              </w:rPr>
              <w:t>и</w:t>
            </w:r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Росавиация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Росавиации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A8501E">
        <w:trPr>
          <w:trHeight w:val="2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A8501E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A8501E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C41066">
        <w:rPr>
          <w:sz w:val="20"/>
          <w:szCs w:val="20"/>
        </w:rPr>
        <w:t>27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4F46E2">
        <w:rPr>
          <w:sz w:val="20"/>
          <w:szCs w:val="20"/>
        </w:rPr>
        <w:t>сентября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CB" w:rsidRDefault="006507CB">
      <w:r>
        <w:separator/>
      </w:r>
    </w:p>
  </w:endnote>
  <w:endnote w:type="continuationSeparator" w:id="0">
    <w:p w:rsidR="006507CB" w:rsidRDefault="006507CB">
      <w:r>
        <w:continuationSeparator/>
      </w:r>
    </w:p>
  </w:endnote>
  <w:endnote w:type="continuationNotice" w:id="1">
    <w:p w:rsidR="006507CB" w:rsidRDefault="00650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8E" w:rsidRDefault="001A3A8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A8E" w:rsidRDefault="001A3A8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8E" w:rsidRPr="00CC7E77" w:rsidRDefault="001A3A8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CB" w:rsidRDefault="006507CB">
      <w:r>
        <w:separator/>
      </w:r>
    </w:p>
  </w:footnote>
  <w:footnote w:type="continuationSeparator" w:id="0">
    <w:p w:rsidR="006507CB" w:rsidRDefault="006507CB">
      <w:r>
        <w:continuationSeparator/>
      </w:r>
    </w:p>
  </w:footnote>
  <w:footnote w:type="continuationNotice" w:id="1">
    <w:p w:rsidR="006507CB" w:rsidRDefault="006507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8E" w:rsidRPr="00561755" w:rsidRDefault="001A3A8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41066">
      <w:rPr>
        <w:rStyle w:val="a4"/>
        <w:noProof/>
        <w:sz w:val="20"/>
        <w:szCs w:val="20"/>
      </w:rPr>
      <w:t>36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7F15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19BF"/>
    <w:rsid w:val="009328E7"/>
    <w:rsid w:val="009516BF"/>
    <w:rsid w:val="00951EF5"/>
    <w:rsid w:val="0096205E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41066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449E"/>
    <w:rsid w:val="00DC3977"/>
    <w:rsid w:val="00DD3446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C0E0-26CB-4E09-92B6-B3173BDE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9678</Words>
  <Characters>55170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2019-09-26T18:26:00Z</dcterms:created>
  <dcterms:modified xsi:type="dcterms:W3CDTF">2019-09-26T18:26:00Z</dcterms:modified>
</cp:coreProperties>
</file>