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7" w:rsidRPr="00AA573F" w:rsidRDefault="00555DD7" w:rsidP="007725EF">
      <w:pPr>
        <w:jc w:val="center"/>
        <w:rPr>
          <w:b/>
          <w:sz w:val="38"/>
          <w:szCs w:val="38"/>
        </w:rPr>
      </w:pPr>
      <w:r w:rsidRPr="00AA573F">
        <w:rPr>
          <w:b/>
          <w:sz w:val="38"/>
          <w:szCs w:val="38"/>
        </w:rPr>
        <w:t>Информ</w:t>
      </w:r>
      <w:bookmarkStart w:id="0" w:name="_GoBack"/>
      <w:bookmarkEnd w:id="0"/>
      <w:r w:rsidRPr="00AA573F">
        <w:rPr>
          <w:b/>
          <w:sz w:val="38"/>
          <w:szCs w:val="38"/>
        </w:rPr>
        <w:t>ация об исполнении консолидированных бюджетов</w:t>
      </w:r>
      <w:r w:rsidR="00AA573F">
        <w:rPr>
          <w:b/>
          <w:sz w:val="38"/>
          <w:szCs w:val="38"/>
        </w:rPr>
        <w:t xml:space="preserve"> субъектов Российской Федерации</w:t>
      </w:r>
      <w:r w:rsidR="00AA573F">
        <w:rPr>
          <w:b/>
          <w:sz w:val="38"/>
          <w:szCs w:val="38"/>
        </w:rPr>
        <w:br/>
      </w:r>
      <w:r w:rsidRPr="00AA573F">
        <w:rPr>
          <w:b/>
          <w:sz w:val="38"/>
          <w:szCs w:val="38"/>
        </w:rPr>
        <w:t>на 1 августа 2019 года.</w:t>
      </w:r>
    </w:p>
    <w:p w:rsidR="00AA573F" w:rsidRPr="00AA573F" w:rsidRDefault="00AA573F" w:rsidP="007725EF">
      <w:pPr>
        <w:jc w:val="center"/>
        <w:rPr>
          <w:sz w:val="30"/>
          <w:szCs w:val="30"/>
        </w:rPr>
      </w:pPr>
    </w:p>
    <w:p w:rsidR="00AA573F" w:rsidRPr="00AA573F" w:rsidRDefault="00AA573F" w:rsidP="007725EF">
      <w:pPr>
        <w:jc w:val="center"/>
        <w:rPr>
          <w:sz w:val="30"/>
          <w:szCs w:val="30"/>
        </w:rPr>
      </w:pPr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AA573F">
        <w:rPr>
          <w:i/>
          <w:sz w:val="37"/>
          <w:szCs w:val="37"/>
        </w:rPr>
        <w:t>Доходы</w:t>
      </w:r>
      <w:r w:rsidRPr="00AA573F">
        <w:rPr>
          <w:sz w:val="37"/>
          <w:szCs w:val="37"/>
        </w:rPr>
        <w:t xml:space="preserve"> составили 7 702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 xml:space="preserve"> с </w:t>
      </w:r>
      <w:r w:rsidRPr="00AA573F">
        <w:rPr>
          <w:b/>
          <w:sz w:val="37"/>
          <w:szCs w:val="37"/>
        </w:rPr>
        <w:t>ростом на 13%</w:t>
      </w:r>
      <w:r w:rsidR="00AA573F">
        <w:rPr>
          <w:sz w:val="37"/>
          <w:szCs w:val="37"/>
        </w:rPr>
        <w:br/>
      </w:r>
      <w:r w:rsidRPr="00AA573F">
        <w:rPr>
          <w:sz w:val="37"/>
          <w:szCs w:val="37"/>
        </w:rPr>
        <w:t xml:space="preserve">(+864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>).</w:t>
      </w:r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AA573F">
        <w:rPr>
          <w:sz w:val="37"/>
          <w:szCs w:val="37"/>
        </w:rPr>
        <w:t xml:space="preserve">Поступление </w:t>
      </w:r>
      <w:r w:rsidRPr="00AA573F">
        <w:rPr>
          <w:i/>
          <w:sz w:val="37"/>
          <w:szCs w:val="37"/>
        </w:rPr>
        <w:t>налоговых и неналоговых доходов</w:t>
      </w:r>
      <w:r w:rsidRPr="00AA573F">
        <w:rPr>
          <w:sz w:val="37"/>
          <w:szCs w:val="37"/>
        </w:rPr>
        <w:t xml:space="preserve"> </w:t>
      </w:r>
      <w:r w:rsidR="00AA573F">
        <w:rPr>
          <w:b/>
          <w:sz w:val="37"/>
          <w:szCs w:val="37"/>
        </w:rPr>
        <w:t>возросло</w:t>
      </w:r>
      <w:r w:rsidR="00AA573F">
        <w:rPr>
          <w:b/>
          <w:sz w:val="37"/>
          <w:szCs w:val="37"/>
        </w:rPr>
        <w:br/>
      </w:r>
      <w:r w:rsidRPr="00AA573F">
        <w:rPr>
          <w:b/>
          <w:sz w:val="37"/>
          <w:szCs w:val="37"/>
        </w:rPr>
        <w:t>на 12%</w:t>
      </w:r>
      <w:r w:rsidRPr="00AA573F">
        <w:rPr>
          <w:sz w:val="37"/>
          <w:szCs w:val="37"/>
        </w:rPr>
        <w:t xml:space="preserve"> (+715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 xml:space="preserve">), составив 6 557 млрд. </w:t>
      </w:r>
      <w:r w:rsidR="00AA573F">
        <w:rPr>
          <w:sz w:val="37"/>
          <w:szCs w:val="37"/>
        </w:rPr>
        <w:t>рублей.</w:t>
      </w:r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AA573F">
        <w:rPr>
          <w:sz w:val="37"/>
          <w:szCs w:val="37"/>
        </w:rPr>
        <w:t xml:space="preserve">Поступление </w:t>
      </w:r>
      <w:r w:rsidRPr="00AA573F">
        <w:rPr>
          <w:i/>
          <w:sz w:val="37"/>
          <w:szCs w:val="37"/>
        </w:rPr>
        <w:t>налога на прибыль</w:t>
      </w:r>
      <w:r w:rsidRPr="00AA573F">
        <w:rPr>
          <w:sz w:val="37"/>
          <w:szCs w:val="37"/>
        </w:rPr>
        <w:t xml:space="preserve"> </w:t>
      </w:r>
      <w:r w:rsidRPr="00AA573F">
        <w:rPr>
          <w:b/>
          <w:sz w:val="37"/>
          <w:szCs w:val="37"/>
        </w:rPr>
        <w:t>увеличилось на 20%</w:t>
      </w:r>
      <w:r w:rsidR="00AA573F">
        <w:rPr>
          <w:sz w:val="37"/>
          <w:szCs w:val="37"/>
        </w:rPr>
        <w:br/>
      </w:r>
      <w:r w:rsidRPr="00AA573F">
        <w:rPr>
          <w:sz w:val="37"/>
          <w:szCs w:val="37"/>
        </w:rPr>
        <w:t xml:space="preserve">(+373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 xml:space="preserve">) по сравнению с 2018 годом, объем которого составил 2 206 млрд. </w:t>
      </w:r>
      <w:r w:rsidR="00AA573F">
        <w:rPr>
          <w:sz w:val="37"/>
          <w:szCs w:val="37"/>
        </w:rPr>
        <w:t>рублей.</w:t>
      </w:r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AA573F">
        <w:rPr>
          <w:sz w:val="37"/>
          <w:szCs w:val="37"/>
        </w:rPr>
        <w:t xml:space="preserve">Поступление </w:t>
      </w:r>
      <w:r w:rsidRPr="00AA573F">
        <w:rPr>
          <w:i/>
          <w:sz w:val="37"/>
          <w:szCs w:val="37"/>
        </w:rPr>
        <w:t>НДФЛ</w:t>
      </w:r>
      <w:r w:rsidRPr="00AA573F">
        <w:rPr>
          <w:sz w:val="37"/>
          <w:szCs w:val="37"/>
        </w:rPr>
        <w:t xml:space="preserve"> </w:t>
      </w:r>
      <w:r w:rsidRPr="00AA573F">
        <w:rPr>
          <w:b/>
          <w:sz w:val="37"/>
          <w:szCs w:val="37"/>
        </w:rPr>
        <w:t>возросло на 9%</w:t>
      </w:r>
      <w:r w:rsidRPr="00AA573F">
        <w:rPr>
          <w:sz w:val="37"/>
          <w:szCs w:val="37"/>
        </w:rPr>
        <w:t xml:space="preserve"> (+182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 xml:space="preserve">) относительно уровня 2018 года, составив 2 185 млрд. </w:t>
      </w:r>
      <w:r w:rsidR="00AA573F">
        <w:rPr>
          <w:sz w:val="37"/>
          <w:szCs w:val="37"/>
        </w:rPr>
        <w:t>рублей.</w:t>
      </w:r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AA573F">
        <w:rPr>
          <w:sz w:val="37"/>
          <w:szCs w:val="37"/>
        </w:rPr>
        <w:t xml:space="preserve">Поступление </w:t>
      </w:r>
      <w:r w:rsidRPr="00AA573F">
        <w:rPr>
          <w:i/>
          <w:sz w:val="37"/>
          <w:szCs w:val="37"/>
        </w:rPr>
        <w:t>акцизов</w:t>
      </w:r>
      <w:r w:rsidRPr="00AA573F">
        <w:rPr>
          <w:sz w:val="37"/>
          <w:szCs w:val="37"/>
        </w:rPr>
        <w:t xml:space="preserve"> </w:t>
      </w:r>
      <w:r w:rsidRPr="00AA573F">
        <w:rPr>
          <w:b/>
          <w:sz w:val="37"/>
          <w:szCs w:val="37"/>
        </w:rPr>
        <w:t>увеличилось на 20%</w:t>
      </w:r>
      <w:r w:rsidRPr="00AA573F">
        <w:rPr>
          <w:sz w:val="37"/>
          <w:szCs w:val="37"/>
        </w:rPr>
        <w:t xml:space="preserve"> (+70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>) по сравнению с 2</w:t>
      </w:r>
      <w:r w:rsidR="00AA573F">
        <w:rPr>
          <w:sz w:val="37"/>
          <w:szCs w:val="37"/>
        </w:rPr>
        <w:t>018 годом, объем которых достиг</w:t>
      </w:r>
      <w:r w:rsidR="00AA573F">
        <w:rPr>
          <w:sz w:val="37"/>
          <w:szCs w:val="37"/>
        </w:rPr>
        <w:br/>
      </w:r>
      <w:r w:rsidRPr="00AA573F">
        <w:rPr>
          <w:sz w:val="37"/>
          <w:szCs w:val="37"/>
        </w:rPr>
        <w:t xml:space="preserve">419 млрд. </w:t>
      </w:r>
      <w:r w:rsidR="00AA573F">
        <w:rPr>
          <w:sz w:val="37"/>
          <w:szCs w:val="37"/>
        </w:rPr>
        <w:t>рублей.</w:t>
      </w:r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AA573F">
        <w:rPr>
          <w:sz w:val="37"/>
          <w:szCs w:val="37"/>
        </w:rPr>
        <w:t xml:space="preserve">Поступление </w:t>
      </w:r>
      <w:r w:rsidRPr="00AA573F">
        <w:rPr>
          <w:i/>
          <w:sz w:val="37"/>
          <w:szCs w:val="37"/>
        </w:rPr>
        <w:t>налога на имущество организаций</w:t>
      </w:r>
      <w:r w:rsidRPr="00AA573F">
        <w:rPr>
          <w:sz w:val="37"/>
          <w:szCs w:val="37"/>
        </w:rPr>
        <w:t xml:space="preserve"> </w:t>
      </w:r>
      <w:r w:rsidRPr="00AA573F">
        <w:rPr>
          <w:b/>
          <w:sz w:val="37"/>
          <w:szCs w:val="37"/>
        </w:rPr>
        <w:t>со</w:t>
      </w:r>
      <w:r w:rsidRPr="00AA573F">
        <w:rPr>
          <w:b/>
          <w:sz w:val="37"/>
          <w:szCs w:val="37"/>
        </w:rPr>
        <w:t>кратилось на 4%</w:t>
      </w:r>
      <w:r w:rsidRPr="00AA573F">
        <w:rPr>
          <w:sz w:val="37"/>
          <w:szCs w:val="37"/>
        </w:rPr>
        <w:t xml:space="preserve"> (-24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 xml:space="preserve">) относительно уровня 2018 года, составив 642 млрд. </w:t>
      </w:r>
      <w:r w:rsidR="00AA573F">
        <w:rPr>
          <w:sz w:val="37"/>
          <w:szCs w:val="37"/>
        </w:rPr>
        <w:t>рублей.</w:t>
      </w:r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AA573F">
        <w:rPr>
          <w:sz w:val="37"/>
          <w:szCs w:val="37"/>
        </w:rPr>
        <w:t xml:space="preserve">Доходы от </w:t>
      </w:r>
      <w:r w:rsidRPr="00AA573F">
        <w:rPr>
          <w:i/>
          <w:sz w:val="37"/>
          <w:szCs w:val="37"/>
        </w:rPr>
        <w:t>других налогов</w:t>
      </w:r>
      <w:r w:rsidRPr="00AA573F">
        <w:rPr>
          <w:sz w:val="37"/>
          <w:szCs w:val="37"/>
        </w:rPr>
        <w:t xml:space="preserve"> поступили в сумме 655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 xml:space="preserve"> и </w:t>
      </w:r>
      <w:r w:rsidRPr="00AA573F">
        <w:rPr>
          <w:b/>
          <w:sz w:val="37"/>
          <w:szCs w:val="37"/>
        </w:rPr>
        <w:t>выросли на 12%</w:t>
      </w:r>
      <w:r w:rsidRPr="00AA573F">
        <w:rPr>
          <w:sz w:val="37"/>
          <w:szCs w:val="37"/>
        </w:rPr>
        <w:t xml:space="preserve"> (+69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>).</w:t>
      </w:r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AA573F">
        <w:rPr>
          <w:i/>
          <w:sz w:val="37"/>
          <w:szCs w:val="37"/>
        </w:rPr>
        <w:t>Неналоговые доходы</w:t>
      </w:r>
      <w:r w:rsidRPr="00AA573F">
        <w:rPr>
          <w:sz w:val="37"/>
          <w:szCs w:val="37"/>
        </w:rPr>
        <w:t xml:space="preserve"> </w:t>
      </w:r>
      <w:r w:rsidRPr="00AA573F">
        <w:rPr>
          <w:b/>
          <w:sz w:val="37"/>
          <w:szCs w:val="37"/>
        </w:rPr>
        <w:t>возросли на 11%</w:t>
      </w:r>
      <w:r w:rsidRPr="00AA573F">
        <w:rPr>
          <w:sz w:val="37"/>
          <w:szCs w:val="37"/>
        </w:rPr>
        <w:t xml:space="preserve"> (+45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 xml:space="preserve">), составив 450 млрд. </w:t>
      </w:r>
      <w:r w:rsidR="00AA573F">
        <w:rPr>
          <w:sz w:val="37"/>
          <w:szCs w:val="37"/>
        </w:rPr>
        <w:t>рублей</w:t>
      </w:r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proofErr w:type="gramStart"/>
      <w:r w:rsidRPr="00AA573F">
        <w:rPr>
          <w:i/>
          <w:sz w:val="37"/>
          <w:szCs w:val="37"/>
        </w:rPr>
        <w:lastRenderedPageBreak/>
        <w:t>Безвозмездные поступления из федерального бюджета</w:t>
      </w:r>
      <w:r w:rsidRPr="00AA573F">
        <w:rPr>
          <w:sz w:val="37"/>
          <w:szCs w:val="37"/>
        </w:rPr>
        <w:t xml:space="preserve"> поступили в объеме </w:t>
      </w:r>
      <w:r w:rsidRPr="00AA573F">
        <w:rPr>
          <w:b/>
          <w:sz w:val="37"/>
          <w:szCs w:val="37"/>
        </w:rPr>
        <w:t xml:space="preserve">1 076 млрд. </w:t>
      </w:r>
      <w:r w:rsidR="00AA573F">
        <w:rPr>
          <w:b/>
          <w:sz w:val="37"/>
          <w:szCs w:val="37"/>
        </w:rPr>
        <w:t>рублей</w:t>
      </w:r>
      <w:r w:rsidRPr="00AA573F">
        <w:rPr>
          <w:sz w:val="37"/>
          <w:szCs w:val="37"/>
        </w:rPr>
        <w:t xml:space="preserve">, с </w:t>
      </w:r>
      <w:r w:rsidRPr="00AA573F">
        <w:rPr>
          <w:b/>
          <w:sz w:val="37"/>
          <w:szCs w:val="37"/>
        </w:rPr>
        <w:t>ростом на 12%</w:t>
      </w:r>
      <w:r w:rsidRPr="00AA573F">
        <w:rPr>
          <w:sz w:val="37"/>
          <w:szCs w:val="37"/>
        </w:rPr>
        <w:t xml:space="preserve"> (+118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>), что составляет 14% доходов.</w:t>
      </w:r>
      <w:proofErr w:type="gramEnd"/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AA573F">
        <w:rPr>
          <w:i/>
          <w:sz w:val="37"/>
          <w:szCs w:val="37"/>
        </w:rPr>
        <w:t>Расходы</w:t>
      </w:r>
      <w:r w:rsidRPr="00AA573F">
        <w:rPr>
          <w:sz w:val="37"/>
          <w:szCs w:val="37"/>
        </w:rPr>
        <w:t xml:space="preserve"> профинансированы в объеме </w:t>
      </w:r>
      <w:r w:rsidRPr="00AA573F">
        <w:rPr>
          <w:b/>
          <w:sz w:val="37"/>
          <w:szCs w:val="37"/>
        </w:rPr>
        <w:t xml:space="preserve">6 628 млрд. </w:t>
      </w:r>
      <w:r w:rsidR="00AA573F">
        <w:rPr>
          <w:b/>
          <w:sz w:val="37"/>
          <w:szCs w:val="37"/>
        </w:rPr>
        <w:t>рублей</w:t>
      </w:r>
      <w:r w:rsidR="00AA573F">
        <w:rPr>
          <w:sz w:val="37"/>
          <w:szCs w:val="37"/>
        </w:rPr>
        <w:t>,</w:t>
      </w:r>
      <w:r w:rsidR="00AA573F">
        <w:rPr>
          <w:sz w:val="37"/>
          <w:szCs w:val="37"/>
        </w:rPr>
        <w:br/>
      </w:r>
      <w:r w:rsidRPr="00AA573F">
        <w:rPr>
          <w:sz w:val="37"/>
          <w:szCs w:val="37"/>
        </w:rPr>
        <w:t xml:space="preserve">с </w:t>
      </w:r>
      <w:r w:rsidRPr="00AA573F">
        <w:rPr>
          <w:b/>
          <w:sz w:val="37"/>
          <w:szCs w:val="37"/>
        </w:rPr>
        <w:t>ростом на 11%</w:t>
      </w:r>
      <w:r w:rsidRPr="00AA573F">
        <w:rPr>
          <w:sz w:val="37"/>
          <w:szCs w:val="37"/>
        </w:rPr>
        <w:t xml:space="preserve"> (+651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>).</w:t>
      </w:r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AA573F">
        <w:rPr>
          <w:i/>
          <w:sz w:val="37"/>
          <w:szCs w:val="37"/>
        </w:rPr>
        <w:t>Профицит</w:t>
      </w:r>
      <w:r w:rsidRPr="00AA573F">
        <w:rPr>
          <w:sz w:val="37"/>
          <w:szCs w:val="37"/>
        </w:rPr>
        <w:t xml:space="preserve"> </w:t>
      </w:r>
      <w:r w:rsidR="00AA573F" w:rsidRPr="00AA573F">
        <w:rPr>
          <w:sz w:val="37"/>
          <w:szCs w:val="37"/>
        </w:rPr>
        <w:t>консолидированных</w:t>
      </w:r>
      <w:r w:rsidRPr="00AA573F">
        <w:rPr>
          <w:sz w:val="37"/>
          <w:szCs w:val="37"/>
        </w:rPr>
        <w:t xml:space="preserve"> бюджетов </w:t>
      </w:r>
      <w:r w:rsidRPr="00AA573F">
        <w:rPr>
          <w:b/>
          <w:sz w:val="37"/>
          <w:szCs w:val="37"/>
        </w:rPr>
        <w:t>1 075 млрд. рублей</w:t>
      </w:r>
      <w:r w:rsidRPr="00AA573F">
        <w:rPr>
          <w:sz w:val="37"/>
          <w:szCs w:val="37"/>
        </w:rPr>
        <w:t xml:space="preserve"> (в 2018 году </w:t>
      </w:r>
      <w:r w:rsidRPr="00AA573F">
        <w:rPr>
          <w:i/>
          <w:sz w:val="37"/>
          <w:szCs w:val="37"/>
        </w:rPr>
        <w:t>профицит</w:t>
      </w:r>
      <w:r w:rsidRPr="00AA573F">
        <w:rPr>
          <w:sz w:val="37"/>
          <w:szCs w:val="37"/>
        </w:rPr>
        <w:t xml:space="preserve"> - </w:t>
      </w:r>
      <w:r w:rsidRPr="00AA573F">
        <w:rPr>
          <w:b/>
          <w:sz w:val="37"/>
          <w:szCs w:val="37"/>
        </w:rPr>
        <w:t>862 млрд. рублей</w:t>
      </w:r>
      <w:r w:rsidRPr="00AA573F">
        <w:rPr>
          <w:sz w:val="37"/>
          <w:szCs w:val="37"/>
        </w:rPr>
        <w:t xml:space="preserve">). С дефицитом исполнены бюджеты </w:t>
      </w:r>
      <w:r w:rsidRPr="00AA573F">
        <w:rPr>
          <w:b/>
          <w:sz w:val="37"/>
          <w:szCs w:val="37"/>
        </w:rPr>
        <w:t>14 регионов</w:t>
      </w:r>
      <w:r w:rsidR="00AA573F">
        <w:rPr>
          <w:sz w:val="37"/>
          <w:szCs w:val="37"/>
        </w:rPr>
        <w:t xml:space="preserve"> (против 11 в 2018 году),</w:t>
      </w:r>
      <w:r w:rsidR="00AA573F">
        <w:rPr>
          <w:sz w:val="37"/>
          <w:szCs w:val="37"/>
        </w:rPr>
        <w:br/>
      </w:r>
      <w:r w:rsidRPr="00AA573F">
        <w:rPr>
          <w:sz w:val="37"/>
          <w:szCs w:val="37"/>
        </w:rPr>
        <w:t xml:space="preserve">с суммарным дефицитом </w:t>
      </w:r>
      <w:r w:rsidRPr="00AA573F">
        <w:rPr>
          <w:b/>
          <w:sz w:val="37"/>
          <w:szCs w:val="37"/>
        </w:rPr>
        <w:t>20 млрд. рублей</w:t>
      </w:r>
      <w:r w:rsidRPr="00AA573F">
        <w:rPr>
          <w:sz w:val="37"/>
          <w:szCs w:val="37"/>
        </w:rPr>
        <w:t xml:space="preserve">. С профицитом исполнен бюджет </w:t>
      </w:r>
      <w:r w:rsidRPr="00AA573F">
        <w:rPr>
          <w:b/>
          <w:sz w:val="37"/>
          <w:szCs w:val="37"/>
        </w:rPr>
        <w:t>71 региона</w:t>
      </w:r>
      <w:r w:rsidR="00AA573F">
        <w:rPr>
          <w:sz w:val="37"/>
          <w:szCs w:val="37"/>
        </w:rPr>
        <w:t xml:space="preserve"> (против 74 в 2018 году),</w:t>
      </w:r>
      <w:r w:rsidR="00AA573F">
        <w:rPr>
          <w:sz w:val="37"/>
          <w:szCs w:val="37"/>
        </w:rPr>
        <w:br/>
      </w:r>
      <w:r w:rsidRPr="00AA573F">
        <w:rPr>
          <w:sz w:val="37"/>
          <w:szCs w:val="37"/>
        </w:rPr>
        <w:t xml:space="preserve">с </w:t>
      </w:r>
      <w:proofErr w:type="gramStart"/>
      <w:r w:rsidRPr="00AA573F">
        <w:rPr>
          <w:sz w:val="37"/>
          <w:szCs w:val="37"/>
        </w:rPr>
        <w:t>суммарным</w:t>
      </w:r>
      <w:proofErr w:type="gramEnd"/>
      <w:r w:rsidRPr="00AA573F">
        <w:rPr>
          <w:sz w:val="37"/>
          <w:szCs w:val="37"/>
        </w:rPr>
        <w:t xml:space="preserve"> профицитом </w:t>
      </w:r>
      <w:r w:rsidRPr="00AA573F">
        <w:rPr>
          <w:b/>
          <w:sz w:val="37"/>
          <w:szCs w:val="37"/>
        </w:rPr>
        <w:t>1095 млрд. рублей</w:t>
      </w:r>
      <w:r w:rsidRPr="00AA573F">
        <w:rPr>
          <w:sz w:val="37"/>
          <w:szCs w:val="37"/>
        </w:rPr>
        <w:t>.</w:t>
      </w:r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AA573F">
        <w:rPr>
          <w:i/>
          <w:sz w:val="37"/>
          <w:szCs w:val="37"/>
        </w:rPr>
        <w:t>Привлечение кредитов кредитных организаций</w:t>
      </w:r>
      <w:r w:rsidRPr="00AA573F">
        <w:rPr>
          <w:sz w:val="37"/>
          <w:szCs w:val="37"/>
        </w:rPr>
        <w:t xml:space="preserve"> составило</w:t>
      </w:r>
      <w:r w:rsidR="00AA573F">
        <w:rPr>
          <w:sz w:val="37"/>
          <w:szCs w:val="37"/>
        </w:rPr>
        <w:br/>
      </w:r>
      <w:r w:rsidRPr="00AA573F">
        <w:rPr>
          <w:b/>
          <w:sz w:val="37"/>
          <w:szCs w:val="37"/>
        </w:rPr>
        <w:t>269 млрд. рублей</w:t>
      </w:r>
      <w:r w:rsidRPr="00AA573F">
        <w:rPr>
          <w:sz w:val="37"/>
          <w:szCs w:val="37"/>
        </w:rPr>
        <w:t xml:space="preserve">, </w:t>
      </w:r>
      <w:r w:rsidRPr="00AA573F">
        <w:rPr>
          <w:i/>
          <w:sz w:val="37"/>
          <w:szCs w:val="37"/>
        </w:rPr>
        <w:t>погашение</w:t>
      </w:r>
      <w:r w:rsidRPr="00AA573F">
        <w:rPr>
          <w:sz w:val="37"/>
          <w:szCs w:val="37"/>
        </w:rPr>
        <w:t xml:space="preserve"> - </w:t>
      </w:r>
      <w:r w:rsidRPr="00AA573F">
        <w:rPr>
          <w:b/>
          <w:sz w:val="37"/>
          <w:szCs w:val="37"/>
        </w:rPr>
        <w:t>543 млрд. рублей</w:t>
      </w:r>
      <w:r w:rsidRPr="00AA573F">
        <w:rPr>
          <w:sz w:val="37"/>
          <w:szCs w:val="37"/>
        </w:rPr>
        <w:t xml:space="preserve"> (в 2018 году </w:t>
      </w:r>
      <w:r w:rsidR="00AA573F">
        <w:rPr>
          <w:sz w:val="37"/>
          <w:szCs w:val="37"/>
        </w:rPr>
        <w:t>–</w:t>
      </w:r>
      <w:r w:rsidRPr="00AA573F">
        <w:rPr>
          <w:sz w:val="37"/>
          <w:szCs w:val="37"/>
        </w:rPr>
        <w:t xml:space="preserve"> 569 и 873 млрд. рублей соответс</w:t>
      </w:r>
      <w:r w:rsidRPr="00AA573F">
        <w:rPr>
          <w:sz w:val="37"/>
          <w:szCs w:val="37"/>
        </w:rPr>
        <w:t>твенно).</w:t>
      </w:r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AA573F">
        <w:rPr>
          <w:i/>
          <w:sz w:val="37"/>
          <w:szCs w:val="37"/>
        </w:rPr>
        <w:t>Остатки средств бюджетов</w:t>
      </w:r>
      <w:r w:rsidRPr="00AA573F">
        <w:rPr>
          <w:sz w:val="37"/>
          <w:szCs w:val="37"/>
        </w:rPr>
        <w:t xml:space="preserve"> на 1 августа 2019 года составили </w:t>
      </w:r>
      <w:r w:rsidRPr="00AA573F">
        <w:rPr>
          <w:b/>
          <w:sz w:val="37"/>
          <w:szCs w:val="37"/>
        </w:rPr>
        <w:t>2 854 млрд. рублей</w:t>
      </w:r>
      <w:r w:rsidRPr="00AA573F">
        <w:rPr>
          <w:sz w:val="37"/>
          <w:szCs w:val="37"/>
        </w:rPr>
        <w:t xml:space="preserve"> и возросли с начала года </w:t>
      </w:r>
      <w:r w:rsidRPr="00AA573F">
        <w:rPr>
          <w:b/>
          <w:sz w:val="37"/>
          <w:szCs w:val="37"/>
        </w:rPr>
        <w:t>на 4</w:t>
      </w:r>
      <w:r w:rsidR="004E3D0D">
        <w:rPr>
          <w:b/>
          <w:sz w:val="37"/>
          <w:szCs w:val="37"/>
        </w:rPr>
        <w:t>4</w:t>
      </w:r>
      <w:r w:rsidRPr="00AA573F">
        <w:rPr>
          <w:b/>
          <w:sz w:val="37"/>
          <w:szCs w:val="37"/>
        </w:rPr>
        <w:t>%</w:t>
      </w:r>
      <w:r w:rsidR="004E3D0D">
        <w:rPr>
          <w:sz w:val="37"/>
          <w:szCs w:val="37"/>
        </w:rPr>
        <w:br/>
      </w:r>
      <w:r w:rsidRPr="00AA573F">
        <w:rPr>
          <w:sz w:val="37"/>
          <w:szCs w:val="37"/>
        </w:rPr>
        <w:t>(+8</w:t>
      </w:r>
      <w:r w:rsidR="004E3D0D">
        <w:rPr>
          <w:sz w:val="37"/>
          <w:szCs w:val="37"/>
        </w:rPr>
        <w:t>74</w:t>
      </w:r>
      <w:r w:rsidRPr="00AA573F">
        <w:rPr>
          <w:sz w:val="37"/>
          <w:szCs w:val="37"/>
        </w:rPr>
        <w:t xml:space="preserve">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>).</w:t>
      </w:r>
    </w:p>
    <w:p w:rsidR="00726AE8" w:rsidRPr="00AA573F" w:rsidRDefault="00843564" w:rsidP="00AA573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AA573F">
        <w:rPr>
          <w:i/>
          <w:sz w:val="37"/>
          <w:szCs w:val="37"/>
        </w:rPr>
        <w:t xml:space="preserve">Государственный долг субъектов </w:t>
      </w:r>
      <w:r w:rsidRPr="00AA573F">
        <w:rPr>
          <w:i/>
          <w:sz w:val="37"/>
          <w:szCs w:val="37"/>
        </w:rPr>
        <w:t>Российской Федерации</w:t>
      </w:r>
      <w:r w:rsidRPr="00AA573F">
        <w:rPr>
          <w:sz w:val="37"/>
          <w:szCs w:val="37"/>
        </w:rPr>
        <w:t xml:space="preserve"> составляет </w:t>
      </w:r>
      <w:r w:rsidRPr="00AA573F">
        <w:rPr>
          <w:b/>
          <w:sz w:val="37"/>
          <w:szCs w:val="37"/>
        </w:rPr>
        <w:t>2 016 млрд. рублей</w:t>
      </w:r>
      <w:r w:rsidRPr="00AA573F">
        <w:rPr>
          <w:sz w:val="37"/>
          <w:szCs w:val="37"/>
        </w:rPr>
        <w:t xml:space="preserve"> и снизился с начала года</w:t>
      </w:r>
      <w:r w:rsidR="00AA573F">
        <w:rPr>
          <w:sz w:val="37"/>
          <w:szCs w:val="37"/>
        </w:rPr>
        <w:br/>
      </w:r>
      <w:r w:rsidRPr="00AA573F">
        <w:rPr>
          <w:b/>
          <w:sz w:val="37"/>
          <w:szCs w:val="37"/>
        </w:rPr>
        <w:t>на 8,6%</w:t>
      </w:r>
      <w:r w:rsidRPr="00AA573F">
        <w:rPr>
          <w:sz w:val="37"/>
          <w:szCs w:val="37"/>
        </w:rPr>
        <w:t xml:space="preserve"> (-190 млрд. </w:t>
      </w:r>
      <w:r w:rsidR="00AA573F">
        <w:rPr>
          <w:sz w:val="37"/>
          <w:szCs w:val="37"/>
        </w:rPr>
        <w:t>рублей</w:t>
      </w:r>
      <w:r w:rsidRPr="00AA573F">
        <w:rPr>
          <w:sz w:val="37"/>
          <w:szCs w:val="37"/>
        </w:rPr>
        <w:t>).</w:t>
      </w:r>
    </w:p>
    <w:p w:rsidR="00726AE8" w:rsidRDefault="00726AE8">
      <w:pPr>
        <w:pageBreakBefore/>
      </w:pPr>
    </w:p>
    <w:p w:rsidR="00726AE8" w:rsidRPr="00AA573F" w:rsidRDefault="00843564">
      <w:pPr>
        <w:jc w:val="center"/>
        <w:rPr>
          <w:b/>
        </w:rPr>
      </w:pPr>
      <w:r w:rsidRPr="00AA573F">
        <w:rPr>
          <w:b/>
          <w:sz w:val="28"/>
        </w:rPr>
        <w:t>Динамика нал</w:t>
      </w:r>
      <w:r w:rsidRPr="00AA573F">
        <w:rPr>
          <w:b/>
          <w:sz w:val="28"/>
        </w:rPr>
        <w:t>о</w:t>
      </w:r>
      <w:r w:rsidR="00AA573F">
        <w:rPr>
          <w:b/>
          <w:sz w:val="28"/>
        </w:rPr>
        <w:t>говых доходов консолидированных</w:t>
      </w:r>
      <w:r w:rsidR="00AA573F">
        <w:rPr>
          <w:b/>
          <w:sz w:val="28"/>
        </w:rPr>
        <w:br/>
      </w:r>
      <w:r w:rsidRPr="00AA573F">
        <w:rPr>
          <w:b/>
          <w:sz w:val="28"/>
        </w:rPr>
        <w:t>бюджетов субъектов Российской Федерации в 2017-2019 годах</w:t>
      </w:r>
    </w:p>
    <w:p w:rsidR="00726AE8" w:rsidRDefault="00843564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E8" w:rsidRDefault="00726AE8"/>
    <w:p w:rsidR="00AA573F" w:rsidRDefault="00AA573F">
      <w:pPr>
        <w:jc w:val="center"/>
        <w:rPr>
          <w:b/>
          <w:sz w:val="28"/>
        </w:rPr>
      </w:pPr>
    </w:p>
    <w:p w:rsidR="00726AE8" w:rsidRPr="00AA573F" w:rsidRDefault="00843564">
      <w:pPr>
        <w:jc w:val="center"/>
        <w:rPr>
          <w:b/>
        </w:rPr>
      </w:pPr>
      <w:r w:rsidRPr="00AA573F">
        <w:rPr>
          <w:b/>
          <w:sz w:val="28"/>
        </w:rPr>
        <w:t>Налоговые и неналоговые доходы в 2017-2019 гг.</w:t>
      </w:r>
    </w:p>
    <w:p w:rsidR="00726AE8" w:rsidRDefault="00843564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E8" w:rsidRDefault="00726AE8">
      <w:pPr>
        <w:pageBreakBefore/>
      </w:pPr>
    </w:p>
    <w:p w:rsidR="00726AE8" w:rsidRPr="00AA573F" w:rsidRDefault="00843564">
      <w:pPr>
        <w:jc w:val="center"/>
        <w:rPr>
          <w:b/>
        </w:rPr>
      </w:pPr>
      <w:r w:rsidRPr="00AA573F">
        <w:rPr>
          <w:b/>
          <w:sz w:val="28"/>
        </w:rPr>
        <w:t>Налог на прибыль организаций в 2017-2019 гг.</w:t>
      </w:r>
    </w:p>
    <w:p w:rsidR="00726AE8" w:rsidRDefault="00843564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E8" w:rsidRDefault="00726AE8"/>
    <w:p w:rsidR="00AA573F" w:rsidRDefault="00AA573F">
      <w:pPr>
        <w:jc w:val="center"/>
        <w:rPr>
          <w:b/>
          <w:sz w:val="28"/>
        </w:rPr>
      </w:pPr>
    </w:p>
    <w:p w:rsidR="00AA573F" w:rsidRDefault="00AA573F">
      <w:pPr>
        <w:jc w:val="center"/>
        <w:rPr>
          <w:b/>
          <w:sz w:val="28"/>
        </w:rPr>
      </w:pPr>
    </w:p>
    <w:p w:rsidR="00726AE8" w:rsidRPr="00AA573F" w:rsidRDefault="00843564">
      <w:pPr>
        <w:jc w:val="center"/>
        <w:rPr>
          <w:b/>
        </w:rPr>
      </w:pPr>
      <w:r w:rsidRPr="00AA573F">
        <w:rPr>
          <w:b/>
          <w:sz w:val="28"/>
        </w:rPr>
        <w:t>Налог на доходы физических лиц в 2017-2019 гг.</w:t>
      </w:r>
    </w:p>
    <w:p w:rsidR="00726AE8" w:rsidRDefault="00843564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E8" w:rsidRDefault="00726AE8">
      <w:pPr>
        <w:pageBreakBefore/>
      </w:pPr>
    </w:p>
    <w:p w:rsidR="00726AE8" w:rsidRPr="00AA573F" w:rsidRDefault="00843564">
      <w:pPr>
        <w:jc w:val="center"/>
        <w:rPr>
          <w:b/>
        </w:rPr>
      </w:pPr>
      <w:r w:rsidRPr="00AA573F">
        <w:rPr>
          <w:b/>
          <w:sz w:val="28"/>
        </w:rPr>
        <w:t xml:space="preserve">Структура </w:t>
      </w:r>
      <w:r w:rsidRPr="00AA573F">
        <w:rPr>
          <w:b/>
          <w:sz w:val="28"/>
        </w:rPr>
        <w:t>налоговых дох</w:t>
      </w:r>
      <w:r w:rsidR="00AA573F">
        <w:rPr>
          <w:b/>
          <w:sz w:val="28"/>
        </w:rPr>
        <w:t>одов консолидированных бюджетов</w:t>
      </w:r>
      <w:r w:rsidR="00AA573F">
        <w:rPr>
          <w:b/>
          <w:sz w:val="28"/>
        </w:rPr>
        <w:br/>
      </w:r>
      <w:r w:rsidRPr="00AA573F">
        <w:rPr>
          <w:b/>
          <w:sz w:val="28"/>
        </w:rPr>
        <w:t>субъектов Российской Федерации на 1 августа 2018 и 2019 гг.</w:t>
      </w:r>
    </w:p>
    <w:p w:rsidR="00726AE8" w:rsidRPr="00AA573F" w:rsidRDefault="00843564">
      <w:pPr>
        <w:rPr>
          <w:i/>
        </w:rPr>
      </w:pPr>
      <w:r>
        <w:rPr>
          <w:sz w:val="28"/>
        </w:rPr>
        <w:t xml:space="preserve">                   </w:t>
      </w:r>
      <w:r w:rsidRPr="00AA573F">
        <w:rPr>
          <w:i/>
          <w:sz w:val="28"/>
        </w:rPr>
        <w:t>на 1 августа 2018 года                                      на 1 августа 2019 года</w:t>
      </w:r>
    </w:p>
    <w:p w:rsidR="00726AE8" w:rsidRDefault="00843564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E8" w:rsidRDefault="00726AE8"/>
    <w:p w:rsidR="00726AE8" w:rsidRPr="00AA573F" w:rsidRDefault="00843564">
      <w:pPr>
        <w:jc w:val="center"/>
        <w:rPr>
          <w:b/>
        </w:rPr>
      </w:pPr>
      <w:r w:rsidRPr="00AA573F">
        <w:rPr>
          <w:b/>
          <w:sz w:val="28"/>
        </w:rPr>
        <w:t>Расходы в 2017-2019 гг.</w:t>
      </w:r>
    </w:p>
    <w:p w:rsidR="00843564" w:rsidRDefault="00843564" w:rsidP="00AA573F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564" w:rsidSect="007725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64" w:rsidRDefault="00843564" w:rsidP="00537A10">
      <w:pPr>
        <w:pStyle w:val="a5"/>
      </w:pPr>
      <w:r>
        <w:separator/>
      </w:r>
    </w:p>
  </w:endnote>
  <w:endnote w:type="continuationSeparator" w:id="0">
    <w:p w:rsidR="00843564" w:rsidRDefault="00843564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3D" w:rsidRDefault="00524A3D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A3D" w:rsidRDefault="00524A3D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524A3D" w:rsidTr="007725EF">
      <w:tc>
        <w:tcPr>
          <w:tcW w:w="10632" w:type="dxa"/>
          <w:shd w:val="clear" w:color="auto" w:fill="00004C"/>
        </w:tcPr>
        <w:p w:rsidR="00524A3D" w:rsidRPr="00DC0341" w:rsidRDefault="00524A3D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E77460">
            <w:rPr>
              <w:rStyle w:val="a7"/>
              <w:b/>
              <w:noProof/>
              <w:sz w:val="24"/>
              <w:szCs w:val="24"/>
            </w:rPr>
            <w:t>1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524A3D" w:rsidRDefault="00524A3D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64" w:rsidRDefault="00843564" w:rsidP="00537A10">
      <w:pPr>
        <w:pStyle w:val="a5"/>
      </w:pPr>
      <w:r>
        <w:separator/>
      </w:r>
    </w:p>
  </w:footnote>
  <w:footnote w:type="continuationSeparator" w:id="0">
    <w:p w:rsidR="00843564" w:rsidRDefault="00843564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524A3D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524A3D" w:rsidRPr="00DC0341" w:rsidRDefault="00322F1A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524A3D" w:rsidRPr="00DC0341" w:rsidRDefault="00322F1A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4A3D"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524A3D" w:rsidRPr="00DC0341" w:rsidRDefault="00524A3D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524A3D" w:rsidRPr="00DC0341" w:rsidRDefault="00524A3D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524A3D" w:rsidRDefault="00524A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4E3D0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C0186"/>
    <w:rsid w:val="005F06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7416A"/>
    <w:rsid w:val="006958C5"/>
    <w:rsid w:val="006A4437"/>
    <w:rsid w:val="006B2FD5"/>
    <w:rsid w:val="006C0398"/>
    <w:rsid w:val="006D1C04"/>
    <w:rsid w:val="006F055E"/>
    <w:rsid w:val="00715FB2"/>
    <w:rsid w:val="0072492B"/>
    <w:rsid w:val="00726AE8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43564"/>
    <w:rsid w:val="00854D7A"/>
    <w:rsid w:val="00856E5E"/>
    <w:rsid w:val="008660BC"/>
    <w:rsid w:val="008754C9"/>
    <w:rsid w:val="008777E8"/>
    <w:rsid w:val="00883EB5"/>
    <w:rsid w:val="008946BF"/>
    <w:rsid w:val="008B312E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A22E95"/>
    <w:rsid w:val="00A4197C"/>
    <w:rsid w:val="00A432C7"/>
    <w:rsid w:val="00A54F8B"/>
    <w:rsid w:val="00A553AF"/>
    <w:rsid w:val="00A81E55"/>
    <w:rsid w:val="00AA3593"/>
    <w:rsid w:val="00AA573F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50887"/>
    <w:rsid w:val="00C632BC"/>
    <w:rsid w:val="00C6581D"/>
    <w:rsid w:val="00C83878"/>
    <w:rsid w:val="00CA1A06"/>
    <w:rsid w:val="00CB62FA"/>
    <w:rsid w:val="00CD1A5E"/>
    <w:rsid w:val="00CD6C85"/>
    <w:rsid w:val="00CE6914"/>
    <w:rsid w:val="00D04EAD"/>
    <w:rsid w:val="00D37B95"/>
    <w:rsid w:val="00D522DA"/>
    <w:rsid w:val="00D821D7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5446"/>
    <w:rsid w:val="00E77460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Danilov, Dmitriy A.</dc:creator>
  <cp:lastModifiedBy>КЛОКОВ АЛЕКСАНДР ВИКТОРОВИЧ</cp:lastModifiedBy>
  <cp:revision>2</cp:revision>
  <cp:lastPrinted>2009-05-12T14:10:00Z</cp:lastPrinted>
  <dcterms:created xsi:type="dcterms:W3CDTF">2019-09-17T12:53:00Z</dcterms:created>
  <dcterms:modified xsi:type="dcterms:W3CDTF">2019-09-17T12:53:00Z</dcterms:modified>
</cp:coreProperties>
</file>