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8187E">
        <w:rPr>
          <w:b/>
          <w:sz w:val="20"/>
          <w:szCs w:val="20"/>
        </w:rPr>
        <w:t>09.</w:t>
      </w:r>
      <w:r>
        <w:rPr>
          <w:b/>
          <w:sz w:val="20"/>
          <w:szCs w:val="20"/>
          <w:lang w:val="en-US"/>
        </w:rPr>
        <w:t>0</w:t>
      </w:r>
      <w:r w:rsidR="00D64DBB">
        <w:rPr>
          <w:b/>
          <w:sz w:val="20"/>
          <w:szCs w:val="20"/>
        </w:rPr>
        <w:t>8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Pr="007118AE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lastRenderedPageBreak/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</w:t>
            </w:r>
            <w:r>
              <w:rPr>
                <w:sz w:val="16"/>
                <w:szCs w:val="16"/>
              </w:rPr>
              <w:lastRenderedPageBreak/>
              <w:t xml:space="preserve">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</w:t>
            </w:r>
            <w:r>
              <w:rPr>
                <w:sz w:val="16"/>
                <w:szCs w:val="16"/>
              </w:rPr>
              <w:lastRenderedPageBreak/>
              <w:t>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</w:t>
            </w:r>
            <w:r>
              <w:rPr>
                <w:sz w:val="16"/>
                <w:szCs w:val="16"/>
              </w:rPr>
              <w:lastRenderedPageBreak/>
              <w:t>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bookmarkStart w:id="0" w:name="_GoBack"/>
            <w:proofErr w:type="spellStart"/>
            <w:r>
              <w:rPr>
                <w:sz w:val="16"/>
                <w:szCs w:val="16"/>
              </w:rPr>
              <w:t>М</w:t>
            </w:r>
            <w:bookmarkEnd w:id="0"/>
            <w:r>
              <w:rPr>
                <w:sz w:val="16"/>
                <w:szCs w:val="16"/>
              </w:rPr>
              <w:t>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</w:t>
            </w:r>
            <w:r>
              <w:rPr>
                <w:sz w:val="16"/>
                <w:szCs w:val="16"/>
              </w:rPr>
              <w:lastRenderedPageBreak/>
              <w:t>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8A1E10">
        <w:trPr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8A1E10" w:rsidP="008A1E10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78187E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D6840">
        <w:rPr>
          <w:sz w:val="20"/>
          <w:szCs w:val="20"/>
        </w:rPr>
        <w:t>0</w:t>
      </w:r>
      <w:r w:rsidR="0078187E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5D6840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02" w:rsidRDefault="00AE0402">
      <w:r>
        <w:separator/>
      </w:r>
    </w:p>
  </w:endnote>
  <w:endnote w:type="continuationSeparator" w:id="0">
    <w:p w:rsidR="00AE0402" w:rsidRDefault="00AE0402">
      <w:r>
        <w:continuationSeparator/>
      </w:r>
    </w:p>
  </w:endnote>
  <w:endnote w:type="continuationNotice" w:id="1">
    <w:p w:rsidR="00AE0402" w:rsidRDefault="00AE0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5B" w:rsidRDefault="00B7425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25B" w:rsidRDefault="00B7425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5B" w:rsidRPr="00CC7E77" w:rsidRDefault="00B7425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02" w:rsidRDefault="00AE0402">
      <w:r>
        <w:separator/>
      </w:r>
    </w:p>
  </w:footnote>
  <w:footnote w:type="continuationSeparator" w:id="0">
    <w:p w:rsidR="00AE0402" w:rsidRDefault="00AE0402">
      <w:r>
        <w:continuationSeparator/>
      </w:r>
    </w:p>
  </w:footnote>
  <w:footnote w:type="continuationNotice" w:id="1">
    <w:p w:rsidR="00AE0402" w:rsidRDefault="00AE0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5B" w:rsidRPr="00561755" w:rsidRDefault="00B7425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94087">
      <w:rPr>
        <w:rStyle w:val="a4"/>
        <w:noProof/>
        <w:sz w:val="20"/>
        <w:szCs w:val="20"/>
      </w:rPr>
      <w:t>26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102794"/>
    <w:rsid w:val="00102882"/>
    <w:rsid w:val="00106B05"/>
    <w:rsid w:val="0011321E"/>
    <w:rsid w:val="00115934"/>
    <w:rsid w:val="00125A3A"/>
    <w:rsid w:val="001279F5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15D2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C11B-95D7-4846-85CC-C7D876D7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9549</Words>
  <Characters>54434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2019-07-11T13:14:00Z</cp:lastPrinted>
  <dcterms:created xsi:type="dcterms:W3CDTF">2019-08-08T07:33:00Z</dcterms:created>
  <dcterms:modified xsi:type="dcterms:W3CDTF">2019-08-08T14:47:00Z</dcterms:modified>
</cp:coreProperties>
</file>