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D" w:rsidRDefault="00555DD7" w:rsidP="004B1EBE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4B1EBE">
        <w:rPr>
          <w:b/>
          <w:sz w:val="36"/>
        </w:rPr>
        <w:t xml:space="preserve"> субъектов Российской Федерации</w:t>
      </w:r>
      <w:r w:rsidR="004B1EBE">
        <w:rPr>
          <w:b/>
          <w:sz w:val="36"/>
        </w:rPr>
        <w:br/>
      </w:r>
      <w:r>
        <w:rPr>
          <w:b/>
          <w:sz w:val="36"/>
        </w:rPr>
        <w:t>на 1 января 2019 года.</w:t>
      </w:r>
    </w:p>
    <w:p w:rsidR="004B1EBE" w:rsidRPr="004B1EBE" w:rsidRDefault="004B1EBE" w:rsidP="004B1EBE">
      <w:pPr>
        <w:jc w:val="center"/>
        <w:rPr>
          <w:b/>
          <w:sz w:val="36"/>
        </w:rPr>
      </w:pP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Доходы</w:t>
      </w:r>
      <w:r w:rsidRPr="004B1EBE">
        <w:rPr>
          <w:sz w:val="36"/>
          <w:szCs w:val="36"/>
        </w:rPr>
        <w:t xml:space="preserve"> составили 12 389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 с </w:t>
      </w:r>
      <w:r w:rsidRPr="004B1EBE">
        <w:rPr>
          <w:b/>
          <w:sz w:val="36"/>
          <w:szCs w:val="36"/>
        </w:rPr>
        <w:t>ростом на 15%</w:t>
      </w:r>
      <w:r w:rsidRPr="004B1EBE">
        <w:rPr>
          <w:sz w:val="36"/>
          <w:szCs w:val="36"/>
        </w:rPr>
        <w:br/>
        <w:t xml:space="preserve">(+1 634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>).</w:t>
      </w:r>
      <w:bookmarkStart w:id="0" w:name="_GoBack"/>
      <w:bookmarkEnd w:id="0"/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sz w:val="36"/>
          <w:szCs w:val="36"/>
        </w:rPr>
        <w:t xml:space="preserve">Поступление </w:t>
      </w:r>
      <w:r w:rsidRPr="004B1EBE">
        <w:rPr>
          <w:i/>
          <w:sz w:val="36"/>
          <w:szCs w:val="36"/>
        </w:rPr>
        <w:t>налоговых и неналоговых доходов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возросло на 14%</w:t>
      </w:r>
      <w:r w:rsidR="004B1EBE">
        <w:rPr>
          <w:sz w:val="36"/>
          <w:szCs w:val="36"/>
        </w:rPr>
        <w:t xml:space="preserve"> </w:t>
      </w:r>
      <w:r w:rsidRPr="004B1EBE">
        <w:rPr>
          <w:sz w:val="36"/>
          <w:szCs w:val="36"/>
        </w:rPr>
        <w:t xml:space="preserve">(+1 236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), составив 10 220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>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19" w:hanging="357"/>
        <w:jc w:val="both"/>
        <w:rPr>
          <w:sz w:val="36"/>
          <w:szCs w:val="36"/>
        </w:rPr>
      </w:pPr>
      <w:r w:rsidRPr="004B1EBE">
        <w:rPr>
          <w:sz w:val="36"/>
          <w:szCs w:val="36"/>
        </w:rPr>
        <w:t xml:space="preserve">Поступление </w:t>
      </w:r>
      <w:r w:rsidRPr="004B1EBE">
        <w:rPr>
          <w:i/>
          <w:sz w:val="36"/>
          <w:szCs w:val="36"/>
        </w:rPr>
        <w:t>налога на прибыль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увеличилось на 23%</w:t>
      </w:r>
      <w:r w:rsidRPr="004B1EBE">
        <w:rPr>
          <w:sz w:val="36"/>
          <w:szCs w:val="36"/>
        </w:rPr>
        <w:br/>
        <w:t xml:space="preserve">(+577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>) по сравнению с 2017 годом, объем которого</w:t>
      </w:r>
      <w:r w:rsidRPr="004B1EBE">
        <w:rPr>
          <w:sz w:val="36"/>
          <w:szCs w:val="36"/>
        </w:rPr>
        <w:br/>
        <w:t xml:space="preserve">составил 3 104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>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sz w:val="36"/>
          <w:szCs w:val="36"/>
        </w:rPr>
        <w:t xml:space="preserve">Поступление </w:t>
      </w:r>
      <w:r w:rsidRPr="004B1EBE">
        <w:rPr>
          <w:i/>
          <w:sz w:val="36"/>
          <w:szCs w:val="36"/>
        </w:rPr>
        <w:t>НДФЛ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возросло на 12%</w:t>
      </w:r>
      <w:r w:rsidRPr="004B1EBE">
        <w:rPr>
          <w:sz w:val="36"/>
          <w:szCs w:val="36"/>
        </w:rPr>
        <w:t xml:space="preserve"> (+402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) относительно уровня 2017 года, составив 3 653 млрд. </w:t>
      </w:r>
      <w:r w:rsidR="00D96D94" w:rsidRPr="004B1EBE">
        <w:rPr>
          <w:sz w:val="36"/>
          <w:szCs w:val="36"/>
        </w:rPr>
        <w:t>рублей.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sz w:val="36"/>
          <w:szCs w:val="36"/>
        </w:rPr>
        <w:t xml:space="preserve">Поступление </w:t>
      </w:r>
      <w:r w:rsidRPr="004B1EBE">
        <w:rPr>
          <w:i/>
          <w:sz w:val="36"/>
          <w:szCs w:val="36"/>
        </w:rPr>
        <w:t>акцизов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увеличилось на 3%</w:t>
      </w:r>
      <w:r w:rsidRPr="004B1EBE">
        <w:rPr>
          <w:sz w:val="36"/>
          <w:szCs w:val="36"/>
        </w:rPr>
        <w:t xml:space="preserve"> (+21 млрд. </w:t>
      </w:r>
      <w:r w:rsidR="00D96D94" w:rsidRPr="004B1EBE">
        <w:rPr>
          <w:sz w:val="36"/>
          <w:szCs w:val="36"/>
        </w:rPr>
        <w:t>рублей</w:t>
      </w:r>
      <w:r w:rsidR="004B1EBE">
        <w:rPr>
          <w:sz w:val="36"/>
          <w:szCs w:val="36"/>
        </w:rPr>
        <w:t>)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>по сравнению с 2</w:t>
      </w:r>
      <w:r w:rsidR="004B1EBE">
        <w:rPr>
          <w:sz w:val="36"/>
          <w:szCs w:val="36"/>
        </w:rPr>
        <w:t>017 годом, объем которых достиг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 xml:space="preserve">632 млрд. </w:t>
      </w:r>
      <w:r w:rsidR="00D96D94" w:rsidRPr="004B1EBE">
        <w:rPr>
          <w:sz w:val="36"/>
          <w:szCs w:val="36"/>
        </w:rPr>
        <w:t>рублей.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sz w:val="36"/>
          <w:szCs w:val="36"/>
        </w:rPr>
        <w:t xml:space="preserve">Поступление </w:t>
      </w:r>
      <w:r w:rsidRPr="004B1EBE">
        <w:rPr>
          <w:i/>
          <w:sz w:val="36"/>
          <w:szCs w:val="36"/>
        </w:rPr>
        <w:t>налога на имущество организаций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выросло на 15%</w:t>
      </w:r>
      <w:r w:rsidR="004B1EBE">
        <w:rPr>
          <w:sz w:val="36"/>
          <w:szCs w:val="36"/>
        </w:rPr>
        <w:t xml:space="preserve"> </w:t>
      </w:r>
      <w:r w:rsidRPr="004B1EBE">
        <w:rPr>
          <w:sz w:val="36"/>
          <w:szCs w:val="36"/>
        </w:rPr>
        <w:t xml:space="preserve">(+129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>) относите</w:t>
      </w:r>
      <w:r w:rsidR="004B1EBE">
        <w:rPr>
          <w:sz w:val="36"/>
          <w:szCs w:val="36"/>
        </w:rPr>
        <w:t xml:space="preserve">льно уровня 2017 года, составив </w:t>
      </w:r>
      <w:r w:rsidRPr="004B1EBE">
        <w:rPr>
          <w:sz w:val="36"/>
          <w:szCs w:val="36"/>
        </w:rPr>
        <w:t xml:space="preserve">985 млрд. </w:t>
      </w:r>
      <w:r w:rsidR="00D96D94" w:rsidRPr="004B1EBE">
        <w:rPr>
          <w:sz w:val="36"/>
          <w:szCs w:val="36"/>
        </w:rPr>
        <w:t>рублей.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sz w:val="36"/>
          <w:szCs w:val="36"/>
        </w:rPr>
        <w:t xml:space="preserve">Доходы от </w:t>
      </w:r>
      <w:r w:rsidRPr="004B1EBE">
        <w:rPr>
          <w:i/>
          <w:sz w:val="36"/>
          <w:szCs w:val="36"/>
        </w:rPr>
        <w:t>других налогов</w:t>
      </w:r>
      <w:r w:rsidRPr="004B1EBE">
        <w:rPr>
          <w:sz w:val="36"/>
          <w:szCs w:val="36"/>
        </w:rPr>
        <w:t xml:space="preserve"> поступили в сумме 1 052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 и </w:t>
      </w:r>
      <w:r w:rsidRPr="004B1EBE">
        <w:rPr>
          <w:b/>
          <w:sz w:val="36"/>
          <w:szCs w:val="36"/>
        </w:rPr>
        <w:t>выросли на 10%</w:t>
      </w:r>
      <w:r w:rsidRPr="004B1EBE">
        <w:rPr>
          <w:sz w:val="36"/>
          <w:szCs w:val="36"/>
        </w:rPr>
        <w:t xml:space="preserve"> (+95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>).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Неналоговые доходы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возросли на 2%</w:t>
      </w:r>
      <w:r w:rsidRPr="004B1EBE">
        <w:rPr>
          <w:sz w:val="36"/>
          <w:szCs w:val="36"/>
        </w:rPr>
        <w:t xml:space="preserve"> (+13 млрд. </w:t>
      </w:r>
      <w:r w:rsidR="00D96D94" w:rsidRPr="004B1EBE">
        <w:rPr>
          <w:sz w:val="36"/>
          <w:szCs w:val="36"/>
        </w:rPr>
        <w:t>рублей</w:t>
      </w:r>
      <w:r w:rsidR="004B1EBE">
        <w:rPr>
          <w:sz w:val="36"/>
          <w:szCs w:val="36"/>
        </w:rPr>
        <w:t xml:space="preserve">), составив </w:t>
      </w:r>
      <w:r w:rsidRPr="004B1EBE">
        <w:rPr>
          <w:sz w:val="36"/>
          <w:szCs w:val="36"/>
        </w:rPr>
        <w:t xml:space="preserve">793 млрд. </w:t>
      </w:r>
      <w:r w:rsidR="00D96D94" w:rsidRPr="004B1EBE">
        <w:rPr>
          <w:sz w:val="36"/>
          <w:szCs w:val="36"/>
        </w:rPr>
        <w:t>рублей.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proofErr w:type="gramStart"/>
      <w:r w:rsidRPr="004B1EBE">
        <w:rPr>
          <w:i/>
          <w:sz w:val="36"/>
          <w:szCs w:val="36"/>
        </w:rPr>
        <w:t>Безвозмездные поступления из федерального бюджета</w:t>
      </w:r>
      <w:r w:rsidRPr="004B1EBE">
        <w:rPr>
          <w:sz w:val="36"/>
          <w:szCs w:val="36"/>
        </w:rPr>
        <w:t xml:space="preserve"> поступили в объеме </w:t>
      </w:r>
      <w:r w:rsidRPr="004B1EBE">
        <w:rPr>
          <w:b/>
          <w:sz w:val="36"/>
          <w:szCs w:val="36"/>
        </w:rPr>
        <w:t xml:space="preserve">2 084 млрд. </w:t>
      </w:r>
      <w:r w:rsidR="00D96D94" w:rsidRPr="004B1EBE">
        <w:rPr>
          <w:b/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, с </w:t>
      </w:r>
      <w:r w:rsidRPr="004B1EBE">
        <w:rPr>
          <w:b/>
          <w:sz w:val="36"/>
          <w:szCs w:val="36"/>
        </w:rPr>
        <w:t>ростом на 22%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 xml:space="preserve">(+382 млрд. </w:t>
      </w:r>
      <w:r w:rsidR="00D96D94" w:rsidRPr="004B1EBE">
        <w:rPr>
          <w:sz w:val="36"/>
          <w:szCs w:val="36"/>
        </w:rPr>
        <w:t>рублей</w:t>
      </w:r>
      <w:r w:rsidR="004B1EBE">
        <w:rPr>
          <w:sz w:val="36"/>
          <w:szCs w:val="36"/>
        </w:rPr>
        <w:t xml:space="preserve">), </w:t>
      </w:r>
      <w:r w:rsidRPr="004B1EBE">
        <w:rPr>
          <w:sz w:val="36"/>
          <w:szCs w:val="36"/>
        </w:rPr>
        <w:t>что составляет 17% доходов.</w:t>
      </w:r>
      <w:proofErr w:type="gramEnd"/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Расходы</w:t>
      </w:r>
      <w:r w:rsidRPr="004B1EBE">
        <w:rPr>
          <w:sz w:val="36"/>
          <w:szCs w:val="36"/>
        </w:rPr>
        <w:t xml:space="preserve"> профинансированы в объеме </w:t>
      </w:r>
      <w:r w:rsidRPr="004B1EBE">
        <w:rPr>
          <w:b/>
          <w:sz w:val="36"/>
          <w:szCs w:val="36"/>
        </w:rPr>
        <w:t xml:space="preserve">11 879 млрд. </w:t>
      </w:r>
      <w:r w:rsidR="00D96D94" w:rsidRPr="004B1EBE">
        <w:rPr>
          <w:b/>
          <w:sz w:val="36"/>
          <w:szCs w:val="36"/>
        </w:rPr>
        <w:t>рублей</w:t>
      </w:r>
      <w:r w:rsidR="00D96D94" w:rsidRPr="004B1EBE">
        <w:rPr>
          <w:sz w:val="36"/>
          <w:szCs w:val="36"/>
        </w:rPr>
        <w:t>,</w:t>
      </w:r>
      <w:r w:rsidR="00D96D94" w:rsidRPr="004B1EBE">
        <w:rPr>
          <w:sz w:val="36"/>
          <w:szCs w:val="36"/>
        </w:rPr>
        <w:br/>
      </w:r>
      <w:r w:rsidRPr="004B1EBE">
        <w:rPr>
          <w:sz w:val="36"/>
          <w:szCs w:val="36"/>
        </w:rPr>
        <w:t xml:space="preserve">с </w:t>
      </w:r>
      <w:r w:rsidRPr="004B1EBE">
        <w:rPr>
          <w:b/>
          <w:sz w:val="36"/>
          <w:szCs w:val="36"/>
        </w:rPr>
        <w:t>ростом на 10%</w:t>
      </w:r>
      <w:r w:rsidRPr="004B1EBE">
        <w:rPr>
          <w:sz w:val="36"/>
          <w:szCs w:val="36"/>
        </w:rPr>
        <w:t xml:space="preserve"> (+1 072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>).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lastRenderedPageBreak/>
        <w:t>Расходы на выплату заработной платы</w:t>
      </w:r>
      <w:r w:rsidRPr="004B1EBE">
        <w:rPr>
          <w:sz w:val="36"/>
          <w:szCs w:val="36"/>
        </w:rPr>
        <w:t xml:space="preserve"> составили </w:t>
      </w:r>
      <w:r w:rsidRPr="004B1EBE">
        <w:rPr>
          <w:b/>
          <w:sz w:val="36"/>
          <w:szCs w:val="36"/>
        </w:rPr>
        <w:t xml:space="preserve">3 921 млрд. </w:t>
      </w:r>
      <w:r w:rsidR="00D96D94" w:rsidRPr="004B1EBE">
        <w:rPr>
          <w:b/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, и </w:t>
      </w:r>
      <w:r w:rsidRPr="004B1EBE">
        <w:rPr>
          <w:b/>
          <w:sz w:val="36"/>
          <w:szCs w:val="36"/>
        </w:rPr>
        <w:t>возросли на 15%</w:t>
      </w:r>
      <w:r w:rsidRPr="004B1EBE">
        <w:rPr>
          <w:sz w:val="36"/>
          <w:szCs w:val="36"/>
        </w:rPr>
        <w:t xml:space="preserve"> (+500 млрд. </w:t>
      </w:r>
      <w:r w:rsidR="00D96D94" w:rsidRPr="004B1EBE">
        <w:rPr>
          <w:sz w:val="36"/>
          <w:szCs w:val="36"/>
        </w:rPr>
        <w:t>рублей</w:t>
      </w:r>
      <w:r w:rsidR="004B1EBE">
        <w:rPr>
          <w:sz w:val="36"/>
          <w:szCs w:val="36"/>
        </w:rPr>
        <w:t>). Их доля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 xml:space="preserve">в общем объеме расходов составила </w:t>
      </w:r>
      <w:r w:rsidRPr="004B1EBE">
        <w:rPr>
          <w:b/>
          <w:sz w:val="36"/>
          <w:szCs w:val="36"/>
        </w:rPr>
        <w:t>33%</w:t>
      </w:r>
      <w:r w:rsidR="004B1EBE">
        <w:rPr>
          <w:sz w:val="36"/>
          <w:szCs w:val="36"/>
        </w:rPr>
        <w:t xml:space="preserve"> (против 32%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>в 2017 году).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Расходы инвестиционного характера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сократились на 3%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 xml:space="preserve">(-44 млрд. </w:t>
      </w:r>
      <w:r w:rsidR="00D96D94" w:rsidRPr="004B1EBE">
        <w:rPr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) и составляют </w:t>
      </w:r>
      <w:r w:rsidRPr="004B1EBE">
        <w:rPr>
          <w:b/>
          <w:sz w:val="36"/>
          <w:szCs w:val="36"/>
        </w:rPr>
        <w:t xml:space="preserve">1 285 млрд. </w:t>
      </w:r>
      <w:r w:rsidR="00D96D94" w:rsidRPr="004B1EBE">
        <w:rPr>
          <w:b/>
          <w:sz w:val="36"/>
          <w:szCs w:val="36"/>
        </w:rPr>
        <w:t>рублей</w:t>
      </w:r>
      <w:r w:rsidRPr="004B1EBE">
        <w:rPr>
          <w:sz w:val="36"/>
          <w:szCs w:val="36"/>
        </w:rPr>
        <w:t xml:space="preserve">, с удельным весом </w:t>
      </w:r>
      <w:r w:rsidRPr="004B1EBE">
        <w:rPr>
          <w:b/>
          <w:sz w:val="36"/>
          <w:szCs w:val="36"/>
        </w:rPr>
        <w:t>11%</w:t>
      </w:r>
      <w:r w:rsidRPr="004B1EBE">
        <w:rPr>
          <w:sz w:val="36"/>
          <w:szCs w:val="36"/>
        </w:rPr>
        <w:t xml:space="preserve"> (против </w:t>
      </w:r>
      <w:r w:rsidRPr="004B1EBE">
        <w:rPr>
          <w:b/>
          <w:sz w:val="36"/>
          <w:szCs w:val="36"/>
        </w:rPr>
        <w:t>12%</w:t>
      </w:r>
      <w:r w:rsidRPr="004B1EBE">
        <w:rPr>
          <w:sz w:val="36"/>
          <w:szCs w:val="36"/>
        </w:rPr>
        <w:t xml:space="preserve"> в 2017 году).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Профицит</w:t>
      </w:r>
      <w:r w:rsidRPr="004B1EBE">
        <w:rPr>
          <w:sz w:val="36"/>
          <w:szCs w:val="36"/>
        </w:rPr>
        <w:t xml:space="preserve"> </w:t>
      </w:r>
      <w:r w:rsidR="009A135F" w:rsidRPr="004B1EBE">
        <w:rPr>
          <w:sz w:val="36"/>
          <w:szCs w:val="36"/>
        </w:rPr>
        <w:t>консолидированных бюджетов</w:t>
      </w:r>
      <w:r w:rsidRP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510 млрд. рублей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 xml:space="preserve">(в 2017 году </w:t>
      </w:r>
      <w:r w:rsidRPr="004B1EBE">
        <w:rPr>
          <w:i/>
          <w:sz w:val="36"/>
          <w:szCs w:val="36"/>
        </w:rPr>
        <w:t>дефицит</w:t>
      </w:r>
      <w:r w:rsidRPr="004B1EBE">
        <w:rPr>
          <w:sz w:val="36"/>
          <w:szCs w:val="36"/>
        </w:rPr>
        <w:t xml:space="preserve"> - </w:t>
      </w:r>
      <w:r w:rsidRPr="004B1EBE">
        <w:rPr>
          <w:b/>
          <w:sz w:val="36"/>
          <w:szCs w:val="36"/>
        </w:rPr>
        <w:t>52 млрд. рублей</w:t>
      </w:r>
      <w:r w:rsidRPr="004B1EBE">
        <w:rPr>
          <w:sz w:val="36"/>
          <w:szCs w:val="36"/>
        </w:rPr>
        <w:t>)</w:t>
      </w:r>
      <w:r w:rsidR="004B1EBE" w:rsidRPr="004B1EBE">
        <w:rPr>
          <w:sz w:val="36"/>
          <w:szCs w:val="36"/>
        </w:rPr>
        <w:t xml:space="preserve">. </w:t>
      </w:r>
      <w:r w:rsidRPr="004B1EBE">
        <w:rPr>
          <w:sz w:val="36"/>
          <w:szCs w:val="36"/>
        </w:rPr>
        <w:t>С дефицитом исполнены бюджеты</w:t>
      </w:r>
      <w:r w:rsid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15 регионов</w:t>
      </w:r>
      <w:r w:rsidR="004B1EBE">
        <w:rPr>
          <w:sz w:val="36"/>
          <w:szCs w:val="36"/>
        </w:rPr>
        <w:t xml:space="preserve"> (против 47 в 2017 году),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>с суммарным дефицитом</w:t>
      </w:r>
      <w:r w:rsidR="004B1EBE">
        <w:rPr>
          <w:sz w:val="36"/>
          <w:szCs w:val="36"/>
        </w:rPr>
        <w:t xml:space="preserve"> </w:t>
      </w:r>
      <w:r w:rsidRPr="004B1EBE">
        <w:rPr>
          <w:b/>
          <w:sz w:val="36"/>
          <w:szCs w:val="36"/>
        </w:rPr>
        <w:t>65 млрд. рублей</w:t>
      </w:r>
      <w:r w:rsidRPr="004B1EBE">
        <w:rPr>
          <w:sz w:val="36"/>
          <w:szCs w:val="36"/>
        </w:rPr>
        <w:t xml:space="preserve">. С профицитом исполнены бюджеты </w:t>
      </w:r>
      <w:r w:rsidRPr="004B1EBE">
        <w:rPr>
          <w:b/>
          <w:sz w:val="36"/>
          <w:szCs w:val="36"/>
        </w:rPr>
        <w:t>70 регионов</w:t>
      </w:r>
      <w:r w:rsidR="004B1EBE">
        <w:rPr>
          <w:sz w:val="36"/>
          <w:szCs w:val="36"/>
        </w:rPr>
        <w:t xml:space="preserve"> (против 38 в 2017 году),</w:t>
      </w:r>
      <w:r w:rsidR="004B1EBE">
        <w:rPr>
          <w:sz w:val="36"/>
          <w:szCs w:val="36"/>
        </w:rPr>
        <w:br/>
      </w:r>
      <w:r w:rsidRPr="004B1EBE">
        <w:rPr>
          <w:sz w:val="36"/>
          <w:szCs w:val="36"/>
        </w:rPr>
        <w:t xml:space="preserve">с </w:t>
      </w:r>
      <w:proofErr w:type="gramStart"/>
      <w:r w:rsidRPr="004B1EBE">
        <w:rPr>
          <w:sz w:val="36"/>
          <w:szCs w:val="36"/>
        </w:rPr>
        <w:t>суммарным</w:t>
      </w:r>
      <w:proofErr w:type="gramEnd"/>
      <w:r w:rsidRPr="004B1EBE">
        <w:rPr>
          <w:sz w:val="36"/>
          <w:szCs w:val="36"/>
        </w:rPr>
        <w:t xml:space="preserve"> профицитом </w:t>
      </w:r>
      <w:r w:rsidRPr="004B1EBE">
        <w:rPr>
          <w:b/>
          <w:sz w:val="36"/>
          <w:szCs w:val="36"/>
        </w:rPr>
        <w:t>575 млрд. рублей</w:t>
      </w:r>
      <w:r w:rsidRPr="004B1EBE">
        <w:rPr>
          <w:sz w:val="36"/>
          <w:szCs w:val="36"/>
        </w:rPr>
        <w:t>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Привлечение кредитов кредитных организаций</w:t>
      </w:r>
      <w:r w:rsidRPr="004B1EBE">
        <w:rPr>
          <w:sz w:val="36"/>
          <w:szCs w:val="36"/>
        </w:rPr>
        <w:t xml:space="preserve"> составило</w:t>
      </w:r>
      <w:r w:rsidR="00D96D94" w:rsidRPr="004B1EBE">
        <w:rPr>
          <w:sz w:val="36"/>
          <w:szCs w:val="36"/>
        </w:rPr>
        <w:br/>
      </w:r>
      <w:r w:rsidRPr="004B1EBE">
        <w:rPr>
          <w:b/>
          <w:sz w:val="36"/>
          <w:szCs w:val="36"/>
        </w:rPr>
        <w:t>1 124 млрд. рублей</w:t>
      </w:r>
      <w:r w:rsidRPr="004B1EBE">
        <w:rPr>
          <w:sz w:val="36"/>
          <w:szCs w:val="36"/>
        </w:rPr>
        <w:t xml:space="preserve">,  </w:t>
      </w:r>
      <w:r w:rsidRPr="004B1EBE">
        <w:rPr>
          <w:i/>
          <w:sz w:val="36"/>
          <w:szCs w:val="36"/>
        </w:rPr>
        <w:t>погашение</w:t>
      </w:r>
      <w:r w:rsidRPr="004B1EBE">
        <w:rPr>
          <w:sz w:val="36"/>
          <w:szCs w:val="36"/>
        </w:rPr>
        <w:t xml:space="preserve"> - </w:t>
      </w:r>
      <w:r w:rsidRPr="004B1EBE">
        <w:rPr>
          <w:b/>
          <w:sz w:val="36"/>
          <w:szCs w:val="36"/>
        </w:rPr>
        <w:t>1 138 млрд. рублей</w:t>
      </w:r>
      <w:r w:rsidRPr="004B1EBE">
        <w:rPr>
          <w:sz w:val="36"/>
          <w:szCs w:val="36"/>
        </w:rPr>
        <w:t xml:space="preserve"> (в 2017 году - 1 552 и 1 678 млрд. рублей соответственно).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Остатки средств бюджетов</w:t>
      </w:r>
      <w:r w:rsidRPr="004B1EBE">
        <w:rPr>
          <w:sz w:val="36"/>
          <w:szCs w:val="36"/>
        </w:rPr>
        <w:t xml:space="preserve"> на 1 января 2019 года составили</w:t>
      </w:r>
      <w:r w:rsidR="00D96D94" w:rsidRPr="004B1EBE">
        <w:rPr>
          <w:sz w:val="36"/>
          <w:szCs w:val="36"/>
        </w:rPr>
        <w:br/>
      </w:r>
      <w:r w:rsidRPr="004B1EBE">
        <w:rPr>
          <w:b/>
          <w:sz w:val="36"/>
          <w:szCs w:val="36"/>
        </w:rPr>
        <w:t>1 981 млрд. рублей</w:t>
      </w:r>
      <w:r w:rsidRPr="004B1EBE">
        <w:rPr>
          <w:sz w:val="36"/>
          <w:szCs w:val="36"/>
        </w:rPr>
        <w:t xml:space="preserve"> и возросли с начала года </w:t>
      </w:r>
      <w:r w:rsidRPr="004B1EBE">
        <w:rPr>
          <w:b/>
          <w:sz w:val="36"/>
          <w:szCs w:val="36"/>
        </w:rPr>
        <w:t>на 36%</w:t>
      </w:r>
      <w:r w:rsidR="00D96D94" w:rsidRPr="004B1EBE">
        <w:rPr>
          <w:sz w:val="36"/>
          <w:szCs w:val="36"/>
        </w:rPr>
        <w:br/>
        <w:t>(+525 млрд. рублей).</w:t>
      </w:r>
    </w:p>
    <w:p w:rsidR="002E1D16" w:rsidRPr="004B1EBE" w:rsidRDefault="00747DED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proofErr w:type="gramStart"/>
      <w:r w:rsidRPr="004B1EBE">
        <w:rPr>
          <w:i/>
          <w:sz w:val="36"/>
          <w:szCs w:val="36"/>
        </w:rPr>
        <w:t>Просроченная кредиторская задолженность</w:t>
      </w:r>
      <w:r w:rsidRPr="004B1EBE">
        <w:rPr>
          <w:sz w:val="36"/>
          <w:szCs w:val="36"/>
        </w:rPr>
        <w:t xml:space="preserve"> на 1 января 2019 года составляет </w:t>
      </w:r>
      <w:r w:rsidRPr="004B1EBE">
        <w:rPr>
          <w:b/>
          <w:sz w:val="36"/>
          <w:szCs w:val="36"/>
        </w:rPr>
        <w:t>22 млрд. рублей</w:t>
      </w:r>
      <w:r w:rsidRPr="004B1EBE">
        <w:rPr>
          <w:sz w:val="36"/>
          <w:szCs w:val="36"/>
        </w:rPr>
        <w:t xml:space="preserve">, с </w:t>
      </w:r>
      <w:r w:rsidRPr="004B1EBE">
        <w:rPr>
          <w:b/>
          <w:sz w:val="36"/>
          <w:szCs w:val="36"/>
        </w:rPr>
        <w:t>сокращением на 50%</w:t>
      </w:r>
      <w:r w:rsidR="004B1EBE">
        <w:rPr>
          <w:sz w:val="36"/>
          <w:szCs w:val="36"/>
        </w:rPr>
        <w:t xml:space="preserve"> с начала года </w:t>
      </w:r>
      <w:r w:rsidRPr="004B1EBE">
        <w:rPr>
          <w:sz w:val="36"/>
          <w:szCs w:val="36"/>
        </w:rPr>
        <w:t xml:space="preserve">(57 субъектов Российской Федерации имеют просроченную кредиторскую задолженность, при этом в 50 регионах она снизилась на общую сумму </w:t>
      </w:r>
      <w:r w:rsidRPr="004B1EBE">
        <w:rPr>
          <w:b/>
          <w:sz w:val="36"/>
          <w:szCs w:val="36"/>
        </w:rPr>
        <w:t>23 млрд. рублей</w:t>
      </w:r>
      <w:r w:rsidR="00F36199">
        <w:rPr>
          <w:sz w:val="36"/>
          <w:szCs w:val="36"/>
        </w:rPr>
        <w:t>,</w:t>
      </w:r>
      <w:r w:rsidR="00F36199">
        <w:rPr>
          <w:sz w:val="36"/>
          <w:szCs w:val="36"/>
        </w:rPr>
        <w:br/>
        <w:t xml:space="preserve">а </w:t>
      </w:r>
      <w:r w:rsidRPr="004B1EBE">
        <w:rPr>
          <w:sz w:val="36"/>
          <w:szCs w:val="36"/>
        </w:rPr>
        <w:t>в 7 возросла на общую сумму</w:t>
      </w:r>
      <w:r w:rsidR="004B1EBE">
        <w:rPr>
          <w:sz w:val="36"/>
          <w:szCs w:val="36"/>
        </w:rPr>
        <w:t xml:space="preserve"> </w:t>
      </w:r>
      <w:r w:rsidR="004B6C55" w:rsidRPr="004B1EBE">
        <w:rPr>
          <w:b/>
          <w:sz w:val="36"/>
          <w:szCs w:val="36"/>
        </w:rPr>
        <w:t>0,6</w:t>
      </w:r>
      <w:r w:rsidRPr="004B1EBE">
        <w:rPr>
          <w:b/>
          <w:sz w:val="36"/>
          <w:szCs w:val="36"/>
        </w:rPr>
        <w:t xml:space="preserve"> млрд. рублей</w:t>
      </w:r>
      <w:r w:rsidRPr="004B1EBE">
        <w:rPr>
          <w:sz w:val="36"/>
          <w:szCs w:val="36"/>
        </w:rPr>
        <w:t>. 6 регионов пога</w:t>
      </w:r>
      <w:r w:rsidR="004B1EBE">
        <w:rPr>
          <w:sz w:val="36"/>
          <w:szCs w:val="36"/>
        </w:rPr>
        <w:t xml:space="preserve">сили просроченную задолженность </w:t>
      </w:r>
      <w:r w:rsidRPr="004B1EBE">
        <w:rPr>
          <w:sz w:val="36"/>
          <w:szCs w:val="36"/>
        </w:rPr>
        <w:t>с начала года на общую</w:t>
      </w:r>
      <w:proofErr w:type="gramEnd"/>
      <w:r w:rsidRPr="004B1EBE">
        <w:rPr>
          <w:sz w:val="36"/>
          <w:szCs w:val="36"/>
        </w:rPr>
        <w:t xml:space="preserve"> сумму 62 млн. рублей).</w:t>
      </w:r>
    </w:p>
    <w:p w:rsidR="00747DED" w:rsidRPr="004B1EBE" w:rsidRDefault="00916CB1" w:rsidP="004B1EBE">
      <w:pPr>
        <w:numPr>
          <w:ilvl w:val="0"/>
          <w:numId w:val="5"/>
        </w:numPr>
        <w:spacing w:after="200"/>
        <w:ind w:left="425"/>
        <w:jc w:val="both"/>
        <w:rPr>
          <w:sz w:val="36"/>
          <w:szCs w:val="36"/>
        </w:rPr>
      </w:pPr>
      <w:r w:rsidRPr="004B1EBE">
        <w:rPr>
          <w:i/>
          <w:sz w:val="36"/>
          <w:szCs w:val="36"/>
        </w:rPr>
        <w:t>Государственный долг субъектов Российской Федерации</w:t>
      </w:r>
      <w:r w:rsidRPr="004B1EBE">
        <w:rPr>
          <w:sz w:val="36"/>
          <w:szCs w:val="36"/>
        </w:rPr>
        <w:t xml:space="preserve"> составляет </w:t>
      </w:r>
      <w:r w:rsidRPr="004B1EBE">
        <w:rPr>
          <w:b/>
          <w:sz w:val="36"/>
          <w:szCs w:val="36"/>
        </w:rPr>
        <w:t>2 206 млрд. рублей</w:t>
      </w:r>
      <w:r w:rsidRPr="004B1EBE">
        <w:rPr>
          <w:sz w:val="36"/>
          <w:szCs w:val="36"/>
        </w:rPr>
        <w:t xml:space="preserve"> и снизился с начала года </w:t>
      </w:r>
      <w:r w:rsidRPr="004B1EBE">
        <w:rPr>
          <w:b/>
          <w:sz w:val="36"/>
          <w:szCs w:val="36"/>
        </w:rPr>
        <w:t>на 4,7%</w:t>
      </w:r>
      <w:r w:rsidRPr="004B1EBE">
        <w:rPr>
          <w:sz w:val="36"/>
          <w:szCs w:val="36"/>
        </w:rPr>
        <w:t xml:space="preserve"> (-109 млрд. руб.).</w:t>
      </w:r>
    </w:p>
    <w:p w:rsidR="002E1D16" w:rsidRDefault="002E1D16">
      <w:pPr>
        <w:pageBreakBefore/>
      </w:pPr>
    </w:p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Динамика нало</w:t>
      </w:r>
      <w:r w:rsidR="00AB4297">
        <w:rPr>
          <w:b/>
          <w:sz w:val="28"/>
        </w:rPr>
        <w:t>говых доходов консолидированных</w:t>
      </w:r>
      <w:r w:rsidR="00AB4297">
        <w:rPr>
          <w:b/>
          <w:sz w:val="28"/>
        </w:rPr>
        <w:br/>
      </w:r>
      <w:r w:rsidRPr="00AB4297">
        <w:rPr>
          <w:b/>
          <w:sz w:val="28"/>
        </w:rPr>
        <w:t>бюджетов субъектов Российской Федерации в 2016-2018 годах</w:t>
      </w:r>
    </w:p>
    <w:p w:rsidR="002E1D16" w:rsidRDefault="00747DED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297" w:rsidRDefault="00AB4297">
      <w:pPr>
        <w:jc w:val="center"/>
        <w:rPr>
          <w:b/>
          <w:sz w:val="28"/>
        </w:rPr>
      </w:pPr>
    </w:p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Налоговые и неналоговые доходы в 2016-2018 гг.</w:t>
      </w:r>
    </w:p>
    <w:p w:rsidR="002E1D16" w:rsidRDefault="00747DED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16" w:rsidRDefault="002E1D16">
      <w:pPr>
        <w:pageBreakBefore/>
      </w:pPr>
    </w:p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Налог на прибыль организаций в 2016-2018 гг.</w:t>
      </w:r>
    </w:p>
    <w:p w:rsidR="002E1D16" w:rsidRDefault="00747DED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16" w:rsidRDefault="002E1D16"/>
    <w:p w:rsidR="00AB4297" w:rsidRDefault="00AB4297">
      <w:pPr>
        <w:jc w:val="center"/>
        <w:rPr>
          <w:b/>
          <w:sz w:val="28"/>
        </w:rPr>
      </w:pPr>
    </w:p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Налог на доходы физических лиц в 2016-2018 гг.</w:t>
      </w:r>
    </w:p>
    <w:p w:rsidR="002E1D16" w:rsidRDefault="00747DED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16" w:rsidRDefault="002E1D16">
      <w:pPr>
        <w:pageBreakBefore/>
      </w:pPr>
    </w:p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Структура налоговых дох</w:t>
      </w:r>
      <w:r w:rsidR="00AB4297">
        <w:rPr>
          <w:b/>
          <w:sz w:val="28"/>
        </w:rPr>
        <w:t>одов консолидированных бюджетов</w:t>
      </w:r>
      <w:r w:rsidR="00AB4297">
        <w:rPr>
          <w:b/>
          <w:sz w:val="28"/>
        </w:rPr>
        <w:br/>
      </w:r>
      <w:r w:rsidRPr="00AB4297">
        <w:rPr>
          <w:b/>
          <w:sz w:val="28"/>
        </w:rPr>
        <w:t>субъектов Российской Федерации на 1 января 2018 и 2019 гг.</w:t>
      </w:r>
    </w:p>
    <w:p w:rsidR="002E1D16" w:rsidRPr="00AB4297" w:rsidRDefault="00747DED">
      <w:pPr>
        <w:rPr>
          <w:i/>
        </w:rPr>
      </w:pPr>
      <w:r>
        <w:rPr>
          <w:sz w:val="28"/>
        </w:rPr>
        <w:t xml:space="preserve">                </w:t>
      </w:r>
      <w:r w:rsidRPr="00AB4297">
        <w:rPr>
          <w:i/>
          <w:sz w:val="28"/>
        </w:rPr>
        <w:t>на 1 января 2018 года                                      на 1 января 2019 года</w:t>
      </w:r>
    </w:p>
    <w:p w:rsidR="002E1D16" w:rsidRDefault="00747DED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16" w:rsidRDefault="002E1D16"/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Динамика расх</w:t>
      </w:r>
      <w:r w:rsidR="00AB4297">
        <w:rPr>
          <w:b/>
          <w:sz w:val="28"/>
        </w:rPr>
        <w:t>одов консолидированных бюджетов</w:t>
      </w:r>
      <w:r w:rsidR="00AB4297">
        <w:rPr>
          <w:b/>
          <w:sz w:val="28"/>
        </w:rPr>
        <w:br/>
      </w:r>
      <w:r w:rsidRPr="00AB4297">
        <w:rPr>
          <w:b/>
          <w:sz w:val="28"/>
        </w:rPr>
        <w:t>субъектов Российской Федерации в 2016-2018 годах</w:t>
      </w:r>
    </w:p>
    <w:p w:rsidR="002E1D16" w:rsidRDefault="00747DED">
      <w:r>
        <w:rPr>
          <w:noProof/>
        </w:rPr>
        <w:drawing>
          <wp:inline distT="0" distB="0" distL="0" distR="0">
            <wp:extent cx="6381750" cy="4257675"/>
            <wp:effectExtent l="0" t="0" r="0" b="0"/>
            <wp:docPr id="10" name="Picture 1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16" w:rsidRDefault="002E1D16">
      <w:pPr>
        <w:pageBreakBefore/>
      </w:pPr>
    </w:p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Расходы в 2016-2018 гг.</w:t>
      </w:r>
    </w:p>
    <w:p w:rsidR="002E1D16" w:rsidRDefault="00747DED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D16" w:rsidRDefault="002E1D16"/>
    <w:p w:rsidR="002E1D16" w:rsidRPr="00AB4297" w:rsidRDefault="00747DED">
      <w:pPr>
        <w:jc w:val="center"/>
        <w:rPr>
          <w:b/>
        </w:rPr>
      </w:pPr>
      <w:r w:rsidRPr="00AB4297">
        <w:rPr>
          <w:b/>
          <w:sz w:val="28"/>
        </w:rPr>
        <w:t>Структура расходов консол</w:t>
      </w:r>
      <w:r w:rsidR="00AB4297">
        <w:rPr>
          <w:b/>
          <w:sz w:val="28"/>
        </w:rPr>
        <w:t>идированных бюджетов</w:t>
      </w:r>
      <w:r w:rsidR="00AB4297">
        <w:rPr>
          <w:b/>
          <w:sz w:val="28"/>
        </w:rPr>
        <w:br/>
      </w:r>
      <w:r w:rsidRPr="00AB4297">
        <w:rPr>
          <w:b/>
          <w:sz w:val="28"/>
        </w:rPr>
        <w:t>субъектов Российской Федерации на 1 января 2018 и 2019 гг.</w:t>
      </w:r>
    </w:p>
    <w:p w:rsidR="002E1D16" w:rsidRPr="00AB4297" w:rsidRDefault="00747DED">
      <w:pPr>
        <w:rPr>
          <w:i/>
        </w:rPr>
      </w:pPr>
      <w:r>
        <w:rPr>
          <w:sz w:val="28"/>
        </w:rPr>
        <w:t xml:space="preserve">                </w:t>
      </w:r>
      <w:r w:rsidRPr="00AB4297">
        <w:rPr>
          <w:i/>
          <w:sz w:val="28"/>
        </w:rPr>
        <w:t>на 1 января 2018 года                                      на 1 января 2019 года</w:t>
      </w:r>
    </w:p>
    <w:p w:rsidR="004030E2" w:rsidRPr="004030E2" w:rsidRDefault="00747DED" w:rsidP="00F36199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12" name="Picture 12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13" name="Picture 13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0E2" w:rsidRDefault="004030E2" w:rsidP="004030E2"/>
    <w:sectPr w:rsidR="004030E2" w:rsidSect="007725E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BE" w:rsidRDefault="004B1EBE" w:rsidP="00537A10">
      <w:pPr>
        <w:pStyle w:val="a5"/>
      </w:pPr>
      <w:r>
        <w:separator/>
      </w:r>
    </w:p>
  </w:endnote>
  <w:endnote w:type="continuationSeparator" w:id="0">
    <w:p w:rsidR="004B1EBE" w:rsidRDefault="004B1EBE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BE" w:rsidRDefault="004B1EBE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1EBE" w:rsidRDefault="004B1EBE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4B1EBE" w:rsidTr="007725EF">
      <w:tc>
        <w:tcPr>
          <w:tcW w:w="10632" w:type="dxa"/>
          <w:shd w:val="clear" w:color="auto" w:fill="00004C"/>
        </w:tcPr>
        <w:p w:rsidR="004B1EBE" w:rsidRPr="00DC0341" w:rsidRDefault="004B1EBE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F36199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4B1EBE" w:rsidRDefault="004B1EBE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BE" w:rsidRDefault="004B1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BE" w:rsidRDefault="004B1EBE" w:rsidP="00537A10">
      <w:pPr>
        <w:pStyle w:val="a5"/>
      </w:pPr>
      <w:r>
        <w:separator/>
      </w:r>
    </w:p>
  </w:footnote>
  <w:footnote w:type="continuationSeparator" w:id="0">
    <w:p w:rsidR="004B1EBE" w:rsidRDefault="004B1EBE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BE" w:rsidRDefault="004B1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4B1EBE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4B1EBE" w:rsidRPr="00DC0341" w:rsidRDefault="004B1EBE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 wp14:anchorId="6E4C7924" wp14:editId="06D04455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4B1EBE" w:rsidRPr="00DC0341" w:rsidRDefault="004B1EBE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7EDA13B8" wp14:editId="0F336572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4B1EBE" w:rsidRPr="00DC0341" w:rsidRDefault="004B1EBE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4B1EBE" w:rsidRPr="00DC0341" w:rsidRDefault="004B1EBE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4B1EBE" w:rsidRDefault="004B1EB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BE" w:rsidRDefault="004B1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2E1D16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030E2"/>
    <w:rsid w:val="0041667A"/>
    <w:rsid w:val="004461D9"/>
    <w:rsid w:val="004647F0"/>
    <w:rsid w:val="0047541F"/>
    <w:rsid w:val="00491D9D"/>
    <w:rsid w:val="00494A08"/>
    <w:rsid w:val="004B1EBE"/>
    <w:rsid w:val="004B6C55"/>
    <w:rsid w:val="004D20B0"/>
    <w:rsid w:val="004E0F8F"/>
    <w:rsid w:val="004E1D6D"/>
    <w:rsid w:val="00511BD3"/>
    <w:rsid w:val="005202D1"/>
    <w:rsid w:val="00524A3D"/>
    <w:rsid w:val="0052590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341EC"/>
    <w:rsid w:val="007428DF"/>
    <w:rsid w:val="00747DED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16CB1"/>
    <w:rsid w:val="00920854"/>
    <w:rsid w:val="009317BC"/>
    <w:rsid w:val="00936811"/>
    <w:rsid w:val="00956ED7"/>
    <w:rsid w:val="00956EE0"/>
    <w:rsid w:val="00973D97"/>
    <w:rsid w:val="00973EF0"/>
    <w:rsid w:val="009A135F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B4297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96D94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36199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2019-02-08T12:29:00Z</cp:lastPrinted>
  <dcterms:created xsi:type="dcterms:W3CDTF">2019-02-28T14:13:00Z</dcterms:created>
  <dcterms:modified xsi:type="dcterms:W3CDTF">2019-02-28T14:13:00Z</dcterms:modified>
</cp:coreProperties>
</file>