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A1" w:rsidRDefault="00EA2DA1" w:rsidP="00864005">
      <w:pPr>
        <w:spacing w:line="276" w:lineRule="auto"/>
        <w:ind w:left="6663"/>
        <w:jc w:val="right"/>
        <w:rPr>
          <w:b/>
          <w:sz w:val="28"/>
          <w:szCs w:val="28"/>
        </w:rPr>
      </w:pPr>
    </w:p>
    <w:p w:rsidR="00EA2DA1" w:rsidRDefault="00EA2DA1" w:rsidP="00864005">
      <w:pPr>
        <w:spacing w:line="276" w:lineRule="auto"/>
        <w:ind w:left="6663"/>
        <w:jc w:val="right"/>
        <w:rPr>
          <w:b/>
          <w:sz w:val="28"/>
          <w:szCs w:val="28"/>
        </w:rPr>
      </w:pPr>
    </w:p>
    <w:p w:rsidR="00864005" w:rsidRPr="00214D0B" w:rsidRDefault="00864005" w:rsidP="00864005">
      <w:pPr>
        <w:spacing w:line="276" w:lineRule="auto"/>
        <w:ind w:left="6663"/>
        <w:jc w:val="right"/>
        <w:rPr>
          <w:b/>
          <w:sz w:val="28"/>
          <w:szCs w:val="28"/>
        </w:rPr>
      </w:pPr>
      <w:r w:rsidRPr="00214D0B">
        <w:rPr>
          <w:b/>
          <w:sz w:val="28"/>
          <w:szCs w:val="28"/>
        </w:rPr>
        <w:t>Приложение № 2</w:t>
      </w:r>
    </w:p>
    <w:p w:rsidR="00864005" w:rsidRPr="00214D0B" w:rsidRDefault="00864005" w:rsidP="00864005">
      <w:pPr>
        <w:tabs>
          <w:tab w:val="left" w:pos="1134"/>
          <w:tab w:val="left" w:pos="1418"/>
        </w:tabs>
        <w:spacing w:line="276" w:lineRule="auto"/>
        <w:ind w:left="6663"/>
        <w:jc w:val="right"/>
        <w:rPr>
          <w:sz w:val="28"/>
          <w:szCs w:val="28"/>
        </w:rPr>
      </w:pPr>
      <w:r w:rsidRPr="00214D0B">
        <w:rPr>
          <w:sz w:val="28"/>
          <w:szCs w:val="28"/>
        </w:rPr>
        <w:t>к Порядку подготовки ежегодной публичной декларации целей и задач Министерства финансов Российской Федерации и отчетов о ходе ее реализации, утвержденному приказом Министерства финансов Российской Федерации от</w:t>
      </w:r>
      <w:r>
        <w:rPr>
          <w:sz w:val="28"/>
          <w:szCs w:val="28"/>
        </w:rPr>
        <w:t xml:space="preserve"> 24.11.2016 </w:t>
      </w:r>
      <w:r w:rsidRPr="00214D0B">
        <w:rPr>
          <w:sz w:val="28"/>
          <w:szCs w:val="28"/>
        </w:rPr>
        <w:t>№</w:t>
      </w:r>
      <w:r>
        <w:rPr>
          <w:sz w:val="28"/>
          <w:szCs w:val="28"/>
        </w:rPr>
        <w:t xml:space="preserve"> 516</w:t>
      </w:r>
    </w:p>
    <w:p w:rsidR="00864005" w:rsidRDefault="00864005" w:rsidP="00864005">
      <w:pPr>
        <w:jc w:val="right"/>
        <w:rPr>
          <w:b/>
          <w:sz w:val="28"/>
          <w:szCs w:val="28"/>
        </w:rPr>
      </w:pPr>
    </w:p>
    <w:p w:rsidR="00864005" w:rsidRPr="00214D0B" w:rsidRDefault="00864005" w:rsidP="00864005">
      <w:pPr>
        <w:spacing w:line="276" w:lineRule="auto"/>
        <w:jc w:val="center"/>
        <w:rPr>
          <w:b/>
          <w:bCs/>
          <w:sz w:val="28"/>
          <w:szCs w:val="28"/>
        </w:rPr>
      </w:pPr>
    </w:p>
    <w:p w:rsidR="001D3534" w:rsidRDefault="00864005" w:rsidP="00864005">
      <w:pPr>
        <w:spacing w:line="276" w:lineRule="auto"/>
        <w:jc w:val="center"/>
        <w:rPr>
          <w:bCs/>
          <w:sz w:val="28"/>
          <w:szCs w:val="28"/>
        </w:rPr>
      </w:pPr>
      <w:r w:rsidRPr="00214D0B">
        <w:rPr>
          <w:b/>
          <w:bCs/>
          <w:sz w:val="28"/>
          <w:szCs w:val="28"/>
        </w:rPr>
        <w:t xml:space="preserve">Результаты рассмотрения экспертных предложений </w:t>
      </w:r>
      <w:r w:rsidR="00044D01">
        <w:rPr>
          <w:b/>
          <w:bCs/>
          <w:sz w:val="28"/>
          <w:szCs w:val="28"/>
        </w:rPr>
        <w:t>членов</w:t>
      </w:r>
      <w:bookmarkStart w:id="0" w:name="_GoBack"/>
      <w:bookmarkEnd w:id="0"/>
      <w:r w:rsidR="00A56103">
        <w:rPr>
          <w:b/>
          <w:bCs/>
          <w:sz w:val="28"/>
          <w:szCs w:val="28"/>
        </w:rPr>
        <w:t xml:space="preserve"> Общественного совета при Минфине России </w:t>
      </w:r>
      <w:r w:rsidR="00A56103">
        <w:rPr>
          <w:b/>
          <w:bCs/>
          <w:sz w:val="28"/>
          <w:szCs w:val="28"/>
        </w:rPr>
        <w:br/>
      </w:r>
      <w:r w:rsidR="001D3534" w:rsidRPr="001D3534">
        <w:rPr>
          <w:b/>
          <w:sz w:val="28"/>
          <w:szCs w:val="28"/>
        </w:rPr>
        <w:t xml:space="preserve">И.Ю. </w:t>
      </w:r>
      <w:proofErr w:type="spellStart"/>
      <w:r w:rsidR="001D3534" w:rsidRPr="001D3534">
        <w:rPr>
          <w:b/>
          <w:sz w:val="28"/>
          <w:szCs w:val="28"/>
        </w:rPr>
        <w:t>Юргенса</w:t>
      </w:r>
      <w:proofErr w:type="spellEnd"/>
      <w:r w:rsidR="001D3534" w:rsidRPr="001D3534">
        <w:rPr>
          <w:b/>
          <w:sz w:val="28"/>
          <w:szCs w:val="28"/>
        </w:rPr>
        <w:t xml:space="preserve"> и В.С. Лисина</w:t>
      </w:r>
      <w:r w:rsidR="001D3534" w:rsidRPr="00214D0B">
        <w:rPr>
          <w:bCs/>
          <w:sz w:val="28"/>
          <w:szCs w:val="28"/>
        </w:rPr>
        <w:t xml:space="preserve"> </w:t>
      </w:r>
    </w:p>
    <w:p w:rsidR="00864005" w:rsidRPr="00214D0B" w:rsidRDefault="00864005" w:rsidP="00864005">
      <w:pPr>
        <w:spacing w:line="276" w:lineRule="auto"/>
        <w:jc w:val="center"/>
        <w:rPr>
          <w:sz w:val="28"/>
          <w:szCs w:val="28"/>
        </w:rPr>
      </w:pPr>
      <w:r w:rsidRPr="00214D0B">
        <w:rPr>
          <w:bCs/>
          <w:sz w:val="28"/>
          <w:szCs w:val="28"/>
        </w:rPr>
        <w:t>(</w:t>
      </w:r>
      <w:r w:rsidRPr="00214D0B">
        <w:rPr>
          <w:sz w:val="28"/>
          <w:szCs w:val="28"/>
        </w:rPr>
        <w:t xml:space="preserve">к отчету о ходе реализации </w:t>
      </w:r>
      <w:r w:rsidR="00A56103">
        <w:rPr>
          <w:sz w:val="28"/>
          <w:szCs w:val="28"/>
        </w:rPr>
        <w:t>П</w:t>
      </w:r>
      <w:r w:rsidRPr="00214D0B">
        <w:rPr>
          <w:sz w:val="28"/>
          <w:szCs w:val="28"/>
        </w:rPr>
        <w:t>убличной декларации</w:t>
      </w:r>
      <w:r w:rsidR="00A56103">
        <w:rPr>
          <w:sz w:val="28"/>
          <w:szCs w:val="28"/>
        </w:rPr>
        <w:t xml:space="preserve"> целей и задач</w:t>
      </w:r>
      <w:r w:rsidRPr="00214D0B">
        <w:rPr>
          <w:sz w:val="28"/>
          <w:szCs w:val="28"/>
        </w:rPr>
        <w:t xml:space="preserve"> за </w:t>
      </w:r>
      <w:r w:rsidR="00A56103">
        <w:rPr>
          <w:sz w:val="28"/>
          <w:szCs w:val="28"/>
        </w:rPr>
        <w:t>201</w:t>
      </w:r>
      <w:r w:rsidR="00581DA0">
        <w:rPr>
          <w:sz w:val="28"/>
          <w:szCs w:val="28"/>
        </w:rPr>
        <w:t>8</w:t>
      </w:r>
      <w:r w:rsidRPr="00214D0B">
        <w:rPr>
          <w:sz w:val="28"/>
          <w:szCs w:val="28"/>
        </w:rPr>
        <w:t xml:space="preserve"> год) </w:t>
      </w:r>
    </w:p>
    <w:p w:rsidR="00C3287A" w:rsidRPr="00214D0B" w:rsidRDefault="00C3287A" w:rsidP="00864005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993"/>
        <w:gridCol w:w="4649"/>
        <w:gridCol w:w="8675"/>
      </w:tblGrid>
      <w:tr w:rsidR="00864005" w:rsidRPr="00214D0B" w:rsidTr="00EA2DA1">
        <w:tc>
          <w:tcPr>
            <w:tcW w:w="993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 w:rsidDel="00AF277F">
              <w:rPr>
                <w:sz w:val="28"/>
                <w:szCs w:val="28"/>
              </w:rPr>
              <w:t xml:space="preserve"> </w:t>
            </w:r>
            <w:r w:rsidRPr="00214D0B">
              <w:rPr>
                <w:b/>
                <w:sz w:val="28"/>
                <w:szCs w:val="28"/>
              </w:rPr>
              <w:t>№</w:t>
            </w:r>
            <w:r w:rsidRPr="00214D0B">
              <w:rPr>
                <w:b/>
                <w:sz w:val="28"/>
                <w:szCs w:val="28"/>
              </w:rPr>
              <w:br/>
            </w:r>
            <w:proofErr w:type="gramStart"/>
            <w:r w:rsidRPr="00214D0B">
              <w:rPr>
                <w:b/>
                <w:sz w:val="28"/>
                <w:szCs w:val="28"/>
              </w:rPr>
              <w:t>п</w:t>
            </w:r>
            <w:proofErr w:type="gramEnd"/>
            <w:r w:rsidRPr="00214D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49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Экспертное предложение</w:t>
            </w:r>
          </w:p>
        </w:tc>
        <w:tc>
          <w:tcPr>
            <w:tcW w:w="8675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Позиция Министерства финансов Российской Федерации по экспертному предложению, обоснование позиции</w:t>
            </w:r>
          </w:p>
        </w:tc>
      </w:tr>
      <w:tr w:rsidR="008E24DB" w:rsidRPr="00A65B0D" w:rsidTr="00EA2DA1">
        <w:tc>
          <w:tcPr>
            <w:tcW w:w="14317" w:type="dxa"/>
            <w:gridSpan w:val="3"/>
            <w:vAlign w:val="center"/>
          </w:tcPr>
          <w:p w:rsidR="008E24DB" w:rsidRPr="008E24DB" w:rsidRDefault="008E24DB" w:rsidP="001C768F">
            <w:pPr>
              <w:ind w:firstLine="430"/>
              <w:jc w:val="center"/>
              <w:rPr>
                <w:i/>
                <w:sz w:val="28"/>
                <w:szCs w:val="28"/>
              </w:rPr>
            </w:pPr>
            <w:r w:rsidRPr="008E24DB">
              <w:rPr>
                <w:i/>
                <w:sz w:val="28"/>
                <w:szCs w:val="28"/>
              </w:rPr>
              <w:t>Экспертные предложения члена Общественного совета при Минфине России И.</w:t>
            </w:r>
            <w:r w:rsidR="001C768F">
              <w:rPr>
                <w:i/>
                <w:sz w:val="28"/>
                <w:szCs w:val="28"/>
              </w:rPr>
              <w:t>Ю</w:t>
            </w:r>
            <w:r w:rsidRPr="008E24DB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8E24DB">
              <w:rPr>
                <w:i/>
                <w:sz w:val="28"/>
                <w:szCs w:val="28"/>
              </w:rPr>
              <w:t>Юргенса</w:t>
            </w:r>
            <w:proofErr w:type="spellEnd"/>
            <w:r w:rsidRPr="008E24D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65B0D" w:rsidRPr="00A65B0D" w:rsidTr="00EA2DA1">
        <w:tc>
          <w:tcPr>
            <w:tcW w:w="14317" w:type="dxa"/>
            <w:gridSpan w:val="3"/>
            <w:vAlign w:val="center"/>
          </w:tcPr>
          <w:p w:rsidR="00A65B0D" w:rsidRPr="008E24DB" w:rsidRDefault="00C3287A" w:rsidP="00A65B0D">
            <w:pPr>
              <w:ind w:firstLine="430"/>
              <w:jc w:val="center"/>
              <w:rPr>
                <w:b/>
                <w:sz w:val="28"/>
                <w:szCs w:val="28"/>
              </w:rPr>
            </w:pPr>
            <w:r w:rsidRPr="008E24DB">
              <w:rPr>
                <w:b/>
                <w:sz w:val="28"/>
                <w:szCs w:val="28"/>
              </w:rPr>
              <w:t>Отрицательный результат</w:t>
            </w:r>
          </w:p>
        </w:tc>
      </w:tr>
      <w:tr w:rsidR="00864005" w:rsidRPr="00214D0B" w:rsidTr="00EA2DA1">
        <w:tc>
          <w:tcPr>
            <w:tcW w:w="993" w:type="dxa"/>
            <w:vAlign w:val="center"/>
          </w:tcPr>
          <w:p w:rsidR="00864005" w:rsidRPr="003140D4" w:rsidRDefault="00B65681" w:rsidP="00B11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4005" w:rsidRPr="003140D4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864005" w:rsidRPr="003140D4" w:rsidRDefault="003C18E4" w:rsidP="00EA2DA1">
            <w:pPr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</w:rPr>
              <w:t xml:space="preserve">     </w:t>
            </w:r>
            <w:r w:rsidR="00EA2DA1">
              <w:rPr>
                <w:color w:val="auto"/>
                <w:sz w:val="28"/>
              </w:rPr>
              <w:t xml:space="preserve">  </w:t>
            </w:r>
            <w:r>
              <w:rPr>
                <w:color w:val="auto"/>
                <w:sz w:val="28"/>
              </w:rPr>
              <w:t>Д</w:t>
            </w:r>
            <w:r w:rsidRPr="003C18E4">
              <w:rPr>
                <w:color w:val="auto"/>
                <w:sz w:val="28"/>
              </w:rPr>
              <w:t>ополнить раздел 5 Отчета «Формирование долгосрочных финансовых ресурсов для развития экономики и обеспечение стабильности финансового рынка» информацией про законодательное повышение требований к уставному капиталу страховых организаций (251-ФЗ от 29.07.2018) и изменение порядка определения и оце</w:t>
            </w:r>
            <w:r w:rsidR="008E24DB">
              <w:rPr>
                <w:color w:val="auto"/>
                <w:sz w:val="28"/>
              </w:rPr>
              <w:t xml:space="preserve">нки </w:t>
            </w:r>
            <w:r w:rsidR="008E24DB">
              <w:rPr>
                <w:color w:val="auto"/>
                <w:sz w:val="28"/>
              </w:rPr>
              <w:lastRenderedPageBreak/>
              <w:t>размера собственных сре</w:t>
            </w:r>
            <w:proofErr w:type="gramStart"/>
            <w:r w:rsidR="008E24DB">
              <w:rPr>
                <w:color w:val="auto"/>
                <w:sz w:val="28"/>
              </w:rPr>
              <w:t xml:space="preserve">дств </w:t>
            </w:r>
            <w:r w:rsidRPr="003C18E4">
              <w:rPr>
                <w:color w:val="auto"/>
                <w:sz w:val="28"/>
              </w:rPr>
              <w:t>стр</w:t>
            </w:r>
            <w:proofErr w:type="gramEnd"/>
            <w:r w:rsidRPr="003C18E4">
              <w:rPr>
                <w:color w:val="auto"/>
                <w:sz w:val="28"/>
              </w:rPr>
              <w:t>аховщика</w:t>
            </w:r>
            <w:r w:rsidR="00EA2DA1">
              <w:rPr>
                <w:color w:val="auto"/>
                <w:sz w:val="28"/>
              </w:rPr>
              <w:t xml:space="preserve">  </w:t>
            </w:r>
            <w:r w:rsidRPr="003C18E4">
              <w:rPr>
                <w:color w:val="auto"/>
                <w:sz w:val="28"/>
              </w:rPr>
              <w:t>(87-ФЗ от 23.04.2018)</w:t>
            </w:r>
            <w:r>
              <w:rPr>
                <w:color w:val="auto"/>
                <w:sz w:val="28"/>
              </w:rPr>
              <w:t>.</w:t>
            </w:r>
          </w:p>
        </w:tc>
        <w:tc>
          <w:tcPr>
            <w:tcW w:w="8675" w:type="dxa"/>
          </w:tcPr>
          <w:p w:rsidR="007377F0" w:rsidRPr="007377F0" w:rsidRDefault="007377F0" w:rsidP="007377F0">
            <w:pPr>
              <w:ind w:firstLine="430"/>
              <w:jc w:val="both"/>
              <w:rPr>
                <w:sz w:val="28"/>
                <w:szCs w:val="28"/>
              </w:rPr>
            </w:pPr>
            <w:r w:rsidRPr="007377F0">
              <w:rPr>
                <w:sz w:val="28"/>
                <w:szCs w:val="28"/>
              </w:rPr>
              <w:lastRenderedPageBreak/>
              <w:t xml:space="preserve">Публичной декларацией целей и задач Минфина России на 2018 год, утвержденной Министром финансов Российской Федерации   А.Г. </w:t>
            </w:r>
            <w:proofErr w:type="spellStart"/>
            <w:r w:rsidRPr="007377F0">
              <w:rPr>
                <w:sz w:val="28"/>
                <w:szCs w:val="28"/>
              </w:rPr>
              <w:t>Силуановым</w:t>
            </w:r>
            <w:proofErr w:type="spellEnd"/>
            <w:r w:rsidRPr="007377F0">
              <w:rPr>
                <w:sz w:val="28"/>
                <w:szCs w:val="28"/>
              </w:rPr>
              <w:t xml:space="preserve"> 30 марта 2018 г., в качестве задач в сфере страховой деятельности в 2018 году утверждены:</w:t>
            </w:r>
          </w:p>
          <w:p w:rsidR="007377F0" w:rsidRPr="007377F0" w:rsidRDefault="007377F0" w:rsidP="007377F0">
            <w:pPr>
              <w:ind w:firstLine="430"/>
              <w:jc w:val="both"/>
              <w:rPr>
                <w:sz w:val="28"/>
                <w:szCs w:val="28"/>
              </w:rPr>
            </w:pPr>
            <w:r w:rsidRPr="007377F0">
              <w:rPr>
                <w:sz w:val="28"/>
                <w:szCs w:val="28"/>
              </w:rPr>
              <w:t>- повышение доверия потребителей к финансовому рынку, в том числе за счет усовершенствования применения мер по предупреждению несостоятельности (банкротства) страховых организаций;</w:t>
            </w:r>
          </w:p>
          <w:p w:rsidR="007377F0" w:rsidRPr="007377F0" w:rsidRDefault="007377F0" w:rsidP="007377F0">
            <w:pPr>
              <w:ind w:firstLine="430"/>
              <w:jc w:val="both"/>
              <w:rPr>
                <w:sz w:val="28"/>
                <w:szCs w:val="28"/>
              </w:rPr>
            </w:pPr>
            <w:r w:rsidRPr="007377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377F0">
              <w:rPr>
                <w:sz w:val="28"/>
                <w:szCs w:val="28"/>
              </w:rPr>
              <w:t xml:space="preserve">либерализация условий по видам обязательного страхования. </w:t>
            </w:r>
          </w:p>
          <w:p w:rsidR="00C45EDE" w:rsidRPr="003140D4" w:rsidRDefault="007377F0" w:rsidP="007377F0">
            <w:pPr>
              <w:ind w:firstLine="430"/>
              <w:jc w:val="both"/>
              <w:rPr>
                <w:sz w:val="28"/>
                <w:szCs w:val="28"/>
              </w:rPr>
            </w:pPr>
            <w:r w:rsidRPr="007377F0">
              <w:rPr>
                <w:sz w:val="28"/>
                <w:szCs w:val="28"/>
              </w:rPr>
              <w:t xml:space="preserve">Повышение требований к минимальному размеру уставного </w:t>
            </w:r>
            <w:r w:rsidRPr="007377F0">
              <w:rPr>
                <w:sz w:val="28"/>
                <w:szCs w:val="28"/>
              </w:rPr>
              <w:lastRenderedPageBreak/>
              <w:t>капитала страховых организаций, изменение порядка определения и оценки размера собственных сре</w:t>
            </w:r>
            <w:proofErr w:type="gramStart"/>
            <w:r w:rsidRPr="007377F0">
              <w:rPr>
                <w:sz w:val="28"/>
                <w:szCs w:val="28"/>
              </w:rPr>
              <w:t>дств стр</w:t>
            </w:r>
            <w:proofErr w:type="gramEnd"/>
            <w:r w:rsidRPr="007377F0">
              <w:rPr>
                <w:sz w:val="28"/>
                <w:szCs w:val="28"/>
              </w:rPr>
              <w:t>аховщика не в полной мере соответствует указанным задачам.</w:t>
            </w:r>
          </w:p>
        </w:tc>
      </w:tr>
      <w:tr w:rsidR="008E24DB" w:rsidRPr="008E24DB" w:rsidTr="00EA2DA1">
        <w:tc>
          <w:tcPr>
            <w:tcW w:w="14317" w:type="dxa"/>
            <w:gridSpan w:val="3"/>
            <w:vAlign w:val="center"/>
          </w:tcPr>
          <w:p w:rsidR="008E24DB" w:rsidRPr="008E24DB" w:rsidRDefault="008E24DB" w:rsidP="00EA2DA1">
            <w:pPr>
              <w:ind w:firstLine="430"/>
              <w:jc w:val="center"/>
              <w:rPr>
                <w:i/>
                <w:sz w:val="28"/>
                <w:szCs w:val="28"/>
              </w:rPr>
            </w:pPr>
            <w:r w:rsidRPr="008E24DB">
              <w:rPr>
                <w:i/>
                <w:sz w:val="28"/>
                <w:szCs w:val="28"/>
              </w:rPr>
              <w:lastRenderedPageBreak/>
              <w:t xml:space="preserve">Экспертные предложения члена Общественного совета при Минфине России </w:t>
            </w:r>
            <w:r w:rsidR="00EA2DA1">
              <w:rPr>
                <w:i/>
                <w:sz w:val="28"/>
                <w:szCs w:val="28"/>
              </w:rPr>
              <w:t>В.С. Лисина</w:t>
            </w:r>
          </w:p>
        </w:tc>
      </w:tr>
      <w:tr w:rsidR="008E24DB" w:rsidRPr="008E24DB" w:rsidTr="00EA2DA1">
        <w:tc>
          <w:tcPr>
            <w:tcW w:w="14317" w:type="dxa"/>
            <w:gridSpan w:val="3"/>
            <w:vAlign w:val="center"/>
          </w:tcPr>
          <w:p w:rsidR="008E24DB" w:rsidRPr="008E24DB" w:rsidRDefault="008E24DB" w:rsidP="005B1093">
            <w:pPr>
              <w:ind w:firstLine="430"/>
              <w:jc w:val="center"/>
              <w:rPr>
                <w:b/>
                <w:sz w:val="28"/>
                <w:szCs w:val="28"/>
              </w:rPr>
            </w:pPr>
            <w:r w:rsidRPr="008E24DB">
              <w:rPr>
                <w:b/>
                <w:sz w:val="28"/>
                <w:szCs w:val="28"/>
              </w:rPr>
              <w:t>Отрицательный результат</w:t>
            </w:r>
          </w:p>
        </w:tc>
      </w:tr>
      <w:tr w:rsidR="00B65681" w:rsidRPr="00214D0B" w:rsidTr="00EA2DA1">
        <w:tc>
          <w:tcPr>
            <w:tcW w:w="993" w:type="dxa"/>
            <w:vAlign w:val="center"/>
          </w:tcPr>
          <w:p w:rsidR="00B65681" w:rsidRPr="003140D4" w:rsidRDefault="00761C4F" w:rsidP="00761C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9" w:type="dxa"/>
            <w:vAlign w:val="center"/>
          </w:tcPr>
          <w:p w:rsidR="00B65681" w:rsidRPr="003140D4" w:rsidRDefault="00EA2DA1" w:rsidP="00737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377F0" w:rsidRPr="007377F0">
              <w:rPr>
                <w:sz w:val="28"/>
                <w:szCs w:val="28"/>
              </w:rPr>
              <w:t xml:space="preserve">Целесообразно дать оценку результатов по эффектам для затрагиваемых </w:t>
            </w:r>
            <w:proofErr w:type="spellStart"/>
            <w:r w:rsidR="007377F0" w:rsidRPr="007377F0">
              <w:rPr>
                <w:sz w:val="28"/>
                <w:szCs w:val="28"/>
              </w:rPr>
              <w:t>референтных</w:t>
            </w:r>
            <w:proofErr w:type="spellEnd"/>
            <w:r w:rsidR="007377F0" w:rsidRPr="007377F0">
              <w:rPr>
                <w:sz w:val="28"/>
                <w:szCs w:val="28"/>
              </w:rPr>
              <w:t xml:space="preserve"> групп и объяснения, какие эффекты в итоге перевесили. Например, в части целей 1 и 2 – была бы полезна оценка действий Минфина с точки зрения влияния решений на бизнес, административные расходы бизнеса, инвестиционную стратегию, и через это, в итоге на экономику в целом. Например, есть мера по неналоговым платежам или повышению НДС, но нет оценки для бизнеса.</w:t>
            </w:r>
          </w:p>
        </w:tc>
        <w:tc>
          <w:tcPr>
            <w:tcW w:w="8675" w:type="dxa"/>
          </w:tcPr>
          <w:p w:rsidR="007377F0" w:rsidRPr="00F73B53" w:rsidRDefault="007377F0" w:rsidP="007377F0">
            <w:pPr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в 2018 году реализации дорожной карты </w:t>
            </w:r>
            <w:r w:rsidRPr="00F73B53">
              <w:rPr>
                <w:sz w:val="28"/>
                <w:szCs w:val="28"/>
              </w:rPr>
              <w:t>по улучшению администрирования доходов бюджетной системы и повышению эффективности работы с дебиторской задолженностью по доходам</w:t>
            </w:r>
            <w:r>
              <w:rPr>
                <w:sz w:val="28"/>
                <w:szCs w:val="28"/>
              </w:rPr>
              <w:t xml:space="preserve"> </w:t>
            </w:r>
            <w:r w:rsidRPr="00F73B53">
              <w:rPr>
                <w:sz w:val="28"/>
                <w:szCs w:val="28"/>
              </w:rPr>
              <w:t>направлен</w:t>
            </w:r>
            <w:r>
              <w:rPr>
                <w:sz w:val="28"/>
                <w:szCs w:val="28"/>
              </w:rPr>
              <w:t>о</w:t>
            </w:r>
            <w:r w:rsidRPr="00F73B53">
              <w:rPr>
                <w:sz w:val="28"/>
                <w:szCs w:val="28"/>
              </w:rPr>
              <w:t xml:space="preserve">, в том числе, на упрощение взаимодействия бизнеса и государства при уплате обязательных платежей в бюджет.  </w:t>
            </w:r>
          </w:p>
          <w:p w:rsidR="007377F0" w:rsidRPr="00F73B53" w:rsidRDefault="007377F0" w:rsidP="007377F0">
            <w:pPr>
              <w:ind w:firstLine="431"/>
              <w:jc w:val="both"/>
              <w:rPr>
                <w:sz w:val="28"/>
                <w:szCs w:val="28"/>
              </w:rPr>
            </w:pPr>
            <w:r w:rsidRPr="00F73B53">
              <w:rPr>
                <w:sz w:val="28"/>
                <w:szCs w:val="28"/>
              </w:rPr>
              <w:t xml:space="preserve">Систематизация актуальных для предпринимателей неналоговых платежей, которые могут иметь разную правовую природу, устанавливаться с разными целями и различны по размерам, а также определение подходов по совершенствованию их регулирования и оптимизации их количества позволит  повысить предсказуемость условий ведения бизнеса и прозрачность системы публичных платежей. </w:t>
            </w:r>
          </w:p>
          <w:p w:rsidR="007377F0" w:rsidRDefault="007377F0" w:rsidP="007377F0">
            <w:pPr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 же время реализация большинства мер, указанных в целях 1 и 2 публичной декларации</w:t>
            </w:r>
            <w:r w:rsidR="008E24DB" w:rsidRPr="008E24DB">
              <w:rPr>
                <w:sz w:val="28"/>
                <w:szCs w:val="28"/>
              </w:rPr>
              <w:t xml:space="preserve"> целей и задач Минфина России на </w:t>
            </w:r>
            <w:r w:rsidR="00F803F9">
              <w:rPr>
                <w:sz w:val="28"/>
                <w:szCs w:val="28"/>
              </w:rPr>
              <w:t xml:space="preserve">                 </w:t>
            </w:r>
            <w:r w:rsidR="008E24DB" w:rsidRPr="008E24DB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>, предполагается с 2019 года (2018 год – создание нормативной правовой базы). Таким образом, полноценная оценка их фактического влияния на бизнес и экономи</w:t>
            </w:r>
            <w:r w:rsidR="008E24DB">
              <w:rPr>
                <w:sz w:val="28"/>
                <w:szCs w:val="28"/>
              </w:rPr>
              <w:t>ку в целом в представленном отчете о ходе реализации</w:t>
            </w:r>
            <w:r>
              <w:rPr>
                <w:sz w:val="28"/>
                <w:szCs w:val="28"/>
              </w:rPr>
              <w:t xml:space="preserve"> публичной декларации</w:t>
            </w:r>
            <w:r w:rsidR="000F34BE">
              <w:t xml:space="preserve"> </w:t>
            </w:r>
            <w:r w:rsidR="000F34BE" w:rsidRPr="000F34BE">
              <w:rPr>
                <w:sz w:val="28"/>
                <w:szCs w:val="28"/>
              </w:rPr>
              <w:t>целей</w:t>
            </w:r>
            <w:r w:rsidR="000F34BE">
              <w:rPr>
                <w:sz w:val="28"/>
                <w:szCs w:val="28"/>
              </w:rPr>
              <w:t xml:space="preserve"> и задач Минфина России на 2018</w:t>
            </w:r>
            <w:r>
              <w:rPr>
                <w:sz w:val="28"/>
                <w:szCs w:val="28"/>
              </w:rPr>
              <w:t xml:space="preserve"> не представляется возможной.</w:t>
            </w:r>
          </w:p>
          <w:p w:rsidR="007377F0" w:rsidRDefault="007377F0" w:rsidP="007377F0">
            <w:pPr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этом ежегодно для широкой общественности в рамках подготовки основных направлений бюджетной, налоговой и таможенно-тарифной </w:t>
            </w:r>
            <w:proofErr w:type="gramStart"/>
            <w:r>
              <w:rPr>
                <w:sz w:val="28"/>
                <w:szCs w:val="28"/>
              </w:rPr>
              <w:t>политики</w:t>
            </w:r>
            <w:proofErr w:type="gramEnd"/>
            <w:r>
              <w:rPr>
                <w:sz w:val="28"/>
                <w:szCs w:val="28"/>
              </w:rPr>
              <w:t xml:space="preserve"> на очередной финансовый год и плановый период представляются итоги реализации бюджетной, налоговой и таможенно-тарифной политики, внутренние и внешние </w:t>
            </w:r>
            <w:r>
              <w:rPr>
                <w:sz w:val="28"/>
                <w:szCs w:val="28"/>
              </w:rPr>
              <w:lastRenderedPageBreak/>
              <w:t xml:space="preserve">условия, а также цели реализации бюджетной, налоговой и таможенно-тарифной политики на предстоящий период. </w:t>
            </w:r>
          </w:p>
          <w:p w:rsidR="007377F0" w:rsidRPr="003140D4" w:rsidRDefault="007377F0" w:rsidP="000F34BE">
            <w:pPr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указанных разделах в числе прочего представлено влияние ранее принятых решений на экономические и бюджетные показатели. Аналогичные разделы также бу</w:t>
            </w:r>
            <w:r w:rsidR="000F34BE">
              <w:rPr>
                <w:sz w:val="28"/>
                <w:szCs w:val="28"/>
              </w:rPr>
              <w:t xml:space="preserve">дут подготовлены в 2019 году </w:t>
            </w:r>
            <w:r>
              <w:rPr>
                <w:sz w:val="28"/>
                <w:szCs w:val="28"/>
              </w:rPr>
              <w:t>при формировании проекта основных направлений бюджетной, налоговой и таможенно-тарифной политики на 2020-2022 годы</w:t>
            </w:r>
            <w:r w:rsidR="000F34BE">
              <w:rPr>
                <w:sz w:val="28"/>
                <w:szCs w:val="28"/>
              </w:rPr>
              <w:t xml:space="preserve"> и направлены на рассмот</w:t>
            </w:r>
            <w:r w:rsidR="00F803F9">
              <w:rPr>
                <w:sz w:val="28"/>
                <w:szCs w:val="28"/>
              </w:rPr>
              <w:t>рение в Общественный совет при М</w:t>
            </w:r>
            <w:r w:rsidR="000F34BE">
              <w:rPr>
                <w:sz w:val="28"/>
                <w:szCs w:val="28"/>
              </w:rPr>
              <w:t>инистерстве в сроки, установленные Планом работы Общественного совета при Минфине России на 2019 г.</w:t>
            </w:r>
          </w:p>
        </w:tc>
      </w:tr>
    </w:tbl>
    <w:p w:rsidR="00155621" w:rsidRDefault="00155621" w:rsidP="003C18E4"/>
    <w:sectPr w:rsidR="00155621" w:rsidSect="00A1652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A7" w:rsidRDefault="009514A7" w:rsidP="00E9246E">
      <w:r>
        <w:separator/>
      </w:r>
    </w:p>
  </w:endnote>
  <w:endnote w:type="continuationSeparator" w:id="0">
    <w:p w:rsidR="009514A7" w:rsidRDefault="009514A7" w:rsidP="00E9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A7" w:rsidRDefault="009514A7" w:rsidP="00E9246E">
      <w:r>
        <w:separator/>
      </w:r>
    </w:p>
  </w:footnote>
  <w:footnote w:type="continuationSeparator" w:id="0">
    <w:p w:rsidR="009514A7" w:rsidRDefault="009514A7" w:rsidP="00E9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5"/>
    <w:rsid w:val="00044D01"/>
    <w:rsid w:val="00087953"/>
    <w:rsid w:val="000B635B"/>
    <w:rsid w:val="000B6D8A"/>
    <w:rsid w:val="000F34BE"/>
    <w:rsid w:val="001041E7"/>
    <w:rsid w:val="00113C7E"/>
    <w:rsid w:val="00115824"/>
    <w:rsid w:val="00140AFA"/>
    <w:rsid w:val="00155621"/>
    <w:rsid w:val="00162090"/>
    <w:rsid w:val="0018097D"/>
    <w:rsid w:val="001C768F"/>
    <w:rsid w:val="001D3534"/>
    <w:rsid w:val="001E3EE9"/>
    <w:rsid w:val="001E7B6A"/>
    <w:rsid w:val="0021719E"/>
    <w:rsid w:val="0024308D"/>
    <w:rsid w:val="00286781"/>
    <w:rsid w:val="002F460C"/>
    <w:rsid w:val="003140D4"/>
    <w:rsid w:val="00315AD3"/>
    <w:rsid w:val="0031703B"/>
    <w:rsid w:val="00321636"/>
    <w:rsid w:val="00363FED"/>
    <w:rsid w:val="003B47A1"/>
    <w:rsid w:val="003C18E4"/>
    <w:rsid w:val="003C5657"/>
    <w:rsid w:val="003D4180"/>
    <w:rsid w:val="0045024D"/>
    <w:rsid w:val="00450FDA"/>
    <w:rsid w:val="004602B8"/>
    <w:rsid w:val="0046094D"/>
    <w:rsid w:val="00461985"/>
    <w:rsid w:val="004A2E67"/>
    <w:rsid w:val="004C6D58"/>
    <w:rsid w:val="0050061C"/>
    <w:rsid w:val="00506F71"/>
    <w:rsid w:val="0052553F"/>
    <w:rsid w:val="00547061"/>
    <w:rsid w:val="00581DA0"/>
    <w:rsid w:val="005863A5"/>
    <w:rsid w:val="005974F6"/>
    <w:rsid w:val="00626D3A"/>
    <w:rsid w:val="00654663"/>
    <w:rsid w:val="00673901"/>
    <w:rsid w:val="006D5B8E"/>
    <w:rsid w:val="007315E2"/>
    <w:rsid w:val="007377F0"/>
    <w:rsid w:val="00761C4F"/>
    <w:rsid w:val="0079000E"/>
    <w:rsid w:val="007C05BD"/>
    <w:rsid w:val="007E256F"/>
    <w:rsid w:val="007F07DC"/>
    <w:rsid w:val="00864005"/>
    <w:rsid w:val="00865D22"/>
    <w:rsid w:val="008776FA"/>
    <w:rsid w:val="008D3A26"/>
    <w:rsid w:val="008E24DB"/>
    <w:rsid w:val="008E5A3D"/>
    <w:rsid w:val="009053EF"/>
    <w:rsid w:val="0092232F"/>
    <w:rsid w:val="00930FFB"/>
    <w:rsid w:val="009428B1"/>
    <w:rsid w:val="009514A7"/>
    <w:rsid w:val="009F5FEF"/>
    <w:rsid w:val="00A16521"/>
    <w:rsid w:val="00A34E01"/>
    <w:rsid w:val="00A56103"/>
    <w:rsid w:val="00A6599C"/>
    <w:rsid w:val="00A65B0D"/>
    <w:rsid w:val="00A85682"/>
    <w:rsid w:val="00A902B6"/>
    <w:rsid w:val="00AA3B97"/>
    <w:rsid w:val="00AC12AD"/>
    <w:rsid w:val="00AC1BCD"/>
    <w:rsid w:val="00AC36AA"/>
    <w:rsid w:val="00AC387D"/>
    <w:rsid w:val="00B30688"/>
    <w:rsid w:val="00B36739"/>
    <w:rsid w:val="00B46AB7"/>
    <w:rsid w:val="00B63FEE"/>
    <w:rsid w:val="00B65681"/>
    <w:rsid w:val="00B93441"/>
    <w:rsid w:val="00BA4C79"/>
    <w:rsid w:val="00BF0714"/>
    <w:rsid w:val="00C25C2A"/>
    <w:rsid w:val="00C3287A"/>
    <w:rsid w:val="00C44926"/>
    <w:rsid w:val="00C45EDE"/>
    <w:rsid w:val="00CA041B"/>
    <w:rsid w:val="00CC55E0"/>
    <w:rsid w:val="00D430B1"/>
    <w:rsid w:val="00D83FFB"/>
    <w:rsid w:val="00E00358"/>
    <w:rsid w:val="00E6419F"/>
    <w:rsid w:val="00E9246E"/>
    <w:rsid w:val="00EA2DA1"/>
    <w:rsid w:val="00EC1437"/>
    <w:rsid w:val="00F23DFF"/>
    <w:rsid w:val="00F25434"/>
    <w:rsid w:val="00F26218"/>
    <w:rsid w:val="00F374F1"/>
    <w:rsid w:val="00F60882"/>
    <w:rsid w:val="00F761F2"/>
    <w:rsid w:val="00F803F9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D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D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НЕГМОНОВА ЛЮДМИЛА РУСЛАНОВНА</cp:lastModifiedBy>
  <cp:revision>13</cp:revision>
  <cp:lastPrinted>2019-02-18T11:24:00Z</cp:lastPrinted>
  <dcterms:created xsi:type="dcterms:W3CDTF">2019-02-08T06:50:00Z</dcterms:created>
  <dcterms:modified xsi:type="dcterms:W3CDTF">2019-02-18T13:42:00Z</dcterms:modified>
</cp:coreProperties>
</file>