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89"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 xml:space="preserve">ТИПОВАЯ ПРОГРАММА </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ПОВЫШЕНИЯ КВАЛИФИКАЦИИ АУДИТОРОВ</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 xml:space="preserve">ПРОТИВОДЕЙСТВИЕ ЛЕГАЛИЗАЦИИ (ОТМЫВАНИЮ) ДОХОДОВ, </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 xml:space="preserve">ПОЛУЧЕННЫХ ПРЕСТУПНЫМ ПУТЕМ, </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 xml:space="preserve">ФИНАНСИРОВАНИЮ ТЕРРОРИЗМА </w:t>
      </w:r>
    </w:p>
    <w:p w:rsidR="00D40386"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И РАСПРОСТРАНЕНИЯ ОРУЖИЯ МАССОВОГО УНИЧТОЖЕНИЯ</w:t>
      </w:r>
    </w:p>
    <w:p w:rsidR="00DC160E" w:rsidRDefault="00DC160E" w:rsidP="00DC160E">
      <w:pPr>
        <w:jc w:val="center"/>
        <w:rPr>
          <w:rFonts w:ascii="Times New Roman" w:hAnsi="Times New Roman" w:cs="Times New Roman"/>
          <w:sz w:val="26"/>
          <w:szCs w:val="26"/>
        </w:rPr>
      </w:pPr>
      <w:r>
        <w:rPr>
          <w:rFonts w:ascii="Times New Roman" w:hAnsi="Times New Roman" w:cs="Times New Roman"/>
          <w:sz w:val="26"/>
          <w:szCs w:val="26"/>
        </w:rPr>
        <w:t>(одобрена Советом по аудиторской деятельности 21 декабря 2018 г., протокол № 44)</w:t>
      </w:r>
    </w:p>
    <w:p w:rsidR="00D40386" w:rsidRDefault="00D40386" w:rsidP="00D40386">
      <w:pPr>
        <w:autoSpaceDE w:val="0"/>
        <w:autoSpaceDN w:val="0"/>
        <w:adjustRightInd w:val="0"/>
        <w:spacing w:after="0" w:line="240" w:lineRule="auto"/>
        <w:jc w:val="center"/>
        <w:outlineLvl w:val="0"/>
        <w:rPr>
          <w:rFonts w:ascii="Times New Roman" w:hAnsi="Times New Roman" w:cs="Times New Roman"/>
          <w:sz w:val="28"/>
          <w:szCs w:val="28"/>
        </w:rPr>
      </w:pPr>
      <w:r w:rsidRPr="00A45A2E">
        <w:rPr>
          <w:rFonts w:ascii="Times New Roman" w:hAnsi="Times New Roman" w:cs="Times New Roman"/>
          <w:sz w:val="28"/>
          <w:szCs w:val="28"/>
        </w:rPr>
        <w:t>Продолжительность обучения - 16 академических часов</w:t>
      </w:r>
    </w:p>
    <w:p w:rsidR="007C3D6E" w:rsidRPr="00A45A2E" w:rsidRDefault="007C3D6E" w:rsidP="00D40386">
      <w:pPr>
        <w:autoSpaceDE w:val="0"/>
        <w:autoSpaceDN w:val="0"/>
        <w:adjustRightInd w:val="0"/>
        <w:spacing w:after="0" w:line="240" w:lineRule="auto"/>
        <w:jc w:val="center"/>
        <w:outlineLvl w:val="0"/>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sidRPr="00A45A2E">
        <w:rPr>
          <w:rFonts w:ascii="Times New Roman" w:hAnsi="Times New Roman" w:cs="Times New Roman"/>
          <w:b/>
          <w:bCs/>
          <w:sz w:val="28"/>
          <w:szCs w:val="28"/>
        </w:rPr>
        <w:t xml:space="preserve">Цель программы </w:t>
      </w:r>
      <w:r w:rsidRPr="00A45A2E">
        <w:rPr>
          <w:rFonts w:ascii="Times New Roman" w:hAnsi="Times New Roman" w:cs="Times New Roman"/>
          <w:sz w:val="28"/>
          <w:szCs w:val="28"/>
        </w:rPr>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u w:val="single"/>
        </w:rPr>
        <w:t>Раздел 1.</w:t>
      </w:r>
      <w:r w:rsidRPr="00A45A2E">
        <w:rPr>
          <w:rFonts w:ascii="Times New Roman" w:hAnsi="Times New Roman" w:cs="Times New Roman"/>
          <w:b/>
          <w:sz w:val="28"/>
          <w:szCs w:val="28"/>
        </w:rPr>
        <w:t xml:space="preserve"> Институционально-правовые основы </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национальной системы ПОД/ФТ/ФРОМУ</w:t>
      </w:r>
    </w:p>
    <w:p w:rsidR="00D40386" w:rsidRPr="00A45A2E" w:rsidRDefault="00D40386" w:rsidP="00D40386">
      <w:pPr>
        <w:autoSpaceDE w:val="0"/>
        <w:autoSpaceDN w:val="0"/>
        <w:adjustRightInd w:val="0"/>
        <w:spacing w:after="0" w:line="240" w:lineRule="auto"/>
        <w:jc w:val="center"/>
        <w:outlineLvl w:val="1"/>
        <w:rPr>
          <w:rFonts w:ascii="Times New Roman" w:hAnsi="Times New Roman" w:cs="Times New Roman"/>
          <w:b/>
          <w:i/>
          <w:sz w:val="28"/>
          <w:szCs w:val="28"/>
        </w:rPr>
      </w:pP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1. Международные стандарты ПОД/ФТ/ФРОМУ</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sidRPr="00A45A2E">
        <w:rPr>
          <w:rFonts w:ascii="Times New Roman" w:hAnsi="Times New Roman" w:cs="Times New Roman"/>
          <w:b/>
          <w:i/>
          <w:sz w:val="28"/>
          <w:szCs w:val="28"/>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Критерии технического соответствия. Критерии эффективности. Ключевые недостатки стран, прошедших взаимную оценку ФАТФ, в части работы УНФПП по линии ПОД/ФТ/ФРОМУ.</w:t>
      </w: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3. Правовое регулирование в сфере ПОД/ФТ/ФРОМУ в Российской Федерации</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занятые в национальной системе ПОД/ФТ/ФРОМУ. Правовой статус Росфинмониторинга. Роль аудиторских организаций и аудиторов в национальной системе ПОД/ФТ/ФРОМУ.</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both"/>
        <w:rPr>
          <w:rFonts w:ascii="Times New Roman" w:hAnsi="Times New Roman" w:cs="Times New Roman"/>
          <w:b/>
          <w:i/>
          <w:sz w:val="28"/>
          <w:szCs w:val="28"/>
        </w:rPr>
      </w:pPr>
      <w:r w:rsidRPr="00A45A2E">
        <w:rPr>
          <w:rFonts w:ascii="Times New Roman" w:hAnsi="Times New Roman" w:cs="Times New Roman"/>
          <w:b/>
          <w:i/>
          <w:sz w:val="28"/>
          <w:szCs w:val="28"/>
        </w:rPr>
        <w:lastRenderedPageBreak/>
        <w:t>Тема 4. Национальная оценка рисков легализации (отмывания) преступных доходов и рисков финансирования терроризма (НОР ОД/ФТ)</w:t>
      </w: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5. Надзор в сфере ПОД/ФТ/ФРОМУ</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Формы надзора и виды проверок. Планирование и основания проведения проверок по вопросам ПОД/ФТ/ФРОМУ. Объекты проверки. Права проверяющего государственного органа саморегулируемых организаций. Взаимодействие Росфинмониторинга с надзорными органами и саморегулируемыми организациями.</w:t>
      </w:r>
    </w:p>
    <w:p w:rsidR="00D40386" w:rsidRPr="00A45A2E" w:rsidRDefault="00D40386" w:rsidP="00D40386">
      <w:pPr>
        <w:autoSpaceDE w:val="0"/>
        <w:autoSpaceDN w:val="0"/>
        <w:adjustRightInd w:val="0"/>
        <w:spacing w:after="0" w:line="240" w:lineRule="auto"/>
        <w:jc w:val="both"/>
        <w:rPr>
          <w:rFonts w:ascii="Times New Roman" w:hAnsi="Times New Roman" w:cs="Times New Roman"/>
          <w:b/>
          <w:i/>
          <w:sz w:val="28"/>
          <w:szCs w:val="28"/>
        </w:rPr>
      </w:pPr>
    </w:p>
    <w:p w:rsidR="00D40386" w:rsidRPr="00A45A2E" w:rsidRDefault="00D40386" w:rsidP="00D40386">
      <w:pPr>
        <w:autoSpaceDE w:val="0"/>
        <w:autoSpaceDN w:val="0"/>
        <w:adjustRightInd w:val="0"/>
        <w:spacing w:after="0" w:line="240" w:lineRule="auto"/>
        <w:jc w:val="both"/>
        <w:rPr>
          <w:rFonts w:ascii="Times New Roman" w:hAnsi="Times New Roman" w:cs="Times New Roman"/>
          <w:b/>
          <w:i/>
          <w:sz w:val="28"/>
          <w:szCs w:val="28"/>
        </w:rPr>
      </w:pPr>
      <w:r w:rsidRPr="00A45A2E">
        <w:rPr>
          <w:rFonts w:ascii="Times New Roman" w:hAnsi="Times New Roman" w:cs="Times New Roman"/>
          <w:b/>
          <w:i/>
          <w:sz w:val="28"/>
          <w:szCs w:val="28"/>
        </w:rPr>
        <w:t>Тема 6. Ответственность за нарушение законодательства Российской Федерации в сфере ПОД/ФТ/ФРОМУ</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(надзорных) органов. Порядок применения мер ответственности. Обжалование решений должностных лиц.</w:t>
      </w:r>
    </w:p>
    <w:p w:rsidR="00D40386" w:rsidRPr="00A45A2E" w:rsidRDefault="00D40386" w:rsidP="00D40386">
      <w:pPr>
        <w:autoSpaceDE w:val="0"/>
        <w:autoSpaceDN w:val="0"/>
        <w:adjustRightInd w:val="0"/>
        <w:spacing w:after="0" w:line="240" w:lineRule="auto"/>
        <w:outlineLvl w:val="0"/>
        <w:rPr>
          <w:rFonts w:ascii="Times New Roman" w:hAnsi="Times New Roman" w:cs="Times New Roman"/>
          <w:b/>
          <w:sz w:val="28"/>
          <w:szCs w:val="28"/>
        </w:rPr>
      </w:pP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u w:val="single"/>
        </w:rPr>
        <w:t>Раздел 2.</w:t>
      </w:r>
      <w:r w:rsidRPr="00A45A2E">
        <w:rPr>
          <w:rFonts w:ascii="Times New Roman" w:hAnsi="Times New Roman" w:cs="Times New Roman"/>
          <w:b/>
          <w:sz w:val="28"/>
          <w:szCs w:val="28"/>
        </w:rPr>
        <w:t xml:space="preserve"> Организация и осуществление внутреннего контроля </w:t>
      </w:r>
    </w:p>
    <w:p w:rsidR="00D40386" w:rsidRPr="00031C65"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vertAlign w:val="superscript"/>
        </w:rPr>
      </w:pPr>
      <w:r w:rsidRPr="00A45A2E">
        <w:rPr>
          <w:rFonts w:ascii="Times New Roman" w:hAnsi="Times New Roman" w:cs="Times New Roman"/>
          <w:b/>
          <w:sz w:val="28"/>
          <w:szCs w:val="28"/>
        </w:rPr>
        <w:t>как механизма эффективной реализации мер по ПОД/ФТ/ФРОМУ</w:t>
      </w:r>
      <w:r>
        <w:rPr>
          <w:rFonts w:ascii="Times New Roman" w:hAnsi="Times New Roman" w:cs="Times New Roman"/>
          <w:b/>
          <w:sz w:val="28"/>
          <w:szCs w:val="28"/>
          <w:vertAlign w:val="superscript"/>
        </w:rPr>
        <w:t>1</w:t>
      </w:r>
    </w:p>
    <w:p w:rsidR="00D40386" w:rsidRPr="00A45A2E" w:rsidRDefault="00D40386" w:rsidP="00D40386">
      <w:pPr>
        <w:autoSpaceDE w:val="0"/>
        <w:autoSpaceDN w:val="0"/>
        <w:adjustRightInd w:val="0"/>
        <w:spacing w:after="0" w:line="240" w:lineRule="auto"/>
        <w:jc w:val="center"/>
        <w:outlineLvl w:val="1"/>
        <w:rPr>
          <w:rFonts w:ascii="Times New Roman" w:hAnsi="Times New Roman" w:cs="Times New Roman"/>
          <w:b/>
          <w:i/>
          <w:sz w:val="28"/>
          <w:szCs w:val="28"/>
        </w:rPr>
      </w:pP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7. Права и обязанности организаций, осуществляющих операции с денежными средствами или иным имуществом</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Требования к организации внутреннего контроля аудируемых лиц – субъектов первичного финансового мониторинга. Их основные права и обязанности.</w:t>
      </w:r>
    </w:p>
    <w:p w:rsidR="00D40386"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 xml:space="preserve">Требования к организации внутреннего контроля аудиторской организации </w:t>
      </w:r>
      <w:r>
        <w:rPr>
          <w:rFonts w:ascii="Times New Roman" w:hAnsi="Times New Roman" w:cs="Times New Roman"/>
          <w:sz w:val="28"/>
          <w:szCs w:val="28"/>
        </w:rPr>
        <w:t>__________________</w:t>
      </w:r>
    </w:p>
    <w:p w:rsidR="00D40386" w:rsidRPr="00031C65" w:rsidRDefault="00D40386" w:rsidP="00D40386">
      <w:pPr>
        <w:pStyle w:val="a4"/>
        <w:spacing w:before="120"/>
        <w:jc w:val="both"/>
        <w:rPr>
          <w:rFonts w:ascii="Times New Roman" w:eastAsia="Times New Roman" w:hAnsi="Times New Roman" w:cs="Times New Roman"/>
          <w:lang w:eastAsia="ru-RU"/>
        </w:rPr>
      </w:pPr>
      <w:r w:rsidRPr="001C7354">
        <w:rPr>
          <w:rFonts w:ascii="Times New Roman" w:hAnsi="Times New Roman" w:cs="Times New Roman"/>
        </w:rPr>
        <w:t>1</w:t>
      </w:r>
      <w:r>
        <w:rPr>
          <w:rFonts w:ascii="Times New Roman" w:hAnsi="Times New Roman" w:cs="Times New Roman"/>
          <w:vertAlign w:val="superscript"/>
        </w:rPr>
        <w:t xml:space="preserve"> </w:t>
      </w:r>
      <w:r w:rsidRPr="00031C65">
        <w:rPr>
          <w:rFonts w:ascii="Times New Roman" w:eastAsia="Times New Roman" w:hAnsi="Times New Roman" w:cs="Times New Roman"/>
          <w:lang w:eastAsia="ru-RU"/>
        </w:rPr>
        <w:t>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p>
    <w:p w:rsidR="00D40386"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p>
    <w:p w:rsidR="00A50389" w:rsidRPr="00A45A2E" w:rsidRDefault="00A50389" w:rsidP="00D40386">
      <w:pPr>
        <w:autoSpaceDE w:val="0"/>
        <w:autoSpaceDN w:val="0"/>
        <w:adjustRightInd w:val="0"/>
        <w:spacing w:after="0" w:line="240" w:lineRule="auto"/>
        <w:jc w:val="both"/>
        <w:outlineLvl w:val="1"/>
        <w:rPr>
          <w:rFonts w:ascii="Times New Roman" w:hAnsi="Times New Roman" w:cs="Times New Roman"/>
          <w:b/>
          <w:i/>
          <w:sz w:val="28"/>
          <w:szCs w:val="28"/>
        </w:rPr>
      </w:pPr>
    </w:p>
    <w:p w:rsidR="00D40386" w:rsidRDefault="00D40386" w:rsidP="00D40386">
      <w:pPr>
        <w:autoSpaceDE w:val="0"/>
        <w:autoSpaceDN w:val="0"/>
        <w:adjustRightInd w:val="0"/>
        <w:spacing w:after="0" w:line="240" w:lineRule="auto"/>
        <w:jc w:val="both"/>
        <w:rPr>
          <w:rFonts w:ascii="Times New Roman" w:hAnsi="Times New Roman" w:cs="Times New Roman"/>
          <w:sz w:val="28"/>
          <w:szCs w:val="28"/>
        </w:rPr>
      </w:pPr>
      <w:r w:rsidRPr="00A45A2E">
        <w:rPr>
          <w:rFonts w:ascii="Times New Roman" w:hAnsi="Times New Roman" w:cs="Times New Roman"/>
          <w:sz w:val="28"/>
          <w:szCs w:val="28"/>
        </w:rPr>
        <w:t>как субъекта первичного финансового мониторинга.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w:t>
      </w:r>
      <w:r>
        <w:rPr>
          <w:rFonts w:ascii="Times New Roman" w:hAnsi="Times New Roman" w:cs="Times New Roman"/>
          <w:sz w:val="28"/>
          <w:szCs w:val="28"/>
        </w:rPr>
        <w:t xml:space="preserve"> </w:t>
      </w:r>
      <w:r w:rsidRPr="00A45A2E">
        <w:rPr>
          <w:rFonts w:ascii="Times New Roman" w:hAnsi="Times New Roman" w:cs="Times New Roman"/>
          <w:sz w:val="28"/>
          <w:szCs w:val="28"/>
        </w:rPr>
        <w:t>Порядок, сроки, способы, формат представления информации об операциях, подлежащих контролю, в Федеральную службу по финансовому мониторингу.</w:t>
      </w:r>
    </w:p>
    <w:p w:rsidR="00D40386" w:rsidRDefault="00D40386" w:rsidP="00D40386">
      <w:pPr>
        <w:autoSpaceDE w:val="0"/>
        <w:autoSpaceDN w:val="0"/>
        <w:adjustRightInd w:val="0"/>
        <w:spacing w:after="0" w:line="240" w:lineRule="auto"/>
        <w:jc w:val="both"/>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8. Требования к разработке правил внутреннего контроля</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Порядок и сроки утверждения и согласования правил внутреннего контроля. Основания для отказа в согласовании. Механизмы надлежащей проверки клиентов. Режим СПО. Превентивные меры.</w:t>
      </w: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bCs/>
          <w:i/>
          <w:sz w:val="28"/>
          <w:szCs w:val="28"/>
        </w:rPr>
      </w:pPr>
      <w:r w:rsidRPr="00A45A2E">
        <w:rPr>
          <w:rFonts w:ascii="Times New Roman" w:hAnsi="Times New Roman" w:cs="Times New Roman"/>
          <w:b/>
          <w:i/>
          <w:sz w:val="28"/>
          <w:szCs w:val="28"/>
        </w:rPr>
        <w:t>Тема 9.</w:t>
      </w:r>
      <w:r w:rsidRPr="00A45A2E">
        <w:rPr>
          <w:rFonts w:ascii="Times New Roman" w:hAnsi="Times New Roman" w:cs="Times New Roman"/>
          <w:b/>
          <w:bCs/>
          <w:i/>
          <w:sz w:val="28"/>
          <w:szCs w:val="28"/>
        </w:rPr>
        <w:t xml:space="preserve"> Критерии и признаки сомнительных сделок или финансовых операций</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A45A2E">
        <w:rPr>
          <w:rFonts w:ascii="Times New Roman" w:hAnsi="Times New Roman" w:cs="Times New Roman"/>
          <w:bCs/>
          <w:sz w:val="28"/>
          <w:szCs w:val="28"/>
        </w:rP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w:t>
      </w:r>
      <w:r w:rsidRPr="00A45A2E">
        <w:rPr>
          <w:rFonts w:ascii="Times New Roman" w:hAnsi="Times New Roman" w:cs="Times New Roman"/>
          <w:sz w:val="28"/>
          <w:szCs w:val="28"/>
        </w:rPr>
        <w:t>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p>
    <w:p w:rsidR="00D40386" w:rsidRPr="00A45A2E" w:rsidRDefault="00D40386" w:rsidP="00D40386">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10. Система подготовки и обучения кадров организаций</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
          <w:bCs/>
          <w:i/>
          <w:sz w:val="28"/>
          <w:szCs w:val="28"/>
        </w:rPr>
      </w:pPr>
      <w:r w:rsidRPr="00A45A2E">
        <w:rPr>
          <w:rFonts w:ascii="Times New Roman" w:hAnsi="Times New Roman" w:cs="Times New Roman"/>
          <w:b/>
          <w:bCs/>
          <w:i/>
          <w:sz w:val="28"/>
          <w:szCs w:val="28"/>
        </w:rPr>
        <w:t xml:space="preserve">Тема 11. Типичные правонарушения в сфере ПОД/ФТ/ФРОМУ </w:t>
      </w: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Pr="00A45A2E">
        <w:rPr>
          <w:rFonts w:ascii="Times New Roman" w:hAnsi="Times New Roman" w:cs="Times New Roman"/>
          <w:bCs/>
          <w:sz w:val="28"/>
          <w:szCs w:val="28"/>
        </w:rPr>
        <w:t xml:space="preserve">Примеры нарушений требований законодательства  о ПОД/ФТ/ФРОМУ субъектами первичного финансового мониторинга. </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bCs/>
          <w:sz w:val="28"/>
          <w:szCs w:val="28"/>
        </w:rPr>
      </w:pPr>
      <w:r w:rsidRPr="00A45A2E">
        <w:rPr>
          <w:rFonts w:ascii="Times New Roman" w:hAnsi="Times New Roman" w:cs="Times New Roman"/>
          <w:b/>
          <w:bCs/>
          <w:sz w:val="28"/>
          <w:szCs w:val="28"/>
          <w:u w:val="single"/>
        </w:rPr>
        <w:t>Раздел 3.</w:t>
      </w:r>
      <w:r w:rsidRPr="00A45A2E">
        <w:rPr>
          <w:rFonts w:ascii="Times New Roman" w:hAnsi="Times New Roman" w:cs="Times New Roman"/>
          <w:b/>
          <w:bCs/>
          <w:sz w:val="28"/>
          <w:szCs w:val="28"/>
        </w:rPr>
        <w:t xml:space="preserve"> Аудиторские процедуры, связанные с соблюдением требований </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bCs/>
          <w:sz w:val="28"/>
          <w:szCs w:val="28"/>
        </w:rPr>
      </w:pPr>
      <w:r w:rsidRPr="00A45A2E">
        <w:rPr>
          <w:rFonts w:ascii="Times New Roman" w:hAnsi="Times New Roman" w:cs="Times New Roman"/>
          <w:b/>
          <w:bCs/>
          <w:sz w:val="28"/>
          <w:szCs w:val="28"/>
        </w:rPr>
        <w:t>законодательства ПОД/ФТ/ФРОМУ</w:t>
      </w: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
          <w:bCs/>
          <w:i/>
          <w:sz w:val="28"/>
          <w:szCs w:val="28"/>
        </w:rPr>
      </w:pP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
          <w:bCs/>
          <w:i/>
          <w:sz w:val="28"/>
          <w:szCs w:val="28"/>
        </w:rPr>
      </w:pPr>
      <w:r w:rsidRPr="00A45A2E">
        <w:rPr>
          <w:rFonts w:ascii="Times New Roman" w:hAnsi="Times New Roman" w:cs="Times New Roman"/>
          <w:b/>
          <w:bCs/>
          <w:i/>
          <w:sz w:val="28"/>
          <w:szCs w:val="28"/>
        </w:rPr>
        <w:t>Тема 12. Нормативные правовые акты, регламентирующие обязанности аудиторов в сфере ПОД/ФТ/ФРОМУ</w:t>
      </w: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Pr="00A45A2E">
        <w:rPr>
          <w:rFonts w:ascii="Times New Roman" w:hAnsi="Times New Roman" w:cs="Times New Roman"/>
          <w:sz w:val="28"/>
          <w:szCs w:val="28"/>
        </w:rPr>
        <w:t>Федеральный закон «Об аудиторской деятельности»</w:t>
      </w:r>
      <w:r w:rsidRPr="00A45A2E">
        <w:rPr>
          <w:rFonts w:ascii="Times New Roman" w:hAnsi="Times New Roman" w:cs="Times New Roman"/>
          <w:bCs/>
          <w:sz w:val="28"/>
          <w:szCs w:val="28"/>
        </w:rPr>
        <w:t xml:space="preserve">, Кодекс профессиональной этики аудиторов, международные стандарты аудита (МСА 240 «Обязанности аудитора в отношении недобросовестных действий при проведении </w:t>
      </w:r>
      <w:r w:rsidRPr="00A45A2E">
        <w:rPr>
          <w:rFonts w:ascii="Times New Roman" w:hAnsi="Times New Roman" w:cs="Times New Roman"/>
          <w:bCs/>
          <w:sz w:val="28"/>
          <w:szCs w:val="28"/>
        </w:rPr>
        <w:lastRenderedPageBreak/>
        <w:t xml:space="preserve">аудита финансовой отчетности». МСА 250 «Рассмотрение законов и нормативных актов в ходе аудита финансовой отчетности»). Концептуальный подход к оценке ОД/ФТ, обязательные требования. </w:t>
      </w: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Cs/>
          <w:sz w:val="28"/>
          <w:szCs w:val="28"/>
        </w:rPr>
      </w:pP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
          <w:bCs/>
          <w:i/>
          <w:sz w:val="28"/>
          <w:szCs w:val="28"/>
        </w:rPr>
      </w:pPr>
      <w:r w:rsidRPr="00A45A2E">
        <w:rPr>
          <w:rFonts w:ascii="Times New Roman" w:hAnsi="Times New Roman" w:cs="Times New Roman"/>
          <w:b/>
          <w:bCs/>
          <w:i/>
          <w:sz w:val="28"/>
          <w:szCs w:val="28"/>
        </w:rPr>
        <w:t>Тема 13. Применение подхода, основанного на оценке рисков ОД/ФТ, при оказании аудиторских услуг</w:t>
      </w: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Pr="00A45A2E">
        <w:rPr>
          <w:rFonts w:ascii="Times New Roman" w:hAnsi="Times New Roman" w:cs="Times New Roman"/>
          <w:bCs/>
          <w:sz w:val="28"/>
          <w:szCs w:val="28"/>
        </w:rPr>
        <w:t xml:space="preserve">Подходы к оценке рисков ОД/ФТ. Оценка рисков в отношении ОД/ФТ при принятии на обслуживание нового клиента или продолжение сотрудничества. Использование национальной оценки рисков легализации (отмывания) преступных доходов и национальной оценки рисков финансирования терроризма. Аудиторские процедуры, направленные на выявление сделок и финансовых операций, связанных с ОД/ФТ/ФРОМУ на каждом этапе: при принятии клиента/ продолжении сотрудничества, при планировании аудита, при проведении аудита, при завершении аудита. </w:t>
      </w: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
          <w:bCs/>
          <w:i/>
          <w:sz w:val="28"/>
          <w:szCs w:val="28"/>
        </w:rPr>
      </w:pP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
          <w:bCs/>
          <w:i/>
          <w:sz w:val="28"/>
          <w:szCs w:val="28"/>
        </w:rPr>
      </w:pPr>
      <w:r w:rsidRPr="00A45A2E">
        <w:rPr>
          <w:rFonts w:ascii="Times New Roman" w:hAnsi="Times New Roman" w:cs="Times New Roman"/>
          <w:b/>
          <w:bCs/>
          <w:i/>
          <w:sz w:val="28"/>
          <w:szCs w:val="28"/>
        </w:rPr>
        <w:t xml:space="preserve">Тема 14. Аудиторская документация </w:t>
      </w: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Pr="00A45A2E">
        <w:rPr>
          <w:rFonts w:ascii="Times New Roman" w:hAnsi="Times New Roman" w:cs="Times New Roman"/>
          <w:bCs/>
          <w:sz w:val="28"/>
          <w:szCs w:val="28"/>
        </w:rPr>
        <w:t xml:space="preserve">Рабочие документы, составляемые аудитором в рамках рассмотрения соблюдения аудируемым лицом требований ПОД/ФТ/ФРОМУ. Объем информации, который обязаны предоставить аудируемые лица о системе ПОД/ФТ/ФРОМУ. </w:t>
      </w: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bCs/>
          <w:sz w:val="28"/>
          <w:szCs w:val="28"/>
        </w:rPr>
      </w:pPr>
    </w:p>
    <w:p w:rsidR="00D40386" w:rsidRPr="00A45A2E" w:rsidRDefault="00D40386" w:rsidP="00D40386">
      <w:pPr>
        <w:spacing w:after="160" w:line="259" w:lineRule="auto"/>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bCs/>
          <w:sz w:val="28"/>
          <w:szCs w:val="28"/>
        </w:rPr>
      </w:pPr>
      <w:r w:rsidRPr="00A45A2E">
        <w:rPr>
          <w:rFonts w:ascii="Times New Roman" w:hAnsi="Times New Roman" w:cs="Times New Roman"/>
          <w:b/>
          <w:bCs/>
          <w:sz w:val="28"/>
          <w:szCs w:val="28"/>
          <w:u w:val="single"/>
        </w:rPr>
        <w:t>Раздел 4.</w:t>
      </w:r>
      <w:r w:rsidRPr="00A45A2E">
        <w:rPr>
          <w:rFonts w:ascii="Times New Roman" w:hAnsi="Times New Roman" w:cs="Times New Roman"/>
          <w:b/>
          <w:bCs/>
          <w:sz w:val="28"/>
          <w:szCs w:val="28"/>
        </w:rPr>
        <w:t xml:space="preserve">  Информационное взаимодействие аудиторской организации</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bCs/>
          <w:sz w:val="28"/>
          <w:szCs w:val="28"/>
        </w:rPr>
      </w:pPr>
      <w:r w:rsidRPr="00A45A2E">
        <w:rPr>
          <w:rFonts w:ascii="Times New Roman" w:hAnsi="Times New Roman" w:cs="Times New Roman"/>
          <w:b/>
          <w:bCs/>
          <w:sz w:val="28"/>
          <w:szCs w:val="28"/>
        </w:rPr>
        <w:t>с Росфинмониторингом</w:t>
      </w:r>
    </w:p>
    <w:p w:rsidR="00D40386" w:rsidRPr="00A45A2E" w:rsidRDefault="00D40386" w:rsidP="00D40386">
      <w:pPr>
        <w:autoSpaceDE w:val="0"/>
        <w:autoSpaceDN w:val="0"/>
        <w:adjustRightInd w:val="0"/>
        <w:spacing w:after="0" w:line="240" w:lineRule="auto"/>
        <w:outlineLvl w:val="0"/>
        <w:rPr>
          <w:rFonts w:ascii="Times New Roman" w:hAnsi="Times New Roman" w:cs="Times New Roman"/>
          <w:b/>
          <w:bCs/>
          <w:i/>
          <w:sz w:val="28"/>
          <w:szCs w:val="28"/>
        </w:rPr>
      </w:pPr>
    </w:p>
    <w:p w:rsidR="00D40386" w:rsidRPr="00A45A2E" w:rsidRDefault="00D40386" w:rsidP="00D40386">
      <w:pPr>
        <w:autoSpaceDE w:val="0"/>
        <w:autoSpaceDN w:val="0"/>
        <w:adjustRightInd w:val="0"/>
        <w:spacing w:after="0" w:line="240" w:lineRule="auto"/>
        <w:outlineLvl w:val="0"/>
        <w:rPr>
          <w:rFonts w:ascii="Times New Roman" w:hAnsi="Times New Roman" w:cs="Times New Roman"/>
          <w:b/>
          <w:bCs/>
          <w:i/>
          <w:sz w:val="28"/>
          <w:szCs w:val="28"/>
        </w:rPr>
      </w:pPr>
      <w:r w:rsidRPr="00A45A2E">
        <w:rPr>
          <w:rFonts w:ascii="Times New Roman" w:hAnsi="Times New Roman" w:cs="Times New Roman"/>
          <w:b/>
          <w:bCs/>
          <w:i/>
          <w:sz w:val="28"/>
          <w:szCs w:val="28"/>
        </w:rPr>
        <w:t xml:space="preserve">Тема 15. Передача информации в уполномоченный орган </w:t>
      </w:r>
    </w:p>
    <w:p w:rsidR="00D40386" w:rsidRPr="00A45A2E" w:rsidRDefault="00D40386" w:rsidP="00D40386">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Обязанности организаций по передаче информации в уполномоченный орган. Сроки, объем, форма, формат, содержание передаваемых сведений. Конфиденциальность передаваемой информации. Личный кабинет на официальном Интернет-сайте Росфинмониторинга как универсальный механизм коммуникации с частным сектором. Механизм обратной связи (Совет комплаенс и Консультативный совет при МВК).</w:t>
      </w:r>
    </w:p>
    <w:p w:rsidR="00D40386" w:rsidRPr="00A45A2E" w:rsidRDefault="00D40386" w:rsidP="00D40386">
      <w:pPr>
        <w:spacing w:after="160" w:line="259" w:lineRule="auto"/>
        <w:rPr>
          <w:rFonts w:ascii="Times New Roman" w:hAnsi="Times New Roman" w:cs="Times New Roman"/>
          <w:sz w:val="28"/>
          <w:szCs w:val="28"/>
        </w:rPr>
      </w:pP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u w:val="single"/>
        </w:rPr>
        <w:t>Раздел 5.</w:t>
      </w:r>
      <w:r w:rsidRPr="00A45A2E">
        <w:rPr>
          <w:rFonts w:ascii="Times New Roman" w:hAnsi="Times New Roman" w:cs="Times New Roman"/>
          <w:b/>
          <w:sz w:val="28"/>
          <w:szCs w:val="28"/>
        </w:rPr>
        <w:t xml:space="preserve"> Практические занятия по выявлению фактов, которые могут </w:t>
      </w:r>
    </w:p>
    <w:p w:rsidR="00D40386" w:rsidRPr="00A45A2E" w:rsidRDefault="00D40386" w:rsidP="00D40386">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указывать на случаи ОД/ФТ у аудируемого лица</w:t>
      </w:r>
    </w:p>
    <w:p w:rsidR="00D40386" w:rsidRPr="00A45A2E" w:rsidRDefault="00D40386" w:rsidP="00D40386">
      <w:pPr>
        <w:autoSpaceDE w:val="0"/>
        <w:autoSpaceDN w:val="0"/>
        <w:adjustRightInd w:val="0"/>
        <w:spacing w:after="0" w:line="240" w:lineRule="auto"/>
        <w:jc w:val="both"/>
        <w:rPr>
          <w:rFonts w:ascii="Times New Roman" w:hAnsi="Times New Roman" w:cs="Times New Roman"/>
          <w:b/>
          <w:bCs/>
          <w:i/>
          <w:sz w:val="28"/>
          <w:szCs w:val="28"/>
        </w:rPr>
      </w:pP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sidRPr="00A45A2E">
        <w:rPr>
          <w:rFonts w:ascii="Times New Roman" w:hAnsi="Times New Roman" w:cs="Times New Roman"/>
          <w:b/>
          <w:bCs/>
          <w:i/>
          <w:sz w:val="28"/>
          <w:szCs w:val="28"/>
        </w:rPr>
        <w:t>Тема 16. Практические занятия</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r w:rsidRPr="00A45A2E">
        <w:rPr>
          <w:rFonts w:ascii="Times New Roman" w:hAnsi="Times New Roman"/>
          <w:sz w:val="28"/>
          <w:szCs w:val="28"/>
        </w:rPr>
        <w:t xml:space="preserve">Пример выполнения типовых процедур оценки рисков недобросовестных действий аудируемого лица, несоблюдения им законодательства ПОД/ФТ/ФРОМУ, а также рисков ОД/ФТ. </w:t>
      </w:r>
      <w:r w:rsidRPr="00A45A2E">
        <w:rPr>
          <w:rFonts w:ascii="Times New Roman" w:hAnsi="Times New Roman" w:cs="Times New Roman"/>
          <w:sz w:val="28"/>
          <w:szCs w:val="28"/>
        </w:rPr>
        <w:t xml:space="preserve">Пример выполнения аудиторских процедур, направленных на проверку соблюдения аудируемым лицом законодательства при совершении сделок и финансовых операций, подлежащих контролю согласно законодательству по ПОД/ФТ/ФРОМУ. Примеры подготовки </w:t>
      </w:r>
      <w:r w:rsidRPr="00A45A2E">
        <w:rPr>
          <w:rFonts w:ascii="Times New Roman" w:hAnsi="Times New Roman" w:cs="Times New Roman"/>
          <w:sz w:val="28"/>
          <w:szCs w:val="28"/>
        </w:rPr>
        <w:lastRenderedPageBreak/>
        <w:t>рабочей документации, использования личного кабинета, передачи информации уполномоченному органу.</w:t>
      </w:r>
    </w:p>
    <w:p w:rsidR="00D40386" w:rsidRDefault="00D40386" w:rsidP="00D40386">
      <w:pPr>
        <w:autoSpaceDE w:val="0"/>
        <w:autoSpaceDN w:val="0"/>
        <w:adjustRightInd w:val="0"/>
        <w:spacing w:after="0" w:line="240" w:lineRule="auto"/>
        <w:jc w:val="both"/>
        <w:rPr>
          <w:rFonts w:ascii="Times New Roman" w:hAnsi="Times New Roman" w:cs="Times New Roman"/>
          <w:b/>
          <w:sz w:val="28"/>
          <w:szCs w:val="28"/>
        </w:rPr>
      </w:pPr>
    </w:p>
    <w:p w:rsidR="00A50389" w:rsidRPr="00A45A2E" w:rsidRDefault="00A50389" w:rsidP="00D40386">
      <w:pPr>
        <w:autoSpaceDE w:val="0"/>
        <w:autoSpaceDN w:val="0"/>
        <w:adjustRightInd w:val="0"/>
        <w:spacing w:after="0" w:line="240" w:lineRule="auto"/>
        <w:jc w:val="both"/>
        <w:rPr>
          <w:rFonts w:ascii="Times New Roman" w:hAnsi="Times New Roman" w:cs="Times New Roman"/>
          <w:b/>
          <w:sz w:val="28"/>
          <w:szCs w:val="28"/>
        </w:rPr>
      </w:pPr>
    </w:p>
    <w:p w:rsidR="00D40386" w:rsidRPr="00A45A2E" w:rsidRDefault="00D40386" w:rsidP="00D40386">
      <w:pPr>
        <w:autoSpaceDE w:val="0"/>
        <w:autoSpaceDN w:val="0"/>
        <w:adjustRightInd w:val="0"/>
        <w:spacing w:after="0" w:line="240" w:lineRule="auto"/>
        <w:jc w:val="both"/>
        <w:rPr>
          <w:rFonts w:ascii="Times New Roman" w:hAnsi="Times New Roman" w:cs="Times New Roman"/>
          <w:b/>
          <w:sz w:val="28"/>
          <w:szCs w:val="28"/>
        </w:rPr>
      </w:pPr>
      <w:r w:rsidRPr="00A45A2E">
        <w:rPr>
          <w:rFonts w:ascii="Times New Roman" w:hAnsi="Times New Roman" w:cs="Times New Roman"/>
          <w:b/>
          <w:sz w:val="28"/>
          <w:szCs w:val="28"/>
        </w:rPr>
        <w:t>Результат обучения:</w:t>
      </w:r>
    </w:p>
    <w:p w:rsidR="00D40386" w:rsidRPr="00A45A2E" w:rsidRDefault="00D40386" w:rsidP="00D403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45A2E">
        <w:rPr>
          <w:rFonts w:ascii="Times New Roman" w:hAnsi="Times New Roman" w:cs="Times New Roman"/>
          <w:sz w:val="28"/>
          <w:szCs w:val="28"/>
        </w:rPr>
        <w:t>Углубление знаний аудиторов и развитие их навыков, необходимых для исполнения требований законодательства Российской Федерации по ПОД/ФТ/ФРОМУ.</w:t>
      </w:r>
    </w:p>
    <w:p w:rsidR="00D40386" w:rsidRPr="00A45A2E" w:rsidRDefault="00D40386" w:rsidP="00D40386">
      <w:pPr>
        <w:autoSpaceDE w:val="0"/>
        <w:autoSpaceDN w:val="0"/>
        <w:adjustRightInd w:val="0"/>
        <w:spacing w:after="0" w:line="240" w:lineRule="auto"/>
        <w:jc w:val="both"/>
        <w:rPr>
          <w:rFonts w:ascii="Times New Roman" w:hAnsi="Times New Roman" w:cs="Times New Roman"/>
          <w:b/>
          <w:sz w:val="28"/>
          <w:szCs w:val="28"/>
        </w:rPr>
      </w:pPr>
    </w:p>
    <w:p w:rsidR="00D40386" w:rsidRPr="00A45A2E" w:rsidRDefault="00D40386" w:rsidP="00D40386">
      <w:pPr>
        <w:autoSpaceDE w:val="0"/>
        <w:autoSpaceDN w:val="0"/>
        <w:adjustRightInd w:val="0"/>
        <w:spacing w:after="0" w:line="240" w:lineRule="auto"/>
        <w:jc w:val="both"/>
        <w:rPr>
          <w:rFonts w:ascii="Times New Roman" w:hAnsi="Times New Roman" w:cs="Times New Roman"/>
          <w:b/>
          <w:sz w:val="28"/>
          <w:szCs w:val="28"/>
        </w:rPr>
      </w:pPr>
      <w:r w:rsidRPr="00A45A2E">
        <w:rPr>
          <w:rFonts w:ascii="Times New Roman" w:hAnsi="Times New Roman" w:cs="Times New Roman"/>
          <w:b/>
          <w:sz w:val="28"/>
          <w:szCs w:val="28"/>
        </w:rPr>
        <w:t>Рекомендуемая литература:</w:t>
      </w:r>
    </w:p>
    <w:p w:rsidR="00D40386" w:rsidRPr="00A45A2E" w:rsidRDefault="00D40386" w:rsidP="00D40386">
      <w:pPr>
        <w:spacing w:after="0" w:line="240" w:lineRule="auto"/>
        <w:jc w:val="both"/>
        <w:rPr>
          <w:rFonts w:ascii="Times New Roman" w:hAnsi="Times New Roman" w:cs="Times New Roman"/>
          <w:sz w:val="28"/>
          <w:szCs w:val="28"/>
        </w:rPr>
      </w:pPr>
      <w:r w:rsidRPr="00A45A2E">
        <w:rPr>
          <w:rFonts w:ascii="Times New Roman" w:hAnsi="Times New Roman" w:cs="Times New Roman"/>
          <w:sz w:val="28"/>
          <w:szCs w:val="28"/>
        </w:rPr>
        <w:t>1. Федеральный закон «О противодействии легализации (отмыванию) доходов, полученных преступным путем, и финансированию терроризма»</w:t>
      </w:r>
    </w:p>
    <w:p w:rsidR="00D40386" w:rsidRPr="00A45A2E" w:rsidRDefault="00D40386" w:rsidP="00D40386">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2. Федеральный закон «Об аудиторской деятельности»</w:t>
      </w:r>
    </w:p>
    <w:p w:rsidR="00D40386" w:rsidRPr="00A45A2E" w:rsidRDefault="00D40386" w:rsidP="00D40386">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3. Постановление Правительства Российской Федерации от 16.02.2005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w:t>
      </w:r>
    </w:p>
    <w:p w:rsidR="00D40386" w:rsidRPr="00A45A2E" w:rsidRDefault="00D40386" w:rsidP="00D40386">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4. Постановление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p w:rsidR="00D40386" w:rsidRPr="00A45A2E" w:rsidRDefault="00D40386" w:rsidP="00D40386">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5. Международные стандарты аудита, введенные в действие для применения на территории Российской Федерации</w:t>
      </w:r>
    </w:p>
    <w:p w:rsidR="00D40386" w:rsidRPr="00A45A2E" w:rsidRDefault="00D40386" w:rsidP="00D40386">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 xml:space="preserve">6. Приказ Росфинмониторинга от 08.05.2009 № 103 «Об утверждении Рекомендаций по разработке критериев выявления и определению признаков необычных сделок» </w:t>
      </w:r>
    </w:p>
    <w:p w:rsidR="00D40386" w:rsidRPr="00A45A2E" w:rsidRDefault="00D40386" w:rsidP="00D40386">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 xml:space="preserve">7. Приказ Росфинмониторинга от 22.04.2015 №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 </w:t>
      </w:r>
    </w:p>
    <w:p w:rsidR="00D40386" w:rsidRPr="00A45A2E" w:rsidRDefault="00D40386" w:rsidP="00D40386">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8. Отчет</w:t>
      </w:r>
      <w:bookmarkStart w:id="0" w:name="_GoBack"/>
      <w:bookmarkEnd w:id="0"/>
      <w:r w:rsidRPr="00A45A2E">
        <w:rPr>
          <w:rFonts w:ascii="Times New Roman" w:hAnsi="Times New Roman" w:cs="Times New Roman"/>
          <w:sz w:val="28"/>
          <w:szCs w:val="28"/>
        </w:rPr>
        <w:t xml:space="preserve"> о национальной оценке рисков легализации (отмывания) преступных доходов (публичная версия)</w:t>
      </w:r>
    </w:p>
    <w:p w:rsidR="00D40386" w:rsidRPr="00A45A2E" w:rsidRDefault="00D40386" w:rsidP="00D40386">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9. Отчет о национальной оценке рисков финансирования терроризма (публичная версия)</w:t>
      </w:r>
    </w:p>
    <w:p w:rsidR="00D40386" w:rsidRPr="00A45A2E" w:rsidRDefault="00D40386" w:rsidP="00D40386">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 xml:space="preserve">10. 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Группы разработки финансовых мер борьбы с отмыванием денег (ФАТФ) </w:t>
      </w:r>
    </w:p>
    <w:p w:rsidR="00AB07F9" w:rsidRDefault="00D40386" w:rsidP="00006BEC">
      <w:pPr>
        <w:widowControl w:val="0"/>
        <w:tabs>
          <w:tab w:val="left" w:pos="0"/>
        </w:tabs>
        <w:autoSpaceDE w:val="0"/>
        <w:autoSpaceDN w:val="0"/>
        <w:spacing w:after="0" w:line="240" w:lineRule="auto"/>
        <w:ind w:right="148"/>
        <w:jc w:val="both"/>
      </w:pPr>
      <w:r w:rsidRPr="00A45A2E">
        <w:rPr>
          <w:rFonts w:ascii="Times New Roman" w:hAnsi="Times New Roman" w:cs="Times New Roman"/>
          <w:sz w:val="28"/>
          <w:szCs w:val="28"/>
        </w:rPr>
        <w:t>11. Нормативные правовые акты и иная соответствующая литература по вопросам ПОД/ФТ/ФРОМУ у субъектов первичного финансового мониторинга, отличных от аудиторских организаций и индивидуальных аудиторов</w:t>
      </w:r>
    </w:p>
    <w:sectPr w:rsidR="00AB07F9" w:rsidSect="00A50389">
      <w:headerReference w:type="default" r:id="rId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6C" w:rsidRDefault="0085276C" w:rsidP="00A50389">
      <w:pPr>
        <w:spacing w:after="0" w:line="240" w:lineRule="auto"/>
      </w:pPr>
      <w:r>
        <w:separator/>
      </w:r>
    </w:p>
  </w:endnote>
  <w:endnote w:type="continuationSeparator" w:id="0">
    <w:p w:rsidR="0085276C" w:rsidRDefault="0085276C" w:rsidP="00A5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6C" w:rsidRDefault="0085276C" w:rsidP="00A50389">
      <w:pPr>
        <w:spacing w:after="0" w:line="240" w:lineRule="auto"/>
      </w:pPr>
      <w:r>
        <w:separator/>
      </w:r>
    </w:p>
  </w:footnote>
  <w:footnote w:type="continuationSeparator" w:id="0">
    <w:p w:rsidR="0085276C" w:rsidRDefault="0085276C" w:rsidP="00A50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17313"/>
      <w:docPartObj>
        <w:docPartGallery w:val="Page Numbers (Top of Page)"/>
        <w:docPartUnique/>
      </w:docPartObj>
    </w:sdtPr>
    <w:sdtEndPr/>
    <w:sdtContent>
      <w:p w:rsidR="00A50389" w:rsidRDefault="00A50389">
        <w:pPr>
          <w:pStyle w:val="a6"/>
          <w:jc w:val="center"/>
        </w:pPr>
        <w:r>
          <w:fldChar w:fldCharType="begin"/>
        </w:r>
        <w:r>
          <w:instrText>PAGE   \* MERGEFORMAT</w:instrText>
        </w:r>
        <w:r>
          <w:fldChar w:fldCharType="separate"/>
        </w:r>
        <w:r w:rsidR="009E4F70">
          <w:rPr>
            <w:noProof/>
          </w:rPr>
          <w:t>5</w:t>
        </w:r>
        <w:r>
          <w:fldChar w:fldCharType="end"/>
        </w:r>
      </w:p>
    </w:sdtContent>
  </w:sdt>
  <w:p w:rsidR="00A50389" w:rsidRDefault="00A503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6"/>
    <w:rsid w:val="00000E55"/>
    <w:rsid w:val="0000307E"/>
    <w:rsid w:val="00003DFD"/>
    <w:rsid w:val="00005A6F"/>
    <w:rsid w:val="00006572"/>
    <w:rsid w:val="00006BEC"/>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1211"/>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3D6E"/>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5276C"/>
    <w:rsid w:val="008617DC"/>
    <w:rsid w:val="00865F26"/>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E4F70"/>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389"/>
    <w:rsid w:val="00A50DBA"/>
    <w:rsid w:val="00A5126E"/>
    <w:rsid w:val="00A528F0"/>
    <w:rsid w:val="00A532BE"/>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69FD"/>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1846"/>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0386"/>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160E"/>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2C01E-7BF3-4923-BA84-41761C83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footnote text"/>
    <w:basedOn w:val="a"/>
    <w:link w:val="a5"/>
    <w:uiPriority w:val="99"/>
    <w:unhideWhenUsed/>
    <w:rsid w:val="00D40386"/>
    <w:pPr>
      <w:spacing w:after="0" w:line="240" w:lineRule="auto"/>
    </w:pPr>
    <w:rPr>
      <w:sz w:val="20"/>
      <w:szCs w:val="20"/>
    </w:rPr>
  </w:style>
  <w:style w:type="character" w:customStyle="1" w:styleId="a5">
    <w:name w:val="Текст сноски Знак"/>
    <w:basedOn w:val="a0"/>
    <w:link w:val="a4"/>
    <w:uiPriority w:val="99"/>
    <w:rsid w:val="00D40386"/>
    <w:rPr>
      <w:sz w:val="20"/>
      <w:szCs w:val="20"/>
    </w:rPr>
  </w:style>
  <w:style w:type="paragraph" w:styleId="a6">
    <w:name w:val="header"/>
    <w:basedOn w:val="a"/>
    <w:link w:val="a7"/>
    <w:uiPriority w:val="99"/>
    <w:unhideWhenUsed/>
    <w:rsid w:val="00A503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0389"/>
  </w:style>
  <w:style w:type="paragraph" w:styleId="a8">
    <w:name w:val="footer"/>
    <w:basedOn w:val="a"/>
    <w:link w:val="a9"/>
    <w:uiPriority w:val="99"/>
    <w:unhideWhenUsed/>
    <w:rsid w:val="00A503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ВОЛКОВА ЕЛЕНА БОРИСОВНА</cp:lastModifiedBy>
  <cp:revision>6</cp:revision>
  <dcterms:created xsi:type="dcterms:W3CDTF">2018-12-10T07:53:00Z</dcterms:created>
  <dcterms:modified xsi:type="dcterms:W3CDTF">2018-12-24T14:37:00Z</dcterms:modified>
</cp:coreProperties>
</file>