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D" w:rsidRPr="00BF6D4A" w:rsidRDefault="00DB396D" w:rsidP="00DB396D">
      <w:pPr>
        <w:pStyle w:val="a3"/>
        <w:jc w:val="center"/>
        <w:rPr>
          <w:rFonts w:ascii="Times New Roman" w:hAnsi="Times New Roman" w:cs="Times New Roman"/>
          <w:sz w:val="28"/>
        </w:rPr>
      </w:pPr>
      <w:r w:rsidRPr="00BF6D4A">
        <w:rPr>
          <w:rFonts w:ascii="Times New Roman" w:hAnsi="Times New Roman" w:cs="Times New Roman"/>
          <w:sz w:val="28"/>
        </w:rPr>
        <w:t xml:space="preserve">Информация о целевых показателях </w:t>
      </w:r>
      <w:r w:rsidR="00436823" w:rsidRPr="00BF6D4A">
        <w:rPr>
          <w:rFonts w:ascii="Times New Roman" w:hAnsi="Times New Roman" w:cs="Times New Roman"/>
          <w:sz w:val="28"/>
        </w:rPr>
        <w:t>(индикаторах) г</w:t>
      </w:r>
      <w:r w:rsidRPr="00BF6D4A">
        <w:rPr>
          <w:rFonts w:ascii="Times New Roman" w:hAnsi="Times New Roman" w:cs="Times New Roman"/>
          <w:sz w:val="28"/>
        </w:rPr>
        <w:t>осударственной программы Российской Федерации</w:t>
      </w:r>
    </w:p>
    <w:p w:rsidR="00926A67" w:rsidRPr="00BF6D4A" w:rsidRDefault="00DB396D" w:rsidP="00DB396D">
      <w:pPr>
        <w:pStyle w:val="a3"/>
        <w:jc w:val="center"/>
        <w:rPr>
          <w:rFonts w:ascii="Times New Roman" w:hAnsi="Times New Roman" w:cs="Times New Roman"/>
          <w:sz w:val="28"/>
        </w:rPr>
      </w:pPr>
      <w:r w:rsidRPr="00BF6D4A">
        <w:rPr>
          <w:rFonts w:ascii="Times New Roman" w:hAnsi="Times New Roman" w:cs="Times New Roman"/>
          <w:sz w:val="28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436823" w:rsidRPr="00BF6D4A">
        <w:rPr>
          <w:rFonts w:ascii="Times New Roman" w:hAnsi="Times New Roman" w:cs="Times New Roman"/>
          <w:sz w:val="28"/>
        </w:rPr>
        <w:t xml:space="preserve"> на 2018 год</w:t>
      </w:r>
    </w:p>
    <w:p w:rsidR="00DB396D" w:rsidRDefault="00DB396D" w:rsidP="00DB396D">
      <w:pPr>
        <w:pStyle w:val="a3"/>
        <w:rPr>
          <w:rFonts w:ascii="Times New Roman" w:hAnsi="Times New Roman" w:cs="Times New Roman"/>
          <w:sz w:val="28"/>
        </w:rPr>
      </w:pPr>
    </w:p>
    <w:p w:rsidR="00BF6D4A" w:rsidRDefault="00BF6D4A" w:rsidP="00DB396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2661"/>
        <w:gridCol w:w="2661"/>
      </w:tblGrid>
      <w:tr w:rsidR="00BF6D4A" w:rsidTr="00BF6D4A">
        <w:trPr>
          <w:cantSplit/>
        </w:trPr>
        <w:tc>
          <w:tcPr>
            <w:tcW w:w="675" w:type="dxa"/>
          </w:tcPr>
          <w:p w:rsidR="00436823" w:rsidRP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3682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3682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230" w:type="dxa"/>
            <w:vAlign w:val="center"/>
          </w:tcPr>
          <w:p w:rsidR="00436823" w:rsidRP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36823" w:rsidRP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661" w:type="dxa"/>
          </w:tcPr>
          <w:p w:rsid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 xml:space="preserve">2017 год </w:t>
            </w:r>
          </w:p>
          <w:p w:rsidR="00436823" w:rsidRP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>(фактическое значение)</w:t>
            </w:r>
          </w:p>
        </w:tc>
        <w:tc>
          <w:tcPr>
            <w:tcW w:w="2661" w:type="dxa"/>
          </w:tcPr>
          <w:p w:rsid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 xml:space="preserve">2018 год </w:t>
            </w:r>
          </w:p>
          <w:p w:rsidR="00436823" w:rsidRPr="00436823" w:rsidRDefault="00436823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36823">
              <w:rPr>
                <w:rFonts w:ascii="Times New Roman" w:hAnsi="Times New Roman" w:cs="Times New Roman"/>
                <w:sz w:val="24"/>
              </w:rPr>
              <w:t>(плановое значение)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не являющихся получателями дотаций на выравнивание бюджетной обеспеченности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объема собственных доходов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просроченной кредиторской задолженности в расходах консолидированных бюджетов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EB031B" w:rsidRDefault="00F82C31" w:rsidP="00A974A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DF71E5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0,37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расходов консолидированных бюджетов субъектов Российской Федерации, формируемых в рамках программ</w:t>
            </w:r>
            <w:r>
              <w:rPr>
                <w:rFonts w:ascii="Times New Roman" w:hAnsi="Times New Roman" w:cs="Times New Roman"/>
              </w:rPr>
              <w:t>, в общем</w:t>
            </w:r>
            <w:r>
              <w:t xml:space="preserve"> </w:t>
            </w:r>
            <w:r w:rsidRPr="00F00AC9">
              <w:rPr>
                <w:rFonts w:ascii="Times New Roman" w:hAnsi="Times New Roman" w:cs="Times New Roman"/>
              </w:rPr>
              <w:t>объеме расходов консолидированных бюджетов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88732D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BF6D4A" w:rsidTr="00BF6D4A">
        <w:trPr>
          <w:cantSplit/>
        </w:trPr>
        <w:tc>
          <w:tcPr>
            <w:tcW w:w="675" w:type="dxa"/>
          </w:tcPr>
          <w:p w:rsidR="00F82C31" w:rsidRPr="00436823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Темп роста расчетной бюджетной обеспеченности по 10 наименее обеспеченным субъектам Российской Федерации (нарастающим итогом к уровню 2012 года)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88732D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</w:rPr>
            </w:pPr>
            <w:r w:rsidRPr="00847234">
              <w:rPr>
                <w:rFonts w:ascii="Times New Roman" w:hAnsi="Times New Roman" w:cs="Times New Roman"/>
              </w:rPr>
              <w:t>Доля исполнительно-распорядительных, контрольно-надзорных и разрешительных полномочий по предметам совместного ведения Российской Федерации и субъектов Российской Федерации, закрепленных за органами государственной власти субъектов Российской Федерации, в общем количестве указанных полномочий, относящихся к предметам совместного ведения Российской Федерации и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88732D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F82C31" w:rsidTr="00BF6D4A">
        <w:trPr>
          <w:cantSplit/>
        </w:trPr>
        <w:tc>
          <w:tcPr>
            <w:tcW w:w="14786" w:type="dxa"/>
            <w:gridSpan w:val="5"/>
          </w:tcPr>
          <w:p w:rsidR="00F82C31" w:rsidRPr="001C29EC" w:rsidRDefault="00F82C31" w:rsidP="00BF6D4A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 Российской Федерации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дотаций в объеме межбюджетных трансфертов из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0B6B45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0B6B4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субсидий, предоставляемых из федерального бюджета бюджетам субъектов Российской Федерации, распределение которых между субъектами Российской Федерации установлено (единственный получатель которых определен) приложениями к федеральному закону о федеральном бюджете на очередной финансовый год и плановый период, в общем количестве субсидий из федерального бюджета бюджетам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8D027E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субсидий, по которым установлены показатели результативности предоставления субсидий из федерального бюджета бюджетам субъектов Российской Федерации, в общем количестве субсидий. 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29E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C29EC">
              <w:rPr>
                <w:rFonts w:ascii="Times New Roman" w:hAnsi="Times New Roman" w:cs="Times New Roman"/>
              </w:rPr>
              <w:t xml:space="preserve"> субсидий, предоставляемых из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бюджета бюджетам субъектов Российской Федерации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D4A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Доля субвенций, формирующих единую субвенцию,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по осуществлению переданных им полномочий Российской Федерации, при выполнении которых возникают расходные обязательства субъектов Российской Федерации, на исполнение которых предусмотрены указанные субвенции, в общем количестве  субвенций, формирующих единую субвенцию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88732D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Федерации, в целях </w:t>
            </w:r>
            <w:proofErr w:type="gramStart"/>
            <w:r w:rsidRPr="001C29EC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1C29EC">
              <w:rPr>
                <w:rFonts w:ascii="Times New Roman" w:hAnsi="Times New Roman" w:cs="Times New Roman"/>
              </w:rPr>
              <w:t xml:space="preserve"> обеспечения которых предусмотрены субвенции, формирующие единую субвенцию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1C29EC" w:rsidRDefault="00095A0A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82C31" w:rsidTr="00BF6D4A">
        <w:trPr>
          <w:cantSplit/>
        </w:trPr>
        <w:tc>
          <w:tcPr>
            <w:tcW w:w="14786" w:type="dxa"/>
            <w:gridSpan w:val="5"/>
            <w:vAlign w:val="center"/>
          </w:tcPr>
          <w:p w:rsidR="00F82C31" w:rsidRPr="001C29EC" w:rsidRDefault="00F82C31" w:rsidP="00BF6D4A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lastRenderedPageBreak/>
              <w:t xml:space="preserve">Подпрограмма 2. </w:t>
            </w:r>
            <w:r w:rsidRPr="00AF75F3">
              <w:rPr>
                <w:rFonts w:ascii="Times New Roman" w:hAnsi="Times New Roman" w:cs="Times New Roman"/>
              </w:rPr>
              <w:t>Выравнивание финансовых возможностей бюджетов субъектов Российской Федерации и местных бюджетов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которых дефицит бюджета и предельный объем государственного долга превышают уровень, установленный бюджетным законодательством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382EC0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просроченной кредиторской задолженности по оплате труда в расходах бюджетов субъектов Российской Федерации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2,6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в которых доля просроченной задолженности по исполнению долговых и (или) бюджетных обязатель</w:t>
            </w:r>
            <w:proofErr w:type="gramStart"/>
            <w:r w:rsidRPr="001C29EC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1C29EC">
              <w:rPr>
                <w:rFonts w:ascii="Times New Roman" w:hAnsi="Times New Roman" w:cs="Times New Roman"/>
              </w:rPr>
              <w:t>евышает 30% собственных доходов бюджетов субъектов Российской Федерации в последнем отчетном финансовом году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6E3304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9EC">
              <w:rPr>
                <w:rFonts w:ascii="Times New Roman" w:hAnsi="Times New Roman" w:cs="Times New Roman"/>
              </w:rPr>
              <w:t>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организаций, к налоговым и неналоговым доходам в субъектах Российской Федерации, заключивших соглашения о предоставлении бюджетных кредитов в целях погашения вышеуказанных долговых обязательств</w:t>
            </w:r>
            <w:proofErr w:type="gramEnd"/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6E3304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Отношение дефицита к налоговым и неналоговым доходам в субъектах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6E3304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4368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Доля субъектов Российской Федерации, в которых утверждены основные направления долговой политики на трехлетний период, к общему количеству субъектов Российской Федерации, 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 международных финансовых организаций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82C31" w:rsidTr="00BF6D4A">
        <w:trPr>
          <w:cantSplit/>
        </w:trPr>
        <w:tc>
          <w:tcPr>
            <w:tcW w:w="14786" w:type="dxa"/>
            <w:gridSpan w:val="5"/>
            <w:vAlign w:val="center"/>
          </w:tcPr>
          <w:p w:rsidR="00F82C31" w:rsidRPr="001C29EC" w:rsidRDefault="00F82C31" w:rsidP="00BF6D4A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Подпрограмма 3. Содействие повышению качества управления региональными и муниципальными финансами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Количество субъектов Российской Федерации, имеющих высокое и надлежащее качество управления региональными финансами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F00AC9">
              <w:rPr>
                <w:rFonts w:ascii="Times New Roman" w:hAnsi="Times New Roman" w:cs="Times New Roman"/>
              </w:rPr>
              <w:t>Доля субъектов Российской Федерации, получивших субсидию на реализацию региональных программ повышения эффективности бюджетных расходов, в общем количестве субъектов Российской Федерации (накопленным итогом)</w:t>
            </w:r>
          </w:p>
        </w:tc>
        <w:tc>
          <w:tcPr>
            <w:tcW w:w="1559" w:type="dxa"/>
          </w:tcPr>
          <w:p w:rsidR="00F82C31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 xml:space="preserve">Количество субъектов Российской Федерации, </w:t>
            </w:r>
            <w:r w:rsidRPr="001C29EC">
              <w:rPr>
                <w:rFonts w:ascii="Times New Roman" w:hAnsi="Times New Roman" w:cs="Times New Roman"/>
              </w:rPr>
              <w:br/>
              <w:t>не выполнивших более 85% целевых показателей, установленных соглашением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61" w:type="dxa"/>
          </w:tcPr>
          <w:p w:rsidR="00F82C31" w:rsidRPr="00C57A6D" w:rsidRDefault="00F82C31" w:rsidP="00A974A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57A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A974A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Степень исполнения уведомлений органа государственного финансового контроля о применении бюджетных мер принуждения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 w:rsidRPr="001C29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9A3F9F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82C31" w:rsidTr="00BF6D4A">
        <w:trPr>
          <w:cantSplit/>
        </w:trPr>
        <w:tc>
          <w:tcPr>
            <w:tcW w:w="14786" w:type="dxa"/>
            <w:gridSpan w:val="5"/>
          </w:tcPr>
          <w:p w:rsidR="00F82C31" w:rsidRPr="001C29EC" w:rsidRDefault="00F82C31" w:rsidP="00BF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="00BF6D4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847234">
              <w:rPr>
                <w:rFonts w:ascii="Times New Roman" w:hAnsi="Times New Roman" w:cs="Times New Roman"/>
              </w:rPr>
              <w:t xml:space="preserve">Совершенствование разграничения полномочий между уровнями публичной власти и </w:t>
            </w:r>
            <w:proofErr w:type="gramStart"/>
            <w:r w:rsidRPr="0084723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47234">
              <w:rPr>
                <w:rFonts w:ascii="Times New Roman" w:hAnsi="Times New Roman" w:cs="Times New Roman"/>
              </w:rPr>
              <w:t xml:space="preserve"> осуществлением пе</w:t>
            </w:r>
            <w:r>
              <w:rPr>
                <w:rFonts w:ascii="Times New Roman" w:hAnsi="Times New Roman" w:cs="Times New Roman"/>
              </w:rPr>
              <w:t>реданных федеральных полномочий</w:t>
            </w:r>
          </w:p>
        </w:tc>
      </w:tr>
      <w:tr w:rsidR="00F82C31" w:rsidTr="00BF6D4A">
        <w:trPr>
          <w:cantSplit/>
        </w:trPr>
        <w:tc>
          <w:tcPr>
            <w:tcW w:w="675" w:type="dxa"/>
          </w:tcPr>
          <w:p w:rsidR="00F82C31" w:rsidRDefault="00F82C31" w:rsidP="00F82C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230" w:type="dxa"/>
          </w:tcPr>
          <w:p w:rsidR="00F82C31" w:rsidRPr="001C29EC" w:rsidRDefault="00F82C31" w:rsidP="00BF6D4A">
            <w:pPr>
              <w:jc w:val="both"/>
              <w:rPr>
                <w:rFonts w:ascii="Times New Roman" w:hAnsi="Times New Roman" w:cs="Times New Roman"/>
              </w:rPr>
            </w:pPr>
            <w:r w:rsidRPr="00847234">
              <w:rPr>
                <w:rFonts w:ascii="Times New Roman" w:hAnsi="Times New Roman" w:cs="Times New Roman"/>
              </w:rPr>
              <w:t>Доля нормативных правовых актов, закрепляющих за органами государственной власти субъектов Российской Федерации, органами местного самоуправления осуществление полномочий, в общем количестве принимаемых нормативных правовых актов по предметам совместного ведения Российской Федерации и субъектов Российской Федерации, вопросам местного значения</w:t>
            </w:r>
          </w:p>
        </w:tc>
        <w:tc>
          <w:tcPr>
            <w:tcW w:w="1559" w:type="dxa"/>
          </w:tcPr>
          <w:p w:rsidR="00F82C31" w:rsidRPr="001C29EC" w:rsidRDefault="00F82C31" w:rsidP="00A97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61" w:type="dxa"/>
          </w:tcPr>
          <w:p w:rsidR="00F82C31" w:rsidRPr="00F82C31" w:rsidRDefault="00F82C31" w:rsidP="00F82C31">
            <w:pPr>
              <w:jc w:val="center"/>
              <w:rPr>
                <w:rFonts w:ascii="Times New Roman" w:hAnsi="Times New Roman" w:cs="Times New Roman"/>
              </w:rPr>
            </w:pPr>
            <w:r w:rsidRPr="00F82C3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61" w:type="dxa"/>
          </w:tcPr>
          <w:p w:rsidR="00F82C31" w:rsidRPr="00436823" w:rsidRDefault="00BF6D4A" w:rsidP="00BF6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</w:tbl>
    <w:p w:rsidR="00DB396D" w:rsidRDefault="00DB396D" w:rsidP="00DB396D">
      <w:pPr>
        <w:pStyle w:val="a3"/>
        <w:rPr>
          <w:rFonts w:ascii="Times New Roman" w:hAnsi="Times New Roman" w:cs="Times New Roman"/>
          <w:sz w:val="28"/>
        </w:rPr>
      </w:pPr>
    </w:p>
    <w:p w:rsidR="00DB396D" w:rsidRPr="00DB396D" w:rsidRDefault="00DB396D" w:rsidP="00DB396D">
      <w:pPr>
        <w:pStyle w:val="a3"/>
        <w:rPr>
          <w:rFonts w:ascii="Times New Roman" w:hAnsi="Times New Roman" w:cs="Times New Roman"/>
          <w:sz w:val="28"/>
        </w:rPr>
      </w:pPr>
    </w:p>
    <w:sectPr w:rsidR="00DB396D" w:rsidRPr="00DB396D" w:rsidSect="00DB3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D"/>
    <w:rsid w:val="00095A0A"/>
    <w:rsid w:val="00436823"/>
    <w:rsid w:val="00926A67"/>
    <w:rsid w:val="00BF6D4A"/>
    <w:rsid w:val="00DB396D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6D"/>
    <w:pPr>
      <w:spacing w:after="0" w:line="240" w:lineRule="auto"/>
    </w:pPr>
  </w:style>
  <w:style w:type="table" w:styleId="a4">
    <w:name w:val="Table Grid"/>
    <w:basedOn w:val="a1"/>
    <w:uiPriority w:val="59"/>
    <w:rsid w:val="00DB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96D"/>
    <w:pPr>
      <w:spacing w:after="0" w:line="240" w:lineRule="auto"/>
    </w:pPr>
  </w:style>
  <w:style w:type="table" w:styleId="a4">
    <w:name w:val="Table Grid"/>
    <w:basedOn w:val="a1"/>
    <w:uiPriority w:val="59"/>
    <w:rsid w:val="00DB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CA3B-250B-4D74-A491-51D6E355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ХАНЯФИЕВА ЭЛЬНАРА БАРИЕВНА</dc:creator>
  <cp:lastModifiedBy>ХАНЯФИЕВА ЭЛЬНАРА БАРИЕВНА</cp:lastModifiedBy>
  <cp:revision>1</cp:revision>
  <dcterms:created xsi:type="dcterms:W3CDTF">2018-11-01T16:44:00Z</dcterms:created>
  <dcterms:modified xsi:type="dcterms:W3CDTF">2018-11-01T17:37:00Z</dcterms:modified>
</cp:coreProperties>
</file>