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6" w:rsidRDefault="003176E6" w:rsidP="003176E6">
      <w:pPr>
        <w:pStyle w:val="IASBTitle"/>
        <w:jc w:val="center"/>
        <w:rPr>
          <w:b/>
        </w:rPr>
      </w:pPr>
      <w:bookmarkStart w:id="0" w:name="F69404185"/>
      <w:r w:rsidRPr="00B1493C">
        <w:rPr>
          <w:b/>
        </w:rPr>
        <w:t>Внесение изменений в программу, сокращение программы или погашение обязательств по программе</w:t>
      </w:r>
    </w:p>
    <w:p w:rsidR="003176E6" w:rsidRPr="00B1493C" w:rsidRDefault="003176E6" w:rsidP="003176E6">
      <w:pPr>
        <w:pStyle w:val="IASBTitle"/>
        <w:jc w:val="center"/>
      </w:pPr>
      <w:r w:rsidRPr="00B1493C">
        <w:t>(Поправки к МСФО (</w:t>
      </w:r>
      <w:r>
        <w:t>IAS</w:t>
      </w:r>
      <w:r w:rsidRPr="00B1493C">
        <w:t>) 19)</w:t>
      </w:r>
    </w:p>
    <w:p w:rsidR="003176E6" w:rsidRPr="00B1493C" w:rsidRDefault="003176E6" w:rsidP="003176E6">
      <w:pPr>
        <w:pStyle w:val="IASBSectionTitle1NonInd"/>
        <w:pBdr>
          <w:bottom w:val="none" w:sz="0" w:space="0" w:color="auto"/>
        </w:pBdr>
      </w:pPr>
      <w:r w:rsidRPr="00B1493C">
        <w:t>Поправки к МСФО</w:t>
      </w:r>
      <w:r>
        <w:t> </w:t>
      </w:r>
      <w:r w:rsidRPr="00B1493C">
        <w:t>(</w:t>
      </w:r>
      <w:r>
        <w:t>IAS</w:t>
      </w:r>
      <w:r w:rsidRPr="00B1493C">
        <w:t>)</w:t>
      </w:r>
      <w:r>
        <w:t> </w:t>
      </w:r>
      <w:r w:rsidRPr="00B1493C">
        <w:t xml:space="preserve">19 </w:t>
      </w:r>
      <w:r w:rsidRPr="00B1493C">
        <w:rPr>
          <w:i/>
        </w:rPr>
        <w:t>«Вознаграждения работникам»</w:t>
      </w:r>
    </w:p>
    <w:p w:rsidR="003176E6" w:rsidRDefault="003176E6" w:rsidP="003176E6">
      <w:pPr>
        <w:pStyle w:val="IASBNormalnpara"/>
      </w:pPr>
    </w:p>
    <w:p w:rsidR="003176E6" w:rsidRPr="0048143C" w:rsidRDefault="003176E6" w:rsidP="003176E6">
      <w:pPr>
        <w:spacing w:before="100"/>
        <w:ind w:left="782" w:hanging="782"/>
        <w:jc w:val="both"/>
        <w:rPr>
          <w:sz w:val="19"/>
          <w:szCs w:val="19"/>
          <w:lang w:eastAsia="en-GB"/>
        </w:rPr>
      </w:pPr>
      <w:r w:rsidRPr="0048143C">
        <w:rPr>
          <w:sz w:val="19"/>
          <w:szCs w:val="19"/>
        </w:rPr>
        <w:t>Абзац (</w:t>
      </w:r>
      <w:r w:rsidRPr="0048143C">
        <w:rPr>
          <w:sz w:val="19"/>
          <w:szCs w:val="19"/>
          <w:lang w:val="en-US"/>
        </w:rPr>
        <w:t>i</w:t>
      </w:r>
      <w:r w:rsidRPr="0048143C">
        <w:rPr>
          <w:sz w:val="19"/>
          <w:szCs w:val="19"/>
        </w:rPr>
        <w:t xml:space="preserve">) подпункта (с) пункта 57 </w:t>
      </w:r>
      <w:r w:rsidRPr="0048143C">
        <w:rPr>
          <w:sz w:val="19"/>
          <w:szCs w:val="19"/>
          <w:lang w:eastAsia="en-GB"/>
        </w:rPr>
        <w:t>изложить в следующей редакции:</w:t>
      </w:r>
    </w:p>
    <w:p w:rsidR="003176E6" w:rsidRPr="0048143C" w:rsidRDefault="003176E6" w:rsidP="003176E6">
      <w:pPr>
        <w:pStyle w:val="a3"/>
        <w:numPr>
          <w:ilvl w:val="0"/>
          <w:numId w:val="2"/>
        </w:numPr>
        <w:spacing w:before="100"/>
        <w:ind w:left="2279"/>
        <w:jc w:val="both"/>
        <w:rPr>
          <w:lang w:val="ru-RU"/>
        </w:rPr>
      </w:pPr>
      <w:r>
        <w:rPr>
          <w:sz w:val="19"/>
          <w:szCs w:val="20"/>
          <w:lang w:val="ru-RU"/>
        </w:rPr>
        <w:t>стоимость услуг текущего периода (</w:t>
      </w:r>
      <w:r w:rsidRPr="0048143C">
        <w:rPr>
          <w:sz w:val="19"/>
          <w:szCs w:val="19"/>
          <w:lang w:val="ru-RU"/>
        </w:rPr>
        <w:t>см. пункты 70-74 и пункт 122</w:t>
      </w:r>
      <w:r w:rsidRPr="0048143C">
        <w:rPr>
          <w:sz w:val="19"/>
          <w:szCs w:val="19"/>
          <w:lang w:val="en-US"/>
        </w:rPr>
        <w:t>A</w:t>
      </w:r>
      <w:r>
        <w:rPr>
          <w:sz w:val="19"/>
          <w:szCs w:val="19"/>
          <w:lang w:val="ru-RU"/>
        </w:rPr>
        <w:t>);</w:t>
      </w:r>
    </w:p>
    <w:p w:rsidR="003176E6" w:rsidRPr="00A16722" w:rsidRDefault="003176E6" w:rsidP="003176E6">
      <w:pPr>
        <w:spacing w:before="100"/>
        <w:ind w:left="782" w:hanging="782"/>
        <w:jc w:val="both"/>
        <w:rPr>
          <w:sz w:val="19"/>
          <w:szCs w:val="20"/>
          <w:lang w:eastAsia="en-GB"/>
        </w:rPr>
      </w:pPr>
      <w:r w:rsidRPr="00A16722">
        <w:rPr>
          <w:sz w:val="19"/>
          <w:szCs w:val="20"/>
          <w:lang w:eastAsia="en-GB"/>
        </w:rPr>
        <w:t xml:space="preserve">Пункт </w:t>
      </w:r>
      <w:r>
        <w:rPr>
          <w:sz w:val="19"/>
          <w:szCs w:val="20"/>
          <w:lang w:eastAsia="en-GB"/>
        </w:rPr>
        <w:t>99</w:t>
      </w:r>
      <w:r w:rsidRPr="00A16722">
        <w:rPr>
          <w:sz w:val="19"/>
          <w:szCs w:val="20"/>
          <w:lang w:eastAsia="en-GB"/>
        </w:rPr>
        <w:t xml:space="preserve"> изложить в следующей редакции:</w:t>
      </w:r>
    </w:p>
    <w:p w:rsidR="003176E6" w:rsidRPr="00B1493C" w:rsidRDefault="003176E6" w:rsidP="003176E6">
      <w:pPr>
        <w:pStyle w:val="IASBNormalnpara"/>
        <w:rPr>
          <w:b/>
        </w:rPr>
      </w:pPr>
      <w:r w:rsidRPr="00B1493C">
        <w:rPr>
          <w:b/>
        </w:rPr>
        <w:t>99</w:t>
      </w:r>
      <w:proofErr w:type="gramStart"/>
      <w:r w:rsidRPr="00B1493C">
        <w:rPr>
          <w:b/>
        </w:rPr>
        <w:tab/>
      </w:r>
      <w:r w:rsidRPr="00597F29">
        <w:rPr>
          <w:b/>
        </w:rPr>
        <w:t xml:space="preserve"> К</w:t>
      </w:r>
      <w:proofErr w:type="gramEnd"/>
      <w:r w:rsidRPr="00597F29">
        <w:rPr>
          <w:b/>
        </w:rPr>
        <w:t>огда организация определяет</w:t>
      </w:r>
      <w:r w:rsidRPr="00B1493C">
        <w:rPr>
          <w:b/>
        </w:rPr>
        <w:t xml:space="preserve"> стоимость услуг прошлых периодов или прибыль или убыток от погашения обязательств по программе, она должна провести переоценку чистого обязательства (актива) программы с установленными выплатами на основании текущей справедливой стоимости активов программы и текущих актуарных допущений</w:t>
      </w:r>
      <w:r w:rsidRPr="00597F29">
        <w:rPr>
          <w:b/>
        </w:rPr>
        <w:t>,</w:t>
      </w:r>
      <w:r w:rsidRPr="00B1493C">
        <w:rPr>
          <w:b/>
        </w:rPr>
        <w:t xml:space="preserve"> включая текущие рыночные процентные ставки и другие текущие рыночные цены</w:t>
      </w:r>
      <w:r w:rsidRPr="00BD49AB">
        <w:rPr>
          <w:b/>
        </w:rPr>
        <w:t>,</w:t>
      </w:r>
      <w:r w:rsidRPr="00B1493C">
        <w:rPr>
          <w:b/>
        </w:rPr>
        <w:t xml:space="preserve"> отражающих</w:t>
      </w:r>
      <w:r w:rsidRPr="00597F29">
        <w:rPr>
          <w:b/>
        </w:rPr>
        <w:t>:</w:t>
      </w:r>
    </w:p>
    <w:p w:rsidR="003176E6" w:rsidRPr="00597F29" w:rsidRDefault="003176E6" w:rsidP="003176E6">
      <w:pPr>
        <w:pStyle w:val="IASBNormalnparaL1"/>
      </w:pPr>
      <w:r w:rsidRPr="001F22A4">
        <w:rPr>
          <w:b/>
        </w:rPr>
        <w:t>(a)</w:t>
      </w:r>
      <w:r w:rsidRPr="00B1493C">
        <w:tab/>
      </w:r>
      <w:r w:rsidRPr="00B1493C">
        <w:rPr>
          <w:b/>
        </w:rPr>
        <w:t xml:space="preserve">вознаграждения, предлагаемые по программе, </w:t>
      </w:r>
      <w:r w:rsidRPr="00597F29">
        <w:rPr>
          <w:b/>
        </w:rPr>
        <w:t>и активы программы</w:t>
      </w:r>
      <w:r w:rsidRPr="00B1493C">
        <w:rPr>
          <w:b/>
        </w:rPr>
        <w:t xml:space="preserve"> до внесения в нее изменений, до ее сокращения или полного погашения обязательств по программе</w:t>
      </w:r>
      <w:r w:rsidRPr="0055711F">
        <w:rPr>
          <w:b/>
        </w:rPr>
        <w:t xml:space="preserve">; </w:t>
      </w:r>
      <w:r w:rsidRPr="00597F29">
        <w:rPr>
          <w:b/>
        </w:rPr>
        <w:t>и</w:t>
      </w:r>
    </w:p>
    <w:p w:rsidR="003176E6" w:rsidRPr="00597F29" w:rsidRDefault="003176E6" w:rsidP="003176E6">
      <w:pPr>
        <w:pStyle w:val="IASBNormalnparaL1"/>
      </w:pPr>
      <w:r w:rsidRPr="00597F29">
        <w:rPr>
          <w:b/>
        </w:rPr>
        <w:t>(b)</w:t>
      </w:r>
      <w:r w:rsidRPr="00597F29">
        <w:tab/>
      </w:r>
      <w:r w:rsidRPr="00597F29">
        <w:rPr>
          <w:b/>
        </w:rPr>
        <w:t>вознаграждения, предлагаемые по программе, и активы программы после внесения в нее изменений, ее сокращения или полного погашения обязательств по программе.</w:t>
      </w:r>
    </w:p>
    <w:p w:rsidR="003176E6" w:rsidRPr="001F22A4" w:rsidRDefault="003176E6" w:rsidP="003176E6">
      <w:pPr>
        <w:spacing w:before="100"/>
        <w:ind w:left="782" w:hanging="782"/>
        <w:jc w:val="both"/>
        <w:rPr>
          <w:sz w:val="19"/>
          <w:szCs w:val="19"/>
        </w:rPr>
      </w:pPr>
      <w:r w:rsidRPr="00A16722">
        <w:rPr>
          <w:sz w:val="19"/>
          <w:szCs w:val="19"/>
        </w:rPr>
        <w:t xml:space="preserve">После пункта </w:t>
      </w:r>
      <w:r w:rsidRPr="001F22A4">
        <w:rPr>
          <w:sz w:val="19"/>
          <w:szCs w:val="19"/>
        </w:rPr>
        <w:t>101</w:t>
      </w:r>
      <w:r w:rsidRPr="00A16722">
        <w:rPr>
          <w:sz w:val="19"/>
          <w:szCs w:val="19"/>
        </w:rPr>
        <w:t xml:space="preserve"> включить пункт </w:t>
      </w:r>
      <w:r w:rsidRPr="001F22A4">
        <w:rPr>
          <w:sz w:val="19"/>
          <w:szCs w:val="19"/>
        </w:rPr>
        <w:t xml:space="preserve">101A </w:t>
      </w:r>
      <w:r w:rsidRPr="00A16722">
        <w:rPr>
          <w:sz w:val="19"/>
          <w:szCs w:val="19"/>
        </w:rPr>
        <w:t>следующего содержания:</w:t>
      </w:r>
    </w:p>
    <w:p w:rsidR="003176E6" w:rsidRDefault="003176E6" w:rsidP="003176E6">
      <w:pPr>
        <w:pStyle w:val="IASBNormalnpara"/>
        <w:spacing w:before="120"/>
      </w:pPr>
      <w:r w:rsidRPr="001F22A4">
        <w:t>101A</w:t>
      </w:r>
      <w:proofErr w:type="gramStart"/>
      <w:r w:rsidRPr="00B1493C">
        <w:tab/>
      </w:r>
      <w:r w:rsidRPr="0055711F">
        <w:t>К</w:t>
      </w:r>
      <w:proofErr w:type="gramEnd"/>
      <w:r w:rsidRPr="0055711F">
        <w:t>огда происходит изменение программы, ее сокращение или полное погашение обязательств по программе, организация должна признать и оценить стоимость услуг прошлых периодов или прибыль или убыток от погашения обязательств по этой программе в соответствии с пунктами 99–101 и пунктами 102–112. При этом организация не должна учитывать влияние предельной величины активов. Затем организация должна определить влияние предельной величины активов после внесения изменений в программу, ее сокращения или полного погашения обязательств по программе и признать изменение данного влияния в соответствии с пунктом 57(d).</w:t>
      </w:r>
    </w:p>
    <w:p w:rsidR="003176E6" w:rsidRPr="006148BE" w:rsidRDefault="003176E6" w:rsidP="003176E6">
      <w:pPr>
        <w:spacing w:before="120" w:after="120"/>
        <w:ind w:left="782" w:hanging="782"/>
        <w:jc w:val="both"/>
        <w:rPr>
          <w:sz w:val="19"/>
          <w:szCs w:val="20"/>
        </w:rPr>
      </w:pPr>
      <w:r>
        <w:rPr>
          <w:sz w:val="19"/>
          <w:szCs w:val="20"/>
        </w:rPr>
        <w:t>П</w:t>
      </w:r>
      <w:r w:rsidRPr="006148BE">
        <w:rPr>
          <w:sz w:val="19"/>
          <w:szCs w:val="20"/>
        </w:rPr>
        <w:t xml:space="preserve">одпункт </w:t>
      </w:r>
      <w:r w:rsidRPr="0055711F">
        <w:rPr>
          <w:sz w:val="19"/>
          <w:szCs w:val="19"/>
        </w:rPr>
        <w:t>(a)</w:t>
      </w:r>
      <w:r w:rsidRPr="006148BE">
        <w:rPr>
          <w:sz w:val="19"/>
          <w:szCs w:val="20"/>
        </w:rPr>
        <w:t xml:space="preserve"> </w:t>
      </w:r>
      <w:r w:rsidRPr="00A16722">
        <w:rPr>
          <w:sz w:val="19"/>
          <w:szCs w:val="19"/>
        </w:rPr>
        <w:t xml:space="preserve">пункта </w:t>
      </w:r>
      <w:r>
        <w:rPr>
          <w:sz w:val="19"/>
          <w:szCs w:val="19"/>
        </w:rPr>
        <w:t xml:space="preserve">120 </w:t>
      </w:r>
      <w:r w:rsidRPr="00A16722">
        <w:rPr>
          <w:sz w:val="19"/>
          <w:szCs w:val="19"/>
          <w:lang w:eastAsia="en-GB"/>
        </w:rPr>
        <w:t>изложить в следующей редакции</w:t>
      </w:r>
      <w:r>
        <w:rPr>
          <w:sz w:val="19"/>
          <w:szCs w:val="19"/>
          <w:lang w:eastAsia="en-GB"/>
        </w:rPr>
        <w:t>:</w:t>
      </w:r>
    </w:p>
    <w:p w:rsidR="003176E6" w:rsidRDefault="003176E6" w:rsidP="003176E6">
      <w:pPr>
        <w:pStyle w:val="IASBNormalnparaL1"/>
        <w:numPr>
          <w:ilvl w:val="0"/>
          <w:numId w:val="1"/>
        </w:numPr>
        <w:rPr>
          <w:b/>
        </w:rPr>
      </w:pPr>
      <w:r w:rsidRPr="00B1493C">
        <w:rPr>
          <w:b/>
        </w:rPr>
        <w:t xml:space="preserve">стоимость услуг (см. пункты 66–112 </w:t>
      </w:r>
      <w:r w:rsidRPr="0055711F">
        <w:rPr>
          <w:b/>
        </w:rPr>
        <w:t>и пункт 122А)</w:t>
      </w:r>
      <w:r w:rsidRPr="00B1493C">
        <w:rPr>
          <w:b/>
        </w:rPr>
        <w:t xml:space="preserve"> в составе прибыли или убытка;</w:t>
      </w:r>
    </w:p>
    <w:p w:rsidR="003176E6" w:rsidRPr="001F22A4" w:rsidRDefault="003176E6" w:rsidP="003176E6">
      <w:pPr>
        <w:spacing w:before="100"/>
        <w:ind w:left="782" w:hanging="782"/>
        <w:jc w:val="both"/>
        <w:rPr>
          <w:sz w:val="19"/>
          <w:szCs w:val="19"/>
        </w:rPr>
      </w:pPr>
      <w:r w:rsidRPr="00A16722">
        <w:rPr>
          <w:sz w:val="19"/>
          <w:szCs w:val="19"/>
        </w:rPr>
        <w:t xml:space="preserve">После пункта </w:t>
      </w:r>
      <w:r>
        <w:rPr>
          <w:sz w:val="19"/>
          <w:szCs w:val="19"/>
        </w:rPr>
        <w:t>122</w:t>
      </w:r>
      <w:r w:rsidRPr="00A16722">
        <w:rPr>
          <w:sz w:val="19"/>
          <w:szCs w:val="19"/>
        </w:rPr>
        <w:t xml:space="preserve"> включить пункт </w:t>
      </w:r>
      <w:r>
        <w:rPr>
          <w:sz w:val="19"/>
          <w:szCs w:val="19"/>
        </w:rPr>
        <w:t>122А и заголовок к нему</w:t>
      </w:r>
      <w:r w:rsidRPr="001F22A4">
        <w:rPr>
          <w:sz w:val="19"/>
          <w:szCs w:val="19"/>
        </w:rPr>
        <w:t xml:space="preserve"> </w:t>
      </w:r>
      <w:r w:rsidRPr="00A16722">
        <w:rPr>
          <w:sz w:val="19"/>
          <w:szCs w:val="19"/>
        </w:rPr>
        <w:t>следующего содержания:</w:t>
      </w:r>
    </w:p>
    <w:p w:rsidR="003176E6" w:rsidRPr="00B1493C" w:rsidRDefault="003176E6" w:rsidP="003176E6">
      <w:pPr>
        <w:pStyle w:val="IASBSectionTitle3Ind"/>
        <w:spacing w:before="120" w:after="120"/>
      </w:pPr>
      <w:r w:rsidRPr="00B1493C">
        <w:rPr>
          <w:u w:val="single"/>
        </w:rPr>
        <w:t>Стоимость услуг текущего периода</w:t>
      </w:r>
    </w:p>
    <w:p w:rsidR="003176E6" w:rsidRDefault="003176E6" w:rsidP="003176E6">
      <w:pPr>
        <w:pStyle w:val="IASBNormalnpara"/>
        <w:spacing w:before="120" w:after="120"/>
        <w:rPr>
          <w:b/>
        </w:rPr>
      </w:pPr>
      <w:r w:rsidRPr="00BD49AB">
        <w:rPr>
          <w:b/>
        </w:rPr>
        <w:t>122A</w:t>
      </w:r>
      <w:r w:rsidRPr="00BD49AB">
        <w:rPr>
          <w:b/>
        </w:rPr>
        <w:tab/>
        <w:t xml:space="preserve">Организация определяет стоимость услуг текущего периода на основании актуарных допущений, определенных на дату начала годового отчетного периода. Однако если </w:t>
      </w:r>
      <w:proofErr w:type="gramStart"/>
      <w:r w:rsidRPr="00BD49AB">
        <w:rPr>
          <w:b/>
        </w:rPr>
        <w:t>организация проводит переоценку чистого обязательства (актива) по программе с установленными выплатами в соответствии с пунктом 99, она должна определять стоимость услуг текущего периода применительно к оставшейся части годового отчетного периода после внесения изменений в программу, ее сокращения или полного погашения обязательств по программе, исходя из актуарных допущений, использованных для переоценки чистого обязательства (актива) программы с установленными выплатами в соответствии с</w:t>
      </w:r>
      <w:proofErr w:type="gramEnd"/>
      <w:r w:rsidRPr="00BD49AB">
        <w:rPr>
          <w:b/>
        </w:rPr>
        <w:t xml:space="preserve"> пунктом 99(b).</w:t>
      </w:r>
    </w:p>
    <w:p w:rsidR="003176E6" w:rsidRPr="006148BE" w:rsidRDefault="003176E6" w:rsidP="003176E6">
      <w:pPr>
        <w:spacing w:after="120"/>
        <w:ind w:left="782" w:hanging="782"/>
        <w:jc w:val="both"/>
        <w:rPr>
          <w:sz w:val="19"/>
          <w:szCs w:val="20"/>
        </w:rPr>
      </w:pPr>
      <w:r>
        <w:rPr>
          <w:sz w:val="19"/>
          <w:szCs w:val="19"/>
        </w:rPr>
        <w:t>П</w:t>
      </w:r>
      <w:r w:rsidRPr="00A16722">
        <w:rPr>
          <w:sz w:val="19"/>
          <w:szCs w:val="19"/>
        </w:rPr>
        <w:t xml:space="preserve">ункт </w:t>
      </w:r>
      <w:r>
        <w:rPr>
          <w:sz w:val="19"/>
          <w:szCs w:val="19"/>
        </w:rPr>
        <w:t xml:space="preserve">123 </w:t>
      </w:r>
      <w:r w:rsidRPr="00A16722">
        <w:rPr>
          <w:sz w:val="19"/>
          <w:szCs w:val="19"/>
          <w:lang w:eastAsia="en-GB"/>
        </w:rPr>
        <w:t>изложить в следующей редакции</w:t>
      </w:r>
      <w:r>
        <w:rPr>
          <w:sz w:val="19"/>
          <w:szCs w:val="19"/>
          <w:lang w:eastAsia="en-GB"/>
        </w:rPr>
        <w:t>:</w:t>
      </w:r>
    </w:p>
    <w:p w:rsidR="003176E6" w:rsidRDefault="003176E6" w:rsidP="003176E6">
      <w:pPr>
        <w:pStyle w:val="IASBNormalnpara"/>
        <w:spacing w:before="120"/>
        <w:rPr>
          <w:b/>
        </w:rPr>
      </w:pPr>
      <w:r w:rsidRPr="00B1493C">
        <w:rPr>
          <w:b/>
        </w:rPr>
        <w:t>123</w:t>
      </w:r>
      <w:r w:rsidRPr="00B1493C">
        <w:rPr>
          <w:b/>
        </w:rPr>
        <w:tab/>
      </w:r>
      <w:r w:rsidRPr="00BD49AB">
        <w:rPr>
          <w:b/>
        </w:rPr>
        <w:t>Организация определяет чистую величину процентов по чистому обязательству (активу) программы с установленными выплатами  путем умножения чистого обязательства (актива) программы с установленными выплатами на ставку дисконтирования, оговоренную в пункте 83.</w:t>
      </w:r>
    </w:p>
    <w:p w:rsidR="003176E6" w:rsidRPr="001F22A4" w:rsidRDefault="003176E6" w:rsidP="003176E6">
      <w:pPr>
        <w:spacing w:before="120"/>
        <w:ind w:left="782" w:hanging="782"/>
        <w:jc w:val="both"/>
        <w:rPr>
          <w:sz w:val="19"/>
          <w:szCs w:val="19"/>
        </w:rPr>
      </w:pPr>
      <w:r w:rsidRPr="00A16722">
        <w:rPr>
          <w:sz w:val="19"/>
          <w:szCs w:val="19"/>
        </w:rPr>
        <w:lastRenderedPageBreak/>
        <w:t xml:space="preserve">После пункта </w:t>
      </w:r>
      <w:r>
        <w:rPr>
          <w:sz w:val="19"/>
          <w:szCs w:val="19"/>
        </w:rPr>
        <w:t>123</w:t>
      </w:r>
      <w:r w:rsidRPr="00A16722">
        <w:rPr>
          <w:sz w:val="19"/>
          <w:szCs w:val="19"/>
        </w:rPr>
        <w:t xml:space="preserve"> включить пункт </w:t>
      </w:r>
      <w:r>
        <w:rPr>
          <w:sz w:val="19"/>
          <w:szCs w:val="19"/>
        </w:rPr>
        <w:t xml:space="preserve">123А </w:t>
      </w:r>
      <w:r w:rsidRPr="00A16722">
        <w:rPr>
          <w:sz w:val="19"/>
          <w:szCs w:val="19"/>
        </w:rPr>
        <w:t>следующего содержания:</w:t>
      </w:r>
    </w:p>
    <w:p w:rsidR="003176E6" w:rsidRPr="007F79DD" w:rsidRDefault="003176E6" w:rsidP="003176E6">
      <w:pPr>
        <w:pStyle w:val="IASBNormalnpara"/>
        <w:rPr>
          <w:b/>
        </w:rPr>
      </w:pPr>
      <w:r w:rsidRPr="007F79DD">
        <w:rPr>
          <w:b/>
        </w:rPr>
        <w:t>123A</w:t>
      </w:r>
      <w:proofErr w:type="gramStart"/>
      <w:r w:rsidRPr="007F79DD">
        <w:rPr>
          <w:b/>
        </w:rPr>
        <w:tab/>
        <w:t>Д</w:t>
      </w:r>
      <w:proofErr w:type="gramEnd"/>
      <w:r w:rsidRPr="007F79DD">
        <w:rPr>
          <w:b/>
        </w:rPr>
        <w:t>ля определения чистой величины процентов в соответствии с пунктом 123 организация должна использовать чистое (чистый) обязательство (актив) программы с установленными выплатами и ставку дисконтирования, определенные на дату начала годового отчетного периода. Однако если организация проводит переоценку чистого обязательства (актива) программы с установленными выплатами в соответствии с пунктом 99, она должна определять чистую величину процентов применительно к оставшейся части годового отчетного периода после внесения изменений в программу, ее сокращения или полного погашения обязательств по программе, с использованием:</w:t>
      </w:r>
    </w:p>
    <w:p w:rsidR="003176E6" w:rsidRPr="007F79DD" w:rsidRDefault="003176E6" w:rsidP="003176E6">
      <w:pPr>
        <w:pStyle w:val="IASBNormalnparaL1"/>
      </w:pPr>
      <w:r w:rsidRPr="007F79DD">
        <w:rPr>
          <w:b/>
        </w:rPr>
        <w:t>(a)</w:t>
      </w:r>
      <w:r w:rsidRPr="007F79DD">
        <w:tab/>
      </w:r>
      <w:r w:rsidRPr="007F79DD">
        <w:rPr>
          <w:b/>
        </w:rPr>
        <w:t>чистого обязательства (актива) программы с установленными выплатами, определенного в соответствии с пунктом 99(b); и</w:t>
      </w:r>
    </w:p>
    <w:p w:rsidR="003176E6" w:rsidRPr="007F79DD" w:rsidRDefault="003176E6" w:rsidP="003176E6">
      <w:pPr>
        <w:pStyle w:val="IASBNormalnparaL1"/>
      </w:pPr>
      <w:r w:rsidRPr="007F79DD">
        <w:rPr>
          <w:b/>
        </w:rPr>
        <w:t>(b)</w:t>
      </w:r>
      <w:r w:rsidRPr="007F79DD">
        <w:tab/>
      </w:r>
      <w:r w:rsidRPr="007F79DD">
        <w:rPr>
          <w:b/>
        </w:rPr>
        <w:t>ставки дисконтирования, использованной для переоценки чистого обязательства (актива) программы с установленными выплатами в соответствии с пунктом 99(b).</w:t>
      </w:r>
    </w:p>
    <w:p w:rsidR="003176E6" w:rsidRDefault="003176E6" w:rsidP="003176E6">
      <w:pPr>
        <w:pStyle w:val="IASBNormalnparaP"/>
        <w:rPr>
          <w:b/>
        </w:rPr>
      </w:pPr>
      <w:r w:rsidRPr="007F79DD">
        <w:rPr>
          <w:b/>
        </w:rPr>
        <w:t>При применении пункта 123A организация также должна учитывать изменения чистого обязательства (актива) программы с установленными выплатами в течение периода в результате внесения взносов или выплаты вознаграждений.</w:t>
      </w:r>
    </w:p>
    <w:p w:rsidR="003176E6" w:rsidRPr="006148BE" w:rsidRDefault="003176E6" w:rsidP="003176E6">
      <w:pPr>
        <w:spacing w:after="120"/>
        <w:ind w:left="782" w:hanging="782"/>
        <w:jc w:val="both"/>
        <w:rPr>
          <w:sz w:val="19"/>
          <w:szCs w:val="20"/>
        </w:rPr>
      </w:pPr>
      <w:r>
        <w:rPr>
          <w:sz w:val="19"/>
          <w:szCs w:val="19"/>
        </w:rPr>
        <w:t>П</w:t>
      </w:r>
      <w:r w:rsidRPr="00A16722">
        <w:rPr>
          <w:sz w:val="19"/>
          <w:szCs w:val="19"/>
        </w:rPr>
        <w:t>ункт</w:t>
      </w:r>
      <w:r>
        <w:rPr>
          <w:sz w:val="19"/>
          <w:szCs w:val="19"/>
        </w:rPr>
        <w:t>ы</w:t>
      </w:r>
      <w:r w:rsidRPr="00A16722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125 и 126  </w:t>
      </w:r>
      <w:r w:rsidRPr="00A16722">
        <w:rPr>
          <w:sz w:val="19"/>
          <w:szCs w:val="19"/>
          <w:lang w:eastAsia="en-GB"/>
        </w:rPr>
        <w:t>изложить в следующей редакции</w:t>
      </w:r>
      <w:r>
        <w:rPr>
          <w:sz w:val="19"/>
          <w:szCs w:val="19"/>
          <w:lang w:eastAsia="en-GB"/>
        </w:rPr>
        <w:t>:</w:t>
      </w:r>
    </w:p>
    <w:p w:rsidR="003176E6" w:rsidRDefault="003176E6" w:rsidP="003176E6">
      <w:pPr>
        <w:pStyle w:val="IASBNormalnpara"/>
        <w:spacing w:before="0" w:after="120"/>
      </w:pPr>
      <w:r w:rsidRPr="00B1493C">
        <w:t>125</w:t>
      </w:r>
      <w:r w:rsidRPr="00B1493C">
        <w:tab/>
        <w:t xml:space="preserve">Доход от процентов по активам программы – компонент дохода от активов программы, который определяется путем умножения справедливой стоимости активов программы на ставку дисконтирования, оговоренную в пункте </w:t>
      </w:r>
      <w:r w:rsidRPr="00443F6E">
        <w:t>123A. Организация определяет справедливую стоимость активов программы</w:t>
      </w:r>
      <w:r w:rsidRPr="00B1493C">
        <w:t xml:space="preserve"> по состоянию на начало годового отчетного периода. </w:t>
      </w:r>
      <w:proofErr w:type="gramStart"/>
      <w:r w:rsidRPr="00443F6E">
        <w:t>Однако если организация проводит переоценку чистого обязательства (актива) программы с установленными выплатами в соответствии с пунктом 99, она должна определять доход от процентов за оставшуюся часть годового отчетного периода после внесения изменений в программу, ее сокращения или полного погашения обязательств по программе, на основе активов программы, использованных для переоценки чистого обязательства (актива) программы с установленными выплатами в соответствии с пунктом</w:t>
      </w:r>
      <w:proofErr w:type="gramEnd"/>
      <w:r w:rsidRPr="00443F6E">
        <w:t xml:space="preserve"> 99(b). При применении пункта 125 организация также должна учитывать изменения активов программы в течение периода в результате внесения взносов или выплаты вознаграждений.</w:t>
      </w:r>
      <w:r w:rsidRPr="00B1493C">
        <w:t xml:space="preserve"> Разница между доходом от процентов по активам программы и доходом от активов программы включается в переоценку чистого обязательства (актива) программы с установленными выплатами.</w:t>
      </w:r>
    </w:p>
    <w:p w:rsidR="003176E6" w:rsidRDefault="003176E6" w:rsidP="003176E6">
      <w:pPr>
        <w:pStyle w:val="IASBNormalnpara"/>
        <w:spacing w:before="120" w:after="120"/>
      </w:pPr>
      <w:r w:rsidRPr="00B1493C">
        <w:t>126</w:t>
      </w:r>
      <w:r w:rsidRPr="00B1493C">
        <w:tab/>
        <w:t xml:space="preserve">Проценты по влиянию предельной величины активов – часть общего изменения влияния предельной величины активов, которая определяется путем умножения влияния предельной величины активов на ставку дисконтирования, оговоренную в пункте </w:t>
      </w:r>
      <w:r w:rsidRPr="00443F6E">
        <w:t>123А.</w:t>
      </w:r>
      <w:r>
        <w:t xml:space="preserve"> </w:t>
      </w:r>
      <w:r w:rsidRPr="00443F6E">
        <w:t xml:space="preserve">Организация определяет влияние предельной величины активов по состоянию на начало годового отчетного периода. </w:t>
      </w:r>
      <w:proofErr w:type="gramStart"/>
      <w:r w:rsidRPr="00443F6E">
        <w:t>Однако если организация проводит переоценку чистого обязательства (актива) программы с установленными выплатами в соответствии с пунктом 99, она должна определять проценты по влиянию предельной величины активов за оставшуюся часть годового отчетного периода после внесения изменений в программу, ее сокращения или полного погашения обязательств по программе, с учетом любых изменений влияния предельной величины активов, определенного в соответствии с пунктом 101А.</w:t>
      </w:r>
      <w:proofErr w:type="gramEnd"/>
      <w:r w:rsidRPr="00B1493C">
        <w:t xml:space="preserve"> Разница между суммой процентов по влиянию предельной величины активов и суммой общего изменения влияния предельной величины активов включается в переоценку чистого обязательства (актива) программы с установленными выплатами.</w:t>
      </w:r>
    </w:p>
    <w:p w:rsidR="003176E6" w:rsidRPr="006148BE" w:rsidRDefault="003176E6" w:rsidP="003176E6">
      <w:pPr>
        <w:spacing w:after="120"/>
        <w:ind w:left="782" w:hanging="782"/>
        <w:jc w:val="both"/>
        <w:rPr>
          <w:sz w:val="19"/>
          <w:szCs w:val="20"/>
        </w:rPr>
      </w:pPr>
      <w:r>
        <w:rPr>
          <w:sz w:val="19"/>
          <w:szCs w:val="20"/>
        </w:rPr>
        <w:t>П</w:t>
      </w:r>
      <w:r w:rsidRPr="006148BE">
        <w:rPr>
          <w:sz w:val="19"/>
          <w:szCs w:val="20"/>
        </w:rPr>
        <w:t xml:space="preserve">одпункт </w:t>
      </w:r>
      <w:r w:rsidRPr="0055711F">
        <w:rPr>
          <w:sz w:val="19"/>
          <w:szCs w:val="19"/>
        </w:rPr>
        <w:t>(a)</w:t>
      </w:r>
      <w:r w:rsidRPr="006148BE">
        <w:rPr>
          <w:sz w:val="19"/>
          <w:szCs w:val="20"/>
        </w:rPr>
        <w:t xml:space="preserve"> </w:t>
      </w:r>
      <w:r w:rsidRPr="00A16722">
        <w:rPr>
          <w:sz w:val="19"/>
          <w:szCs w:val="19"/>
        </w:rPr>
        <w:t xml:space="preserve">пункта </w:t>
      </w:r>
      <w:r>
        <w:rPr>
          <w:sz w:val="19"/>
          <w:szCs w:val="19"/>
        </w:rPr>
        <w:t xml:space="preserve">156 </w:t>
      </w:r>
      <w:r w:rsidRPr="00A16722">
        <w:rPr>
          <w:sz w:val="19"/>
          <w:szCs w:val="19"/>
          <w:lang w:eastAsia="en-GB"/>
        </w:rPr>
        <w:t>изложить в следующей редакции</w:t>
      </w:r>
      <w:r>
        <w:rPr>
          <w:sz w:val="19"/>
          <w:szCs w:val="19"/>
          <w:lang w:eastAsia="en-GB"/>
        </w:rPr>
        <w:t>:</w:t>
      </w:r>
    </w:p>
    <w:p w:rsidR="003176E6" w:rsidRPr="00B1493C" w:rsidRDefault="003176E6" w:rsidP="003176E6">
      <w:pPr>
        <w:pStyle w:val="IASBNormalnparaL1"/>
      </w:pPr>
      <w:r w:rsidRPr="00B1493C">
        <w:rPr>
          <w:b/>
        </w:rPr>
        <w:t>(</w:t>
      </w:r>
      <w:r>
        <w:rPr>
          <w:b/>
        </w:rPr>
        <w:t>a</w:t>
      </w:r>
      <w:r w:rsidRPr="00B1493C">
        <w:rPr>
          <w:b/>
        </w:rPr>
        <w:t>)</w:t>
      </w:r>
      <w:r w:rsidRPr="00B1493C">
        <w:tab/>
      </w:r>
      <w:r w:rsidRPr="00B1493C">
        <w:rPr>
          <w:b/>
        </w:rPr>
        <w:t xml:space="preserve">стоимость услуг (см. пункты 66–112 </w:t>
      </w:r>
      <w:r w:rsidRPr="00443F6E">
        <w:rPr>
          <w:b/>
        </w:rPr>
        <w:t>и пункт 122A);</w:t>
      </w:r>
    </w:p>
    <w:p w:rsidR="003176E6" w:rsidRPr="0079550D" w:rsidRDefault="003176E6" w:rsidP="003176E6">
      <w:pPr>
        <w:spacing w:before="100"/>
        <w:ind w:left="782" w:hanging="782"/>
        <w:jc w:val="both"/>
        <w:rPr>
          <w:sz w:val="19"/>
          <w:szCs w:val="20"/>
        </w:rPr>
      </w:pPr>
      <w:r w:rsidRPr="0079550D">
        <w:rPr>
          <w:sz w:val="19"/>
          <w:szCs w:val="20"/>
        </w:rPr>
        <w:t>После пункта 17</w:t>
      </w:r>
      <w:r>
        <w:rPr>
          <w:sz w:val="19"/>
          <w:szCs w:val="20"/>
        </w:rPr>
        <w:t>8</w:t>
      </w:r>
      <w:r w:rsidRPr="0079550D">
        <w:rPr>
          <w:sz w:val="19"/>
          <w:szCs w:val="20"/>
        </w:rPr>
        <w:t xml:space="preserve"> включить пункт 17</w:t>
      </w:r>
      <w:r>
        <w:rPr>
          <w:sz w:val="19"/>
          <w:szCs w:val="20"/>
        </w:rPr>
        <w:t>9</w:t>
      </w:r>
      <w:r w:rsidRPr="0079550D">
        <w:rPr>
          <w:sz w:val="19"/>
          <w:szCs w:val="20"/>
        </w:rPr>
        <w:t xml:space="preserve"> следующего содержания:</w:t>
      </w:r>
    </w:p>
    <w:p w:rsidR="003176E6" w:rsidRPr="0079550D" w:rsidRDefault="003176E6" w:rsidP="003176E6">
      <w:pPr>
        <w:pStyle w:val="IASBNormalnpara"/>
      </w:pPr>
      <w:r w:rsidRPr="0079550D">
        <w:t>179</w:t>
      </w:r>
      <w:r w:rsidRPr="0079550D">
        <w:tab/>
        <w:t xml:space="preserve">Документом </w:t>
      </w:r>
      <w:r w:rsidRPr="0079550D">
        <w:rPr>
          <w:i/>
        </w:rPr>
        <w:t>«Внесение изменений в программу, сокращение программы или погашение обязательств по программе»</w:t>
      </w:r>
      <w:r w:rsidRPr="0079550D">
        <w:t xml:space="preserve"> (поправки к МСФО (IAS) 19), выпущенным в феврале 2018 года, добавлены пункты 101A, 122A и 123A и внесены изменения в пункты 57, 99, 120, 123, 125, 126 и 156. Организация должна применять указанные поправки в отношении изменений программы, ее сокращения или полного погашения обязательств по программе, произошедших на дату или после начала первого годового отчетного периода, начинающегося 1 января 2019 года или после этой даты. Допускается досрочное применение. Если организация применит данные поправки в отношении более раннего периода, она должна раскрыть этот факт.</w:t>
      </w:r>
    </w:p>
    <w:bookmarkEnd w:id="0"/>
    <w:p w:rsidR="003176E6" w:rsidRPr="00B1493C" w:rsidRDefault="003176E6" w:rsidP="003176E6">
      <w:pPr>
        <w:pStyle w:val="IASBNormalnpara"/>
      </w:pPr>
    </w:p>
    <w:sectPr w:rsidR="003176E6" w:rsidRPr="00B1493C" w:rsidSect="00415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18" w:rsidRDefault="006D0A18">
      <w:r>
        <w:separator/>
      </w:r>
    </w:p>
  </w:endnote>
  <w:endnote w:type="continuationSeparator" w:id="0">
    <w:p w:rsidR="006D0A18" w:rsidRDefault="006D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5B" w:rsidRDefault="007B53FA">
    <w:pPr>
      <w:pStyle w:val="IASBNormalnparaL4"/>
      <w:tabs>
        <w:tab w:val="center" w:pos="4677"/>
        <w:tab w:val="right" w:pos="9354"/>
      </w:tabs>
      <w:spacing w:before="0"/>
      <w:ind w:left="0" w:firstLine="0"/>
      <w:jc w:val="left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</w:instrText>
    </w:r>
    <w:r>
      <w:rPr>
        <w:sz w:val="17"/>
      </w:rPr>
      <w:fldChar w:fldCharType="separate"/>
    </w:r>
    <w:r w:rsidR="0041574C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ab/>
    </w:r>
    <w:r>
      <w:rPr>
        <w:sz w:val="17"/>
        <w:vertAlign w:val="superscript"/>
      </w:rPr>
      <w:t>©</w:t>
    </w:r>
    <w:r>
      <w:rPr>
        <w:sz w:val="17"/>
      </w:rPr>
      <w:t xml:space="preserve"> IFRS </w:t>
    </w:r>
    <w:proofErr w:type="spellStart"/>
    <w:r>
      <w:rPr>
        <w:sz w:val="17"/>
      </w:rPr>
      <w:t>Foundation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5B" w:rsidRPr="0041574C" w:rsidRDefault="0041574C" w:rsidP="0041574C">
    <w:pPr>
      <w:pStyle w:val="IASBNormalnparaL4"/>
      <w:tabs>
        <w:tab w:val="center" w:pos="4677"/>
        <w:tab w:val="right" w:pos="9354"/>
      </w:tabs>
      <w:spacing w:before="0"/>
      <w:ind w:left="0" w:firstLine="0"/>
      <w:jc w:val="right"/>
      <w:rPr>
        <w:sz w:val="20"/>
        <w:lang w:val="en-US"/>
      </w:rPr>
    </w:pPr>
    <w:r>
      <w:rPr>
        <w:sz w:val="17"/>
        <w:vertAlign w:val="superscript"/>
      </w:rPr>
      <w:t>©</w:t>
    </w:r>
    <w:r>
      <w:rPr>
        <w:sz w:val="17"/>
      </w:rPr>
      <w:t xml:space="preserve"> IFRS </w:t>
    </w:r>
    <w:proofErr w:type="spellStart"/>
    <w:r>
      <w:rPr>
        <w:sz w:val="17"/>
      </w:rPr>
      <w:t>Foundation</w:t>
    </w:r>
    <w:proofErr w:type="spellEnd"/>
    <w:r>
      <w:rPr>
        <w:sz w:val="17"/>
        <w:lang w:val="en-US"/>
      </w:rPr>
      <w:tab/>
      <w:t>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4C" w:rsidRDefault="004157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18" w:rsidRDefault="006D0A18">
      <w:r>
        <w:separator/>
      </w:r>
    </w:p>
  </w:footnote>
  <w:footnote w:type="continuationSeparator" w:id="0">
    <w:p w:rsidR="006D0A18" w:rsidRDefault="006D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4C" w:rsidRDefault="004157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5B" w:rsidRDefault="007B53FA">
    <w:pPr>
      <w:pStyle w:val="IASBNormalnparaL3"/>
      <w:tabs>
        <w:tab w:val="right" w:pos="9354"/>
      </w:tabs>
      <w:spacing w:before="0"/>
      <w:ind w:left="0" w:firstLine="0"/>
      <w:jc w:val="center"/>
      <w:rPr>
        <w:sz w:val="20"/>
      </w:rPr>
    </w:pPr>
    <w:r>
      <w:rPr>
        <w:sz w:val="20"/>
      </w:rPr>
      <w:t>Внесение изменений в программу, сокращение программы или погашение обязательств по программе</w:t>
    </w:r>
  </w:p>
  <w:p w:rsidR="0083365B" w:rsidRDefault="007B53FA">
    <w:pPr>
      <w:pStyle w:val="IASBNormalnparaL3"/>
      <w:tabs>
        <w:tab w:val="right" w:pos="9354"/>
      </w:tabs>
      <w:spacing w:before="0"/>
      <w:ind w:left="0" w:firstLine="0"/>
      <w:jc w:val="left"/>
      <w:rPr>
        <w:sz w:val="20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4C" w:rsidRDefault="004157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FF9"/>
    <w:multiLevelType w:val="hybridMultilevel"/>
    <w:tmpl w:val="7630B4C8"/>
    <w:lvl w:ilvl="0" w:tplc="8ACAF278">
      <w:start w:val="1"/>
      <w:numFmt w:val="lowerRoman"/>
      <w:lvlText w:val="(%1)"/>
      <w:lvlJc w:val="left"/>
      <w:pPr>
        <w:ind w:left="2280" w:hanging="72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F54141D"/>
    <w:multiLevelType w:val="hybridMultilevel"/>
    <w:tmpl w:val="AF922380"/>
    <w:lvl w:ilvl="0" w:tplc="5FA6D0D2">
      <w:start w:val="1"/>
      <w:numFmt w:val="lowerLetter"/>
      <w:lvlText w:val="(%1)"/>
      <w:lvlJc w:val="left"/>
      <w:pPr>
        <w:ind w:left="156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A"/>
    <w:rsid w:val="002D0A48"/>
    <w:rsid w:val="00311805"/>
    <w:rsid w:val="003176E6"/>
    <w:rsid w:val="0041574C"/>
    <w:rsid w:val="006D0A18"/>
    <w:rsid w:val="007B53FA"/>
    <w:rsid w:val="00B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7B53FA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IASBNormalnpara">
    <w:name w:val="IASB Normal npara"/>
    <w:basedOn w:val="IASBNormal"/>
    <w:rsid w:val="007B53FA"/>
    <w:pPr>
      <w:tabs>
        <w:tab w:val="clear" w:pos="4253"/>
      </w:tabs>
      <w:spacing w:after="0"/>
      <w:ind w:left="782" w:hanging="782"/>
    </w:pPr>
  </w:style>
  <w:style w:type="paragraph" w:customStyle="1" w:styleId="IASBSectionTitle1NonInd">
    <w:name w:val="IASB Section Title 1 NonInd"/>
    <w:basedOn w:val="a"/>
    <w:rsid w:val="007B53F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a"/>
    <w:rsid w:val="007B53FA"/>
    <w:pPr>
      <w:keepNext/>
      <w:keepLines/>
      <w:spacing w:before="24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3Ind">
    <w:name w:val="IASB Section Title 3 Ind"/>
    <w:basedOn w:val="a"/>
    <w:rsid w:val="007B53FA"/>
    <w:pPr>
      <w:keepNext/>
      <w:keepLines/>
      <w:spacing w:before="240" w:after="200"/>
      <w:ind w:left="782"/>
    </w:pPr>
    <w:rPr>
      <w:rFonts w:ascii="Arial" w:hAnsi="Arial" w:cs="Arial"/>
      <w:b/>
      <w:sz w:val="22"/>
      <w:szCs w:val="20"/>
    </w:rPr>
  </w:style>
  <w:style w:type="paragraph" w:customStyle="1" w:styleId="IASBTitle">
    <w:name w:val="IASB Title"/>
    <w:rsid w:val="007B53FA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customStyle="1" w:styleId="IASBNormalnparaL1">
    <w:name w:val="IASB Normal nparaL1"/>
    <w:basedOn w:val="IASBNormalnpara"/>
    <w:rsid w:val="007B53FA"/>
    <w:pPr>
      <w:ind w:left="1564"/>
    </w:pPr>
  </w:style>
  <w:style w:type="paragraph" w:customStyle="1" w:styleId="IASBNormalnparaP">
    <w:name w:val="IASB Normal nparaP"/>
    <w:basedOn w:val="IASBNormal"/>
    <w:rsid w:val="007B53FA"/>
    <w:pPr>
      <w:ind w:left="782"/>
    </w:pPr>
  </w:style>
  <w:style w:type="paragraph" w:customStyle="1" w:styleId="IASBNormalnparaL2">
    <w:name w:val="IASB Normal nparaL2"/>
    <w:basedOn w:val="IASBNormalnparaL1"/>
    <w:rsid w:val="007B53FA"/>
    <w:pPr>
      <w:ind w:left="2347"/>
    </w:pPr>
  </w:style>
  <w:style w:type="paragraph" w:customStyle="1" w:styleId="IASBNormalnparaL3">
    <w:name w:val="IASB Normal nparaL3"/>
    <w:basedOn w:val="IASBNormalnparaL2"/>
    <w:rsid w:val="007B53FA"/>
    <w:pPr>
      <w:ind w:left="3129"/>
    </w:pPr>
  </w:style>
  <w:style w:type="paragraph" w:customStyle="1" w:styleId="IASBNormalnparaL4">
    <w:name w:val="IASB Normal nparaL4"/>
    <w:basedOn w:val="IASBNormalnparaL3"/>
    <w:rsid w:val="007B53FA"/>
    <w:pPr>
      <w:ind w:left="3912"/>
    </w:pPr>
  </w:style>
  <w:style w:type="paragraph" w:customStyle="1" w:styleId="IASBTableArial">
    <w:name w:val="IASB Table Arial"/>
    <w:basedOn w:val="a"/>
    <w:rsid w:val="007B53FA"/>
    <w:pPr>
      <w:spacing w:before="120"/>
    </w:pPr>
    <w:rPr>
      <w:rFonts w:ascii="Arial" w:hAnsi="Arial"/>
      <w:sz w:val="18"/>
      <w:szCs w:val="20"/>
      <w:lang w:eastAsia="en-GB"/>
    </w:rPr>
  </w:style>
  <w:style w:type="paragraph" w:styleId="a3">
    <w:name w:val="List Paragraph"/>
    <w:basedOn w:val="a"/>
    <w:uiPriority w:val="34"/>
    <w:qFormat/>
    <w:rsid w:val="003176E6"/>
    <w:pPr>
      <w:ind w:left="720"/>
      <w:contextualSpacing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41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7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7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7B53FA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IASBNormalnpara">
    <w:name w:val="IASB Normal npara"/>
    <w:basedOn w:val="IASBNormal"/>
    <w:rsid w:val="007B53FA"/>
    <w:pPr>
      <w:tabs>
        <w:tab w:val="clear" w:pos="4253"/>
      </w:tabs>
      <w:spacing w:after="0"/>
      <w:ind w:left="782" w:hanging="782"/>
    </w:pPr>
  </w:style>
  <w:style w:type="paragraph" w:customStyle="1" w:styleId="IASBSectionTitle1NonInd">
    <w:name w:val="IASB Section Title 1 NonInd"/>
    <w:basedOn w:val="a"/>
    <w:rsid w:val="007B53F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a"/>
    <w:rsid w:val="007B53FA"/>
    <w:pPr>
      <w:keepNext/>
      <w:keepLines/>
      <w:spacing w:before="24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3Ind">
    <w:name w:val="IASB Section Title 3 Ind"/>
    <w:basedOn w:val="a"/>
    <w:rsid w:val="007B53FA"/>
    <w:pPr>
      <w:keepNext/>
      <w:keepLines/>
      <w:spacing w:before="240" w:after="200"/>
      <w:ind w:left="782"/>
    </w:pPr>
    <w:rPr>
      <w:rFonts w:ascii="Arial" w:hAnsi="Arial" w:cs="Arial"/>
      <w:b/>
      <w:sz w:val="22"/>
      <w:szCs w:val="20"/>
    </w:rPr>
  </w:style>
  <w:style w:type="paragraph" w:customStyle="1" w:styleId="IASBTitle">
    <w:name w:val="IASB Title"/>
    <w:rsid w:val="007B53FA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customStyle="1" w:styleId="IASBNormalnparaL1">
    <w:name w:val="IASB Normal nparaL1"/>
    <w:basedOn w:val="IASBNormalnpara"/>
    <w:rsid w:val="007B53FA"/>
    <w:pPr>
      <w:ind w:left="1564"/>
    </w:pPr>
  </w:style>
  <w:style w:type="paragraph" w:customStyle="1" w:styleId="IASBNormalnparaP">
    <w:name w:val="IASB Normal nparaP"/>
    <w:basedOn w:val="IASBNormal"/>
    <w:rsid w:val="007B53FA"/>
    <w:pPr>
      <w:ind w:left="782"/>
    </w:pPr>
  </w:style>
  <w:style w:type="paragraph" w:customStyle="1" w:styleId="IASBNormalnparaL2">
    <w:name w:val="IASB Normal nparaL2"/>
    <w:basedOn w:val="IASBNormalnparaL1"/>
    <w:rsid w:val="007B53FA"/>
    <w:pPr>
      <w:ind w:left="2347"/>
    </w:pPr>
  </w:style>
  <w:style w:type="paragraph" w:customStyle="1" w:styleId="IASBNormalnparaL3">
    <w:name w:val="IASB Normal nparaL3"/>
    <w:basedOn w:val="IASBNormalnparaL2"/>
    <w:rsid w:val="007B53FA"/>
    <w:pPr>
      <w:ind w:left="3129"/>
    </w:pPr>
  </w:style>
  <w:style w:type="paragraph" w:customStyle="1" w:styleId="IASBNormalnparaL4">
    <w:name w:val="IASB Normal nparaL4"/>
    <w:basedOn w:val="IASBNormalnparaL3"/>
    <w:rsid w:val="007B53FA"/>
    <w:pPr>
      <w:ind w:left="3912"/>
    </w:pPr>
  </w:style>
  <w:style w:type="paragraph" w:customStyle="1" w:styleId="IASBTableArial">
    <w:name w:val="IASB Table Arial"/>
    <w:basedOn w:val="a"/>
    <w:rsid w:val="007B53FA"/>
    <w:pPr>
      <w:spacing w:before="120"/>
    </w:pPr>
    <w:rPr>
      <w:rFonts w:ascii="Arial" w:hAnsi="Arial"/>
      <w:sz w:val="18"/>
      <w:szCs w:val="20"/>
      <w:lang w:eastAsia="en-GB"/>
    </w:rPr>
  </w:style>
  <w:style w:type="paragraph" w:styleId="a3">
    <w:name w:val="List Paragraph"/>
    <w:basedOn w:val="a"/>
    <w:uiPriority w:val="34"/>
    <w:qFormat/>
    <w:rsid w:val="003176E6"/>
    <w:pPr>
      <w:ind w:left="720"/>
      <w:contextualSpacing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41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7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7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3</cp:revision>
  <cp:lastPrinted>2018-04-10T14:49:00Z</cp:lastPrinted>
  <dcterms:created xsi:type="dcterms:W3CDTF">2018-08-10T10:34:00Z</dcterms:created>
  <dcterms:modified xsi:type="dcterms:W3CDTF">2018-08-10T11:15:00Z</dcterms:modified>
</cp:coreProperties>
</file>