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A9" w:rsidRPr="009730D9" w:rsidRDefault="002424A9" w:rsidP="002424A9">
      <w:pPr>
        <w:spacing w:before="0" w:after="0" w:line="240" w:lineRule="auto"/>
        <w:jc w:val="right"/>
        <w:rPr>
          <w:rFonts w:eastAsia="Times New Roman"/>
          <w:b/>
          <w:iCs/>
          <w:sz w:val="28"/>
          <w:lang w:eastAsia="ru-RU"/>
        </w:rPr>
      </w:pPr>
      <w:bookmarkStart w:id="0" w:name="_Toc517461475"/>
      <w:bookmarkStart w:id="1" w:name="_Toc518162629"/>
      <w:r w:rsidRPr="009730D9">
        <w:rPr>
          <w:rFonts w:eastAsia="Times New Roman"/>
          <w:b/>
          <w:iCs/>
          <w:sz w:val="28"/>
          <w:lang w:eastAsia="ru-RU"/>
        </w:rPr>
        <w:t>Приложение 2</w:t>
      </w:r>
    </w:p>
    <w:p w:rsidR="002424A9" w:rsidRPr="002C3C4D" w:rsidRDefault="002424A9" w:rsidP="002424A9">
      <w:pPr>
        <w:pBdr>
          <w:top w:val="nil"/>
          <w:left w:val="nil"/>
          <w:bottom w:val="nil"/>
          <w:right w:val="nil"/>
          <w:between w:val="nil"/>
          <w:bar w:val="nil"/>
        </w:pBdr>
        <w:rPr>
          <w:rFonts w:eastAsia="Times New Roman"/>
          <w:color w:val="000000"/>
          <w:u w:color="000000"/>
          <w:bdr w:val="nil"/>
          <w:lang w:eastAsia="ru-RU"/>
        </w:rPr>
      </w:pPr>
      <w:r w:rsidRPr="002C3C4D">
        <w:rPr>
          <w:rFonts w:cs="Calibri"/>
          <w:b/>
          <w:color w:val="000000"/>
          <w:u w:color="000000"/>
          <w:bdr w:val="nil"/>
          <w:lang w:eastAsia="ru-RU"/>
        </w:rPr>
        <w:t>АНАЛИЗ ВНУТРЕННИХ НАЛОГОВЫХ УСЛОВИЙ</w:t>
      </w:r>
      <w:r>
        <w:rPr>
          <w:rFonts w:cs="Calibri"/>
          <w:b/>
          <w:color w:val="000000"/>
          <w:u w:color="000000"/>
          <w:bdr w:val="nil"/>
          <w:lang w:eastAsia="ru-RU"/>
        </w:rPr>
        <w:t xml:space="preserve"> </w:t>
      </w:r>
    </w:p>
    <w:p w:rsidR="002424A9" w:rsidRPr="00C07790" w:rsidRDefault="002424A9" w:rsidP="002424A9">
      <w:pPr>
        <w:pBdr>
          <w:top w:val="nil"/>
          <w:left w:val="nil"/>
          <w:bottom w:val="nil"/>
          <w:right w:val="nil"/>
          <w:between w:val="nil"/>
          <w:bar w:val="nil"/>
        </w:pBdr>
        <w:tabs>
          <w:tab w:val="left" w:pos="0"/>
        </w:tabs>
        <w:rPr>
          <w:rFonts w:cs="Calibri"/>
          <w:bCs/>
          <w:color w:val="000000"/>
          <w:u w:color="000000"/>
          <w:bdr w:val="nil"/>
          <w:lang w:eastAsia="ru-RU"/>
        </w:rPr>
      </w:pPr>
      <w:r w:rsidRPr="002C3C4D">
        <w:rPr>
          <w:rFonts w:cs="Calibri"/>
          <w:b/>
          <w:bCs/>
          <w:color w:val="000000"/>
          <w:u w:color="000000"/>
          <w:bdr w:val="nil"/>
          <w:lang w:eastAsia="ru-RU"/>
        </w:rPr>
        <w:t>Таблица</w:t>
      </w:r>
      <w:r>
        <w:rPr>
          <w:rFonts w:cs="Calibri"/>
          <w:b/>
          <w:bCs/>
          <w:color w:val="000000"/>
          <w:u w:color="000000"/>
          <w:bdr w:val="nil"/>
          <w:lang w:eastAsia="ru-RU"/>
        </w:rPr>
        <w:t xml:space="preserve"> 1.</w:t>
      </w:r>
      <w:r w:rsidRPr="002C3C4D">
        <w:rPr>
          <w:rFonts w:cs="Calibri"/>
          <w:b/>
          <w:bCs/>
          <w:color w:val="000000"/>
          <w:u w:color="000000"/>
          <w:bdr w:val="nil"/>
          <w:lang w:eastAsia="ru-RU"/>
        </w:rPr>
        <w:t xml:space="preserve"> </w:t>
      </w:r>
      <w:r w:rsidRPr="00C07790">
        <w:rPr>
          <w:rFonts w:cs="Calibri"/>
          <w:bCs/>
          <w:color w:val="000000"/>
          <w:u w:color="000000"/>
          <w:bdr w:val="nil"/>
          <w:lang w:eastAsia="ru-RU"/>
        </w:rPr>
        <w:t>Доходы бюджета расширенного правительства Российской Федерации в 201</w:t>
      </w:r>
      <w:r>
        <w:rPr>
          <w:rFonts w:cs="Calibri"/>
          <w:bCs/>
          <w:color w:val="000000"/>
          <w:u w:color="000000"/>
          <w:bdr w:val="nil"/>
          <w:lang w:eastAsia="ru-RU"/>
        </w:rPr>
        <w:t>1-</w:t>
      </w:r>
      <w:r w:rsidRPr="00C07790">
        <w:rPr>
          <w:rFonts w:cs="Calibri"/>
          <w:bCs/>
          <w:color w:val="000000"/>
          <w:u w:color="000000"/>
          <w:bdr w:val="nil"/>
          <w:lang w:eastAsia="ru-RU"/>
        </w:rPr>
        <w:t>201</w:t>
      </w:r>
      <w:r>
        <w:rPr>
          <w:rFonts w:cs="Calibri"/>
          <w:bCs/>
          <w:color w:val="000000"/>
          <w:u w:color="000000"/>
          <w:bdr w:val="nil"/>
          <w:lang w:eastAsia="ru-RU"/>
        </w:rPr>
        <w:t>7</w:t>
      </w:r>
      <w:r w:rsidRPr="00C07790">
        <w:rPr>
          <w:rFonts w:cs="Calibri"/>
          <w:bCs/>
          <w:color w:val="000000"/>
          <w:u w:color="000000"/>
          <w:bdr w:val="nil"/>
          <w:lang w:eastAsia="ru-RU"/>
        </w:rPr>
        <w:t xml:space="preserve"> гг. (% к ВВП)</w:t>
      </w:r>
    </w:p>
    <w:tbl>
      <w:tblPr>
        <w:tblW w:w="9180" w:type="dxa"/>
        <w:tblLayout w:type="fixed"/>
        <w:tblLook w:val="04A0" w:firstRow="1" w:lastRow="0" w:firstColumn="1" w:lastColumn="0" w:noHBand="0" w:noVBand="1"/>
      </w:tblPr>
      <w:tblGrid>
        <w:gridCol w:w="3288"/>
        <w:gridCol w:w="830"/>
        <w:gridCol w:w="830"/>
        <w:gridCol w:w="830"/>
        <w:gridCol w:w="830"/>
        <w:gridCol w:w="830"/>
        <w:gridCol w:w="830"/>
        <w:gridCol w:w="912"/>
      </w:tblGrid>
      <w:tr w:rsidR="002424A9" w:rsidRPr="004B61DC" w:rsidTr="00DB5F1B">
        <w:trPr>
          <w:trHeight w:val="340"/>
        </w:trPr>
        <w:tc>
          <w:tcPr>
            <w:tcW w:w="3288" w:type="dxa"/>
            <w:tcBorders>
              <w:bottom w:val="single" w:sz="4" w:space="0" w:color="000000" w:themeColor="text1"/>
            </w:tcBorders>
            <w:shd w:val="clear" w:color="auto" w:fill="auto"/>
            <w:vAlign w:val="center"/>
          </w:tcPr>
          <w:bookmarkEnd w:id="0"/>
          <w:bookmarkEnd w:id="1"/>
          <w:p w:rsidR="002424A9" w:rsidRPr="00DB5F1B" w:rsidRDefault="002424A9" w:rsidP="00DB5F1B">
            <w:pPr>
              <w:pBdr>
                <w:top w:val="nil"/>
                <w:left w:val="nil"/>
                <w:bottom w:val="nil"/>
                <w:right w:val="nil"/>
                <w:between w:val="nil"/>
                <w:bar w:val="nil"/>
              </w:pBdr>
              <w:spacing w:before="0" w:after="0"/>
              <w:contextualSpacing/>
              <w:rPr>
                <w:rFonts w:ascii="Century" w:hAnsi="Century"/>
                <w:b/>
                <w:sz w:val="20"/>
                <w:szCs w:val="20"/>
              </w:rPr>
            </w:pPr>
            <w:r w:rsidRPr="00DB5F1B">
              <w:rPr>
                <w:rFonts w:ascii="Century" w:hAnsi="Century"/>
                <w:b/>
                <w:sz w:val="20"/>
                <w:szCs w:val="20"/>
              </w:rPr>
              <w:t> </w:t>
            </w:r>
            <w:r w:rsidRPr="00DB5F1B">
              <w:rPr>
                <w:rFonts w:ascii="Century" w:hAnsi="Century"/>
                <w:b/>
                <w:sz w:val="20"/>
                <w:szCs w:val="20"/>
              </w:rPr>
              <w:tab/>
            </w:r>
          </w:p>
        </w:tc>
        <w:tc>
          <w:tcPr>
            <w:tcW w:w="830" w:type="dxa"/>
            <w:tcBorders>
              <w:bottom w:val="single" w:sz="4" w:space="0" w:color="000000" w:themeColor="text1"/>
            </w:tcBorders>
            <w:shd w:val="clear" w:color="auto" w:fill="auto"/>
          </w:tcPr>
          <w:p w:rsidR="002424A9" w:rsidRPr="00DB5F1B" w:rsidRDefault="002424A9" w:rsidP="00DB5F1B">
            <w:pPr>
              <w:spacing w:before="0" w:after="0"/>
              <w:contextualSpacing/>
              <w:rPr>
                <w:rFonts w:ascii="Century" w:hAnsi="Century"/>
                <w:b/>
                <w:sz w:val="20"/>
                <w:szCs w:val="20"/>
              </w:rPr>
            </w:pPr>
            <w:r w:rsidRPr="00DB5F1B">
              <w:rPr>
                <w:rFonts w:ascii="Century" w:hAnsi="Century"/>
                <w:b/>
                <w:sz w:val="20"/>
                <w:szCs w:val="20"/>
              </w:rPr>
              <w:t>2011</w:t>
            </w:r>
          </w:p>
        </w:tc>
        <w:tc>
          <w:tcPr>
            <w:tcW w:w="830" w:type="dxa"/>
            <w:tcBorders>
              <w:bottom w:val="single" w:sz="4" w:space="0" w:color="000000" w:themeColor="text1"/>
            </w:tcBorders>
            <w:shd w:val="clear" w:color="auto" w:fill="auto"/>
          </w:tcPr>
          <w:p w:rsidR="002424A9" w:rsidRPr="00DB5F1B" w:rsidRDefault="002424A9" w:rsidP="00DB5F1B">
            <w:pPr>
              <w:spacing w:before="0" w:after="0"/>
              <w:contextualSpacing/>
              <w:rPr>
                <w:rFonts w:ascii="Century" w:hAnsi="Century"/>
                <w:b/>
                <w:sz w:val="20"/>
                <w:szCs w:val="20"/>
              </w:rPr>
            </w:pPr>
            <w:r w:rsidRPr="00DB5F1B">
              <w:rPr>
                <w:rFonts w:ascii="Century" w:hAnsi="Century"/>
                <w:b/>
                <w:sz w:val="20"/>
                <w:szCs w:val="20"/>
              </w:rPr>
              <w:t>2012</w:t>
            </w:r>
          </w:p>
        </w:tc>
        <w:tc>
          <w:tcPr>
            <w:tcW w:w="830" w:type="dxa"/>
            <w:tcBorders>
              <w:bottom w:val="single" w:sz="4" w:space="0" w:color="000000" w:themeColor="text1"/>
            </w:tcBorders>
            <w:shd w:val="clear" w:color="auto" w:fill="auto"/>
          </w:tcPr>
          <w:p w:rsidR="002424A9" w:rsidRPr="00DB5F1B" w:rsidRDefault="002424A9" w:rsidP="00DB5F1B">
            <w:pPr>
              <w:spacing w:before="0" w:after="0"/>
              <w:contextualSpacing/>
              <w:rPr>
                <w:rFonts w:ascii="Century" w:hAnsi="Century"/>
                <w:b/>
                <w:sz w:val="20"/>
                <w:szCs w:val="20"/>
              </w:rPr>
            </w:pPr>
            <w:r w:rsidRPr="00DB5F1B">
              <w:rPr>
                <w:rFonts w:ascii="Century" w:hAnsi="Century"/>
                <w:b/>
                <w:sz w:val="20"/>
                <w:szCs w:val="20"/>
              </w:rPr>
              <w:t>2013</w:t>
            </w:r>
          </w:p>
        </w:tc>
        <w:tc>
          <w:tcPr>
            <w:tcW w:w="830" w:type="dxa"/>
            <w:tcBorders>
              <w:bottom w:val="single" w:sz="4" w:space="0" w:color="000000" w:themeColor="text1"/>
            </w:tcBorders>
            <w:shd w:val="clear" w:color="auto" w:fill="auto"/>
          </w:tcPr>
          <w:p w:rsidR="002424A9" w:rsidRPr="00DB5F1B" w:rsidRDefault="002424A9" w:rsidP="00DB5F1B">
            <w:pPr>
              <w:spacing w:before="0" w:after="0"/>
              <w:contextualSpacing/>
              <w:rPr>
                <w:rFonts w:ascii="Century" w:hAnsi="Century"/>
                <w:b/>
                <w:sz w:val="20"/>
                <w:szCs w:val="20"/>
              </w:rPr>
            </w:pPr>
            <w:r w:rsidRPr="00DB5F1B">
              <w:rPr>
                <w:rFonts w:ascii="Century" w:hAnsi="Century"/>
                <w:b/>
                <w:sz w:val="20"/>
                <w:szCs w:val="20"/>
              </w:rPr>
              <w:t>2014</w:t>
            </w:r>
          </w:p>
        </w:tc>
        <w:tc>
          <w:tcPr>
            <w:tcW w:w="830" w:type="dxa"/>
            <w:tcBorders>
              <w:bottom w:val="single" w:sz="4" w:space="0" w:color="000000" w:themeColor="text1"/>
            </w:tcBorders>
            <w:shd w:val="clear" w:color="auto" w:fill="auto"/>
          </w:tcPr>
          <w:p w:rsidR="002424A9" w:rsidRPr="00DB5F1B" w:rsidRDefault="002424A9" w:rsidP="00DB5F1B">
            <w:pPr>
              <w:spacing w:before="0" w:after="0"/>
              <w:contextualSpacing/>
              <w:rPr>
                <w:rFonts w:ascii="Century" w:hAnsi="Century"/>
                <w:b/>
                <w:sz w:val="20"/>
                <w:szCs w:val="20"/>
              </w:rPr>
            </w:pPr>
            <w:r w:rsidRPr="00DB5F1B">
              <w:rPr>
                <w:rFonts w:ascii="Century" w:hAnsi="Century"/>
                <w:b/>
                <w:sz w:val="20"/>
                <w:szCs w:val="20"/>
              </w:rPr>
              <w:t>2015</w:t>
            </w:r>
          </w:p>
        </w:tc>
        <w:tc>
          <w:tcPr>
            <w:tcW w:w="830" w:type="dxa"/>
            <w:tcBorders>
              <w:bottom w:val="single" w:sz="4" w:space="0" w:color="000000" w:themeColor="text1"/>
            </w:tcBorders>
            <w:shd w:val="clear" w:color="auto" w:fill="auto"/>
          </w:tcPr>
          <w:p w:rsidR="002424A9" w:rsidRPr="00DB5F1B" w:rsidRDefault="002424A9" w:rsidP="00DB5F1B">
            <w:pPr>
              <w:spacing w:before="0" w:after="0"/>
              <w:contextualSpacing/>
              <w:rPr>
                <w:rFonts w:ascii="Century" w:hAnsi="Century"/>
                <w:b/>
                <w:sz w:val="20"/>
                <w:szCs w:val="20"/>
              </w:rPr>
            </w:pPr>
            <w:r w:rsidRPr="00DB5F1B">
              <w:rPr>
                <w:rFonts w:ascii="Century" w:hAnsi="Century"/>
                <w:b/>
                <w:sz w:val="20"/>
                <w:szCs w:val="20"/>
              </w:rPr>
              <w:t>2016</w:t>
            </w:r>
          </w:p>
        </w:tc>
        <w:tc>
          <w:tcPr>
            <w:tcW w:w="912" w:type="dxa"/>
            <w:tcBorders>
              <w:bottom w:val="single" w:sz="4" w:space="0" w:color="000000" w:themeColor="text1"/>
            </w:tcBorders>
            <w:shd w:val="clear" w:color="auto" w:fill="auto"/>
          </w:tcPr>
          <w:p w:rsidR="002424A9" w:rsidRPr="00DB5F1B" w:rsidRDefault="002424A9" w:rsidP="00DB5F1B">
            <w:pPr>
              <w:spacing w:before="0" w:after="0"/>
              <w:contextualSpacing/>
              <w:rPr>
                <w:rFonts w:ascii="Century" w:hAnsi="Century"/>
                <w:b/>
                <w:sz w:val="20"/>
                <w:szCs w:val="20"/>
              </w:rPr>
            </w:pPr>
            <w:r w:rsidRPr="00DB5F1B">
              <w:rPr>
                <w:rFonts w:ascii="Century" w:hAnsi="Century"/>
                <w:b/>
                <w:sz w:val="20"/>
                <w:szCs w:val="20"/>
              </w:rPr>
              <w:t>2017</w:t>
            </w:r>
          </w:p>
        </w:tc>
      </w:tr>
      <w:tr w:rsidR="002424A9" w:rsidRPr="004B61DC" w:rsidTr="00DB5F1B">
        <w:trPr>
          <w:trHeight w:val="340"/>
        </w:trPr>
        <w:tc>
          <w:tcPr>
            <w:tcW w:w="3288" w:type="dxa"/>
            <w:tcBorders>
              <w:top w:val="single" w:sz="4" w:space="0" w:color="000000" w:themeColor="text1"/>
            </w:tcBorders>
            <w:shd w:val="clear" w:color="auto" w:fill="F2F2F2" w:themeFill="background1" w:themeFillShade="F2"/>
          </w:tcPr>
          <w:p w:rsidR="002424A9" w:rsidRPr="004B61DC" w:rsidRDefault="002424A9" w:rsidP="00BA1693">
            <w:pPr>
              <w:spacing w:before="0" w:after="200"/>
              <w:contextualSpacing/>
              <w:jc w:val="left"/>
              <w:rPr>
                <w:rFonts w:ascii="Century" w:hAnsi="Century"/>
                <w:b/>
                <w:sz w:val="20"/>
                <w:szCs w:val="20"/>
              </w:rPr>
            </w:pPr>
            <w:r w:rsidRPr="004B61DC">
              <w:rPr>
                <w:rFonts w:ascii="Century" w:hAnsi="Century"/>
                <w:b/>
                <w:sz w:val="20"/>
                <w:szCs w:val="20"/>
              </w:rPr>
              <w:t>Доходы всего</w:t>
            </w:r>
          </w:p>
        </w:tc>
        <w:tc>
          <w:tcPr>
            <w:tcW w:w="830" w:type="dxa"/>
            <w:tcBorders>
              <w:top w:val="single" w:sz="4" w:space="0" w:color="000000" w:themeColor="text1"/>
            </w:tcBorders>
            <w:shd w:val="clear" w:color="auto" w:fill="F2F2F2" w:themeFill="background1" w:themeFillShade="F2"/>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34,60</w:t>
            </w:r>
          </w:p>
        </w:tc>
        <w:tc>
          <w:tcPr>
            <w:tcW w:w="830" w:type="dxa"/>
            <w:tcBorders>
              <w:top w:val="single" w:sz="4" w:space="0" w:color="000000" w:themeColor="text1"/>
            </w:tcBorders>
            <w:shd w:val="clear" w:color="auto" w:fill="F2F2F2" w:themeFill="background1" w:themeFillShade="F2"/>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34,38</w:t>
            </w:r>
          </w:p>
        </w:tc>
        <w:tc>
          <w:tcPr>
            <w:tcW w:w="830" w:type="dxa"/>
            <w:tcBorders>
              <w:top w:val="single" w:sz="4" w:space="0" w:color="000000" w:themeColor="text1"/>
            </w:tcBorders>
            <w:shd w:val="clear" w:color="auto" w:fill="F2F2F2" w:themeFill="background1" w:themeFillShade="F2"/>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33,42</w:t>
            </w:r>
          </w:p>
        </w:tc>
        <w:tc>
          <w:tcPr>
            <w:tcW w:w="830" w:type="dxa"/>
            <w:tcBorders>
              <w:top w:val="single" w:sz="4" w:space="0" w:color="000000" w:themeColor="text1"/>
            </w:tcBorders>
            <w:shd w:val="clear" w:color="auto" w:fill="F2F2F2" w:themeFill="background1" w:themeFillShade="F2"/>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33,80</w:t>
            </w:r>
          </w:p>
        </w:tc>
        <w:tc>
          <w:tcPr>
            <w:tcW w:w="830" w:type="dxa"/>
            <w:tcBorders>
              <w:top w:val="single" w:sz="4" w:space="0" w:color="000000" w:themeColor="text1"/>
            </w:tcBorders>
            <w:shd w:val="clear" w:color="auto" w:fill="F2F2F2" w:themeFill="background1" w:themeFillShade="F2"/>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32,29</w:t>
            </w:r>
          </w:p>
        </w:tc>
        <w:tc>
          <w:tcPr>
            <w:tcW w:w="830" w:type="dxa"/>
            <w:tcBorders>
              <w:top w:val="single" w:sz="4" w:space="0" w:color="000000" w:themeColor="text1"/>
            </w:tcBorders>
            <w:shd w:val="clear" w:color="auto" w:fill="F2F2F2" w:themeFill="background1" w:themeFillShade="F2"/>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32,71</w:t>
            </w:r>
          </w:p>
        </w:tc>
        <w:tc>
          <w:tcPr>
            <w:tcW w:w="912" w:type="dxa"/>
            <w:tcBorders>
              <w:top w:val="single" w:sz="4" w:space="0" w:color="000000" w:themeColor="text1"/>
            </w:tcBorders>
            <w:shd w:val="clear" w:color="auto" w:fill="F2F2F2" w:themeFill="background1" w:themeFillShade="F2"/>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33,73</w:t>
            </w:r>
          </w:p>
        </w:tc>
      </w:tr>
      <w:tr w:rsidR="002424A9" w:rsidRPr="004B61DC" w:rsidTr="00DB5F1B">
        <w:trPr>
          <w:trHeight w:val="340"/>
        </w:trPr>
        <w:tc>
          <w:tcPr>
            <w:tcW w:w="3288" w:type="dxa"/>
            <w:shd w:val="clear" w:color="auto" w:fill="auto"/>
          </w:tcPr>
          <w:p w:rsidR="002424A9" w:rsidRPr="004B61DC" w:rsidRDefault="002424A9" w:rsidP="00BA1693">
            <w:pPr>
              <w:spacing w:before="0" w:after="200"/>
              <w:contextualSpacing/>
              <w:jc w:val="left"/>
              <w:rPr>
                <w:rFonts w:ascii="Century" w:hAnsi="Century"/>
                <w:b/>
                <w:sz w:val="20"/>
                <w:szCs w:val="20"/>
              </w:rPr>
            </w:pPr>
            <w:r w:rsidRPr="004B61DC">
              <w:rPr>
                <w:rFonts w:ascii="Century" w:hAnsi="Century"/>
                <w:b/>
                <w:sz w:val="20"/>
                <w:szCs w:val="20"/>
              </w:rPr>
              <w:t>Налоговые доходы и платежи</w:t>
            </w:r>
          </w:p>
        </w:tc>
        <w:tc>
          <w:tcPr>
            <w:tcW w:w="830" w:type="dxa"/>
            <w:shd w:val="clear" w:color="auto" w:fill="auto"/>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32,03</w:t>
            </w:r>
          </w:p>
        </w:tc>
        <w:tc>
          <w:tcPr>
            <w:tcW w:w="830" w:type="dxa"/>
            <w:shd w:val="clear" w:color="auto" w:fill="auto"/>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31,86</w:t>
            </w:r>
          </w:p>
        </w:tc>
        <w:tc>
          <w:tcPr>
            <w:tcW w:w="830" w:type="dxa"/>
            <w:shd w:val="clear" w:color="auto" w:fill="auto"/>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30,80</w:t>
            </w:r>
          </w:p>
        </w:tc>
        <w:tc>
          <w:tcPr>
            <w:tcW w:w="830" w:type="dxa"/>
            <w:shd w:val="clear" w:color="auto" w:fill="auto"/>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31,29</w:t>
            </w:r>
          </w:p>
        </w:tc>
        <w:tc>
          <w:tcPr>
            <w:tcW w:w="830" w:type="dxa"/>
            <w:shd w:val="clear" w:color="auto" w:fill="auto"/>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28,86</w:t>
            </w:r>
          </w:p>
        </w:tc>
        <w:tc>
          <w:tcPr>
            <w:tcW w:w="830" w:type="dxa"/>
            <w:shd w:val="clear" w:color="auto" w:fill="auto"/>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28,46</w:t>
            </w:r>
          </w:p>
        </w:tc>
        <w:tc>
          <w:tcPr>
            <w:tcW w:w="912" w:type="dxa"/>
            <w:shd w:val="clear" w:color="auto" w:fill="auto"/>
          </w:tcPr>
          <w:p w:rsidR="002424A9" w:rsidRPr="002424A9" w:rsidRDefault="002424A9" w:rsidP="00DB5F1B">
            <w:pPr>
              <w:spacing w:before="0" w:afterLines="200" w:after="480"/>
              <w:contextualSpacing/>
              <w:rPr>
                <w:rFonts w:ascii="Century" w:hAnsi="Century"/>
                <w:b/>
                <w:sz w:val="20"/>
                <w:szCs w:val="20"/>
              </w:rPr>
            </w:pPr>
            <w:r w:rsidRPr="002424A9">
              <w:rPr>
                <w:rFonts w:ascii="Century" w:hAnsi="Century"/>
                <w:b/>
                <w:sz w:val="20"/>
                <w:szCs w:val="20"/>
              </w:rPr>
              <w:t>30,29</w:t>
            </w:r>
          </w:p>
        </w:tc>
      </w:tr>
      <w:tr w:rsidR="002424A9" w:rsidRPr="004B61DC" w:rsidTr="00DB5F1B">
        <w:trPr>
          <w:trHeight w:val="340"/>
        </w:trPr>
        <w:tc>
          <w:tcPr>
            <w:tcW w:w="3288" w:type="dxa"/>
            <w:shd w:val="clear" w:color="auto" w:fill="auto"/>
          </w:tcPr>
          <w:p w:rsidR="002424A9" w:rsidRPr="004B61DC" w:rsidRDefault="002424A9" w:rsidP="00BA1693">
            <w:pPr>
              <w:spacing w:before="0" w:after="200"/>
              <w:contextualSpacing/>
              <w:jc w:val="left"/>
              <w:rPr>
                <w:rFonts w:ascii="Century" w:hAnsi="Century"/>
                <w:sz w:val="20"/>
                <w:szCs w:val="20"/>
              </w:rPr>
            </w:pPr>
            <w:r w:rsidRPr="004B61DC">
              <w:rPr>
                <w:rFonts w:ascii="Century" w:hAnsi="Century"/>
                <w:sz w:val="20"/>
                <w:szCs w:val="20"/>
              </w:rPr>
              <w:t xml:space="preserve"> в том числе</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p>
        </w:tc>
        <w:tc>
          <w:tcPr>
            <w:tcW w:w="912" w:type="dxa"/>
            <w:shd w:val="clear" w:color="auto" w:fill="auto"/>
          </w:tcPr>
          <w:p w:rsidR="002424A9" w:rsidRPr="002424A9" w:rsidRDefault="002424A9" w:rsidP="00DB5F1B">
            <w:pPr>
              <w:spacing w:before="0" w:afterLines="200" w:after="480"/>
              <w:contextualSpacing/>
              <w:rPr>
                <w:rFonts w:ascii="Century" w:hAnsi="Century"/>
                <w:sz w:val="20"/>
                <w:szCs w:val="20"/>
              </w:rPr>
            </w:pPr>
          </w:p>
        </w:tc>
      </w:tr>
      <w:tr w:rsidR="002424A9" w:rsidRPr="004B61DC" w:rsidTr="00DB5F1B">
        <w:trPr>
          <w:trHeight w:val="340"/>
        </w:trPr>
        <w:tc>
          <w:tcPr>
            <w:tcW w:w="3288" w:type="dxa"/>
            <w:shd w:val="clear" w:color="auto" w:fill="F2F2F2" w:themeFill="background1" w:themeFillShade="F2"/>
          </w:tcPr>
          <w:p w:rsidR="002424A9" w:rsidRPr="004B61DC" w:rsidRDefault="002424A9" w:rsidP="00BA1693">
            <w:pPr>
              <w:spacing w:before="0" w:after="200"/>
              <w:contextualSpacing/>
              <w:jc w:val="left"/>
              <w:rPr>
                <w:rFonts w:ascii="Century" w:hAnsi="Century"/>
                <w:sz w:val="20"/>
                <w:szCs w:val="20"/>
              </w:rPr>
            </w:pPr>
            <w:r w:rsidRPr="004B61DC">
              <w:rPr>
                <w:rFonts w:ascii="Century" w:hAnsi="Century"/>
                <w:sz w:val="20"/>
                <w:szCs w:val="20"/>
              </w:rPr>
              <w:t>Налог на прибыль организаций</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3,77</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3,46</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2,83</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3,00</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3,12</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3,22</w:t>
            </w:r>
          </w:p>
        </w:tc>
        <w:tc>
          <w:tcPr>
            <w:tcW w:w="912"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3,57</w:t>
            </w:r>
          </w:p>
        </w:tc>
      </w:tr>
      <w:tr w:rsidR="002424A9" w:rsidRPr="004B61DC" w:rsidTr="00DB5F1B">
        <w:trPr>
          <w:trHeight w:val="340"/>
        </w:trPr>
        <w:tc>
          <w:tcPr>
            <w:tcW w:w="3288" w:type="dxa"/>
            <w:shd w:val="clear" w:color="auto" w:fill="auto"/>
          </w:tcPr>
          <w:p w:rsidR="002424A9" w:rsidRPr="004B61DC" w:rsidRDefault="002424A9" w:rsidP="00BA1693">
            <w:pPr>
              <w:spacing w:before="0" w:after="200"/>
              <w:contextualSpacing/>
              <w:jc w:val="left"/>
              <w:rPr>
                <w:rFonts w:ascii="Century" w:hAnsi="Century"/>
                <w:sz w:val="20"/>
                <w:szCs w:val="20"/>
              </w:rPr>
            </w:pPr>
            <w:r w:rsidRPr="004B61DC">
              <w:rPr>
                <w:rFonts w:ascii="Century" w:hAnsi="Century"/>
                <w:sz w:val="20"/>
                <w:szCs w:val="20"/>
              </w:rPr>
              <w:t>Налог на доходы физических лиц</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3,31</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3,32</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3,42</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3,41</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3,37</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3,50</w:t>
            </w:r>
          </w:p>
        </w:tc>
        <w:tc>
          <w:tcPr>
            <w:tcW w:w="912"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3,53</w:t>
            </w:r>
          </w:p>
        </w:tc>
      </w:tr>
      <w:tr w:rsidR="002424A9" w:rsidRPr="004B61DC" w:rsidTr="00DB5F1B">
        <w:trPr>
          <w:trHeight w:val="340"/>
        </w:trPr>
        <w:tc>
          <w:tcPr>
            <w:tcW w:w="3288" w:type="dxa"/>
            <w:shd w:val="clear" w:color="auto" w:fill="F2F2F2" w:themeFill="background1" w:themeFillShade="F2"/>
          </w:tcPr>
          <w:p w:rsidR="002424A9" w:rsidRPr="004B61DC" w:rsidRDefault="002424A9" w:rsidP="00BA1693">
            <w:pPr>
              <w:spacing w:before="0" w:after="200"/>
              <w:contextualSpacing/>
              <w:jc w:val="left"/>
              <w:rPr>
                <w:rFonts w:ascii="Century" w:hAnsi="Century"/>
                <w:sz w:val="20"/>
                <w:szCs w:val="20"/>
              </w:rPr>
            </w:pPr>
            <w:r w:rsidRPr="004B61DC">
              <w:rPr>
                <w:rFonts w:ascii="Century" w:hAnsi="Century"/>
                <w:sz w:val="20"/>
                <w:szCs w:val="20"/>
              </w:rPr>
              <w:t>Налог на добавленную стоимость</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5,39</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5,20</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4,84</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4,98</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5,08</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5,31</w:t>
            </w:r>
          </w:p>
        </w:tc>
        <w:tc>
          <w:tcPr>
            <w:tcW w:w="912"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5,58</w:t>
            </w:r>
          </w:p>
        </w:tc>
      </w:tr>
      <w:tr w:rsidR="002424A9" w:rsidRPr="004B61DC" w:rsidTr="00DB5F1B">
        <w:trPr>
          <w:trHeight w:val="340"/>
        </w:trPr>
        <w:tc>
          <w:tcPr>
            <w:tcW w:w="3288" w:type="dxa"/>
            <w:shd w:val="clear" w:color="auto" w:fill="auto"/>
          </w:tcPr>
          <w:p w:rsidR="002424A9" w:rsidRPr="004B61DC" w:rsidRDefault="002424A9" w:rsidP="00BA1693">
            <w:pPr>
              <w:spacing w:before="0" w:after="200"/>
              <w:contextualSpacing/>
              <w:jc w:val="left"/>
              <w:rPr>
                <w:rFonts w:ascii="Century" w:hAnsi="Century"/>
                <w:sz w:val="20"/>
                <w:szCs w:val="20"/>
              </w:rPr>
            </w:pPr>
            <w:r w:rsidRPr="004B61DC">
              <w:rPr>
                <w:rFonts w:ascii="Century" w:hAnsi="Century"/>
                <w:sz w:val="20"/>
                <w:szCs w:val="20"/>
              </w:rPr>
              <w:t>Акцизы</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1,08</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1,23</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1,39</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1,35</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1,28</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1,57</w:t>
            </w:r>
          </w:p>
        </w:tc>
        <w:tc>
          <w:tcPr>
            <w:tcW w:w="912"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1,74</w:t>
            </w:r>
          </w:p>
        </w:tc>
      </w:tr>
      <w:tr w:rsidR="002424A9" w:rsidRPr="004B61DC" w:rsidTr="00DB5F1B">
        <w:trPr>
          <w:trHeight w:val="340"/>
        </w:trPr>
        <w:tc>
          <w:tcPr>
            <w:tcW w:w="3288" w:type="dxa"/>
            <w:shd w:val="clear" w:color="auto" w:fill="F2F2F2" w:themeFill="background1" w:themeFillShade="F2"/>
          </w:tcPr>
          <w:p w:rsidR="002424A9" w:rsidRPr="004B61DC" w:rsidRDefault="002424A9" w:rsidP="00BA1693">
            <w:pPr>
              <w:spacing w:before="0" w:after="200"/>
              <w:contextualSpacing/>
              <w:jc w:val="left"/>
              <w:rPr>
                <w:rFonts w:ascii="Century" w:hAnsi="Century"/>
                <w:sz w:val="20"/>
                <w:szCs w:val="20"/>
              </w:rPr>
            </w:pPr>
            <w:r w:rsidRPr="004B61DC">
              <w:rPr>
                <w:rFonts w:ascii="Century" w:hAnsi="Century"/>
                <w:sz w:val="20"/>
                <w:szCs w:val="20"/>
              </w:rPr>
              <w:t>Таможенные пошлины</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7,66</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7,48</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6,79</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6,98</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4,03</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3,06</w:t>
            </w:r>
          </w:p>
        </w:tc>
        <w:tc>
          <w:tcPr>
            <w:tcW w:w="912"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2,79</w:t>
            </w:r>
          </w:p>
        </w:tc>
      </w:tr>
      <w:tr w:rsidR="002424A9" w:rsidRPr="004B61DC" w:rsidTr="00DB5F1B">
        <w:trPr>
          <w:trHeight w:val="340"/>
        </w:trPr>
        <w:tc>
          <w:tcPr>
            <w:tcW w:w="3288" w:type="dxa"/>
            <w:shd w:val="clear" w:color="auto" w:fill="auto"/>
          </w:tcPr>
          <w:p w:rsidR="002424A9" w:rsidRPr="004B61DC" w:rsidRDefault="002424A9" w:rsidP="00BA1693">
            <w:pPr>
              <w:spacing w:before="0" w:after="200"/>
              <w:contextualSpacing/>
              <w:jc w:val="left"/>
              <w:rPr>
                <w:rFonts w:ascii="Century" w:hAnsi="Century"/>
                <w:sz w:val="20"/>
                <w:szCs w:val="20"/>
              </w:rPr>
            </w:pPr>
            <w:r w:rsidRPr="004B61DC">
              <w:rPr>
                <w:rFonts w:ascii="Century" w:hAnsi="Century"/>
                <w:sz w:val="20"/>
                <w:szCs w:val="20"/>
              </w:rPr>
              <w:t>Налог на добычу полезных ископаемых</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3,39</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3,61</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3,52</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3,67</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3,87</w:t>
            </w:r>
          </w:p>
        </w:tc>
        <w:tc>
          <w:tcPr>
            <w:tcW w:w="830"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3,40</w:t>
            </w:r>
          </w:p>
        </w:tc>
        <w:tc>
          <w:tcPr>
            <w:tcW w:w="912" w:type="dxa"/>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4,49</w:t>
            </w:r>
          </w:p>
        </w:tc>
      </w:tr>
      <w:tr w:rsidR="002424A9" w:rsidRPr="004B61DC" w:rsidTr="00DB5F1B">
        <w:trPr>
          <w:trHeight w:val="340"/>
        </w:trPr>
        <w:tc>
          <w:tcPr>
            <w:tcW w:w="3288" w:type="dxa"/>
            <w:shd w:val="clear" w:color="auto" w:fill="F2F2F2" w:themeFill="background1" w:themeFillShade="F2"/>
          </w:tcPr>
          <w:p w:rsidR="002424A9" w:rsidRPr="004B61DC" w:rsidRDefault="002424A9" w:rsidP="00BA1693">
            <w:pPr>
              <w:spacing w:before="0" w:after="200"/>
              <w:contextualSpacing/>
              <w:jc w:val="left"/>
              <w:rPr>
                <w:rFonts w:ascii="Century" w:hAnsi="Century"/>
                <w:sz w:val="20"/>
                <w:szCs w:val="20"/>
              </w:rPr>
            </w:pPr>
            <w:r w:rsidRPr="004B61DC">
              <w:rPr>
                <w:rFonts w:ascii="Century" w:hAnsi="Century"/>
                <w:sz w:val="20"/>
                <w:szCs w:val="20"/>
              </w:rPr>
              <w:t>Единый социальный налог и страховые взносы</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5,85</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5,99</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6,35</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6,26</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6,39</w:t>
            </w:r>
          </w:p>
        </w:tc>
        <w:tc>
          <w:tcPr>
            <w:tcW w:w="830"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6,63</w:t>
            </w:r>
          </w:p>
        </w:tc>
        <w:tc>
          <w:tcPr>
            <w:tcW w:w="912" w:type="dxa"/>
            <w:shd w:val="clear" w:color="auto" w:fill="F2F2F2" w:themeFill="background1" w:themeFillShade="F2"/>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6,70</w:t>
            </w:r>
          </w:p>
        </w:tc>
      </w:tr>
      <w:tr w:rsidR="002424A9" w:rsidRPr="004B61DC" w:rsidTr="00DB5F1B">
        <w:trPr>
          <w:trHeight w:val="340"/>
        </w:trPr>
        <w:tc>
          <w:tcPr>
            <w:tcW w:w="3288" w:type="dxa"/>
            <w:tcBorders>
              <w:bottom w:val="single" w:sz="4" w:space="0" w:color="000000" w:themeColor="text1"/>
            </w:tcBorders>
            <w:shd w:val="clear" w:color="auto" w:fill="auto"/>
          </w:tcPr>
          <w:p w:rsidR="002424A9" w:rsidRPr="004B61DC" w:rsidRDefault="002424A9" w:rsidP="00BA1693">
            <w:pPr>
              <w:spacing w:before="0" w:after="200"/>
              <w:contextualSpacing/>
              <w:jc w:val="left"/>
              <w:rPr>
                <w:rFonts w:ascii="Century" w:hAnsi="Century"/>
                <w:sz w:val="20"/>
                <w:szCs w:val="20"/>
              </w:rPr>
            </w:pPr>
            <w:r w:rsidRPr="004B61DC">
              <w:rPr>
                <w:rFonts w:ascii="Century" w:hAnsi="Century"/>
                <w:sz w:val="20"/>
                <w:szCs w:val="20"/>
              </w:rPr>
              <w:t>Прочие налоги и сборы*</w:t>
            </w:r>
          </w:p>
        </w:tc>
        <w:tc>
          <w:tcPr>
            <w:tcW w:w="830" w:type="dxa"/>
            <w:tcBorders>
              <w:bottom w:val="single" w:sz="4" w:space="0" w:color="000000" w:themeColor="text1"/>
            </w:tcBorders>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1,58</w:t>
            </w:r>
          </w:p>
        </w:tc>
        <w:tc>
          <w:tcPr>
            <w:tcW w:w="830" w:type="dxa"/>
            <w:tcBorders>
              <w:bottom w:val="single" w:sz="4" w:space="0" w:color="000000" w:themeColor="text1"/>
            </w:tcBorders>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1,59</w:t>
            </w:r>
          </w:p>
        </w:tc>
        <w:tc>
          <w:tcPr>
            <w:tcW w:w="830" w:type="dxa"/>
            <w:tcBorders>
              <w:bottom w:val="single" w:sz="4" w:space="0" w:color="000000" w:themeColor="text1"/>
            </w:tcBorders>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1,66</w:t>
            </w:r>
          </w:p>
        </w:tc>
        <w:tc>
          <w:tcPr>
            <w:tcW w:w="830" w:type="dxa"/>
            <w:tcBorders>
              <w:bottom w:val="single" w:sz="4" w:space="0" w:color="000000" w:themeColor="text1"/>
            </w:tcBorders>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1,64</w:t>
            </w:r>
          </w:p>
        </w:tc>
        <w:tc>
          <w:tcPr>
            <w:tcW w:w="830" w:type="dxa"/>
            <w:tcBorders>
              <w:bottom w:val="single" w:sz="4" w:space="0" w:color="000000" w:themeColor="text1"/>
            </w:tcBorders>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1,73</w:t>
            </w:r>
          </w:p>
        </w:tc>
        <w:tc>
          <w:tcPr>
            <w:tcW w:w="830" w:type="dxa"/>
            <w:tcBorders>
              <w:bottom w:val="single" w:sz="4" w:space="0" w:color="000000" w:themeColor="text1"/>
            </w:tcBorders>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1,77</w:t>
            </w:r>
          </w:p>
        </w:tc>
        <w:tc>
          <w:tcPr>
            <w:tcW w:w="912" w:type="dxa"/>
            <w:tcBorders>
              <w:bottom w:val="single" w:sz="4" w:space="0" w:color="000000" w:themeColor="text1"/>
            </w:tcBorders>
            <w:shd w:val="clear" w:color="auto" w:fill="auto"/>
          </w:tcPr>
          <w:p w:rsidR="002424A9" w:rsidRPr="002424A9" w:rsidRDefault="002424A9" w:rsidP="00DB5F1B">
            <w:pPr>
              <w:spacing w:before="0" w:afterLines="200" w:after="480"/>
              <w:contextualSpacing/>
              <w:rPr>
                <w:rFonts w:ascii="Century" w:hAnsi="Century"/>
                <w:sz w:val="20"/>
                <w:szCs w:val="20"/>
              </w:rPr>
            </w:pPr>
            <w:r w:rsidRPr="002424A9">
              <w:rPr>
                <w:rFonts w:ascii="Century" w:hAnsi="Century"/>
                <w:sz w:val="20"/>
                <w:szCs w:val="20"/>
              </w:rPr>
              <w:t>1,88</w:t>
            </w:r>
          </w:p>
        </w:tc>
      </w:tr>
    </w:tbl>
    <w:p w:rsidR="003E0B7B" w:rsidRPr="00DB5F1B" w:rsidRDefault="00DB5F1B" w:rsidP="003E0B7B">
      <w:pPr>
        <w:rPr>
          <w:i/>
          <w:u w:color="000000"/>
          <w:bdr w:val="nil"/>
          <w:lang w:eastAsia="ru-RU"/>
        </w:rPr>
      </w:pPr>
      <w:r w:rsidRPr="00DB5F1B">
        <w:rPr>
          <w:rFonts w:cs="Calibri"/>
          <w:i/>
          <w:color w:val="000000"/>
          <w:sz w:val="18"/>
          <w:szCs w:val="18"/>
          <w:u w:color="000000"/>
          <w:bdr w:val="nil"/>
          <w:lang w:eastAsia="ru-RU"/>
        </w:rPr>
        <w:t>* - налоги на совокупный доход, налоги на имущество, налоги и платежи, связанные с добычей полезных ископаемых (кроме НДПИ) и без учета государственной пошлины Источники данных: ВВП – Росстат (данные по состоянию на 31.03.2017), доходы бюджета расширенного правительства – Федеральное казначейство</w:t>
      </w:r>
    </w:p>
    <w:p w:rsidR="003E0B7B" w:rsidRPr="00C75DB0" w:rsidRDefault="00925682" w:rsidP="003E0B7B">
      <w:pPr>
        <w:rPr>
          <w:u w:color="000000"/>
          <w:bdr w:val="nil"/>
          <w:lang w:eastAsia="ru-RU"/>
        </w:rPr>
      </w:pPr>
      <w:proofErr w:type="gramStart"/>
      <w:r w:rsidRPr="00473853">
        <w:rPr>
          <w:rFonts w:cs="Calibri"/>
          <w:color w:val="000000"/>
          <w:szCs w:val="28"/>
          <w:u w:color="000000"/>
          <w:bdr w:val="nil"/>
          <w:lang w:eastAsia="ru-RU"/>
        </w:rPr>
        <w:t>Анализ уровня налоговой нагрузки показывает, что налоговые доходы бюджетной системы (рассчитываемые как сумма поступлений всех налогов и сборов, таможенных пошлин, страховых взносов на обязательное государственное социальное страхование и прочих налоговых платежей)</w:t>
      </w:r>
      <w:r>
        <w:rPr>
          <w:rFonts w:cs="Calibri"/>
          <w:color w:val="000000"/>
          <w:szCs w:val="28"/>
          <w:u w:color="000000"/>
          <w:bdr w:val="nil"/>
          <w:lang w:eastAsia="ru-RU"/>
        </w:rPr>
        <w:t>, определяемые, как процентная</w:t>
      </w:r>
      <w:r w:rsidRPr="00473853">
        <w:rPr>
          <w:rFonts w:cs="Calibri"/>
          <w:color w:val="000000"/>
          <w:szCs w:val="28"/>
          <w:u w:color="000000"/>
          <w:bdr w:val="nil"/>
          <w:lang w:eastAsia="ru-RU"/>
        </w:rPr>
        <w:t xml:space="preserve"> дол</w:t>
      </w:r>
      <w:r>
        <w:rPr>
          <w:rFonts w:cs="Calibri"/>
          <w:color w:val="000000"/>
          <w:szCs w:val="28"/>
          <w:u w:color="000000"/>
          <w:bdr w:val="nil"/>
          <w:lang w:eastAsia="ru-RU"/>
        </w:rPr>
        <w:t>я</w:t>
      </w:r>
      <w:r w:rsidRPr="00473853">
        <w:rPr>
          <w:rFonts w:cs="Calibri"/>
          <w:color w:val="000000"/>
          <w:szCs w:val="28"/>
          <w:u w:color="000000"/>
          <w:bdr w:val="nil"/>
          <w:lang w:eastAsia="ru-RU"/>
        </w:rPr>
        <w:t xml:space="preserve"> ВВП</w:t>
      </w:r>
      <w:r>
        <w:rPr>
          <w:rFonts w:cs="Calibri"/>
          <w:color w:val="000000"/>
          <w:szCs w:val="28"/>
          <w:u w:color="000000"/>
          <w:bdr w:val="nil"/>
          <w:lang w:eastAsia="ru-RU"/>
        </w:rPr>
        <w:t>,</w:t>
      </w:r>
      <w:r w:rsidRPr="00473853">
        <w:rPr>
          <w:rFonts w:cs="Calibri"/>
          <w:color w:val="000000"/>
          <w:szCs w:val="28"/>
          <w:u w:color="000000"/>
          <w:bdr w:val="nil"/>
          <w:lang w:eastAsia="ru-RU"/>
        </w:rPr>
        <w:t xml:space="preserve"> снизились по сравнению с 201</w:t>
      </w:r>
      <w:r>
        <w:rPr>
          <w:rFonts w:cs="Calibri"/>
          <w:color w:val="000000"/>
          <w:szCs w:val="28"/>
          <w:u w:color="000000"/>
          <w:bdr w:val="nil"/>
          <w:lang w:eastAsia="ru-RU"/>
        </w:rPr>
        <w:t>1</w:t>
      </w:r>
      <w:r w:rsidRPr="00473853">
        <w:rPr>
          <w:rFonts w:cs="Calibri"/>
          <w:color w:val="000000"/>
          <w:szCs w:val="28"/>
          <w:u w:color="000000"/>
          <w:bdr w:val="nil"/>
          <w:lang w:eastAsia="ru-RU"/>
        </w:rPr>
        <w:t xml:space="preserve"> годом, и на протяжении последних 4 лет оставались примерно на одном уровне</w:t>
      </w:r>
      <w:r>
        <w:rPr>
          <w:rFonts w:cs="Calibri"/>
          <w:color w:val="000000"/>
          <w:szCs w:val="28"/>
          <w:u w:color="000000"/>
          <w:bdr w:val="nil"/>
          <w:lang w:eastAsia="ru-RU"/>
        </w:rPr>
        <w:t xml:space="preserve"> (изменяясь в диапазоне 31% - 30</w:t>
      </w:r>
      <w:r w:rsidRPr="00473853">
        <w:rPr>
          <w:rFonts w:cs="Calibri"/>
          <w:color w:val="000000"/>
          <w:szCs w:val="28"/>
          <w:u w:color="000000"/>
          <w:bdr w:val="nil"/>
          <w:lang w:eastAsia="ru-RU"/>
        </w:rPr>
        <w:t>% ВВП).</w:t>
      </w:r>
      <w:proofErr w:type="gramEnd"/>
    </w:p>
    <w:p w:rsidR="003E0B7B" w:rsidRPr="00C75DB0" w:rsidRDefault="00925682" w:rsidP="003E0B7B">
      <w:pPr>
        <w:rPr>
          <w:rFonts w:eastAsia="Times New Roman"/>
          <w:u w:color="000000"/>
          <w:bdr w:val="nil"/>
          <w:lang w:eastAsia="ru-RU"/>
        </w:rPr>
      </w:pPr>
      <w:r w:rsidRPr="00473853">
        <w:rPr>
          <w:rFonts w:cs="Calibri"/>
          <w:color w:val="000000"/>
          <w:szCs w:val="28"/>
          <w:u w:color="000000"/>
          <w:bdr w:val="nil"/>
          <w:lang w:eastAsia="ru-RU"/>
        </w:rPr>
        <w:t>При анализе уровня налоговой нагрузки по отдельным видам налогов в Российской Федерации традиционно выделяют нефтегазовые доходы – НДПИ и вывозные таможенные пошлины (на нефть, газ и нефтепродукты), поскольку в Российской Федерации по-прежнему существенную долю доходов бюджета составляют доходы, получаемые из этих источников (Таблица 2).</w:t>
      </w:r>
      <w:r w:rsidR="003E0B7B" w:rsidRPr="00C75DB0">
        <w:rPr>
          <w:u w:color="000000"/>
          <w:bdr w:val="nil"/>
          <w:lang w:eastAsia="ru-RU"/>
        </w:rPr>
        <w:t xml:space="preserve"> </w:t>
      </w:r>
    </w:p>
    <w:p w:rsidR="005B23B4" w:rsidRPr="00DE50E3" w:rsidRDefault="005B23B4" w:rsidP="005B23B4">
      <w:pPr>
        <w:pBdr>
          <w:top w:val="nil"/>
          <w:left w:val="nil"/>
          <w:bottom w:val="nil"/>
          <w:right w:val="nil"/>
          <w:between w:val="nil"/>
          <w:bar w:val="nil"/>
        </w:pBdr>
        <w:tabs>
          <w:tab w:val="left" w:pos="284"/>
        </w:tabs>
        <w:rPr>
          <w:rFonts w:eastAsia="Times New Roman"/>
          <w:color w:val="000000"/>
          <w:u w:color="000000"/>
          <w:bdr w:val="nil"/>
          <w:lang w:eastAsia="ru-RU"/>
        </w:rPr>
      </w:pPr>
      <w:r w:rsidRPr="002C3C4D">
        <w:rPr>
          <w:rFonts w:cs="Calibri"/>
          <w:b/>
          <w:color w:val="000000"/>
          <w:u w:color="000000"/>
          <w:bdr w:val="nil"/>
          <w:lang w:eastAsia="ru-RU"/>
        </w:rPr>
        <w:t>Таблица</w:t>
      </w:r>
      <w:r>
        <w:rPr>
          <w:rFonts w:cs="Calibri"/>
          <w:b/>
          <w:color w:val="000000"/>
          <w:u w:color="000000"/>
          <w:bdr w:val="nil"/>
          <w:lang w:eastAsia="ru-RU"/>
        </w:rPr>
        <w:t xml:space="preserve"> 2.</w:t>
      </w:r>
      <w:r w:rsidRPr="002C3C4D">
        <w:rPr>
          <w:rFonts w:cs="Calibri"/>
          <w:b/>
          <w:color w:val="000000"/>
          <w:u w:color="000000"/>
          <w:bdr w:val="nil"/>
          <w:lang w:eastAsia="ru-RU"/>
        </w:rPr>
        <w:t xml:space="preserve"> </w:t>
      </w:r>
      <w:r w:rsidRPr="00DE50E3">
        <w:rPr>
          <w:rFonts w:cs="Calibri"/>
          <w:bCs/>
          <w:color w:val="000000"/>
          <w:u w:color="000000"/>
          <w:bdr w:val="nil"/>
          <w:lang w:eastAsia="ru-RU"/>
        </w:rPr>
        <w:t>Доходы бюджета расширенного правительства от налогообложения добычи нефти и экспорта нефти и нефтепродуктов в 201</w:t>
      </w:r>
      <w:r>
        <w:rPr>
          <w:rFonts w:cs="Calibri"/>
          <w:bCs/>
          <w:color w:val="000000"/>
          <w:u w:color="000000"/>
          <w:bdr w:val="nil"/>
          <w:lang w:eastAsia="ru-RU"/>
        </w:rPr>
        <w:t>1-</w:t>
      </w:r>
      <w:r w:rsidRPr="00DE50E3">
        <w:rPr>
          <w:rFonts w:cs="Calibri"/>
          <w:bCs/>
          <w:color w:val="000000"/>
          <w:u w:color="000000"/>
          <w:bdr w:val="nil"/>
          <w:lang w:eastAsia="ru-RU"/>
        </w:rPr>
        <w:t>201</w:t>
      </w:r>
      <w:r>
        <w:rPr>
          <w:rFonts w:cs="Calibri"/>
          <w:bCs/>
          <w:color w:val="000000"/>
          <w:u w:color="000000"/>
          <w:bdr w:val="nil"/>
          <w:lang w:eastAsia="ru-RU"/>
        </w:rPr>
        <w:t xml:space="preserve">7 </w:t>
      </w:r>
      <w:r w:rsidRPr="00DE50E3">
        <w:rPr>
          <w:rFonts w:cs="Calibri"/>
          <w:bCs/>
          <w:color w:val="000000"/>
          <w:u w:color="000000"/>
          <w:bdr w:val="nil"/>
          <w:lang w:eastAsia="ru-RU"/>
        </w:rPr>
        <w:t xml:space="preserve">гг. </w:t>
      </w:r>
      <w:r w:rsidRPr="00DE50E3">
        <w:rPr>
          <w:rFonts w:cs="Calibri"/>
          <w:color w:val="000000"/>
          <w:u w:color="000000"/>
          <w:bdr w:val="nil"/>
          <w:lang w:eastAsia="ru-RU"/>
        </w:rPr>
        <w:t>(% к ВВП)</w:t>
      </w:r>
    </w:p>
    <w:tbl>
      <w:tblPr>
        <w:tblW w:w="9073" w:type="dxa"/>
        <w:tblInd w:w="108" w:type="dxa"/>
        <w:tblBorders>
          <w:bottom w:val="single" w:sz="4" w:space="0" w:color="000000" w:themeColor="text1"/>
        </w:tblBorders>
        <w:tblLayout w:type="fixed"/>
        <w:tblLook w:val="04A0" w:firstRow="1" w:lastRow="0" w:firstColumn="1" w:lastColumn="0" w:noHBand="0" w:noVBand="1"/>
      </w:tblPr>
      <w:tblGrid>
        <w:gridCol w:w="3515"/>
        <w:gridCol w:w="794"/>
        <w:gridCol w:w="794"/>
        <w:gridCol w:w="794"/>
        <w:gridCol w:w="794"/>
        <w:gridCol w:w="794"/>
        <w:gridCol w:w="794"/>
        <w:gridCol w:w="794"/>
      </w:tblGrid>
      <w:tr w:rsidR="005B23B4" w:rsidRPr="004B61DC" w:rsidTr="00917B18">
        <w:trPr>
          <w:trHeight w:val="340"/>
        </w:trPr>
        <w:tc>
          <w:tcPr>
            <w:tcW w:w="3515" w:type="dxa"/>
            <w:tcBorders>
              <w:bottom w:val="single" w:sz="4" w:space="0" w:color="000000" w:themeColor="text1"/>
            </w:tcBorders>
            <w:shd w:val="clear" w:color="auto" w:fill="auto"/>
            <w:vAlign w:val="center"/>
          </w:tcPr>
          <w:p w:rsidR="005B23B4" w:rsidRPr="004B61DC" w:rsidRDefault="005B23B4" w:rsidP="00917B18">
            <w:pPr>
              <w:pBdr>
                <w:top w:val="nil"/>
                <w:left w:val="nil"/>
                <w:bottom w:val="nil"/>
                <w:right w:val="nil"/>
                <w:between w:val="nil"/>
                <w:bar w:val="nil"/>
              </w:pBdr>
              <w:tabs>
                <w:tab w:val="left" w:pos="284"/>
              </w:tabs>
              <w:spacing w:after="0" w:line="240" w:lineRule="auto"/>
              <w:rPr>
                <w:rFonts w:ascii="Century" w:hAnsi="Century"/>
                <w:color w:val="000000"/>
                <w:sz w:val="20"/>
                <w:szCs w:val="20"/>
                <w:u w:color="000000"/>
                <w:bdr w:val="nil"/>
              </w:rPr>
            </w:pPr>
          </w:p>
        </w:tc>
        <w:tc>
          <w:tcPr>
            <w:tcW w:w="794" w:type="dxa"/>
            <w:tcBorders>
              <w:bottom w:val="single" w:sz="4" w:space="0" w:color="000000" w:themeColor="text1"/>
            </w:tcBorders>
            <w:shd w:val="clear" w:color="auto" w:fill="auto"/>
            <w:vAlign w:val="center"/>
          </w:tcPr>
          <w:p w:rsidR="005B23B4" w:rsidRPr="005B23B4" w:rsidRDefault="005B23B4" w:rsidP="00A82DFC">
            <w:pPr>
              <w:spacing w:before="0" w:afterLines="200" w:after="48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2011</w:t>
            </w:r>
          </w:p>
        </w:tc>
        <w:tc>
          <w:tcPr>
            <w:tcW w:w="794" w:type="dxa"/>
            <w:tcBorders>
              <w:bottom w:val="single" w:sz="4" w:space="0" w:color="000000" w:themeColor="text1"/>
            </w:tcBorders>
            <w:shd w:val="clear" w:color="auto" w:fill="auto"/>
            <w:vAlign w:val="center"/>
          </w:tcPr>
          <w:p w:rsidR="005B23B4" w:rsidRPr="005B23B4" w:rsidRDefault="005B23B4" w:rsidP="00A82DFC">
            <w:pPr>
              <w:spacing w:before="0" w:afterLines="200" w:after="48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2012</w:t>
            </w:r>
          </w:p>
        </w:tc>
        <w:tc>
          <w:tcPr>
            <w:tcW w:w="794" w:type="dxa"/>
            <w:tcBorders>
              <w:bottom w:val="single" w:sz="4" w:space="0" w:color="000000" w:themeColor="text1"/>
            </w:tcBorders>
            <w:shd w:val="clear" w:color="auto" w:fill="auto"/>
            <w:vAlign w:val="center"/>
          </w:tcPr>
          <w:p w:rsidR="005B23B4" w:rsidRPr="005B23B4" w:rsidRDefault="005B23B4" w:rsidP="00A82DFC">
            <w:pPr>
              <w:spacing w:before="0" w:afterLines="200" w:after="48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2013</w:t>
            </w:r>
          </w:p>
        </w:tc>
        <w:tc>
          <w:tcPr>
            <w:tcW w:w="794" w:type="dxa"/>
            <w:tcBorders>
              <w:bottom w:val="single" w:sz="4" w:space="0" w:color="000000" w:themeColor="text1"/>
            </w:tcBorders>
            <w:shd w:val="clear" w:color="auto" w:fill="auto"/>
            <w:vAlign w:val="center"/>
          </w:tcPr>
          <w:p w:rsidR="005B23B4" w:rsidRPr="005B23B4" w:rsidRDefault="005B23B4" w:rsidP="00A82DFC">
            <w:pPr>
              <w:spacing w:before="0" w:afterLines="200" w:after="48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2014</w:t>
            </w:r>
          </w:p>
        </w:tc>
        <w:tc>
          <w:tcPr>
            <w:tcW w:w="794" w:type="dxa"/>
            <w:tcBorders>
              <w:bottom w:val="single" w:sz="4" w:space="0" w:color="000000" w:themeColor="text1"/>
            </w:tcBorders>
            <w:shd w:val="clear" w:color="auto" w:fill="auto"/>
            <w:vAlign w:val="center"/>
          </w:tcPr>
          <w:p w:rsidR="005B23B4" w:rsidRPr="005B23B4" w:rsidRDefault="005B23B4" w:rsidP="00A82DFC">
            <w:pPr>
              <w:spacing w:before="0" w:afterLines="200" w:after="48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2015</w:t>
            </w:r>
          </w:p>
        </w:tc>
        <w:tc>
          <w:tcPr>
            <w:tcW w:w="794" w:type="dxa"/>
            <w:tcBorders>
              <w:bottom w:val="single" w:sz="4" w:space="0" w:color="000000" w:themeColor="text1"/>
            </w:tcBorders>
            <w:shd w:val="clear" w:color="auto" w:fill="auto"/>
            <w:vAlign w:val="center"/>
          </w:tcPr>
          <w:p w:rsidR="005B23B4" w:rsidRPr="005B23B4" w:rsidRDefault="005B23B4" w:rsidP="00A82DFC">
            <w:pPr>
              <w:spacing w:before="0" w:afterLines="200" w:after="48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2016</w:t>
            </w:r>
          </w:p>
        </w:tc>
        <w:tc>
          <w:tcPr>
            <w:tcW w:w="794" w:type="dxa"/>
            <w:tcBorders>
              <w:bottom w:val="single" w:sz="4" w:space="0" w:color="000000" w:themeColor="text1"/>
            </w:tcBorders>
            <w:shd w:val="clear" w:color="auto" w:fill="auto"/>
            <w:vAlign w:val="center"/>
          </w:tcPr>
          <w:p w:rsidR="005B23B4" w:rsidRPr="005B23B4" w:rsidRDefault="005B23B4" w:rsidP="00A82DFC">
            <w:pPr>
              <w:spacing w:before="0" w:afterLines="200" w:after="480"/>
              <w:contextualSpacing/>
              <w:jc w:val="center"/>
              <w:rPr>
                <w:rFonts w:ascii="Century" w:hAnsi="Century" w:cs="Calibri"/>
                <w:color w:val="000000"/>
                <w:sz w:val="20"/>
                <w:szCs w:val="20"/>
                <w:u w:color="000000"/>
              </w:rPr>
            </w:pPr>
            <w:r w:rsidRPr="005B23B4">
              <w:rPr>
                <w:rFonts w:ascii="Century" w:hAnsi="Century" w:cs="Calibri"/>
                <w:b/>
                <w:bCs/>
                <w:color w:val="000000"/>
                <w:sz w:val="20"/>
                <w:szCs w:val="20"/>
                <w:u w:color="000000"/>
              </w:rPr>
              <w:t>2017</w:t>
            </w:r>
          </w:p>
        </w:tc>
      </w:tr>
      <w:tr w:rsidR="005B23B4" w:rsidRPr="004B61DC" w:rsidTr="00B616C4">
        <w:trPr>
          <w:trHeight w:val="340"/>
        </w:trPr>
        <w:tc>
          <w:tcPr>
            <w:tcW w:w="3515" w:type="dxa"/>
            <w:tcBorders>
              <w:top w:val="single" w:sz="4" w:space="0" w:color="000000" w:themeColor="text1"/>
              <w:bottom w:val="nil"/>
            </w:tcBorders>
            <w:shd w:val="clear" w:color="auto" w:fill="F2F2F2" w:themeFill="background1" w:themeFillShade="F2"/>
          </w:tcPr>
          <w:p w:rsidR="005B23B4" w:rsidRPr="004B61DC" w:rsidRDefault="005B23B4" w:rsidP="00BA1693">
            <w:pPr>
              <w:spacing w:before="0" w:after="200"/>
              <w:contextualSpacing/>
              <w:jc w:val="left"/>
              <w:rPr>
                <w:rFonts w:ascii="Century" w:hAnsi="Century"/>
                <w:b/>
                <w:sz w:val="20"/>
                <w:szCs w:val="20"/>
              </w:rPr>
            </w:pPr>
            <w:r w:rsidRPr="004B61DC">
              <w:rPr>
                <w:rFonts w:ascii="Century" w:hAnsi="Century"/>
                <w:b/>
                <w:sz w:val="20"/>
                <w:szCs w:val="20"/>
              </w:rPr>
              <w:t>Налоговые доходы и платежи</w:t>
            </w:r>
          </w:p>
        </w:tc>
        <w:tc>
          <w:tcPr>
            <w:tcW w:w="794" w:type="dxa"/>
            <w:tcBorders>
              <w:top w:val="single" w:sz="4" w:space="0" w:color="000000" w:themeColor="text1"/>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32,03</w:t>
            </w:r>
          </w:p>
        </w:tc>
        <w:tc>
          <w:tcPr>
            <w:tcW w:w="794" w:type="dxa"/>
            <w:tcBorders>
              <w:top w:val="single" w:sz="4" w:space="0" w:color="000000" w:themeColor="text1"/>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31,86</w:t>
            </w:r>
          </w:p>
        </w:tc>
        <w:tc>
          <w:tcPr>
            <w:tcW w:w="794" w:type="dxa"/>
            <w:tcBorders>
              <w:top w:val="single" w:sz="4" w:space="0" w:color="000000" w:themeColor="text1"/>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30,80</w:t>
            </w:r>
          </w:p>
        </w:tc>
        <w:tc>
          <w:tcPr>
            <w:tcW w:w="794" w:type="dxa"/>
            <w:tcBorders>
              <w:top w:val="single" w:sz="4" w:space="0" w:color="000000" w:themeColor="text1"/>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31,29</w:t>
            </w:r>
          </w:p>
        </w:tc>
        <w:tc>
          <w:tcPr>
            <w:tcW w:w="794" w:type="dxa"/>
            <w:tcBorders>
              <w:top w:val="single" w:sz="4" w:space="0" w:color="000000" w:themeColor="text1"/>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28,86</w:t>
            </w:r>
          </w:p>
        </w:tc>
        <w:tc>
          <w:tcPr>
            <w:tcW w:w="794" w:type="dxa"/>
            <w:tcBorders>
              <w:top w:val="single" w:sz="4" w:space="0" w:color="000000" w:themeColor="text1"/>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28,46</w:t>
            </w:r>
          </w:p>
        </w:tc>
        <w:tc>
          <w:tcPr>
            <w:tcW w:w="794" w:type="dxa"/>
            <w:tcBorders>
              <w:top w:val="single" w:sz="4" w:space="0" w:color="000000" w:themeColor="text1"/>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30,29</w:t>
            </w:r>
          </w:p>
        </w:tc>
      </w:tr>
      <w:tr w:rsidR="005B23B4" w:rsidRPr="004B61DC" w:rsidTr="00B616C4">
        <w:trPr>
          <w:trHeight w:val="340"/>
        </w:trPr>
        <w:tc>
          <w:tcPr>
            <w:tcW w:w="3515" w:type="dxa"/>
            <w:tcBorders>
              <w:bottom w:val="nil"/>
            </w:tcBorders>
            <w:shd w:val="clear" w:color="auto" w:fill="auto"/>
          </w:tcPr>
          <w:p w:rsidR="005B23B4" w:rsidRPr="004B61DC" w:rsidRDefault="005B23B4" w:rsidP="00BA1693">
            <w:pPr>
              <w:spacing w:before="0" w:after="200"/>
              <w:contextualSpacing/>
              <w:jc w:val="left"/>
              <w:rPr>
                <w:rFonts w:ascii="Century" w:hAnsi="Century"/>
                <w:b/>
                <w:sz w:val="20"/>
                <w:szCs w:val="20"/>
              </w:rPr>
            </w:pPr>
            <w:r w:rsidRPr="004B61DC">
              <w:rPr>
                <w:rFonts w:ascii="Century" w:hAnsi="Century"/>
                <w:b/>
                <w:sz w:val="20"/>
                <w:szCs w:val="20"/>
              </w:rPr>
              <w:t>Доходы от налогов и пошлин, связанных с обложением нефти, газа и нефтепродуктов</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9,98</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10,18</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9,65</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10,01</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7,39</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6,11</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
                <w:bCs/>
                <w:color w:val="000000"/>
                <w:sz w:val="20"/>
                <w:szCs w:val="20"/>
              </w:rPr>
            </w:pPr>
            <w:r w:rsidRPr="005B23B4">
              <w:rPr>
                <w:rFonts w:ascii="Century" w:hAnsi="Century" w:cs="Arial"/>
                <w:b/>
                <w:bCs/>
                <w:color w:val="000000"/>
                <w:sz w:val="20"/>
                <w:szCs w:val="20"/>
              </w:rPr>
              <w:t>6,85</w:t>
            </w:r>
          </w:p>
        </w:tc>
      </w:tr>
      <w:tr w:rsidR="005B23B4" w:rsidRPr="004B61DC" w:rsidTr="00B616C4">
        <w:trPr>
          <w:trHeight w:val="340"/>
        </w:trPr>
        <w:tc>
          <w:tcPr>
            <w:tcW w:w="3515" w:type="dxa"/>
            <w:tcBorders>
              <w:bottom w:val="nil"/>
            </w:tcBorders>
            <w:shd w:val="clear" w:color="auto" w:fill="auto"/>
          </w:tcPr>
          <w:p w:rsidR="005B23B4" w:rsidRPr="004B61DC" w:rsidRDefault="005B23B4" w:rsidP="00BA1693">
            <w:pPr>
              <w:spacing w:before="0" w:after="200"/>
              <w:contextualSpacing/>
              <w:jc w:val="left"/>
              <w:rPr>
                <w:rFonts w:ascii="Century" w:hAnsi="Century"/>
                <w:sz w:val="20"/>
                <w:szCs w:val="20"/>
              </w:rPr>
            </w:pPr>
            <w:r w:rsidRPr="004B61DC">
              <w:rPr>
                <w:rFonts w:ascii="Century" w:hAnsi="Century"/>
                <w:sz w:val="20"/>
                <w:szCs w:val="20"/>
              </w:rPr>
              <w:lastRenderedPageBreak/>
              <w:t xml:space="preserve">  из них:</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i/>
                <w:iCs/>
                <w:sz w:val="20"/>
                <w:szCs w:val="20"/>
              </w:rPr>
            </w:pP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i/>
                <w:iCs/>
                <w:sz w:val="20"/>
                <w:szCs w:val="20"/>
              </w:rPr>
            </w:pP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i/>
                <w:iCs/>
                <w:sz w:val="20"/>
                <w:szCs w:val="20"/>
              </w:rPr>
            </w:pP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i/>
                <w:iCs/>
                <w:sz w:val="20"/>
                <w:szCs w:val="20"/>
              </w:rPr>
            </w:pP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i/>
                <w:iCs/>
                <w:sz w:val="20"/>
                <w:szCs w:val="20"/>
              </w:rPr>
            </w:pP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i/>
                <w:iCs/>
                <w:sz w:val="20"/>
                <w:szCs w:val="20"/>
              </w:rPr>
            </w:pP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i/>
                <w:iCs/>
                <w:sz w:val="20"/>
                <w:szCs w:val="20"/>
              </w:rPr>
            </w:pPr>
          </w:p>
        </w:tc>
      </w:tr>
      <w:tr w:rsidR="005B23B4" w:rsidRPr="004B61DC" w:rsidTr="00B616C4">
        <w:trPr>
          <w:trHeight w:val="340"/>
        </w:trPr>
        <w:tc>
          <w:tcPr>
            <w:tcW w:w="3515" w:type="dxa"/>
            <w:tcBorders>
              <w:bottom w:val="nil"/>
            </w:tcBorders>
            <w:shd w:val="clear" w:color="auto" w:fill="F2F2F2" w:themeFill="background1" w:themeFillShade="F2"/>
          </w:tcPr>
          <w:p w:rsidR="005B23B4" w:rsidRPr="004B61DC" w:rsidRDefault="005B23B4" w:rsidP="00BA1693">
            <w:pPr>
              <w:spacing w:before="0" w:after="200"/>
              <w:contextualSpacing/>
              <w:jc w:val="left"/>
              <w:rPr>
                <w:rFonts w:ascii="Century" w:hAnsi="Century"/>
                <w:sz w:val="20"/>
                <w:szCs w:val="20"/>
              </w:rPr>
            </w:pPr>
            <w:r w:rsidRPr="004B61DC">
              <w:rPr>
                <w:rFonts w:ascii="Century" w:hAnsi="Century"/>
                <w:sz w:val="20"/>
                <w:szCs w:val="20"/>
              </w:rPr>
              <w:t>НДПИ на нефть</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3,06</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3,13</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2,99</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3,11</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3,24</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2,72</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3,64</w:t>
            </w:r>
          </w:p>
        </w:tc>
      </w:tr>
      <w:tr w:rsidR="005B23B4" w:rsidRPr="004B61DC" w:rsidTr="00B616C4">
        <w:trPr>
          <w:trHeight w:val="340"/>
        </w:trPr>
        <w:tc>
          <w:tcPr>
            <w:tcW w:w="3515" w:type="dxa"/>
            <w:tcBorders>
              <w:bottom w:val="nil"/>
            </w:tcBorders>
            <w:shd w:val="clear" w:color="auto" w:fill="auto"/>
          </w:tcPr>
          <w:p w:rsidR="005B23B4" w:rsidRPr="004B61DC" w:rsidRDefault="005B23B4" w:rsidP="00BA1693">
            <w:pPr>
              <w:spacing w:before="0" w:after="200"/>
              <w:contextualSpacing/>
              <w:jc w:val="left"/>
              <w:rPr>
                <w:rFonts w:ascii="Century" w:hAnsi="Century"/>
                <w:sz w:val="20"/>
                <w:szCs w:val="20"/>
              </w:rPr>
            </w:pPr>
            <w:r w:rsidRPr="004B61DC">
              <w:rPr>
                <w:rFonts w:ascii="Century" w:hAnsi="Century"/>
                <w:sz w:val="20"/>
                <w:szCs w:val="20"/>
              </w:rPr>
              <w:t>НДПИ на газ</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0,24</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0,39</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0,44</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0,47</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0,51</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0,57</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0,73</w:t>
            </w:r>
          </w:p>
        </w:tc>
      </w:tr>
      <w:tr w:rsidR="005B23B4" w:rsidRPr="004B61DC" w:rsidTr="00B616C4">
        <w:trPr>
          <w:trHeight w:val="340"/>
        </w:trPr>
        <w:tc>
          <w:tcPr>
            <w:tcW w:w="3515" w:type="dxa"/>
            <w:tcBorders>
              <w:bottom w:val="nil"/>
            </w:tcBorders>
            <w:shd w:val="clear" w:color="auto" w:fill="F2F2F2" w:themeFill="background1" w:themeFillShade="F2"/>
          </w:tcPr>
          <w:p w:rsidR="005B23B4" w:rsidRPr="004B61DC" w:rsidRDefault="005B23B4" w:rsidP="00BA1693">
            <w:pPr>
              <w:spacing w:before="0" w:after="200"/>
              <w:ind w:left="459"/>
              <w:contextualSpacing/>
              <w:jc w:val="left"/>
              <w:rPr>
                <w:rFonts w:ascii="Century" w:hAnsi="Century"/>
                <w:sz w:val="20"/>
                <w:szCs w:val="20"/>
              </w:rPr>
            </w:pPr>
            <w:r w:rsidRPr="004B61DC">
              <w:rPr>
                <w:rFonts w:ascii="Century" w:hAnsi="Century"/>
                <w:sz w:val="20"/>
                <w:szCs w:val="20"/>
              </w:rPr>
              <w:t>Акцизы на нефтепродукты</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0,47</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0,54</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0,57</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0,49</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0,36</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0,49</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0,36</w:t>
            </w:r>
          </w:p>
        </w:tc>
      </w:tr>
      <w:tr w:rsidR="005B23B4" w:rsidRPr="004B61DC" w:rsidTr="00B616C4">
        <w:trPr>
          <w:trHeight w:val="340"/>
        </w:trPr>
        <w:tc>
          <w:tcPr>
            <w:tcW w:w="3515" w:type="dxa"/>
            <w:tcBorders>
              <w:bottom w:val="nil"/>
            </w:tcBorders>
            <w:shd w:val="clear" w:color="auto" w:fill="auto"/>
          </w:tcPr>
          <w:p w:rsidR="005B23B4" w:rsidRPr="004B61DC" w:rsidRDefault="005B23B4" w:rsidP="00BA1693">
            <w:pPr>
              <w:spacing w:before="0" w:after="200"/>
              <w:ind w:left="459"/>
              <w:contextualSpacing/>
              <w:jc w:val="left"/>
              <w:rPr>
                <w:rFonts w:ascii="Century" w:hAnsi="Century"/>
                <w:sz w:val="20"/>
                <w:szCs w:val="20"/>
              </w:rPr>
            </w:pPr>
            <w:r w:rsidRPr="004B61DC">
              <w:rPr>
                <w:rFonts w:ascii="Century" w:hAnsi="Century"/>
                <w:sz w:val="20"/>
                <w:szCs w:val="20"/>
              </w:rPr>
              <w:t>Вывозные таможенные пошлины на нефть</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3,87</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3,65</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3,19</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3,31</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1,72</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1,20</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1,06</w:t>
            </w:r>
          </w:p>
        </w:tc>
      </w:tr>
      <w:tr w:rsidR="005B23B4" w:rsidRPr="004B61DC" w:rsidTr="00B616C4">
        <w:trPr>
          <w:trHeight w:val="340"/>
        </w:trPr>
        <w:tc>
          <w:tcPr>
            <w:tcW w:w="3515" w:type="dxa"/>
            <w:tcBorders>
              <w:bottom w:val="nil"/>
            </w:tcBorders>
            <w:shd w:val="clear" w:color="auto" w:fill="F2F2F2" w:themeFill="background1" w:themeFillShade="F2"/>
          </w:tcPr>
          <w:p w:rsidR="005B23B4" w:rsidRPr="004B61DC" w:rsidRDefault="005B23B4" w:rsidP="00BA1693">
            <w:pPr>
              <w:spacing w:before="0" w:after="200"/>
              <w:ind w:left="459"/>
              <w:contextualSpacing/>
              <w:jc w:val="left"/>
              <w:rPr>
                <w:rFonts w:ascii="Century" w:hAnsi="Century"/>
                <w:sz w:val="20"/>
                <w:szCs w:val="20"/>
              </w:rPr>
            </w:pPr>
            <w:r w:rsidRPr="004B61DC">
              <w:rPr>
                <w:rFonts w:ascii="Century" w:hAnsi="Century"/>
                <w:sz w:val="20"/>
                <w:szCs w:val="20"/>
              </w:rPr>
              <w:t>Вывозные таможенные пошлины на газ</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0,64</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0,64</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0,66</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0,62</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0,66</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0,62</w:t>
            </w:r>
          </w:p>
        </w:tc>
        <w:tc>
          <w:tcPr>
            <w:tcW w:w="794" w:type="dxa"/>
            <w:tcBorders>
              <w:bottom w:val="nil"/>
            </w:tcBorders>
            <w:shd w:val="clear" w:color="auto" w:fill="F2F2F2" w:themeFill="background1" w:themeFillShade="F2"/>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0,63</w:t>
            </w:r>
          </w:p>
        </w:tc>
      </w:tr>
      <w:tr w:rsidR="005B23B4" w:rsidRPr="004B61DC" w:rsidTr="00B616C4">
        <w:trPr>
          <w:trHeight w:val="340"/>
        </w:trPr>
        <w:tc>
          <w:tcPr>
            <w:tcW w:w="3515" w:type="dxa"/>
            <w:tcBorders>
              <w:bottom w:val="nil"/>
            </w:tcBorders>
            <w:shd w:val="clear" w:color="auto" w:fill="auto"/>
          </w:tcPr>
          <w:p w:rsidR="005B23B4" w:rsidRPr="004B61DC" w:rsidRDefault="005B23B4" w:rsidP="00BA1693">
            <w:pPr>
              <w:spacing w:before="0" w:after="200"/>
              <w:ind w:left="459"/>
              <w:contextualSpacing/>
              <w:jc w:val="left"/>
              <w:rPr>
                <w:rFonts w:ascii="Century" w:hAnsi="Century"/>
                <w:sz w:val="20"/>
                <w:szCs w:val="20"/>
              </w:rPr>
            </w:pPr>
            <w:r w:rsidRPr="004B61DC">
              <w:rPr>
                <w:rFonts w:ascii="Century" w:hAnsi="Century"/>
                <w:sz w:val="20"/>
                <w:szCs w:val="20"/>
              </w:rPr>
              <w:t>Вывозные таможенные пошлины на нефтепродукты</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1,55</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1,66</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1,65</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1,88</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0,90</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0,52</w:t>
            </w:r>
          </w:p>
        </w:tc>
        <w:tc>
          <w:tcPr>
            <w:tcW w:w="794" w:type="dxa"/>
            <w:tcBorders>
              <w:bottom w:val="nil"/>
            </w:tcBorders>
            <w:shd w:val="clear" w:color="auto" w:fill="auto"/>
          </w:tcPr>
          <w:p w:rsidR="005B23B4" w:rsidRPr="005B23B4" w:rsidRDefault="005B23B4" w:rsidP="00B616C4">
            <w:pPr>
              <w:spacing w:before="0" w:afterLines="200" w:after="480"/>
              <w:contextualSpacing/>
              <w:jc w:val="center"/>
              <w:rPr>
                <w:rFonts w:ascii="Century" w:hAnsi="Century" w:cs="Arial"/>
                <w:bCs/>
                <w:color w:val="000000"/>
                <w:sz w:val="20"/>
                <w:szCs w:val="20"/>
              </w:rPr>
            </w:pPr>
            <w:r w:rsidRPr="005B23B4">
              <w:rPr>
                <w:rFonts w:ascii="Century" w:hAnsi="Century" w:cs="Arial"/>
                <w:bCs/>
                <w:color w:val="000000"/>
                <w:sz w:val="20"/>
                <w:szCs w:val="20"/>
              </w:rPr>
              <w:t>0,43</w:t>
            </w:r>
          </w:p>
        </w:tc>
      </w:tr>
      <w:tr w:rsidR="005B23B4" w:rsidRPr="004B61DC" w:rsidTr="00B616C4">
        <w:trPr>
          <w:trHeight w:val="340"/>
        </w:trPr>
        <w:tc>
          <w:tcPr>
            <w:tcW w:w="3515" w:type="dxa"/>
            <w:tcBorders>
              <w:bottom w:val="nil"/>
            </w:tcBorders>
            <w:shd w:val="clear" w:color="auto" w:fill="F2F2F2" w:themeFill="background1" w:themeFillShade="F2"/>
          </w:tcPr>
          <w:p w:rsidR="005B23B4" w:rsidRPr="004B61DC" w:rsidRDefault="005B23B4" w:rsidP="00BA1693">
            <w:pPr>
              <w:spacing w:before="0" w:after="200"/>
              <w:ind w:left="459"/>
              <w:contextualSpacing/>
              <w:jc w:val="left"/>
              <w:rPr>
                <w:rFonts w:ascii="Century" w:hAnsi="Century"/>
                <w:sz w:val="20"/>
                <w:szCs w:val="20"/>
              </w:rPr>
            </w:pPr>
            <w:r w:rsidRPr="004B61DC">
              <w:rPr>
                <w:rFonts w:ascii="Century" w:hAnsi="Century"/>
                <w:sz w:val="20"/>
                <w:szCs w:val="20"/>
              </w:rPr>
              <w:t>Таможенная пошлина (при вывозе из РБ за пределы ТС нефти сырой и отдельных категорий товаров, выработанных из нефти)</w:t>
            </w:r>
          </w:p>
        </w:tc>
        <w:tc>
          <w:tcPr>
            <w:tcW w:w="794" w:type="dxa"/>
            <w:tcBorders>
              <w:bottom w:val="nil"/>
            </w:tcBorders>
            <w:shd w:val="clear" w:color="auto" w:fill="F2F2F2" w:themeFill="background1" w:themeFillShade="F2"/>
          </w:tcPr>
          <w:p w:rsidR="005B23B4" w:rsidRPr="005B23B4" w:rsidRDefault="005B23B4"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0,15</w:t>
            </w:r>
          </w:p>
        </w:tc>
        <w:tc>
          <w:tcPr>
            <w:tcW w:w="794" w:type="dxa"/>
            <w:tcBorders>
              <w:bottom w:val="nil"/>
            </w:tcBorders>
            <w:shd w:val="clear" w:color="auto" w:fill="F2F2F2" w:themeFill="background1" w:themeFillShade="F2"/>
          </w:tcPr>
          <w:p w:rsidR="005B23B4" w:rsidRPr="005B23B4" w:rsidRDefault="005B23B4"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0,17</w:t>
            </w:r>
          </w:p>
        </w:tc>
        <w:tc>
          <w:tcPr>
            <w:tcW w:w="794" w:type="dxa"/>
            <w:tcBorders>
              <w:bottom w:val="nil"/>
            </w:tcBorders>
            <w:shd w:val="clear" w:color="auto" w:fill="F2F2F2" w:themeFill="background1" w:themeFillShade="F2"/>
          </w:tcPr>
          <w:p w:rsidR="005B23B4" w:rsidRPr="005B23B4" w:rsidRDefault="005B23B4"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0,14</w:t>
            </w:r>
          </w:p>
        </w:tc>
        <w:tc>
          <w:tcPr>
            <w:tcW w:w="794" w:type="dxa"/>
            <w:tcBorders>
              <w:bottom w:val="nil"/>
            </w:tcBorders>
            <w:shd w:val="clear" w:color="auto" w:fill="F2F2F2" w:themeFill="background1" w:themeFillShade="F2"/>
          </w:tcPr>
          <w:p w:rsidR="005B23B4" w:rsidRPr="005B23B4" w:rsidRDefault="005B23B4"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0,14</w:t>
            </w:r>
          </w:p>
        </w:tc>
        <w:tc>
          <w:tcPr>
            <w:tcW w:w="794" w:type="dxa"/>
            <w:tcBorders>
              <w:bottom w:val="nil"/>
            </w:tcBorders>
            <w:shd w:val="clear" w:color="auto" w:fill="F2F2F2" w:themeFill="background1" w:themeFillShade="F2"/>
          </w:tcPr>
          <w:p w:rsidR="005B23B4" w:rsidRPr="005B23B4" w:rsidRDefault="005B23B4"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0,00</w:t>
            </w:r>
          </w:p>
        </w:tc>
        <w:tc>
          <w:tcPr>
            <w:tcW w:w="794" w:type="dxa"/>
            <w:tcBorders>
              <w:bottom w:val="nil"/>
            </w:tcBorders>
            <w:shd w:val="clear" w:color="auto" w:fill="F2F2F2" w:themeFill="background1" w:themeFillShade="F2"/>
          </w:tcPr>
          <w:p w:rsidR="005B23B4" w:rsidRPr="005B23B4" w:rsidRDefault="005B23B4"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0,00</w:t>
            </w:r>
          </w:p>
        </w:tc>
        <w:tc>
          <w:tcPr>
            <w:tcW w:w="794" w:type="dxa"/>
            <w:tcBorders>
              <w:bottom w:val="nil"/>
            </w:tcBorders>
            <w:shd w:val="clear" w:color="auto" w:fill="F2F2F2" w:themeFill="background1" w:themeFillShade="F2"/>
          </w:tcPr>
          <w:p w:rsidR="005B23B4" w:rsidRPr="005B23B4" w:rsidRDefault="005B23B4" w:rsidP="00B616C4">
            <w:pPr>
              <w:spacing w:before="0" w:after="200"/>
              <w:contextualSpacing/>
              <w:jc w:val="center"/>
              <w:rPr>
                <w:rFonts w:ascii="Century" w:hAnsi="Century" w:cs="Arial"/>
                <w:bCs/>
                <w:color w:val="000000"/>
                <w:sz w:val="20"/>
                <w:szCs w:val="20"/>
              </w:rPr>
            </w:pPr>
            <w:r w:rsidRPr="005B23B4">
              <w:rPr>
                <w:rFonts w:ascii="Century" w:hAnsi="Century" w:cs="Arial"/>
                <w:bCs/>
                <w:color w:val="000000"/>
                <w:sz w:val="20"/>
                <w:szCs w:val="20"/>
              </w:rPr>
              <w:t>0,00</w:t>
            </w:r>
          </w:p>
        </w:tc>
      </w:tr>
      <w:tr w:rsidR="005B23B4" w:rsidRPr="004B61DC" w:rsidTr="00B616C4">
        <w:trPr>
          <w:trHeight w:val="340"/>
        </w:trPr>
        <w:tc>
          <w:tcPr>
            <w:tcW w:w="3515" w:type="dxa"/>
            <w:tcBorders>
              <w:bottom w:val="single" w:sz="4" w:space="0" w:color="000000" w:themeColor="text1"/>
            </w:tcBorders>
            <w:shd w:val="clear" w:color="auto" w:fill="auto"/>
          </w:tcPr>
          <w:p w:rsidR="005B23B4" w:rsidRPr="004B61DC" w:rsidRDefault="005B23B4" w:rsidP="00BA1693">
            <w:pPr>
              <w:spacing w:before="0" w:after="200"/>
              <w:contextualSpacing/>
              <w:jc w:val="left"/>
              <w:rPr>
                <w:rFonts w:ascii="Century" w:hAnsi="Century"/>
                <w:b/>
                <w:sz w:val="20"/>
                <w:szCs w:val="20"/>
              </w:rPr>
            </w:pPr>
            <w:r w:rsidRPr="004B61DC">
              <w:rPr>
                <w:rFonts w:ascii="Century" w:hAnsi="Century"/>
                <w:b/>
                <w:sz w:val="20"/>
                <w:szCs w:val="20"/>
              </w:rPr>
              <w:t>Доходы от налогов и прочих платежей, не связанных с обложением нефти, газа и нефтепродуктов</w:t>
            </w:r>
          </w:p>
        </w:tc>
        <w:tc>
          <w:tcPr>
            <w:tcW w:w="794" w:type="dxa"/>
            <w:tcBorders>
              <w:bottom w:val="single" w:sz="4" w:space="0" w:color="000000" w:themeColor="text1"/>
            </w:tcBorders>
            <w:shd w:val="clear" w:color="auto" w:fill="auto"/>
          </w:tcPr>
          <w:p w:rsidR="005B23B4" w:rsidRPr="005B23B4" w:rsidRDefault="005B23B4"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22,05</w:t>
            </w:r>
          </w:p>
        </w:tc>
        <w:tc>
          <w:tcPr>
            <w:tcW w:w="794" w:type="dxa"/>
            <w:tcBorders>
              <w:bottom w:val="single" w:sz="4" w:space="0" w:color="000000" w:themeColor="text1"/>
            </w:tcBorders>
            <w:shd w:val="clear" w:color="auto" w:fill="auto"/>
          </w:tcPr>
          <w:p w:rsidR="005B23B4" w:rsidRPr="005B23B4" w:rsidRDefault="005B23B4"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21,69</w:t>
            </w:r>
          </w:p>
        </w:tc>
        <w:tc>
          <w:tcPr>
            <w:tcW w:w="794" w:type="dxa"/>
            <w:tcBorders>
              <w:bottom w:val="single" w:sz="4" w:space="0" w:color="000000" w:themeColor="text1"/>
            </w:tcBorders>
            <w:shd w:val="clear" w:color="auto" w:fill="auto"/>
          </w:tcPr>
          <w:p w:rsidR="005B23B4" w:rsidRPr="005B23B4" w:rsidRDefault="005B23B4"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21,15</w:t>
            </w:r>
          </w:p>
        </w:tc>
        <w:tc>
          <w:tcPr>
            <w:tcW w:w="794" w:type="dxa"/>
            <w:tcBorders>
              <w:bottom w:val="single" w:sz="4" w:space="0" w:color="000000" w:themeColor="text1"/>
            </w:tcBorders>
            <w:shd w:val="clear" w:color="auto" w:fill="auto"/>
          </w:tcPr>
          <w:p w:rsidR="005B23B4" w:rsidRPr="005B23B4" w:rsidRDefault="005B23B4"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21,28</w:t>
            </w:r>
          </w:p>
        </w:tc>
        <w:tc>
          <w:tcPr>
            <w:tcW w:w="794" w:type="dxa"/>
            <w:tcBorders>
              <w:bottom w:val="single" w:sz="4" w:space="0" w:color="000000" w:themeColor="text1"/>
            </w:tcBorders>
            <w:shd w:val="clear" w:color="auto" w:fill="auto"/>
          </w:tcPr>
          <w:p w:rsidR="005B23B4" w:rsidRPr="005B23B4" w:rsidRDefault="005B23B4"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21,47</w:t>
            </w:r>
          </w:p>
        </w:tc>
        <w:tc>
          <w:tcPr>
            <w:tcW w:w="794" w:type="dxa"/>
            <w:tcBorders>
              <w:bottom w:val="single" w:sz="4" w:space="0" w:color="000000" w:themeColor="text1"/>
            </w:tcBorders>
            <w:shd w:val="clear" w:color="auto" w:fill="auto"/>
          </w:tcPr>
          <w:p w:rsidR="005B23B4" w:rsidRPr="005B23B4" w:rsidRDefault="005B23B4"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22,35</w:t>
            </w:r>
          </w:p>
        </w:tc>
        <w:tc>
          <w:tcPr>
            <w:tcW w:w="794" w:type="dxa"/>
            <w:tcBorders>
              <w:bottom w:val="single" w:sz="4" w:space="0" w:color="000000" w:themeColor="text1"/>
            </w:tcBorders>
            <w:shd w:val="clear" w:color="auto" w:fill="auto"/>
          </w:tcPr>
          <w:p w:rsidR="005B23B4" w:rsidRPr="005B23B4" w:rsidRDefault="005B23B4" w:rsidP="00B616C4">
            <w:pPr>
              <w:spacing w:before="0" w:after="200"/>
              <w:contextualSpacing/>
              <w:jc w:val="center"/>
              <w:rPr>
                <w:rFonts w:ascii="Century" w:hAnsi="Century" w:cs="Arial"/>
                <w:b/>
                <w:bCs/>
                <w:color w:val="000000"/>
                <w:sz w:val="20"/>
                <w:szCs w:val="20"/>
              </w:rPr>
            </w:pPr>
            <w:r w:rsidRPr="005B23B4">
              <w:rPr>
                <w:rFonts w:ascii="Century" w:hAnsi="Century" w:cs="Arial"/>
                <w:b/>
                <w:bCs/>
                <w:color w:val="000000"/>
                <w:sz w:val="20"/>
                <w:szCs w:val="20"/>
              </w:rPr>
              <w:t>23,44</w:t>
            </w:r>
          </w:p>
        </w:tc>
      </w:tr>
    </w:tbl>
    <w:p w:rsidR="005B23B4" w:rsidRPr="002C3C4D" w:rsidRDefault="005B23B4" w:rsidP="005B23B4">
      <w:pPr>
        <w:pBdr>
          <w:top w:val="nil"/>
          <w:left w:val="nil"/>
          <w:bottom w:val="nil"/>
          <w:right w:val="nil"/>
          <w:between w:val="nil"/>
          <w:bar w:val="nil"/>
        </w:pBdr>
        <w:tabs>
          <w:tab w:val="left" w:pos="284"/>
        </w:tabs>
        <w:spacing w:after="240"/>
        <w:rPr>
          <w:rFonts w:eastAsia="Times New Roman"/>
          <w:i/>
          <w:color w:val="000000"/>
          <w:sz w:val="18"/>
          <w:szCs w:val="18"/>
          <w:u w:color="000000"/>
          <w:bdr w:val="nil"/>
          <w:lang w:eastAsia="ru-RU"/>
        </w:rPr>
      </w:pPr>
      <w:r w:rsidRPr="002C3C4D">
        <w:rPr>
          <w:rFonts w:cs="Calibri"/>
          <w:i/>
          <w:color w:val="000000"/>
          <w:sz w:val="18"/>
          <w:szCs w:val="18"/>
          <w:u w:color="000000"/>
          <w:bdr w:val="nil"/>
          <w:lang w:eastAsia="ru-RU"/>
        </w:rPr>
        <w:t xml:space="preserve">Источники данных: ВВП – Росстат (данные по состоянию на 31.03.2017), доходы бюджета расширенного правительства – Федеральное казначейство </w:t>
      </w:r>
    </w:p>
    <w:p w:rsidR="003E0B7B" w:rsidRPr="00C75DB0" w:rsidRDefault="00925682" w:rsidP="003E0B7B">
      <w:pPr>
        <w:rPr>
          <w:u w:color="000000"/>
          <w:bdr w:val="nil"/>
          <w:lang w:eastAsia="ru-RU"/>
        </w:rPr>
      </w:pPr>
      <w:r w:rsidRPr="00473853">
        <w:rPr>
          <w:rFonts w:cs="Calibri"/>
          <w:color w:val="000000"/>
          <w:szCs w:val="28"/>
          <w:u w:color="000000"/>
          <w:bdr w:val="nil"/>
          <w:lang w:eastAsia="ru-RU"/>
        </w:rPr>
        <w:t xml:space="preserve">Средний уровень прочих сборов и неналоговых платежей, уплачиваемых организациями и предпринимателями в бюджеты бюджетной системы страны, составляет менее 1 % к ВВП. </w:t>
      </w:r>
      <w:proofErr w:type="gramStart"/>
      <w:r w:rsidRPr="00473853">
        <w:rPr>
          <w:rFonts w:cs="Calibri"/>
          <w:color w:val="000000"/>
          <w:szCs w:val="28"/>
          <w:u w:color="000000"/>
          <w:bdr w:val="nil"/>
          <w:lang w:eastAsia="ru-RU"/>
        </w:rPr>
        <w:t>В 201</w:t>
      </w:r>
      <w:r>
        <w:rPr>
          <w:rFonts w:cs="Calibri"/>
          <w:color w:val="000000"/>
          <w:szCs w:val="28"/>
          <w:u w:color="000000"/>
          <w:bdr w:val="nil"/>
          <w:lang w:eastAsia="ru-RU"/>
        </w:rPr>
        <w:t>7</w:t>
      </w:r>
      <w:r w:rsidRPr="00473853">
        <w:rPr>
          <w:rFonts w:cs="Calibri"/>
          <w:color w:val="000000"/>
          <w:szCs w:val="28"/>
          <w:u w:color="000000"/>
          <w:bdr w:val="nil"/>
          <w:lang w:eastAsia="ru-RU"/>
        </w:rPr>
        <w:t xml:space="preserve"> году совокупный уровень</w:t>
      </w:r>
      <w:r>
        <w:rPr>
          <w:rFonts w:cs="Calibri"/>
          <w:color w:val="000000"/>
          <w:szCs w:val="28"/>
          <w:u w:color="000000"/>
          <w:bdr w:val="nil"/>
          <w:lang w:eastAsia="ru-RU"/>
        </w:rPr>
        <w:t xml:space="preserve"> указанных доходов составил 0,79</w:t>
      </w:r>
      <w:r w:rsidRPr="00473853">
        <w:rPr>
          <w:rFonts w:cs="Calibri"/>
          <w:color w:val="000000"/>
          <w:szCs w:val="28"/>
          <w:u w:color="000000"/>
          <w:bdr w:val="nil"/>
          <w:lang w:eastAsia="ru-RU"/>
        </w:rPr>
        <w:t>% к ВВП</w:t>
      </w:r>
      <w:r>
        <w:rPr>
          <w:rFonts w:cs="Calibri"/>
          <w:color w:val="000000"/>
          <w:szCs w:val="28"/>
          <w:u w:color="000000"/>
          <w:bdr w:val="nil"/>
          <w:lang w:eastAsia="ru-RU"/>
        </w:rPr>
        <w:t>.</w:t>
      </w:r>
      <w:proofErr w:type="gramEnd"/>
      <w:r>
        <w:rPr>
          <w:rFonts w:cs="Calibri"/>
          <w:color w:val="000000"/>
          <w:szCs w:val="28"/>
          <w:u w:color="000000"/>
          <w:bdr w:val="nil"/>
          <w:lang w:eastAsia="ru-RU"/>
        </w:rPr>
        <w:t xml:space="preserve"> Ф</w:t>
      </w:r>
      <w:r w:rsidRPr="00473853">
        <w:rPr>
          <w:rFonts w:cs="Calibri"/>
          <w:color w:val="000000"/>
          <w:szCs w:val="28"/>
          <w:u w:color="000000"/>
          <w:bdr w:val="nil"/>
          <w:lang w:eastAsia="ru-RU"/>
        </w:rPr>
        <w:t xml:space="preserve">искальная нагрузка на экономику суммарно составила </w:t>
      </w:r>
      <w:r>
        <w:rPr>
          <w:rFonts w:cs="Calibri"/>
          <w:color w:val="000000"/>
          <w:szCs w:val="28"/>
          <w:u w:color="000000"/>
          <w:bdr w:val="nil"/>
          <w:lang w:eastAsia="ru-RU"/>
        </w:rPr>
        <w:t>31,08</w:t>
      </w:r>
      <w:r w:rsidRPr="00473853">
        <w:rPr>
          <w:rFonts w:cs="Calibri"/>
          <w:color w:val="000000"/>
          <w:szCs w:val="28"/>
          <w:u w:color="000000"/>
          <w:bdr w:val="nil"/>
          <w:lang w:eastAsia="ru-RU"/>
        </w:rPr>
        <w:t>% к ВВП (таблица 3).</w:t>
      </w:r>
    </w:p>
    <w:p w:rsidR="00BA1693" w:rsidRPr="00DE50E3" w:rsidRDefault="00BA1693" w:rsidP="00BA1693">
      <w:pPr>
        <w:pBdr>
          <w:top w:val="nil"/>
          <w:left w:val="nil"/>
          <w:bottom w:val="nil"/>
          <w:right w:val="nil"/>
          <w:between w:val="nil"/>
          <w:bar w:val="nil"/>
        </w:pBdr>
        <w:tabs>
          <w:tab w:val="left" w:pos="284"/>
        </w:tabs>
        <w:rPr>
          <w:rFonts w:cs="Calibri"/>
          <w:color w:val="000000"/>
          <w:u w:color="000000"/>
          <w:bdr w:val="nil"/>
          <w:lang w:eastAsia="ru-RU"/>
        </w:rPr>
      </w:pPr>
      <w:r w:rsidRPr="00DE50E3">
        <w:rPr>
          <w:rFonts w:cs="Calibri"/>
          <w:b/>
          <w:color w:val="000000"/>
          <w:u w:color="000000"/>
          <w:bdr w:val="nil"/>
          <w:lang w:eastAsia="ru-RU"/>
        </w:rPr>
        <w:t>Таблица 3.</w:t>
      </w:r>
      <w:r w:rsidRPr="002C3C4D">
        <w:rPr>
          <w:rFonts w:cs="Calibri"/>
          <w:color w:val="000000"/>
          <w:u w:color="000000"/>
          <w:bdr w:val="nil"/>
          <w:lang w:eastAsia="ru-RU"/>
        </w:rPr>
        <w:t xml:space="preserve"> </w:t>
      </w:r>
      <w:r w:rsidRPr="00E7331F">
        <w:rPr>
          <w:rFonts w:cs="Calibri"/>
          <w:bCs/>
          <w:color w:val="000000"/>
          <w:u w:color="000000"/>
          <w:bdr w:val="nil"/>
          <w:lang w:eastAsia="ru-RU"/>
        </w:rPr>
        <w:t>Фискальная нагрузка (налоги и платежи, поступающие в бюджетную систему Российской Федерации) на экономику Российской Федерации в 201</w:t>
      </w:r>
      <w:r w:rsidR="00000377">
        <w:rPr>
          <w:rFonts w:cs="Calibri"/>
          <w:bCs/>
          <w:color w:val="000000"/>
          <w:u w:color="000000"/>
          <w:bdr w:val="nil"/>
          <w:lang w:eastAsia="ru-RU"/>
        </w:rPr>
        <w:t>1</w:t>
      </w:r>
      <w:r w:rsidRPr="00E7331F">
        <w:rPr>
          <w:rFonts w:cs="Calibri"/>
          <w:bCs/>
          <w:color w:val="000000"/>
          <w:u w:color="000000"/>
          <w:bdr w:val="nil"/>
          <w:lang w:eastAsia="ru-RU"/>
        </w:rPr>
        <w:t xml:space="preserve"> – 201</w:t>
      </w:r>
      <w:r w:rsidR="00000377">
        <w:rPr>
          <w:rFonts w:cs="Calibri"/>
          <w:bCs/>
          <w:color w:val="000000"/>
          <w:u w:color="000000"/>
          <w:bdr w:val="nil"/>
          <w:lang w:eastAsia="ru-RU"/>
        </w:rPr>
        <w:t>7</w:t>
      </w:r>
      <w:r w:rsidRPr="00E7331F">
        <w:rPr>
          <w:rFonts w:cs="Calibri"/>
          <w:bCs/>
          <w:color w:val="000000"/>
          <w:u w:color="000000"/>
          <w:bdr w:val="nil"/>
          <w:lang w:eastAsia="ru-RU"/>
        </w:rPr>
        <w:t xml:space="preserve"> гг. (% к ВВП)</w:t>
      </w:r>
    </w:p>
    <w:tbl>
      <w:tblPr>
        <w:tblW w:w="9236" w:type="dxa"/>
        <w:shd w:val="clear" w:color="auto" w:fill="CED7E7"/>
        <w:tblLayout w:type="fixed"/>
        <w:tblCellMar>
          <w:left w:w="0" w:type="dxa"/>
          <w:right w:w="0" w:type="dxa"/>
        </w:tblCellMar>
        <w:tblLook w:val="04A0" w:firstRow="1" w:lastRow="0" w:firstColumn="1" w:lastColumn="0" w:noHBand="0" w:noVBand="1"/>
      </w:tblPr>
      <w:tblGrid>
        <w:gridCol w:w="80"/>
        <w:gridCol w:w="3265"/>
        <w:gridCol w:w="80"/>
        <w:gridCol w:w="750"/>
        <w:gridCol w:w="80"/>
        <w:gridCol w:w="750"/>
        <w:gridCol w:w="80"/>
        <w:gridCol w:w="750"/>
        <w:gridCol w:w="80"/>
        <w:gridCol w:w="750"/>
        <w:gridCol w:w="80"/>
        <w:gridCol w:w="750"/>
        <w:gridCol w:w="80"/>
        <w:gridCol w:w="750"/>
        <w:gridCol w:w="80"/>
        <w:gridCol w:w="751"/>
        <w:gridCol w:w="80"/>
      </w:tblGrid>
      <w:tr w:rsidR="00BA1693" w:rsidRPr="004B61DC" w:rsidTr="00917B18">
        <w:trPr>
          <w:gridBefore w:val="1"/>
          <w:wBefore w:w="80" w:type="dxa"/>
          <w:trHeight w:val="283"/>
        </w:trPr>
        <w:tc>
          <w:tcPr>
            <w:tcW w:w="3345" w:type="dxa"/>
            <w:gridSpan w:val="2"/>
            <w:tcBorders>
              <w:bottom w:val="single" w:sz="4" w:space="0" w:color="000000" w:themeColor="text1"/>
            </w:tcBorders>
            <w:shd w:val="clear" w:color="auto" w:fill="FFFFFF"/>
            <w:tcMar>
              <w:top w:w="80" w:type="dxa"/>
              <w:left w:w="80" w:type="dxa"/>
              <w:bottom w:w="80" w:type="dxa"/>
              <w:right w:w="80" w:type="dxa"/>
            </w:tcMar>
            <w:vAlign w:val="center"/>
          </w:tcPr>
          <w:p w:rsidR="00BA1693" w:rsidRPr="004B61DC" w:rsidRDefault="00BA1693" w:rsidP="00917B18">
            <w:pPr>
              <w:pBdr>
                <w:top w:val="nil"/>
                <w:left w:val="nil"/>
                <w:bottom w:val="nil"/>
                <w:right w:val="nil"/>
                <w:between w:val="nil"/>
                <w:bar w:val="nil"/>
              </w:pBdr>
              <w:tabs>
                <w:tab w:val="left" w:pos="284"/>
              </w:tabs>
              <w:spacing w:after="0" w:line="240" w:lineRule="auto"/>
              <w:ind w:left="426"/>
              <w:rPr>
                <w:rFonts w:ascii="Century" w:hAnsi="Century"/>
                <w:color w:val="000000"/>
                <w:sz w:val="20"/>
                <w:szCs w:val="20"/>
                <w:u w:color="000000"/>
                <w:bdr w:val="nil"/>
              </w:rPr>
            </w:pPr>
            <w:r w:rsidRPr="004B61DC">
              <w:rPr>
                <w:rFonts w:ascii="Century" w:hAnsi="Century"/>
                <w:b/>
                <w:bCs/>
                <w:i/>
                <w:iCs/>
                <w:color w:val="000000"/>
                <w:sz w:val="20"/>
                <w:szCs w:val="20"/>
                <w:u w:color="000000"/>
                <w:bdr w:val="nil"/>
              </w:rPr>
              <w:t> </w:t>
            </w:r>
          </w:p>
        </w:tc>
        <w:tc>
          <w:tcPr>
            <w:tcW w:w="830" w:type="dxa"/>
            <w:gridSpan w:val="2"/>
            <w:tcBorders>
              <w:bottom w:val="single" w:sz="4" w:space="0" w:color="000000" w:themeColor="text1"/>
            </w:tcBorders>
            <w:shd w:val="clear" w:color="auto" w:fill="FFFFFF"/>
            <w:tcMar>
              <w:top w:w="80" w:type="dxa"/>
              <w:left w:w="80" w:type="dxa"/>
              <w:bottom w:w="80" w:type="dxa"/>
              <w:right w:w="80" w:type="dxa"/>
            </w:tcMar>
            <w:vAlign w:val="center"/>
          </w:tcPr>
          <w:p w:rsidR="00BA1693" w:rsidRPr="00BA1693" w:rsidRDefault="00BA169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2011</w:t>
            </w:r>
          </w:p>
        </w:tc>
        <w:tc>
          <w:tcPr>
            <w:tcW w:w="830" w:type="dxa"/>
            <w:gridSpan w:val="2"/>
            <w:tcBorders>
              <w:bottom w:val="single" w:sz="4" w:space="0" w:color="000000" w:themeColor="text1"/>
            </w:tcBorders>
            <w:shd w:val="clear" w:color="auto" w:fill="FFFFFF"/>
            <w:tcMar>
              <w:top w:w="80" w:type="dxa"/>
              <w:left w:w="80" w:type="dxa"/>
              <w:bottom w:w="80" w:type="dxa"/>
              <w:right w:w="80" w:type="dxa"/>
            </w:tcMar>
            <w:vAlign w:val="center"/>
          </w:tcPr>
          <w:p w:rsidR="00BA1693" w:rsidRPr="00BA1693" w:rsidRDefault="00BA169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2012</w:t>
            </w:r>
          </w:p>
        </w:tc>
        <w:tc>
          <w:tcPr>
            <w:tcW w:w="830" w:type="dxa"/>
            <w:gridSpan w:val="2"/>
            <w:tcBorders>
              <w:bottom w:val="single" w:sz="4" w:space="0" w:color="000000" w:themeColor="text1"/>
            </w:tcBorders>
            <w:shd w:val="clear" w:color="auto" w:fill="FFFFFF"/>
            <w:tcMar>
              <w:top w:w="80" w:type="dxa"/>
              <w:left w:w="80" w:type="dxa"/>
              <w:bottom w:w="80" w:type="dxa"/>
              <w:right w:w="80" w:type="dxa"/>
            </w:tcMar>
            <w:vAlign w:val="center"/>
          </w:tcPr>
          <w:p w:rsidR="00BA1693" w:rsidRPr="00BA1693" w:rsidRDefault="00BA169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2013</w:t>
            </w:r>
          </w:p>
        </w:tc>
        <w:tc>
          <w:tcPr>
            <w:tcW w:w="830" w:type="dxa"/>
            <w:gridSpan w:val="2"/>
            <w:tcBorders>
              <w:bottom w:val="single" w:sz="4" w:space="0" w:color="000000" w:themeColor="text1"/>
            </w:tcBorders>
            <w:shd w:val="clear" w:color="auto" w:fill="FFFFFF"/>
            <w:tcMar>
              <w:top w:w="80" w:type="dxa"/>
              <w:left w:w="80" w:type="dxa"/>
              <w:bottom w:w="80" w:type="dxa"/>
              <w:right w:w="80" w:type="dxa"/>
            </w:tcMar>
            <w:vAlign w:val="center"/>
          </w:tcPr>
          <w:p w:rsidR="00BA1693" w:rsidRPr="00BA1693" w:rsidRDefault="00BA169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2014</w:t>
            </w:r>
          </w:p>
        </w:tc>
        <w:tc>
          <w:tcPr>
            <w:tcW w:w="830" w:type="dxa"/>
            <w:gridSpan w:val="2"/>
            <w:tcBorders>
              <w:bottom w:val="single" w:sz="4" w:space="0" w:color="000000" w:themeColor="text1"/>
            </w:tcBorders>
            <w:shd w:val="clear" w:color="auto" w:fill="FFFFFF"/>
            <w:tcMar>
              <w:top w:w="80" w:type="dxa"/>
              <w:left w:w="80" w:type="dxa"/>
              <w:bottom w:w="80" w:type="dxa"/>
              <w:right w:w="80" w:type="dxa"/>
            </w:tcMar>
            <w:vAlign w:val="center"/>
          </w:tcPr>
          <w:p w:rsidR="00BA1693" w:rsidRPr="00BA1693" w:rsidRDefault="00BA169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2015</w:t>
            </w:r>
          </w:p>
        </w:tc>
        <w:tc>
          <w:tcPr>
            <w:tcW w:w="830" w:type="dxa"/>
            <w:gridSpan w:val="2"/>
            <w:tcBorders>
              <w:bottom w:val="single" w:sz="4" w:space="0" w:color="000000" w:themeColor="text1"/>
            </w:tcBorders>
            <w:shd w:val="clear" w:color="auto" w:fill="FFFFFF"/>
            <w:tcMar>
              <w:top w:w="80" w:type="dxa"/>
              <w:left w:w="80" w:type="dxa"/>
              <w:bottom w:w="80" w:type="dxa"/>
              <w:right w:w="80" w:type="dxa"/>
            </w:tcMar>
            <w:vAlign w:val="center"/>
          </w:tcPr>
          <w:p w:rsidR="00BA1693" w:rsidRPr="00BA1693" w:rsidRDefault="00BA169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2016</w:t>
            </w:r>
          </w:p>
        </w:tc>
        <w:tc>
          <w:tcPr>
            <w:tcW w:w="831" w:type="dxa"/>
            <w:gridSpan w:val="2"/>
            <w:tcBorders>
              <w:bottom w:val="single" w:sz="4" w:space="0" w:color="000000" w:themeColor="text1"/>
            </w:tcBorders>
            <w:shd w:val="clear" w:color="auto" w:fill="FFFFFF"/>
            <w:tcMar>
              <w:top w:w="80" w:type="dxa"/>
              <w:left w:w="80" w:type="dxa"/>
              <w:bottom w:w="80" w:type="dxa"/>
              <w:right w:w="80" w:type="dxa"/>
            </w:tcMar>
            <w:vAlign w:val="center"/>
          </w:tcPr>
          <w:p w:rsidR="00BA1693" w:rsidRPr="00BA1693" w:rsidRDefault="00BA1693" w:rsidP="00BA1693">
            <w:pPr>
              <w:spacing w:before="0" w:after="0"/>
              <w:jc w:val="center"/>
              <w:rPr>
                <w:rFonts w:ascii="Century" w:hAnsi="Century" w:cs="Calibri"/>
                <w:color w:val="000000"/>
                <w:sz w:val="20"/>
                <w:szCs w:val="20"/>
                <w:u w:color="000000"/>
              </w:rPr>
            </w:pPr>
            <w:r w:rsidRPr="00BA1693">
              <w:rPr>
                <w:rFonts w:ascii="Century" w:hAnsi="Century" w:cs="Calibri"/>
                <w:b/>
                <w:bCs/>
                <w:color w:val="000000"/>
                <w:sz w:val="20"/>
                <w:szCs w:val="20"/>
                <w:u w:color="000000"/>
              </w:rPr>
              <w:t>2017</w:t>
            </w:r>
          </w:p>
        </w:tc>
      </w:tr>
      <w:tr w:rsidR="00BA1693" w:rsidRPr="004B61DC" w:rsidTr="00917B18">
        <w:trPr>
          <w:gridAfter w:val="1"/>
          <w:wAfter w:w="80" w:type="dxa"/>
          <w:trHeight w:val="283"/>
        </w:trPr>
        <w:tc>
          <w:tcPr>
            <w:tcW w:w="3345"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b/>
                <w:sz w:val="20"/>
                <w:szCs w:val="20"/>
              </w:rPr>
            </w:pPr>
            <w:r w:rsidRPr="00BA1693">
              <w:rPr>
                <w:rFonts w:ascii="Century" w:hAnsi="Century"/>
                <w:b/>
                <w:sz w:val="20"/>
                <w:szCs w:val="20"/>
              </w:rPr>
              <w:t>Доходы всего</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b/>
                <w:sz w:val="20"/>
                <w:szCs w:val="20"/>
              </w:rPr>
            </w:pPr>
            <w:r w:rsidRPr="00BA1693">
              <w:rPr>
                <w:rFonts w:ascii="Century" w:hAnsi="Century"/>
                <w:b/>
                <w:sz w:val="20"/>
                <w:szCs w:val="20"/>
              </w:rPr>
              <w:t>34,60</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b/>
                <w:sz w:val="20"/>
                <w:szCs w:val="20"/>
              </w:rPr>
            </w:pPr>
            <w:r w:rsidRPr="00BA1693">
              <w:rPr>
                <w:rFonts w:ascii="Century" w:hAnsi="Century"/>
                <w:b/>
                <w:sz w:val="20"/>
                <w:szCs w:val="20"/>
              </w:rPr>
              <w:t>34,38</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b/>
                <w:sz w:val="20"/>
                <w:szCs w:val="20"/>
              </w:rPr>
            </w:pPr>
            <w:r w:rsidRPr="00BA1693">
              <w:rPr>
                <w:rFonts w:ascii="Century" w:hAnsi="Century"/>
                <w:b/>
                <w:sz w:val="20"/>
                <w:szCs w:val="20"/>
              </w:rPr>
              <w:t>33,42</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b/>
                <w:sz w:val="20"/>
                <w:szCs w:val="20"/>
              </w:rPr>
            </w:pPr>
            <w:r w:rsidRPr="00BA1693">
              <w:rPr>
                <w:rFonts w:ascii="Century" w:hAnsi="Century"/>
                <w:b/>
                <w:sz w:val="20"/>
                <w:szCs w:val="20"/>
              </w:rPr>
              <w:t>33,80</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b/>
                <w:sz w:val="20"/>
                <w:szCs w:val="20"/>
              </w:rPr>
            </w:pPr>
            <w:r w:rsidRPr="00BA1693">
              <w:rPr>
                <w:rFonts w:ascii="Century" w:hAnsi="Century"/>
                <w:b/>
                <w:sz w:val="20"/>
                <w:szCs w:val="20"/>
              </w:rPr>
              <w:t>32,29</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b/>
                <w:sz w:val="20"/>
                <w:szCs w:val="20"/>
              </w:rPr>
            </w:pPr>
            <w:r w:rsidRPr="00BA1693">
              <w:rPr>
                <w:rFonts w:ascii="Century" w:hAnsi="Century"/>
                <w:b/>
                <w:sz w:val="20"/>
                <w:szCs w:val="20"/>
              </w:rPr>
              <w:t>32,71</w:t>
            </w:r>
          </w:p>
        </w:tc>
        <w:tc>
          <w:tcPr>
            <w:tcW w:w="831"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b/>
                <w:sz w:val="20"/>
                <w:szCs w:val="20"/>
              </w:rPr>
            </w:pPr>
            <w:r w:rsidRPr="00BA1693">
              <w:rPr>
                <w:rFonts w:ascii="Century" w:hAnsi="Century"/>
                <w:b/>
                <w:sz w:val="20"/>
                <w:szCs w:val="20"/>
              </w:rPr>
              <w:t>33,73</w:t>
            </w:r>
          </w:p>
        </w:tc>
      </w:tr>
      <w:tr w:rsidR="00BA1693" w:rsidRPr="004B61DC" w:rsidTr="00917B18">
        <w:trPr>
          <w:gridAfter w:val="1"/>
          <w:wAfter w:w="80" w:type="dxa"/>
          <w:trHeight w:val="283"/>
        </w:trPr>
        <w:tc>
          <w:tcPr>
            <w:tcW w:w="3345"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в том числе</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 xml:space="preserve"> </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 xml:space="preserve"> </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 xml:space="preserve"> </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 xml:space="preserve"> </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 xml:space="preserve"> </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 xml:space="preserve"> </w:t>
            </w:r>
          </w:p>
        </w:tc>
        <w:tc>
          <w:tcPr>
            <w:tcW w:w="831"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 xml:space="preserve"> </w:t>
            </w:r>
          </w:p>
        </w:tc>
      </w:tr>
      <w:tr w:rsidR="00BA1693" w:rsidRPr="004B61DC" w:rsidTr="00917B18">
        <w:trPr>
          <w:gridAfter w:val="1"/>
          <w:wAfter w:w="80" w:type="dxa"/>
          <w:trHeight w:val="283"/>
        </w:trPr>
        <w:tc>
          <w:tcPr>
            <w:tcW w:w="3345"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Фискальная нагрузка</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32,80</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32,50</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31,61</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32,03</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29,82</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29,20</w:t>
            </w:r>
          </w:p>
        </w:tc>
        <w:tc>
          <w:tcPr>
            <w:tcW w:w="831"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31,08</w:t>
            </w:r>
          </w:p>
        </w:tc>
      </w:tr>
      <w:tr w:rsidR="00BA1693" w:rsidRPr="004B61DC" w:rsidTr="00917B18">
        <w:trPr>
          <w:gridAfter w:val="1"/>
          <w:wAfter w:w="80" w:type="dxa"/>
          <w:trHeight w:val="283"/>
        </w:trPr>
        <w:tc>
          <w:tcPr>
            <w:tcW w:w="3345" w:type="dxa"/>
            <w:gridSpan w:val="2"/>
            <w:shd w:val="clear" w:color="auto" w:fill="F2F2F2" w:themeFill="background1" w:themeFillShade="F2"/>
            <w:tcMar>
              <w:top w:w="80" w:type="dxa"/>
              <w:left w:w="271"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Налоговые доходы и платежи</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32,03</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31,86</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30,80</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31,29</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28,86</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28,46</w:t>
            </w:r>
          </w:p>
        </w:tc>
        <w:tc>
          <w:tcPr>
            <w:tcW w:w="831"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30,29</w:t>
            </w:r>
          </w:p>
        </w:tc>
      </w:tr>
      <w:tr w:rsidR="00BA1693" w:rsidRPr="004B61DC" w:rsidTr="00917B18">
        <w:trPr>
          <w:gridAfter w:val="1"/>
          <w:wAfter w:w="80" w:type="dxa"/>
          <w:trHeight w:val="283"/>
        </w:trPr>
        <w:tc>
          <w:tcPr>
            <w:tcW w:w="3345" w:type="dxa"/>
            <w:gridSpan w:val="2"/>
            <w:shd w:val="clear" w:color="auto" w:fill="auto"/>
            <w:tcMar>
              <w:top w:w="80" w:type="dxa"/>
              <w:left w:w="554"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Нефтегазовые доходы</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9,98</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10,18</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9,65</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10,01</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7,39</w:t>
            </w:r>
          </w:p>
        </w:tc>
        <w:tc>
          <w:tcPr>
            <w:tcW w:w="830"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6,11</w:t>
            </w:r>
          </w:p>
        </w:tc>
        <w:tc>
          <w:tcPr>
            <w:tcW w:w="831" w:type="dxa"/>
            <w:gridSpan w:val="2"/>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6,85</w:t>
            </w:r>
          </w:p>
        </w:tc>
      </w:tr>
      <w:tr w:rsidR="00BA1693" w:rsidRPr="004B61DC" w:rsidTr="00917B18">
        <w:trPr>
          <w:gridAfter w:val="1"/>
          <w:wAfter w:w="80" w:type="dxa"/>
          <w:trHeight w:val="283"/>
        </w:trPr>
        <w:tc>
          <w:tcPr>
            <w:tcW w:w="3345" w:type="dxa"/>
            <w:gridSpan w:val="2"/>
            <w:shd w:val="clear" w:color="auto" w:fill="F2F2F2" w:themeFill="background1" w:themeFillShade="F2"/>
            <w:tcMar>
              <w:top w:w="80" w:type="dxa"/>
              <w:left w:w="554" w:type="dxa"/>
              <w:bottom w:w="80" w:type="dxa"/>
              <w:right w:w="80" w:type="dxa"/>
            </w:tcMar>
          </w:tcPr>
          <w:p w:rsidR="00BA1693" w:rsidRPr="00BA1693" w:rsidRDefault="00BA1693" w:rsidP="000C4C89">
            <w:pPr>
              <w:spacing w:before="0" w:afterLines="200" w:after="480"/>
              <w:contextualSpacing/>
              <w:rPr>
                <w:rFonts w:ascii="Century" w:hAnsi="Century"/>
                <w:sz w:val="20"/>
                <w:szCs w:val="20"/>
              </w:rPr>
            </w:pPr>
            <w:r w:rsidRPr="00BA1693">
              <w:rPr>
                <w:rFonts w:ascii="Century" w:hAnsi="Century"/>
                <w:sz w:val="20"/>
                <w:szCs w:val="20"/>
              </w:rPr>
              <w:t>Доходы, не относящиеся к</w:t>
            </w:r>
            <w:r w:rsidR="000C4C89">
              <w:rPr>
                <w:rFonts w:ascii="Century" w:hAnsi="Century"/>
                <w:sz w:val="20"/>
                <w:szCs w:val="20"/>
              </w:rPr>
              <w:t xml:space="preserve"> </w:t>
            </w:r>
            <w:proofErr w:type="gramStart"/>
            <w:r w:rsidRPr="00BA1693">
              <w:rPr>
                <w:rFonts w:ascii="Century" w:hAnsi="Century"/>
                <w:sz w:val="20"/>
                <w:szCs w:val="20"/>
              </w:rPr>
              <w:t>нефтегазовым</w:t>
            </w:r>
            <w:proofErr w:type="gramEnd"/>
            <w:r w:rsidRPr="00BA1693">
              <w:rPr>
                <w:rFonts w:ascii="Century" w:hAnsi="Century"/>
                <w:sz w:val="20"/>
                <w:szCs w:val="20"/>
              </w:rPr>
              <w:t xml:space="preserve"> </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22,05</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21,69</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21,15</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21,28</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21,47</w:t>
            </w:r>
          </w:p>
        </w:tc>
        <w:tc>
          <w:tcPr>
            <w:tcW w:w="830"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22,35</w:t>
            </w:r>
          </w:p>
        </w:tc>
        <w:tc>
          <w:tcPr>
            <w:tcW w:w="831" w:type="dxa"/>
            <w:gridSpan w:val="2"/>
            <w:shd w:val="clear" w:color="auto" w:fill="F2F2F2" w:themeFill="background1" w:themeFillShade="F2"/>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23,44</w:t>
            </w:r>
          </w:p>
        </w:tc>
      </w:tr>
      <w:tr w:rsidR="00BA1693" w:rsidRPr="004B61DC" w:rsidTr="00917B18">
        <w:trPr>
          <w:gridAfter w:val="1"/>
          <w:wAfter w:w="80" w:type="dxa"/>
          <w:trHeight w:val="283"/>
        </w:trPr>
        <w:tc>
          <w:tcPr>
            <w:tcW w:w="3345" w:type="dxa"/>
            <w:gridSpan w:val="2"/>
            <w:tcBorders>
              <w:bottom w:val="single" w:sz="4" w:space="0" w:color="000000" w:themeColor="text1"/>
            </w:tcBorders>
            <w:shd w:val="clear" w:color="auto" w:fill="auto"/>
            <w:tcMar>
              <w:top w:w="80" w:type="dxa"/>
              <w:left w:w="271"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 xml:space="preserve">Доходы от прочих сборов и неналоговых платежей </w:t>
            </w:r>
          </w:p>
        </w:tc>
        <w:tc>
          <w:tcPr>
            <w:tcW w:w="830" w:type="dxa"/>
            <w:gridSpan w:val="2"/>
            <w:tcBorders>
              <w:bottom w:val="single" w:sz="4" w:space="0" w:color="000000" w:themeColor="text1"/>
            </w:tcBorders>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0,76</w:t>
            </w:r>
          </w:p>
        </w:tc>
        <w:tc>
          <w:tcPr>
            <w:tcW w:w="830" w:type="dxa"/>
            <w:gridSpan w:val="2"/>
            <w:tcBorders>
              <w:bottom w:val="single" w:sz="4" w:space="0" w:color="000000" w:themeColor="text1"/>
            </w:tcBorders>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0,63</w:t>
            </w:r>
          </w:p>
        </w:tc>
        <w:tc>
          <w:tcPr>
            <w:tcW w:w="830" w:type="dxa"/>
            <w:gridSpan w:val="2"/>
            <w:tcBorders>
              <w:bottom w:val="single" w:sz="4" w:space="0" w:color="000000" w:themeColor="text1"/>
            </w:tcBorders>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0,81</w:t>
            </w:r>
          </w:p>
        </w:tc>
        <w:tc>
          <w:tcPr>
            <w:tcW w:w="830" w:type="dxa"/>
            <w:gridSpan w:val="2"/>
            <w:tcBorders>
              <w:bottom w:val="single" w:sz="4" w:space="0" w:color="000000" w:themeColor="text1"/>
            </w:tcBorders>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0,74</w:t>
            </w:r>
          </w:p>
        </w:tc>
        <w:tc>
          <w:tcPr>
            <w:tcW w:w="830" w:type="dxa"/>
            <w:gridSpan w:val="2"/>
            <w:tcBorders>
              <w:bottom w:val="single" w:sz="4" w:space="0" w:color="000000" w:themeColor="text1"/>
            </w:tcBorders>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0,95</w:t>
            </w:r>
          </w:p>
        </w:tc>
        <w:tc>
          <w:tcPr>
            <w:tcW w:w="830" w:type="dxa"/>
            <w:gridSpan w:val="2"/>
            <w:tcBorders>
              <w:bottom w:val="single" w:sz="4" w:space="0" w:color="000000" w:themeColor="text1"/>
            </w:tcBorders>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0,74</w:t>
            </w:r>
          </w:p>
        </w:tc>
        <w:tc>
          <w:tcPr>
            <w:tcW w:w="831" w:type="dxa"/>
            <w:gridSpan w:val="2"/>
            <w:tcBorders>
              <w:bottom w:val="single" w:sz="4" w:space="0" w:color="000000" w:themeColor="text1"/>
            </w:tcBorders>
            <w:shd w:val="clear" w:color="auto" w:fill="auto"/>
            <w:tcMar>
              <w:top w:w="80" w:type="dxa"/>
              <w:left w:w="80" w:type="dxa"/>
              <w:bottom w:w="80" w:type="dxa"/>
              <w:right w:w="80" w:type="dxa"/>
            </w:tcMar>
          </w:tcPr>
          <w:p w:rsidR="00BA1693" w:rsidRPr="00BA1693" w:rsidRDefault="00BA1693" w:rsidP="00BA1693">
            <w:pPr>
              <w:spacing w:before="0" w:afterLines="200" w:after="480"/>
              <w:contextualSpacing/>
              <w:rPr>
                <w:rFonts w:ascii="Century" w:hAnsi="Century"/>
                <w:sz w:val="20"/>
                <w:szCs w:val="20"/>
              </w:rPr>
            </w:pPr>
            <w:r w:rsidRPr="00BA1693">
              <w:rPr>
                <w:rFonts w:ascii="Century" w:hAnsi="Century"/>
                <w:sz w:val="20"/>
                <w:szCs w:val="20"/>
              </w:rPr>
              <w:t>0,79</w:t>
            </w:r>
          </w:p>
        </w:tc>
      </w:tr>
    </w:tbl>
    <w:p w:rsidR="003E0B7B" w:rsidRPr="00BA1693" w:rsidRDefault="00925682" w:rsidP="003E0B7B">
      <w:pPr>
        <w:rPr>
          <w:i/>
          <w:u w:color="000000"/>
          <w:bdr w:val="nil"/>
          <w:lang w:eastAsia="ru-RU"/>
        </w:rPr>
      </w:pPr>
      <w:r w:rsidRPr="00BA1693">
        <w:rPr>
          <w:rFonts w:cs="Calibri"/>
          <w:i/>
          <w:color w:val="000000"/>
          <w:sz w:val="18"/>
          <w:szCs w:val="18"/>
          <w:u w:color="000000"/>
          <w:bdr w:val="nil"/>
          <w:lang w:eastAsia="ru-RU"/>
        </w:rPr>
        <w:t>Источники данных: ВВП – Росстат (данные по состоянию на 03.04.2018), доходы бюджета расширенного правительства – Федеральное казначейство</w:t>
      </w:r>
    </w:p>
    <w:p w:rsidR="00662727" w:rsidRDefault="00662727" w:rsidP="003E0B7B">
      <w:pPr>
        <w:rPr>
          <w:rFonts w:cs="Calibri"/>
          <w:color w:val="000000"/>
          <w:szCs w:val="28"/>
          <w:u w:color="000000"/>
          <w:bdr w:val="nil"/>
          <w:lang w:eastAsia="ru-RU"/>
        </w:rPr>
      </w:pPr>
      <w:r w:rsidRPr="00473853">
        <w:rPr>
          <w:rFonts w:cs="Calibri"/>
          <w:color w:val="000000"/>
          <w:szCs w:val="28"/>
          <w:u w:color="000000"/>
          <w:bdr w:val="nil"/>
          <w:lang w:eastAsia="ru-RU"/>
        </w:rPr>
        <w:lastRenderedPageBreak/>
        <w:t xml:space="preserve">Расчетный уровень налоговой нагрузки на экономику в Российской Федерации </w:t>
      </w:r>
      <w:r>
        <w:rPr>
          <w:rFonts w:cs="Calibri"/>
          <w:color w:val="000000"/>
          <w:szCs w:val="28"/>
          <w:u w:color="000000"/>
          <w:bdr w:val="nil"/>
          <w:lang w:eastAsia="ru-RU"/>
        </w:rPr>
        <w:t xml:space="preserve">можно </w:t>
      </w:r>
      <w:r w:rsidRPr="00473853">
        <w:rPr>
          <w:rFonts w:cs="Calibri"/>
          <w:color w:val="000000"/>
          <w:szCs w:val="28"/>
          <w:u w:color="000000"/>
          <w:bdr w:val="nil"/>
          <w:lang w:eastAsia="ru-RU"/>
        </w:rPr>
        <w:t>сопостави</w:t>
      </w:r>
      <w:r>
        <w:rPr>
          <w:rFonts w:cs="Calibri"/>
          <w:color w:val="000000"/>
          <w:szCs w:val="28"/>
          <w:u w:color="000000"/>
          <w:bdr w:val="nil"/>
          <w:lang w:eastAsia="ru-RU"/>
        </w:rPr>
        <w:t>ть</w:t>
      </w:r>
      <w:r w:rsidRPr="00473853">
        <w:rPr>
          <w:rFonts w:cs="Calibri"/>
          <w:color w:val="000000"/>
          <w:szCs w:val="28"/>
          <w:u w:color="000000"/>
          <w:bdr w:val="nil"/>
          <w:lang w:eastAsia="ru-RU"/>
        </w:rPr>
        <w:t xml:space="preserve"> с аналогичными </w:t>
      </w:r>
      <w:r>
        <w:rPr>
          <w:rFonts w:cs="Calibri"/>
          <w:color w:val="000000"/>
          <w:szCs w:val="28"/>
          <w:u w:color="000000"/>
          <w:bdr w:val="nil"/>
          <w:lang w:eastAsia="ru-RU"/>
        </w:rPr>
        <w:t xml:space="preserve">показателями </w:t>
      </w:r>
      <w:r w:rsidRPr="00473853">
        <w:rPr>
          <w:rFonts w:cs="Calibri"/>
          <w:color w:val="000000"/>
          <w:szCs w:val="28"/>
          <w:u w:color="000000"/>
          <w:bdr w:val="nil"/>
          <w:lang w:eastAsia="ru-RU"/>
        </w:rPr>
        <w:t xml:space="preserve">по странам-членам Организации экономического сотрудничества и развития (далее - ОЭСР) (Таблица 4). При этом </w:t>
      </w:r>
      <w:r>
        <w:rPr>
          <w:rFonts w:cs="Calibri"/>
          <w:color w:val="000000"/>
          <w:szCs w:val="28"/>
          <w:u w:color="000000"/>
          <w:bdr w:val="nil"/>
          <w:lang w:eastAsia="ru-RU"/>
        </w:rPr>
        <w:t xml:space="preserve">необходимо отметить, что величина </w:t>
      </w:r>
      <w:r w:rsidRPr="00473853">
        <w:rPr>
          <w:rFonts w:cs="Calibri"/>
          <w:color w:val="000000"/>
          <w:szCs w:val="28"/>
          <w:u w:color="000000"/>
          <w:bdr w:val="nil"/>
          <w:lang w:eastAsia="ru-RU"/>
        </w:rPr>
        <w:t xml:space="preserve">фискальной нагрузки </w:t>
      </w:r>
      <w:r>
        <w:rPr>
          <w:rFonts w:cs="Calibri"/>
          <w:color w:val="000000"/>
          <w:szCs w:val="28"/>
          <w:u w:color="000000"/>
          <w:bdr w:val="nil"/>
          <w:lang w:eastAsia="ru-RU"/>
        </w:rPr>
        <w:t xml:space="preserve">по странам ОЭСР </w:t>
      </w:r>
      <w:r w:rsidRPr="00473853">
        <w:rPr>
          <w:rFonts w:cs="Calibri"/>
          <w:color w:val="000000"/>
          <w:szCs w:val="28"/>
          <w:u w:color="000000"/>
          <w:bdr w:val="nil"/>
          <w:lang w:eastAsia="ru-RU"/>
        </w:rPr>
        <w:t>не включает в себя различного рода неналоговые платежи, которые хотя и установлены законодательством, но не являются предметом регулирования законодательства о налогах и сборах, таможенных платежах или страховых взносах на обязательное государственное социальное страхование.</w:t>
      </w:r>
    </w:p>
    <w:p w:rsidR="009C075A" w:rsidRDefault="009C075A" w:rsidP="009C075A">
      <w:pPr>
        <w:pBdr>
          <w:top w:val="nil"/>
          <w:left w:val="nil"/>
          <w:bottom w:val="nil"/>
          <w:right w:val="nil"/>
          <w:between w:val="nil"/>
          <w:bar w:val="nil"/>
        </w:pBdr>
        <w:tabs>
          <w:tab w:val="left" w:pos="284"/>
        </w:tabs>
        <w:rPr>
          <w:rFonts w:cs="Calibri"/>
          <w:bCs/>
          <w:color w:val="000000"/>
          <w:u w:color="000000"/>
          <w:bdr w:val="nil"/>
          <w:lang w:eastAsia="ru-RU"/>
        </w:rPr>
      </w:pPr>
      <w:r w:rsidRPr="00DE50E3">
        <w:rPr>
          <w:rFonts w:cs="Calibri"/>
          <w:b/>
          <w:color w:val="000000"/>
          <w:u w:color="000000"/>
          <w:bdr w:val="nil"/>
          <w:lang w:eastAsia="ru-RU"/>
        </w:rPr>
        <w:t>Таблица 4.</w:t>
      </w:r>
      <w:r>
        <w:rPr>
          <w:rFonts w:cs="Calibri"/>
          <w:color w:val="000000"/>
          <w:u w:color="000000"/>
          <w:bdr w:val="nil"/>
          <w:lang w:eastAsia="ru-RU"/>
        </w:rPr>
        <w:t xml:space="preserve"> </w:t>
      </w:r>
      <w:r w:rsidRPr="00DE50E3">
        <w:rPr>
          <w:rFonts w:cs="Calibri"/>
          <w:bCs/>
          <w:color w:val="000000"/>
          <w:u w:color="000000"/>
          <w:bdr w:val="nil"/>
          <w:lang w:eastAsia="ru-RU"/>
        </w:rPr>
        <w:t>Налоговая нагрузка на экономику в странах ОЭСР (% ВВП)</w:t>
      </w:r>
    </w:p>
    <w:tbl>
      <w:tblPr>
        <w:tblW w:w="9099" w:type="dxa"/>
        <w:tblInd w:w="80" w:type="dxa"/>
        <w:tblBorders>
          <w:bottom w:val="single" w:sz="4" w:space="0" w:color="000000" w:themeColor="text1"/>
        </w:tblBorders>
        <w:shd w:val="clear" w:color="auto" w:fill="FFFFFF"/>
        <w:tblLayout w:type="fixed"/>
        <w:tblCellMar>
          <w:left w:w="0" w:type="dxa"/>
          <w:right w:w="0" w:type="dxa"/>
        </w:tblCellMar>
        <w:tblLook w:val="04A0" w:firstRow="1" w:lastRow="0" w:firstColumn="1" w:lastColumn="0" w:noHBand="0" w:noVBand="1"/>
      </w:tblPr>
      <w:tblGrid>
        <w:gridCol w:w="3288"/>
        <w:gridCol w:w="968"/>
        <w:gridCol w:w="969"/>
        <w:gridCol w:w="968"/>
        <w:gridCol w:w="969"/>
        <w:gridCol w:w="968"/>
        <w:gridCol w:w="969"/>
      </w:tblGrid>
      <w:tr w:rsidR="009C075A" w:rsidRPr="004B61DC" w:rsidTr="00917B18">
        <w:trPr>
          <w:trHeight w:val="20"/>
          <w:tblHeader/>
        </w:trPr>
        <w:tc>
          <w:tcPr>
            <w:tcW w:w="3288" w:type="dxa"/>
            <w:tcBorders>
              <w:bottom w:val="single" w:sz="4" w:space="0" w:color="000000" w:themeColor="text1"/>
            </w:tcBorders>
            <w:shd w:val="clear" w:color="auto" w:fill="FFFFFF"/>
            <w:tcMar>
              <w:top w:w="80" w:type="dxa"/>
              <w:left w:w="80" w:type="dxa"/>
              <w:bottom w:w="80" w:type="dxa"/>
              <w:right w:w="80" w:type="dxa"/>
            </w:tcMar>
            <w:vAlign w:val="center"/>
          </w:tcPr>
          <w:p w:rsidR="009C075A" w:rsidRPr="009C075A" w:rsidRDefault="009C075A" w:rsidP="009C075A">
            <w:pPr>
              <w:pBdr>
                <w:top w:val="nil"/>
                <w:left w:val="nil"/>
                <w:bottom w:val="nil"/>
                <w:right w:val="nil"/>
                <w:between w:val="nil"/>
                <w:bar w:val="nil"/>
              </w:pBdr>
              <w:tabs>
                <w:tab w:val="left" w:pos="284"/>
              </w:tabs>
              <w:spacing w:before="0" w:after="0"/>
              <w:contextualSpacing/>
              <w:rPr>
                <w:rFonts w:ascii="Century" w:hAnsi="Century"/>
                <w:b/>
                <w:color w:val="000000"/>
                <w:sz w:val="20"/>
                <w:szCs w:val="20"/>
                <w:u w:color="000000"/>
                <w:bdr w:val="nil"/>
                <w:lang w:val="en-GB"/>
              </w:rPr>
            </w:pPr>
            <w:r w:rsidRPr="009C075A">
              <w:rPr>
                <w:rFonts w:ascii="Century" w:hAnsi="Century"/>
                <w:b/>
                <w:bCs/>
                <w:color w:val="000000"/>
                <w:sz w:val="20"/>
                <w:szCs w:val="20"/>
                <w:u w:color="000000"/>
                <w:bdr w:val="nil"/>
              </w:rPr>
              <w:t>Страна</w:t>
            </w:r>
          </w:p>
        </w:tc>
        <w:tc>
          <w:tcPr>
            <w:tcW w:w="968"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0"/>
              <w:contextualSpacing/>
              <w:rPr>
                <w:rFonts w:ascii="Century" w:hAnsi="Century"/>
                <w:b/>
                <w:sz w:val="20"/>
                <w:szCs w:val="20"/>
              </w:rPr>
            </w:pPr>
            <w:r w:rsidRPr="009C075A">
              <w:rPr>
                <w:rFonts w:ascii="Century" w:hAnsi="Century"/>
                <w:b/>
                <w:sz w:val="20"/>
                <w:szCs w:val="20"/>
              </w:rPr>
              <w:t>2011</w:t>
            </w:r>
          </w:p>
        </w:tc>
        <w:tc>
          <w:tcPr>
            <w:tcW w:w="969"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0"/>
              <w:contextualSpacing/>
              <w:rPr>
                <w:rFonts w:ascii="Century" w:hAnsi="Century"/>
                <w:b/>
                <w:sz w:val="20"/>
                <w:szCs w:val="20"/>
              </w:rPr>
            </w:pPr>
            <w:r w:rsidRPr="009C075A">
              <w:rPr>
                <w:rFonts w:ascii="Century" w:hAnsi="Century"/>
                <w:b/>
                <w:sz w:val="20"/>
                <w:szCs w:val="20"/>
              </w:rPr>
              <w:t>2012</w:t>
            </w:r>
          </w:p>
        </w:tc>
        <w:tc>
          <w:tcPr>
            <w:tcW w:w="968"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0"/>
              <w:contextualSpacing/>
              <w:rPr>
                <w:rFonts w:ascii="Century" w:hAnsi="Century"/>
                <w:b/>
                <w:sz w:val="20"/>
                <w:szCs w:val="20"/>
              </w:rPr>
            </w:pPr>
            <w:r w:rsidRPr="009C075A">
              <w:rPr>
                <w:rFonts w:ascii="Century" w:hAnsi="Century"/>
                <w:b/>
                <w:sz w:val="20"/>
                <w:szCs w:val="20"/>
              </w:rPr>
              <w:t>2013</w:t>
            </w:r>
          </w:p>
        </w:tc>
        <w:tc>
          <w:tcPr>
            <w:tcW w:w="969"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0"/>
              <w:contextualSpacing/>
              <w:rPr>
                <w:rFonts w:ascii="Century" w:hAnsi="Century"/>
                <w:b/>
                <w:sz w:val="20"/>
                <w:szCs w:val="20"/>
              </w:rPr>
            </w:pPr>
            <w:r w:rsidRPr="009C075A">
              <w:rPr>
                <w:rFonts w:ascii="Century" w:hAnsi="Century"/>
                <w:b/>
                <w:sz w:val="20"/>
                <w:szCs w:val="20"/>
              </w:rPr>
              <w:t>2014</w:t>
            </w:r>
          </w:p>
        </w:tc>
        <w:tc>
          <w:tcPr>
            <w:tcW w:w="968"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0"/>
              <w:contextualSpacing/>
              <w:rPr>
                <w:rFonts w:ascii="Century" w:hAnsi="Century"/>
                <w:b/>
                <w:sz w:val="20"/>
                <w:szCs w:val="20"/>
              </w:rPr>
            </w:pPr>
            <w:r w:rsidRPr="009C075A">
              <w:rPr>
                <w:rFonts w:ascii="Century" w:hAnsi="Century"/>
                <w:b/>
                <w:sz w:val="20"/>
                <w:szCs w:val="20"/>
              </w:rPr>
              <w:t>2015</w:t>
            </w:r>
          </w:p>
        </w:tc>
        <w:tc>
          <w:tcPr>
            <w:tcW w:w="969"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0"/>
              <w:contextualSpacing/>
              <w:rPr>
                <w:rFonts w:ascii="Century" w:hAnsi="Century"/>
                <w:b/>
                <w:sz w:val="20"/>
                <w:szCs w:val="20"/>
              </w:rPr>
            </w:pPr>
            <w:r w:rsidRPr="009C075A">
              <w:rPr>
                <w:rFonts w:ascii="Century" w:hAnsi="Century"/>
                <w:b/>
                <w:sz w:val="20"/>
                <w:szCs w:val="20"/>
              </w:rPr>
              <w:t>2016</w:t>
            </w:r>
          </w:p>
        </w:tc>
      </w:tr>
      <w:tr w:rsidR="009C075A" w:rsidRPr="004B61DC" w:rsidTr="00917B18">
        <w:trPr>
          <w:trHeight w:val="20"/>
        </w:trPr>
        <w:tc>
          <w:tcPr>
            <w:tcW w:w="3288" w:type="dxa"/>
            <w:tcBorders>
              <w:top w:val="single" w:sz="4" w:space="0" w:color="000000" w:themeColor="text1"/>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Австралия</w:t>
            </w:r>
          </w:p>
        </w:tc>
        <w:tc>
          <w:tcPr>
            <w:tcW w:w="968" w:type="dxa"/>
            <w:tcBorders>
              <w:top w:val="single" w:sz="4" w:space="0" w:color="000000" w:themeColor="text1"/>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26,26</w:t>
            </w:r>
          </w:p>
        </w:tc>
        <w:tc>
          <w:tcPr>
            <w:tcW w:w="969" w:type="dxa"/>
            <w:tcBorders>
              <w:top w:val="single" w:sz="4" w:space="0" w:color="000000" w:themeColor="text1"/>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27,12</w:t>
            </w:r>
          </w:p>
        </w:tc>
        <w:tc>
          <w:tcPr>
            <w:tcW w:w="968" w:type="dxa"/>
            <w:tcBorders>
              <w:top w:val="single" w:sz="4" w:space="0" w:color="000000" w:themeColor="text1"/>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27,33</w:t>
            </w:r>
          </w:p>
        </w:tc>
        <w:tc>
          <w:tcPr>
            <w:tcW w:w="969" w:type="dxa"/>
            <w:tcBorders>
              <w:top w:val="single" w:sz="4" w:space="0" w:color="000000" w:themeColor="text1"/>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27,60</w:t>
            </w:r>
          </w:p>
        </w:tc>
        <w:tc>
          <w:tcPr>
            <w:tcW w:w="968" w:type="dxa"/>
            <w:tcBorders>
              <w:top w:val="single" w:sz="4" w:space="0" w:color="000000" w:themeColor="text1"/>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28,22</w:t>
            </w:r>
          </w:p>
        </w:tc>
        <w:tc>
          <w:tcPr>
            <w:tcW w:w="969" w:type="dxa"/>
            <w:tcBorders>
              <w:top w:val="single" w:sz="4" w:space="0" w:color="000000" w:themeColor="text1"/>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proofErr w:type="spellStart"/>
            <w:r w:rsidRPr="009C075A">
              <w:rPr>
                <w:rFonts w:ascii="Century" w:hAnsi="Century"/>
                <w:sz w:val="20"/>
                <w:szCs w:val="20"/>
              </w:rPr>
              <w:t>н</w:t>
            </w:r>
            <w:proofErr w:type="gramStart"/>
            <w:r w:rsidRPr="009C075A">
              <w:rPr>
                <w:rFonts w:ascii="Century" w:hAnsi="Century"/>
                <w:sz w:val="20"/>
                <w:szCs w:val="20"/>
              </w:rPr>
              <w:t>.д</w:t>
            </w:r>
            <w:proofErr w:type="spellEnd"/>
            <w:proofErr w:type="gramEnd"/>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Австрия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41,02</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41,97</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42,82</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43,05</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43,67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42,68</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Бельгия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42,96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44,18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45,16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44,99</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44,81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44,18</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Великобритания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33,58</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32,76</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32,57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32,18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32,53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33,21</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Венгрия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36,55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38,53</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38,07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38,16</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39,01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39,41</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Германия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35,70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36,39</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36,76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36,78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37,07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37,56</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Голландия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35,86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36,02</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36,54</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37,52</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37,36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38,85</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Греция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33,54</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35,50</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35,46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35,88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36,40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38,56</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Дания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45,38</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45,51</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45,89</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48,58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45,90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45,94</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Израиль</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30,84</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29,99</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30,72</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31,12</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31,28</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31,25</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Ирландия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27,38</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27,49</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28,17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28,51</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23,12</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23,03</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Исландия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34,40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35,22</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35,75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38,60</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36,67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36,37</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Испания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31,31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32,24</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33,13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33,74</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33,81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33,48</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Италия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41,88</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43,90</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44,05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43,46</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43,29</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42,87</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Канада</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30,24</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30,99</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30,86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31,17</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32,02</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31,68</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Латвия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27,77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28,39</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28,50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28,81</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29,01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30,25</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Люксембург</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37,87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38,39</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38,23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37,42</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36,83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37,07</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Мексика</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19,48</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13,12</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13,75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14,25</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16,23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17,22</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Новая Зеландия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30,89</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32,06</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31,13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32,37</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33,05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32,08</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Норвегия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42,05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41,51</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39,93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38,87</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38,31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37,98</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Польша</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32,00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32,08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31,94</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31,98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32,44</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33,56</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Португалия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32,50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31,78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34,07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34,26</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34,56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34,38</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Словакия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28,73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28,34</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30,24</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31,18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32,31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32,74</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Словения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36,50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36,87</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36,75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36,46</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36,57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36,98</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США</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23,56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24,07</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25,65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25,93</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26,23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26,02</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Турция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27,83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24,95</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25,35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24,58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25,10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25,47</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Финляндия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42,03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42,68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43,62</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43,81</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43,93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44,13</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Франция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42,86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44,32</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45,23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45,34</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45,22</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45,27</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Чехия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33,35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33,68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34,08</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33,10</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33,35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34,03</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Чили</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21,24</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21,33</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19,86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19,58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20,51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20,39</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Швейцария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27,02</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26,79</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26,89</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26,97</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27,68</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27,83</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Швеция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42,51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42,56</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42,91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42,58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43,28</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44,12</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Эстония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31,91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31,67</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31,70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32,76</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33,87</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34,74</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Южная Корея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24,16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24,78</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24,30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24,59</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25,16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26,31</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Япония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28,61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28,22</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28,85</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30,30</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30,74</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proofErr w:type="spellStart"/>
            <w:r w:rsidRPr="009C075A">
              <w:rPr>
                <w:rFonts w:ascii="Century" w:hAnsi="Century"/>
                <w:sz w:val="20"/>
                <w:szCs w:val="20"/>
              </w:rPr>
              <w:t>н</w:t>
            </w:r>
            <w:proofErr w:type="gramStart"/>
            <w:r w:rsidRPr="009C075A">
              <w:rPr>
                <w:rFonts w:ascii="Century" w:hAnsi="Century"/>
                <w:sz w:val="20"/>
                <w:szCs w:val="20"/>
              </w:rPr>
              <w:t>.д</w:t>
            </w:r>
            <w:proofErr w:type="spellEnd"/>
            <w:proofErr w:type="gramEnd"/>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b/>
                <w:sz w:val="20"/>
                <w:szCs w:val="20"/>
              </w:rPr>
            </w:pPr>
            <w:r w:rsidRPr="004B61DC">
              <w:rPr>
                <w:rFonts w:ascii="Century" w:hAnsi="Century"/>
                <w:b/>
                <w:sz w:val="20"/>
                <w:szCs w:val="20"/>
              </w:rPr>
              <w:t xml:space="preserve">Средняя по ОЭСР </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33,14</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33,30</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33,61</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33,90</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33,99</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34,53</w:t>
            </w:r>
          </w:p>
        </w:tc>
      </w:tr>
      <w:tr w:rsidR="009C075A" w:rsidRPr="004B61DC" w:rsidTr="00917B18">
        <w:trPr>
          <w:trHeight w:val="20"/>
        </w:trPr>
        <w:tc>
          <w:tcPr>
            <w:tcW w:w="3288" w:type="dxa"/>
            <w:tcBorders>
              <w:bottom w:val="nil"/>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Россия</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32,03</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31,86</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30,80</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31,29</w:t>
            </w:r>
          </w:p>
        </w:tc>
        <w:tc>
          <w:tcPr>
            <w:tcW w:w="968"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28,86</w:t>
            </w:r>
          </w:p>
        </w:tc>
        <w:tc>
          <w:tcPr>
            <w:tcW w:w="969" w:type="dxa"/>
            <w:tcBorders>
              <w:bottom w:val="nil"/>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28,46</w:t>
            </w:r>
          </w:p>
        </w:tc>
      </w:tr>
      <w:tr w:rsidR="009C075A" w:rsidRPr="004B61DC" w:rsidTr="00917B18">
        <w:trPr>
          <w:trHeight w:val="20"/>
        </w:trPr>
        <w:tc>
          <w:tcPr>
            <w:tcW w:w="3288" w:type="dxa"/>
            <w:tcBorders>
              <w:bottom w:val="single" w:sz="4" w:space="0" w:color="000000" w:themeColor="text1"/>
            </w:tcBorders>
            <w:shd w:val="clear" w:color="auto" w:fill="FFFFFF"/>
            <w:tcMar>
              <w:top w:w="80" w:type="dxa"/>
              <w:left w:w="80" w:type="dxa"/>
              <w:bottom w:w="80" w:type="dxa"/>
              <w:right w:w="80" w:type="dxa"/>
            </w:tcMar>
          </w:tcPr>
          <w:p w:rsidR="009C075A" w:rsidRPr="004B61DC" w:rsidRDefault="009C075A" w:rsidP="009C075A">
            <w:pPr>
              <w:spacing w:before="0" w:afterLines="200" w:after="480"/>
              <w:contextualSpacing/>
              <w:rPr>
                <w:rFonts w:ascii="Century" w:hAnsi="Century"/>
                <w:sz w:val="20"/>
                <w:szCs w:val="20"/>
              </w:rPr>
            </w:pPr>
            <w:r w:rsidRPr="004B61DC">
              <w:rPr>
                <w:rFonts w:ascii="Century" w:hAnsi="Century"/>
                <w:sz w:val="20"/>
                <w:szCs w:val="20"/>
              </w:rPr>
              <w:t xml:space="preserve">Россия (без учета </w:t>
            </w:r>
            <w:proofErr w:type="gramStart"/>
            <w:r w:rsidRPr="004B61DC">
              <w:rPr>
                <w:rFonts w:ascii="Century" w:hAnsi="Century"/>
                <w:sz w:val="20"/>
                <w:szCs w:val="20"/>
              </w:rPr>
              <w:t>нефтегазовых</w:t>
            </w:r>
            <w:proofErr w:type="gramEnd"/>
            <w:r w:rsidRPr="004B61DC">
              <w:rPr>
                <w:rFonts w:ascii="Century" w:hAnsi="Century"/>
                <w:sz w:val="20"/>
                <w:szCs w:val="20"/>
              </w:rPr>
              <w:t xml:space="preserve"> доходов)</w:t>
            </w:r>
          </w:p>
        </w:tc>
        <w:tc>
          <w:tcPr>
            <w:tcW w:w="968"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22,05</w:t>
            </w:r>
          </w:p>
        </w:tc>
        <w:tc>
          <w:tcPr>
            <w:tcW w:w="969"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21,69</w:t>
            </w:r>
          </w:p>
        </w:tc>
        <w:tc>
          <w:tcPr>
            <w:tcW w:w="968"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21,15</w:t>
            </w:r>
          </w:p>
        </w:tc>
        <w:tc>
          <w:tcPr>
            <w:tcW w:w="969"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21,28</w:t>
            </w:r>
          </w:p>
        </w:tc>
        <w:tc>
          <w:tcPr>
            <w:tcW w:w="968"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21,47</w:t>
            </w:r>
          </w:p>
        </w:tc>
        <w:tc>
          <w:tcPr>
            <w:tcW w:w="969" w:type="dxa"/>
            <w:tcBorders>
              <w:bottom w:val="single" w:sz="4" w:space="0" w:color="000000" w:themeColor="text1"/>
            </w:tcBorders>
            <w:shd w:val="clear" w:color="auto" w:fill="FFFFFF"/>
            <w:tcMar>
              <w:top w:w="80" w:type="dxa"/>
              <w:left w:w="80" w:type="dxa"/>
              <w:bottom w:w="80" w:type="dxa"/>
              <w:right w:w="80" w:type="dxa"/>
            </w:tcMar>
          </w:tcPr>
          <w:p w:rsidR="009C075A" w:rsidRPr="009C075A" w:rsidRDefault="009C075A" w:rsidP="009C075A">
            <w:pPr>
              <w:spacing w:before="0" w:afterLines="200" w:after="480"/>
              <w:contextualSpacing/>
              <w:rPr>
                <w:rFonts w:ascii="Century" w:hAnsi="Century"/>
                <w:sz w:val="20"/>
                <w:szCs w:val="20"/>
              </w:rPr>
            </w:pPr>
            <w:r w:rsidRPr="009C075A">
              <w:rPr>
                <w:rFonts w:ascii="Century" w:hAnsi="Century"/>
                <w:sz w:val="20"/>
                <w:szCs w:val="20"/>
              </w:rPr>
              <w:t>22,35</w:t>
            </w:r>
          </w:p>
        </w:tc>
      </w:tr>
    </w:tbl>
    <w:p w:rsidR="003E0B7B" w:rsidRPr="00977CA0" w:rsidRDefault="009C075A" w:rsidP="00977CA0">
      <w:pPr>
        <w:pBdr>
          <w:top w:val="nil"/>
          <w:left w:val="nil"/>
          <w:bottom w:val="nil"/>
          <w:right w:val="nil"/>
          <w:between w:val="nil"/>
          <w:bar w:val="nil"/>
        </w:pBdr>
        <w:tabs>
          <w:tab w:val="left" w:pos="284"/>
        </w:tabs>
        <w:spacing w:after="240"/>
        <w:rPr>
          <w:rFonts w:eastAsia="Times New Roman"/>
          <w:i/>
          <w:color w:val="000000"/>
          <w:sz w:val="18"/>
          <w:szCs w:val="18"/>
          <w:u w:color="000000"/>
          <w:bdr w:val="nil"/>
          <w:lang w:eastAsia="ru-RU"/>
        </w:rPr>
      </w:pPr>
      <w:r w:rsidRPr="00DE50E3">
        <w:rPr>
          <w:rFonts w:cs="Calibri"/>
          <w:i/>
          <w:color w:val="000000"/>
          <w:sz w:val="18"/>
          <w:szCs w:val="18"/>
          <w:u w:color="000000"/>
          <w:bdr w:val="nil"/>
          <w:lang w:eastAsia="ru-RU"/>
        </w:rPr>
        <w:t xml:space="preserve">Источники данных: данные по ОЭСР – </w:t>
      </w:r>
      <w:proofErr w:type="spellStart"/>
      <w:r w:rsidRPr="00DE50E3">
        <w:rPr>
          <w:rFonts w:cs="Calibri"/>
          <w:i/>
          <w:color w:val="000000"/>
          <w:sz w:val="18"/>
          <w:szCs w:val="18"/>
          <w:u w:color="000000"/>
          <w:bdr w:val="nil"/>
          <w:lang w:eastAsia="ru-RU"/>
        </w:rPr>
        <w:t>Revenue</w:t>
      </w:r>
      <w:proofErr w:type="spellEnd"/>
      <w:r w:rsidRPr="00DE50E3">
        <w:rPr>
          <w:rFonts w:cs="Calibri"/>
          <w:i/>
          <w:color w:val="000000"/>
          <w:sz w:val="18"/>
          <w:szCs w:val="18"/>
          <w:u w:color="000000"/>
          <w:bdr w:val="nil"/>
          <w:lang w:eastAsia="ru-RU"/>
        </w:rPr>
        <w:t xml:space="preserve"> </w:t>
      </w:r>
      <w:r w:rsidRPr="00DE50E3">
        <w:rPr>
          <w:rFonts w:cs="Calibri"/>
          <w:i/>
          <w:color w:val="000000"/>
          <w:sz w:val="18"/>
          <w:szCs w:val="18"/>
          <w:u w:color="000000"/>
          <w:bdr w:val="nil"/>
          <w:lang w:val="en-US" w:eastAsia="ru-RU"/>
        </w:rPr>
        <w:t>S</w:t>
      </w:r>
      <w:proofErr w:type="spellStart"/>
      <w:r w:rsidRPr="00DE50E3">
        <w:rPr>
          <w:rFonts w:cs="Calibri"/>
          <w:i/>
          <w:color w:val="000000"/>
          <w:sz w:val="18"/>
          <w:szCs w:val="18"/>
          <w:u w:color="000000"/>
          <w:bdr w:val="nil"/>
          <w:lang w:eastAsia="ru-RU"/>
        </w:rPr>
        <w:t>tatistics</w:t>
      </w:r>
      <w:proofErr w:type="spellEnd"/>
      <w:r w:rsidRPr="00DE50E3">
        <w:rPr>
          <w:rFonts w:cs="Calibri"/>
          <w:i/>
          <w:color w:val="000000"/>
          <w:sz w:val="18"/>
          <w:szCs w:val="18"/>
          <w:u w:color="000000"/>
          <w:bdr w:val="nil"/>
          <w:lang w:eastAsia="ru-RU"/>
        </w:rPr>
        <w:t xml:space="preserve"> 1965-201</w:t>
      </w:r>
      <w:r>
        <w:rPr>
          <w:rFonts w:cs="Calibri"/>
          <w:i/>
          <w:color w:val="000000"/>
          <w:sz w:val="18"/>
          <w:szCs w:val="18"/>
          <w:u w:color="000000"/>
          <w:bdr w:val="nil"/>
          <w:lang w:eastAsia="ru-RU"/>
        </w:rPr>
        <w:t>6</w:t>
      </w:r>
    </w:p>
    <w:p w:rsidR="003E0B7B" w:rsidRDefault="003E0B7B" w:rsidP="003E0B7B">
      <w:r w:rsidRPr="00977CA0">
        <w:rPr>
          <w:rFonts w:cs="Calibri"/>
          <w:b/>
          <w:color w:val="000000"/>
          <w:u w:color="000000"/>
          <w:bdr w:val="nil"/>
          <w:lang w:eastAsia="ru-RU"/>
        </w:rPr>
        <w:t>Таблица 5</w:t>
      </w:r>
      <w:r w:rsidR="00977CA0">
        <w:rPr>
          <w:rFonts w:cs="Calibri"/>
          <w:b/>
          <w:color w:val="000000"/>
          <w:u w:color="000000"/>
          <w:bdr w:val="nil"/>
          <w:lang w:eastAsia="ru-RU"/>
        </w:rPr>
        <w:t>.</w:t>
      </w:r>
      <w:r w:rsidRPr="00C75DB0">
        <w:rPr>
          <w:rFonts w:eastAsia="Times New Roman"/>
          <w:u w:color="000000"/>
          <w:bdr w:val="nil"/>
          <w:lang w:eastAsia="ru-RU"/>
        </w:rPr>
        <w:t xml:space="preserve"> </w:t>
      </w:r>
      <w:r w:rsidRPr="00C75DB0">
        <w:t>Налоговая нагрузка на экономику в странах Евразийского экономического союза (% налоговых доходов к ВВП)</w:t>
      </w:r>
    </w:p>
    <w:tbl>
      <w:tblPr>
        <w:tblW w:w="9236" w:type="dxa"/>
        <w:shd w:val="clear" w:color="auto" w:fill="CED7E7"/>
        <w:tblLayout w:type="fixed"/>
        <w:tblCellMar>
          <w:left w:w="0" w:type="dxa"/>
          <w:right w:w="0" w:type="dxa"/>
        </w:tblCellMar>
        <w:tblLook w:val="04A0" w:firstRow="1" w:lastRow="0" w:firstColumn="1" w:lastColumn="0" w:noHBand="0" w:noVBand="1"/>
      </w:tblPr>
      <w:tblGrid>
        <w:gridCol w:w="80"/>
        <w:gridCol w:w="3265"/>
        <w:gridCol w:w="80"/>
        <w:gridCol w:w="750"/>
        <w:gridCol w:w="80"/>
        <w:gridCol w:w="750"/>
        <w:gridCol w:w="80"/>
        <w:gridCol w:w="750"/>
        <w:gridCol w:w="80"/>
        <w:gridCol w:w="750"/>
        <w:gridCol w:w="80"/>
        <w:gridCol w:w="750"/>
        <w:gridCol w:w="80"/>
        <w:gridCol w:w="750"/>
        <w:gridCol w:w="80"/>
        <w:gridCol w:w="751"/>
        <w:gridCol w:w="80"/>
      </w:tblGrid>
      <w:tr w:rsidR="00977CA0" w:rsidRPr="00977CA0" w:rsidTr="00917B18">
        <w:trPr>
          <w:gridBefore w:val="1"/>
          <w:wBefore w:w="80" w:type="dxa"/>
          <w:trHeight w:val="283"/>
        </w:trPr>
        <w:tc>
          <w:tcPr>
            <w:tcW w:w="3345" w:type="dxa"/>
            <w:gridSpan w:val="2"/>
            <w:tcBorders>
              <w:bottom w:val="single" w:sz="4" w:space="0" w:color="000000" w:themeColor="text1"/>
            </w:tcBorders>
            <w:shd w:val="clear" w:color="auto" w:fill="FFFFFF"/>
            <w:tcMar>
              <w:top w:w="80" w:type="dxa"/>
              <w:left w:w="80" w:type="dxa"/>
              <w:bottom w:w="80" w:type="dxa"/>
              <w:right w:w="80" w:type="dxa"/>
            </w:tcMar>
            <w:vAlign w:val="center"/>
          </w:tcPr>
          <w:p w:rsidR="00977CA0" w:rsidRPr="00977CA0" w:rsidRDefault="00977CA0" w:rsidP="00977CA0">
            <w:pPr>
              <w:pBdr>
                <w:top w:val="nil"/>
                <w:left w:val="nil"/>
                <w:bottom w:val="nil"/>
                <w:right w:val="nil"/>
                <w:between w:val="nil"/>
                <w:bar w:val="nil"/>
              </w:pBdr>
              <w:tabs>
                <w:tab w:val="left" w:pos="-80"/>
              </w:tabs>
              <w:spacing w:before="0" w:afterLines="200" w:after="480"/>
              <w:contextualSpacing/>
              <w:jc w:val="left"/>
              <w:rPr>
                <w:rFonts w:ascii="Century" w:hAnsi="Century"/>
                <w:color w:val="000000"/>
                <w:sz w:val="20"/>
                <w:szCs w:val="20"/>
                <w:u w:color="000000"/>
                <w:bdr w:val="nil"/>
              </w:rPr>
            </w:pPr>
            <w:r w:rsidRPr="00977CA0">
              <w:rPr>
                <w:rFonts w:ascii="Century" w:hAnsi="Century"/>
                <w:b/>
                <w:bCs/>
                <w:iCs/>
                <w:color w:val="000000"/>
                <w:sz w:val="20"/>
                <w:szCs w:val="20"/>
                <w:u w:color="000000"/>
                <w:bdr w:val="nil"/>
              </w:rPr>
              <w:t>Страна </w:t>
            </w:r>
          </w:p>
        </w:tc>
        <w:tc>
          <w:tcPr>
            <w:tcW w:w="830" w:type="dxa"/>
            <w:gridSpan w:val="2"/>
            <w:tcBorders>
              <w:bottom w:val="single" w:sz="4" w:space="0" w:color="000000" w:themeColor="text1"/>
            </w:tcBorders>
            <w:shd w:val="clear" w:color="auto" w:fill="FFFFFF"/>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2011</w:t>
            </w:r>
          </w:p>
        </w:tc>
        <w:tc>
          <w:tcPr>
            <w:tcW w:w="830" w:type="dxa"/>
            <w:gridSpan w:val="2"/>
            <w:tcBorders>
              <w:bottom w:val="single" w:sz="4" w:space="0" w:color="000000" w:themeColor="text1"/>
            </w:tcBorders>
            <w:shd w:val="clear" w:color="auto" w:fill="FFFFFF"/>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2012</w:t>
            </w:r>
          </w:p>
        </w:tc>
        <w:tc>
          <w:tcPr>
            <w:tcW w:w="830" w:type="dxa"/>
            <w:gridSpan w:val="2"/>
            <w:tcBorders>
              <w:bottom w:val="single" w:sz="4" w:space="0" w:color="000000" w:themeColor="text1"/>
            </w:tcBorders>
            <w:shd w:val="clear" w:color="auto" w:fill="FFFFFF"/>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2013</w:t>
            </w:r>
          </w:p>
        </w:tc>
        <w:tc>
          <w:tcPr>
            <w:tcW w:w="830" w:type="dxa"/>
            <w:gridSpan w:val="2"/>
            <w:tcBorders>
              <w:bottom w:val="single" w:sz="4" w:space="0" w:color="000000" w:themeColor="text1"/>
            </w:tcBorders>
            <w:shd w:val="clear" w:color="auto" w:fill="FFFFFF"/>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2014</w:t>
            </w:r>
          </w:p>
        </w:tc>
        <w:tc>
          <w:tcPr>
            <w:tcW w:w="830" w:type="dxa"/>
            <w:gridSpan w:val="2"/>
            <w:tcBorders>
              <w:bottom w:val="single" w:sz="4" w:space="0" w:color="000000" w:themeColor="text1"/>
            </w:tcBorders>
            <w:shd w:val="clear" w:color="auto" w:fill="FFFFFF"/>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2015</w:t>
            </w:r>
          </w:p>
        </w:tc>
        <w:tc>
          <w:tcPr>
            <w:tcW w:w="830" w:type="dxa"/>
            <w:gridSpan w:val="2"/>
            <w:tcBorders>
              <w:bottom w:val="single" w:sz="4" w:space="0" w:color="000000" w:themeColor="text1"/>
            </w:tcBorders>
            <w:shd w:val="clear" w:color="auto" w:fill="FFFFFF"/>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2016</w:t>
            </w:r>
          </w:p>
        </w:tc>
        <w:tc>
          <w:tcPr>
            <w:tcW w:w="831" w:type="dxa"/>
            <w:gridSpan w:val="2"/>
            <w:tcBorders>
              <w:bottom w:val="single" w:sz="4" w:space="0" w:color="000000" w:themeColor="text1"/>
            </w:tcBorders>
            <w:shd w:val="clear" w:color="auto" w:fill="FFFFFF"/>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2017</w:t>
            </w:r>
          </w:p>
        </w:tc>
      </w:tr>
      <w:tr w:rsidR="00977CA0" w:rsidRPr="00977CA0" w:rsidTr="00917B18">
        <w:trPr>
          <w:gridAfter w:val="1"/>
          <w:wAfter w:w="80" w:type="dxa"/>
          <w:trHeight w:val="479"/>
        </w:trPr>
        <w:tc>
          <w:tcPr>
            <w:tcW w:w="3345"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jc w:val="left"/>
              <w:rPr>
                <w:rFonts w:ascii="Century" w:hAnsi="Century"/>
                <w:b/>
                <w:sz w:val="20"/>
                <w:szCs w:val="20"/>
              </w:rPr>
            </w:pPr>
            <w:r w:rsidRPr="00977CA0">
              <w:rPr>
                <w:rFonts w:ascii="Century" w:hAnsi="Century"/>
                <w:b/>
                <w:sz w:val="20"/>
                <w:szCs w:val="20"/>
              </w:rPr>
              <w:t>Россия</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jc w:val="left"/>
              <w:rPr>
                <w:rFonts w:ascii="Century" w:hAnsi="Century"/>
                <w:sz w:val="20"/>
                <w:szCs w:val="20"/>
              </w:rPr>
            </w:pPr>
            <w:r w:rsidRPr="00977CA0">
              <w:rPr>
                <w:rFonts w:ascii="Century" w:hAnsi="Century"/>
                <w:sz w:val="20"/>
                <w:szCs w:val="20"/>
              </w:rPr>
              <w:t>34,60</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34,38</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33,42</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33,80</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31,77</w:t>
            </w:r>
          </w:p>
        </w:tc>
        <w:tc>
          <w:tcPr>
            <w:tcW w:w="830"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32,80</w:t>
            </w:r>
          </w:p>
        </w:tc>
        <w:tc>
          <w:tcPr>
            <w:tcW w:w="831" w:type="dxa"/>
            <w:gridSpan w:val="2"/>
            <w:tcBorders>
              <w:top w:val="single" w:sz="4" w:space="0" w:color="000000" w:themeColor="text1"/>
            </w:tcBorders>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33,28</w:t>
            </w:r>
          </w:p>
        </w:tc>
      </w:tr>
      <w:tr w:rsidR="00977CA0" w:rsidRPr="00977CA0" w:rsidTr="00917B18">
        <w:trPr>
          <w:gridAfter w:val="1"/>
          <w:wAfter w:w="80" w:type="dxa"/>
          <w:trHeight w:val="555"/>
        </w:trPr>
        <w:tc>
          <w:tcPr>
            <w:tcW w:w="3345"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jc w:val="left"/>
              <w:rPr>
                <w:rFonts w:ascii="Century" w:hAnsi="Century"/>
                <w:b/>
                <w:sz w:val="20"/>
                <w:szCs w:val="20"/>
              </w:rPr>
            </w:pPr>
            <w:r w:rsidRPr="00977CA0">
              <w:rPr>
                <w:rFonts w:ascii="Century" w:hAnsi="Century"/>
                <w:b/>
                <w:sz w:val="20"/>
                <w:szCs w:val="20"/>
              </w:rPr>
              <w:t>Средняя по ЕАЭС (кроме России)</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jc w:val="left"/>
              <w:rPr>
                <w:rFonts w:ascii="Century" w:hAnsi="Century"/>
                <w:sz w:val="20"/>
                <w:szCs w:val="20"/>
              </w:rPr>
            </w:pPr>
            <w:r w:rsidRPr="00977CA0">
              <w:rPr>
                <w:rFonts w:ascii="Century" w:hAnsi="Century"/>
                <w:sz w:val="20"/>
                <w:szCs w:val="20"/>
              </w:rPr>
              <w:t>29,82</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30,31</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30,31</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30,04</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28,75</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28,77</w:t>
            </w:r>
          </w:p>
        </w:tc>
        <w:tc>
          <w:tcPr>
            <w:tcW w:w="831"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29,83</w:t>
            </w:r>
          </w:p>
        </w:tc>
      </w:tr>
      <w:tr w:rsidR="00977CA0" w:rsidRPr="00977CA0" w:rsidTr="00917B18">
        <w:trPr>
          <w:gridBefore w:val="1"/>
          <w:wBefore w:w="80" w:type="dxa"/>
          <w:trHeight w:val="283"/>
        </w:trPr>
        <w:tc>
          <w:tcPr>
            <w:tcW w:w="3345" w:type="dxa"/>
            <w:gridSpan w:val="2"/>
            <w:shd w:val="clear" w:color="auto" w:fill="F2F2F2" w:themeFill="background1" w:themeFillShade="F2"/>
            <w:tcMar>
              <w:top w:w="80" w:type="dxa"/>
              <w:left w:w="271" w:type="dxa"/>
              <w:bottom w:w="80" w:type="dxa"/>
              <w:right w:w="80" w:type="dxa"/>
            </w:tcMar>
          </w:tcPr>
          <w:p w:rsidR="00977CA0" w:rsidRPr="00977CA0" w:rsidRDefault="00977CA0" w:rsidP="00977CA0">
            <w:pPr>
              <w:spacing w:before="0" w:afterLines="200" w:after="480"/>
              <w:ind w:left="-129"/>
              <w:contextualSpacing/>
              <w:jc w:val="left"/>
              <w:rPr>
                <w:rFonts w:ascii="Century" w:hAnsi="Century"/>
                <w:sz w:val="20"/>
                <w:szCs w:val="20"/>
              </w:rPr>
            </w:pPr>
            <w:r w:rsidRPr="00977CA0">
              <w:rPr>
                <w:rFonts w:ascii="Century" w:hAnsi="Century"/>
                <w:sz w:val="20"/>
                <w:szCs w:val="20"/>
              </w:rPr>
              <w:t>Армения</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22,09</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20,92</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22,20</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22,05</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21,49</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21,36</w:t>
            </w:r>
          </w:p>
        </w:tc>
        <w:tc>
          <w:tcPr>
            <w:tcW w:w="831"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21,20</w:t>
            </w:r>
          </w:p>
        </w:tc>
      </w:tr>
      <w:tr w:rsidR="00977CA0" w:rsidRPr="00977CA0" w:rsidTr="00917B18">
        <w:trPr>
          <w:gridBefore w:val="1"/>
          <w:wBefore w:w="80" w:type="dxa"/>
          <w:trHeight w:val="283"/>
        </w:trPr>
        <w:tc>
          <w:tcPr>
            <w:tcW w:w="3345" w:type="dxa"/>
            <w:gridSpan w:val="2"/>
            <w:shd w:val="clear" w:color="auto" w:fill="auto"/>
            <w:tcMar>
              <w:top w:w="80" w:type="dxa"/>
              <w:left w:w="554" w:type="dxa"/>
              <w:bottom w:w="80" w:type="dxa"/>
              <w:right w:w="80" w:type="dxa"/>
            </w:tcMar>
          </w:tcPr>
          <w:p w:rsidR="00977CA0" w:rsidRPr="00977CA0" w:rsidRDefault="00977CA0" w:rsidP="00977CA0">
            <w:pPr>
              <w:tabs>
                <w:tab w:val="left" w:pos="-270"/>
              </w:tabs>
              <w:spacing w:before="0" w:afterLines="200" w:after="480"/>
              <w:ind w:left="-412"/>
              <w:contextualSpacing/>
              <w:jc w:val="left"/>
              <w:rPr>
                <w:rFonts w:ascii="Century" w:hAnsi="Century"/>
                <w:sz w:val="20"/>
                <w:szCs w:val="20"/>
              </w:rPr>
            </w:pPr>
            <w:r w:rsidRPr="00977CA0">
              <w:rPr>
                <w:rFonts w:ascii="Century" w:hAnsi="Century"/>
                <w:sz w:val="20"/>
                <w:szCs w:val="20"/>
              </w:rPr>
              <w:t>Беларусь</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37,49</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39,25</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39,83</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38,93</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41,28</w:t>
            </w:r>
          </w:p>
        </w:tc>
        <w:tc>
          <w:tcPr>
            <w:tcW w:w="830"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42,45</w:t>
            </w:r>
          </w:p>
        </w:tc>
        <w:tc>
          <w:tcPr>
            <w:tcW w:w="831" w:type="dxa"/>
            <w:gridSpan w:val="2"/>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41,71</w:t>
            </w:r>
          </w:p>
        </w:tc>
      </w:tr>
      <w:tr w:rsidR="00977CA0" w:rsidRPr="00977CA0" w:rsidTr="00977CA0">
        <w:trPr>
          <w:gridBefore w:val="1"/>
          <w:wBefore w:w="80" w:type="dxa"/>
          <w:trHeight w:val="283"/>
        </w:trPr>
        <w:tc>
          <w:tcPr>
            <w:tcW w:w="3345" w:type="dxa"/>
            <w:gridSpan w:val="2"/>
            <w:shd w:val="clear" w:color="auto" w:fill="F2F2F2" w:themeFill="background1" w:themeFillShade="F2"/>
            <w:tcMar>
              <w:top w:w="80" w:type="dxa"/>
              <w:left w:w="554" w:type="dxa"/>
              <w:bottom w:w="80" w:type="dxa"/>
              <w:right w:w="80" w:type="dxa"/>
            </w:tcMar>
          </w:tcPr>
          <w:p w:rsidR="00977CA0" w:rsidRPr="00977CA0" w:rsidRDefault="00977CA0" w:rsidP="00977CA0">
            <w:pPr>
              <w:tabs>
                <w:tab w:val="left" w:pos="-412"/>
              </w:tabs>
              <w:spacing w:before="0" w:afterLines="200" w:after="480"/>
              <w:ind w:left="-412"/>
              <w:contextualSpacing/>
              <w:jc w:val="left"/>
              <w:rPr>
                <w:rFonts w:ascii="Century" w:hAnsi="Century"/>
                <w:sz w:val="20"/>
                <w:szCs w:val="20"/>
              </w:rPr>
            </w:pPr>
            <w:r w:rsidRPr="00977CA0">
              <w:rPr>
                <w:rFonts w:ascii="Century" w:hAnsi="Century"/>
                <w:sz w:val="20"/>
                <w:szCs w:val="20"/>
              </w:rPr>
              <w:t>Казахстан</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27,05</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26,34</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24,75</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23,74</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16,61</w:t>
            </w:r>
          </w:p>
        </w:tc>
        <w:tc>
          <w:tcPr>
            <w:tcW w:w="830"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16,56</w:t>
            </w:r>
          </w:p>
        </w:tc>
        <w:tc>
          <w:tcPr>
            <w:tcW w:w="831" w:type="dxa"/>
            <w:gridSpan w:val="2"/>
            <w:shd w:val="clear" w:color="auto" w:fill="F2F2F2" w:themeFill="background1" w:themeFillShade="F2"/>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18,60</w:t>
            </w:r>
          </w:p>
        </w:tc>
      </w:tr>
      <w:tr w:rsidR="00977CA0" w:rsidRPr="00977CA0" w:rsidTr="00977CA0">
        <w:trPr>
          <w:gridBefore w:val="1"/>
          <w:wBefore w:w="80" w:type="dxa"/>
          <w:trHeight w:val="283"/>
        </w:trPr>
        <w:tc>
          <w:tcPr>
            <w:tcW w:w="3345" w:type="dxa"/>
            <w:gridSpan w:val="2"/>
            <w:tcBorders>
              <w:bottom w:val="single" w:sz="4" w:space="0" w:color="auto"/>
            </w:tcBorders>
            <w:shd w:val="clear" w:color="auto" w:fill="auto"/>
            <w:tcMar>
              <w:top w:w="80" w:type="dxa"/>
              <w:left w:w="271" w:type="dxa"/>
              <w:bottom w:w="80" w:type="dxa"/>
              <w:right w:w="80" w:type="dxa"/>
            </w:tcMar>
          </w:tcPr>
          <w:p w:rsidR="00977CA0" w:rsidRPr="00977CA0" w:rsidRDefault="00977CA0" w:rsidP="00977CA0">
            <w:pPr>
              <w:spacing w:before="0" w:afterLines="200" w:after="480"/>
              <w:ind w:left="-129"/>
              <w:contextualSpacing/>
              <w:jc w:val="left"/>
              <w:rPr>
                <w:rFonts w:ascii="Century" w:hAnsi="Century"/>
                <w:sz w:val="20"/>
                <w:szCs w:val="20"/>
              </w:rPr>
            </w:pPr>
            <w:r w:rsidRPr="00977CA0">
              <w:rPr>
                <w:rFonts w:ascii="Century" w:hAnsi="Century"/>
                <w:sz w:val="20"/>
                <w:szCs w:val="20"/>
              </w:rPr>
              <w:t>Киргизия</w:t>
            </w:r>
          </w:p>
        </w:tc>
        <w:tc>
          <w:tcPr>
            <w:tcW w:w="830" w:type="dxa"/>
            <w:gridSpan w:val="2"/>
            <w:tcBorders>
              <w:bottom w:val="single" w:sz="4" w:space="0" w:color="auto"/>
            </w:tcBorders>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32,66</w:t>
            </w:r>
          </w:p>
        </w:tc>
        <w:tc>
          <w:tcPr>
            <w:tcW w:w="830" w:type="dxa"/>
            <w:gridSpan w:val="2"/>
            <w:tcBorders>
              <w:bottom w:val="single" w:sz="4" w:space="0" w:color="auto"/>
            </w:tcBorders>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34,72</w:t>
            </w:r>
          </w:p>
        </w:tc>
        <w:tc>
          <w:tcPr>
            <w:tcW w:w="830" w:type="dxa"/>
            <w:gridSpan w:val="2"/>
            <w:tcBorders>
              <w:bottom w:val="single" w:sz="4" w:space="0" w:color="auto"/>
            </w:tcBorders>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34,45</w:t>
            </w:r>
          </w:p>
        </w:tc>
        <w:tc>
          <w:tcPr>
            <w:tcW w:w="830" w:type="dxa"/>
            <w:gridSpan w:val="2"/>
            <w:tcBorders>
              <w:bottom w:val="single" w:sz="4" w:space="0" w:color="auto"/>
            </w:tcBorders>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35,45</w:t>
            </w:r>
          </w:p>
        </w:tc>
        <w:tc>
          <w:tcPr>
            <w:tcW w:w="830" w:type="dxa"/>
            <w:gridSpan w:val="2"/>
            <w:tcBorders>
              <w:bottom w:val="single" w:sz="4" w:space="0" w:color="auto"/>
            </w:tcBorders>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35,62</w:t>
            </w:r>
          </w:p>
        </w:tc>
        <w:tc>
          <w:tcPr>
            <w:tcW w:w="830" w:type="dxa"/>
            <w:gridSpan w:val="2"/>
            <w:tcBorders>
              <w:bottom w:val="single" w:sz="4" w:space="0" w:color="auto"/>
            </w:tcBorders>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34,69</w:t>
            </w:r>
          </w:p>
        </w:tc>
        <w:tc>
          <w:tcPr>
            <w:tcW w:w="831" w:type="dxa"/>
            <w:gridSpan w:val="2"/>
            <w:tcBorders>
              <w:bottom w:val="single" w:sz="4" w:space="0" w:color="auto"/>
            </w:tcBorders>
            <w:shd w:val="clear" w:color="auto" w:fill="auto"/>
            <w:tcMar>
              <w:top w:w="80" w:type="dxa"/>
              <w:left w:w="80" w:type="dxa"/>
              <w:bottom w:w="80" w:type="dxa"/>
              <w:right w:w="80" w:type="dxa"/>
            </w:tcMar>
          </w:tcPr>
          <w:p w:rsidR="00977CA0" w:rsidRPr="00977CA0" w:rsidRDefault="00977CA0" w:rsidP="00977CA0">
            <w:pPr>
              <w:spacing w:before="0" w:afterLines="200" w:after="480"/>
              <w:contextualSpacing/>
              <w:rPr>
                <w:rFonts w:ascii="Century" w:hAnsi="Century"/>
                <w:sz w:val="20"/>
                <w:szCs w:val="20"/>
              </w:rPr>
            </w:pPr>
            <w:r w:rsidRPr="00977CA0">
              <w:rPr>
                <w:rFonts w:ascii="Century" w:hAnsi="Century"/>
                <w:sz w:val="20"/>
                <w:szCs w:val="20"/>
              </w:rPr>
              <w:t>37,79</w:t>
            </w:r>
          </w:p>
        </w:tc>
      </w:tr>
    </w:tbl>
    <w:p w:rsidR="003E0B7B" w:rsidRPr="00977CA0" w:rsidRDefault="00662727" w:rsidP="00977CA0">
      <w:pPr>
        <w:spacing w:after="0"/>
        <w:rPr>
          <w:i/>
          <w:sz w:val="18"/>
        </w:rPr>
      </w:pPr>
      <w:r w:rsidRPr="00977CA0">
        <w:rPr>
          <w:i/>
          <w:sz w:val="18"/>
        </w:rPr>
        <w:t>Источники данных: Международный валютный фонд</w:t>
      </w:r>
      <w:r w:rsidR="00977CA0">
        <w:rPr>
          <w:i/>
          <w:sz w:val="18"/>
        </w:rPr>
        <w:t xml:space="preserve"> (http://elibrary-data.imf.org)</w:t>
      </w:r>
    </w:p>
    <w:p w:rsidR="003E0B7B" w:rsidRPr="00C75DB0" w:rsidRDefault="00662727" w:rsidP="003E0B7B">
      <w:r>
        <w:t>Уровень</w:t>
      </w:r>
      <w:r w:rsidRPr="008A1D58">
        <w:t xml:space="preserve"> налоговой нагрузки </w:t>
      </w:r>
      <w:r>
        <w:t>в</w:t>
      </w:r>
      <w:r w:rsidRPr="008A1D58">
        <w:t xml:space="preserve"> России по данным Международного валютного фонда (201</w:t>
      </w:r>
      <w:r>
        <w:t>7</w:t>
      </w:r>
      <w:r w:rsidRPr="008A1D58">
        <w:t xml:space="preserve"> год – </w:t>
      </w:r>
      <w:r>
        <w:t>33,28</w:t>
      </w:r>
      <w:r w:rsidRPr="008A1D58">
        <w:t xml:space="preserve">%) отличается от </w:t>
      </w:r>
      <w:r>
        <w:t>уровня</w:t>
      </w:r>
      <w:r w:rsidRPr="008A1D58">
        <w:t xml:space="preserve"> налоговой нагрузки, рассчитанного в соответствии с методикой, применяемой ОЭСР (налоговая нагрузка в России за 201</w:t>
      </w:r>
      <w:r>
        <w:t>7</w:t>
      </w:r>
      <w:r w:rsidRPr="008A1D58">
        <w:t xml:space="preserve"> год – </w:t>
      </w:r>
      <w:r>
        <w:t>30,29</w:t>
      </w:r>
      <w:r w:rsidRPr="008A1D58">
        <w:t>%)</w:t>
      </w:r>
      <w:r>
        <w:t xml:space="preserve">, в </w:t>
      </w:r>
      <w:r w:rsidRPr="008A1D58">
        <w:t>связ</w:t>
      </w:r>
      <w:r>
        <w:t>и</w:t>
      </w:r>
      <w:r w:rsidRPr="008A1D58">
        <w:t xml:space="preserve"> с различными подходами к определению общей суммы </w:t>
      </w:r>
      <w:proofErr w:type="gramStart"/>
      <w:r w:rsidRPr="008A1D58">
        <w:t>налоговых</w:t>
      </w:r>
      <w:proofErr w:type="gramEnd"/>
      <w:r w:rsidRPr="008A1D58">
        <w:t xml:space="preserve"> доходов. В частности, по-разному учитыва</w:t>
      </w:r>
      <w:r>
        <w:t>ются</w:t>
      </w:r>
      <w:r w:rsidRPr="008A1D58">
        <w:t xml:space="preserve"> таможенные пошлины, налоги, сборы и регулярные платежи за пользование природными ресурсами, взносы на обязательное социальное страхование.</w:t>
      </w:r>
    </w:p>
    <w:p w:rsidR="002165A5" w:rsidRDefault="002165A5">
      <w:pPr>
        <w:spacing w:before="0" w:after="200"/>
        <w:jc w:val="left"/>
      </w:pPr>
      <w:r>
        <w:br w:type="page"/>
      </w:r>
    </w:p>
    <w:p w:rsidR="00065F19" w:rsidRDefault="00065F19" w:rsidP="00065F19">
      <w:pPr>
        <w:spacing w:after="0" w:line="240" w:lineRule="auto"/>
        <w:jc w:val="right"/>
        <w:rPr>
          <w:rFonts w:eastAsia="Times New Roman"/>
          <w:b/>
          <w:iCs/>
          <w:sz w:val="28"/>
          <w:lang w:eastAsia="ru-RU"/>
        </w:rPr>
      </w:pPr>
      <w:r w:rsidRPr="009730D9">
        <w:rPr>
          <w:rFonts w:eastAsia="Times New Roman"/>
          <w:b/>
          <w:iCs/>
          <w:sz w:val="28"/>
          <w:lang w:eastAsia="ru-RU"/>
        </w:rPr>
        <w:t xml:space="preserve">Приложение </w:t>
      </w:r>
      <w:r>
        <w:rPr>
          <w:rFonts w:eastAsia="Times New Roman"/>
          <w:b/>
          <w:iCs/>
          <w:sz w:val="28"/>
          <w:lang w:eastAsia="ru-RU"/>
        </w:rPr>
        <w:t>3</w:t>
      </w:r>
    </w:p>
    <w:p w:rsidR="00065F19" w:rsidRPr="002C3C4D" w:rsidRDefault="00065F19" w:rsidP="00065F19">
      <w:pPr>
        <w:pBdr>
          <w:top w:val="nil"/>
          <w:left w:val="nil"/>
          <w:bottom w:val="nil"/>
          <w:right w:val="nil"/>
          <w:between w:val="nil"/>
          <w:bar w:val="nil"/>
        </w:pBdr>
        <w:rPr>
          <w:rFonts w:eastAsia="Times New Roman"/>
          <w:color w:val="000000"/>
          <w:u w:color="000000"/>
          <w:bdr w:val="nil"/>
          <w:lang w:eastAsia="ru-RU"/>
        </w:rPr>
      </w:pPr>
      <w:r>
        <w:rPr>
          <w:rFonts w:cs="Calibri"/>
          <w:b/>
          <w:color w:val="000000"/>
          <w:u w:color="000000"/>
          <w:bdr w:val="nil"/>
          <w:lang w:eastAsia="ru-RU"/>
        </w:rPr>
        <w:t>МЕРЫ НАЛОГОВОЙ ПОЛИТИКИ ПО ВИДАМ НАЛОГОВ</w:t>
      </w:r>
    </w:p>
    <w:p w:rsidR="00065F19" w:rsidRPr="00790CE8" w:rsidRDefault="00065F19" w:rsidP="00065F19">
      <w:pPr>
        <w:rPr>
          <w:b/>
        </w:rPr>
      </w:pPr>
      <w:r w:rsidRPr="00790CE8">
        <w:rPr>
          <w:b/>
        </w:rPr>
        <w:t>Налогообложение прибыли организаций</w:t>
      </w:r>
    </w:p>
    <w:p w:rsidR="00065F19" w:rsidRPr="00F23427" w:rsidRDefault="00065F19" w:rsidP="005A0BA7">
      <w:pPr>
        <w:pStyle w:val="a8"/>
        <w:numPr>
          <w:ilvl w:val="0"/>
          <w:numId w:val="8"/>
        </w:numPr>
        <w:spacing w:before="0"/>
        <w:ind w:left="0" w:firstLine="0"/>
        <w:contextualSpacing w:val="0"/>
      </w:pPr>
      <w:r w:rsidRPr="00F23427">
        <w:t>Снятие ограничения на применение</w:t>
      </w:r>
      <w:r w:rsidR="00D14594" w:rsidRPr="00F23427">
        <w:t xml:space="preserve"> инвестиционного налогового вычета</w:t>
      </w:r>
      <w:r w:rsidRPr="00F23427">
        <w:t xml:space="preserve"> участниками консолидированных групп налогоплательщиков (далее – КГН), а также расшир</w:t>
      </w:r>
      <w:r w:rsidR="00A058BB" w:rsidRPr="00F23427">
        <w:t>ение</w:t>
      </w:r>
      <w:r w:rsidRPr="00F23427">
        <w:t xml:space="preserve"> сфер</w:t>
      </w:r>
      <w:r w:rsidR="00A058BB" w:rsidRPr="00F23427">
        <w:t>ы</w:t>
      </w:r>
      <w:r w:rsidRPr="00F23427">
        <w:t xml:space="preserve"> его применения в части компенсации затрат налогоплательщиков, осуществляющих строительство объектов коммунальной, транспортной и социальной инфраструктур в рамках договора о комплексном освоении территории.</w:t>
      </w:r>
    </w:p>
    <w:p w:rsidR="005A0BA7" w:rsidRDefault="005A0BA7" w:rsidP="005A0BA7">
      <w:pPr>
        <w:pStyle w:val="a8"/>
        <w:numPr>
          <w:ilvl w:val="0"/>
          <w:numId w:val="8"/>
        </w:numPr>
        <w:spacing w:before="0"/>
        <w:ind w:left="0" w:firstLine="0"/>
        <w:contextualSpacing w:val="0"/>
      </w:pPr>
      <w:r w:rsidRPr="00F23427">
        <w:t>Продление моратория на создание новых КГН и ограничение на внесение изменений в действующие договоры о создании КГН в части присоединения или выхода организаций из этих групп с установлением предельного срока действия договора о создании КГН до 1 января 2023 года.</w:t>
      </w:r>
    </w:p>
    <w:p w:rsidR="005A0BA7" w:rsidRPr="00F23427" w:rsidRDefault="007624AD" w:rsidP="00F23427">
      <w:pPr>
        <w:pStyle w:val="a8"/>
        <w:numPr>
          <w:ilvl w:val="0"/>
          <w:numId w:val="8"/>
        </w:numPr>
        <w:spacing w:before="0"/>
        <w:ind w:left="0" w:firstLine="0"/>
        <w:contextualSpacing w:val="0"/>
      </w:pPr>
      <w:r w:rsidRPr="00F23427">
        <w:t>В целях</w:t>
      </w:r>
      <w:r w:rsidR="005A0BA7" w:rsidRPr="00F23427">
        <w:t xml:space="preserve"> совершенствовани</w:t>
      </w:r>
      <w:r w:rsidRPr="00F23427">
        <w:t>я</w:t>
      </w:r>
      <w:r w:rsidR="005A0BA7" w:rsidRPr="00F23427">
        <w:t xml:space="preserve"> института КГН, </w:t>
      </w:r>
      <w:r w:rsidR="00906C55" w:rsidRPr="00F23427">
        <w:t>предполагается</w:t>
      </w:r>
      <w:r w:rsidR="005A0BA7" w:rsidRPr="00F23427">
        <w:t xml:space="preserve"> введение обязанности для ответственных участников КГН по представлению информации о </w:t>
      </w:r>
      <w:r w:rsidR="0001722C" w:rsidRPr="00F23427">
        <w:t xml:space="preserve">прогнозируемых поступлениях от </w:t>
      </w:r>
      <w:r w:rsidR="005A0BA7" w:rsidRPr="00F23427">
        <w:t xml:space="preserve">КГН </w:t>
      </w:r>
      <w:r w:rsidR="0001722C" w:rsidRPr="00F23427">
        <w:t xml:space="preserve">по налогу на прибыль организаций </w:t>
      </w:r>
      <w:r w:rsidR="005A0BA7" w:rsidRPr="00F23427">
        <w:t>для целей обеспечения эффективного бюджетного планирования органами исполнительной власти субъектов Российской Федерации, на территории которых участники КГН осуществляют свою деятельность</w:t>
      </w:r>
      <w:r w:rsidR="00906C55" w:rsidRPr="00F23427">
        <w:t>.</w:t>
      </w:r>
      <w:r w:rsidR="005A0BA7" w:rsidRPr="00F23427">
        <w:t xml:space="preserve"> </w:t>
      </w:r>
    </w:p>
    <w:p w:rsidR="00065F19" w:rsidRPr="00F23427" w:rsidRDefault="00065F19" w:rsidP="00430CF1">
      <w:pPr>
        <w:pStyle w:val="a8"/>
        <w:numPr>
          <w:ilvl w:val="0"/>
          <w:numId w:val="8"/>
        </w:numPr>
        <w:spacing w:before="0"/>
        <w:ind w:left="0" w:firstLine="0"/>
        <w:contextualSpacing w:val="0"/>
      </w:pPr>
      <w:r w:rsidRPr="00F23427">
        <w:t>Уточнение услови</w:t>
      </w:r>
      <w:r w:rsidR="005A0BA7" w:rsidRPr="00F23427">
        <w:t>й применения участниками региональных инвестиционных проектов преференций, предусмотренных законодательством о налогах и сборах</w:t>
      </w:r>
      <w:r w:rsidRPr="00F23427">
        <w:t>, а также установленного понятийного аппарата для единообразного то</w:t>
      </w:r>
      <w:r w:rsidR="00860CFA" w:rsidRPr="00F23427">
        <w:t>л</w:t>
      </w:r>
      <w:r w:rsidRPr="00F23427">
        <w:t>кования и исключения споров между налоговыми органами и налогоплательщиками.</w:t>
      </w:r>
    </w:p>
    <w:p w:rsidR="00065F19" w:rsidRPr="00F23427" w:rsidRDefault="00065F19" w:rsidP="00430CF1">
      <w:pPr>
        <w:pStyle w:val="a8"/>
        <w:numPr>
          <w:ilvl w:val="0"/>
          <w:numId w:val="8"/>
        </w:numPr>
        <w:spacing w:before="0"/>
        <w:ind w:left="0" w:firstLine="0"/>
        <w:contextualSpacing w:val="0"/>
      </w:pPr>
      <w:r w:rsidRPr="00F23427">
        <w:t>Возложение на индивидуальных предпринимателей (по аналогии с организациями) обязанности налогового агента по налогу на прибыль</w:t>
      </w:r>
      <w:r w:rsidR="00A058BB" w:rsidRPr="00F23427">
        <w:t xml:space="preserve"> организаций</w:t>
      </w:r>
      <w:r w:rsidRPr="00F23427">
        <w:t xml:space="preserve"> при выплате доходов иностранным организациям, не осуществляющих деятельность через постоянное представительство в Российской Федерации. </w:t>
      </w:r>
    </w:p>
    <w:p w:rsidR="00065F19" w:rsidRPr="00F23427" w:rsidRDefault="00065F19" w:rsidP="00430CF1">
      <w:pPr>
        <w:pStyle w:val="a8"/>
        <w:numPr>
          <w:ilvl w:val="0"/>
          <w:numId w:val="8"/>
        </w:numPr>
        <w:spacing w:before="0"/>
        <w:ind w:left="0" w:firstLine="0"/>
        <w:contextualSpacing w:val="0"/>
      </w:pPr>
      <w:r w:rsidRPr="00F23427">
        <w:t>Регламентирование порядка учета для целей налогообложения прибыли</w:t>
      </w:r>
      <w:r w:rsidR="00A058BB" w:rsidRPr="00F23427">
        <w:t>/</w:t>
      </w:r>
      <w:r w:rsidRPr="00F23427">
        <w:t>убытков реорганизованных организаций в целях исключения незаконной налоговой оптимизации.</w:t>
      </w:r>
    </w:p>
    <w:p w:rsidR="00065F19" w:rsidRPr="0005375F" w:rsidRDefault="00065F19" w:rsidP="00430CF1">
      <w:pPr>
        <w:pStyle w:val="a8"/>
        <w:numPr>
          <w:ilvl w:val="0"/>
          <w:numId w:val="8"/>
        </w:numPr>
        <w:spacing w:before="0"/>
        <w:ind w:left="0" w:firstLine="0"/>
        <w:contextualSpacing w:val="0"/>
      </w:pPr>
      <w:r w:rsidRPr="0005375F">
        <w:t>Установление порядка учета расходов организации по приобретению основных средств, используемых в производственной деятельности, но не подлежащих амортизации в соответствии с нормами законодательства о налогах и сборах.</w:t>
      </w:r>
    </w:p>
    <w:p w:rsidR="00065F19" w:rsidRPr="0005375F" w:rsidRDefault="00065F19" w:rsidP="00430CF1">
      <w:pPr>
        <w:pStyle w:val="a8"/>
        <w:numPr>
          <w:ilvl w:val="0"/>
          <w:numId w:val="8"/>
        </w:numPr>
        <w:spacing w:before="0"/>
        <w:ind w:left="0" w:firstLine="0"/>
        <w:contextualSpacing w:val="0"/>
      </w:pPr>
      <w:r w:rsidRPr="0005375F">
        <w:t>Ограничение права субъектов</w:t>
      </w:r>
      <w:r w:rsidR="005A0BA7" w:rsidRPr="0005375F">
        <w:t xml:space="preserve"> Российской Федерации</w:t>
      </w:r>
      <w:r w:rsidRPr="0005375F">
        <w:t xml:space="preserve"> устанавливать </w:t>
      </w:r>
      <w:r w:rsidR="00A058BB" w:rsidRPr="0005375F">
        <w:t xml:space="preserve">для отдельных категорий налогоплательщиков </w:t>
      </w:r>
      <w:r w:rsidRPr="0005375F">
        <w:t>пониженные налоговые ставки по налогу на прибыль организаций, подлежащему зачислению в бюджеты субъектов Российской Федерации с учетом предлагаемых изменений в правила налогообложения при трансфертном ценообразовании.</w:t>
      </w:r>
    </w:p>
    <w:p w:rsidR="00065F19" w:rsidRPr="0005375F" w:rsidRDefault="00065F19" w:rsidP="00430CF1">
      <w:pPr>
        <w:pStyle w:val="a8"/>
        <w:numPr>
          <w:ilvl w:val="0"/>
          <w:numId w:val="8"/>
        </w:numPr>
        <w:spacing w:before="0"/>
        <w:ind w:left="0" w:firstLine="0"/>
        <w:contextualSpacing w:val="0"/>
      </w:pPr>
      <w:r w:rsidRPr="0005375F">
        <w:t>Устранение неопределенности и формирование единообразного подхода к налогообложению в отношении операций, связанных с возвратом средств финансирования при выходе из дочерних обществ и их ликвидацией. Признание для целей налогообложения убытков, возникающих у материнской компании при ликвидации хозяйственных обществ (либо при выходе из обществ), а сумму превышения стоимости имущества, получаемого при ликвидации над взносом акционера в уставный капитал, признание в качестве дивидендов.</w:t>
      </w:r>
    </w:p>
    <w:p w:rsidR="00CD0346" w:rsidRPr="0005375F" w:rsidRDefault="00B73503" w:rsidP="00065F19">
      <w:pPr>
        <w:pStyle w:val="a8"/>
        <w:numPr>
          <w:ilvl w:val="0"/>
          <w:numId w:val="8"/>
        </w:numPr>
        <w:spacing w:before="0"/>
        <w:ind w:left="0" w:firstLine="0"/>
        <w:contextualSpacing w:val="0"/>
      </w:pPr>
      <w:r w:rsidRPr="0005375F">
        <w:t>Совершенствование налогообложения доходов и расходов, связанных с финансированием зарубежных геологоразведочных проектов, источником которых являются займы, предоставленные взаимозависимыми лицами, осуществляющими деятельность на территории Российской Федерации, в целях стимулирования деятельности российских нефтяных компаний по поиску и оценке месторождений углеводородного сырья вне территории Российской Федерации</w:t>
      </w:r>
      <w:r w:rsidR="000C4C89" w:rsidRPr="0005375F">
        <w:t>.</w:t>
      </w:r>
    </w:p>
    <w:p w:rsidR="00CD0346" w:rsidRPr="00F23427" w:rsidRDefault="00065F19" w:rsidP="005A0BA7">
      <w:pPr>
        <w:pStyle w:val="a8"/>
        <w:numPr>
          <w:ilvl w:val="0"/>
          <w:numId w:val="8"/>
        </w:numPr>
        <w:spacing w:before="0"/>
        <w:ind w:left="0" w:firstLine="0"/>
        <w:contextualSpacing w:val="0"/>
      </w:pPr>
      <w:r w:rsidRPr="0005375F">
        <w:t xml:space="preserve">Продление до 2024 года включительно в целях обеспечения сбалансированности бюджетов субъектов Российской Федерации зачисления в федеральный бюджет суммы налога на прибыль организаций, исчисленной по ставке 3 процента, в бюджеты субъектов Российской </w:t>
      </w:r>
      <w:r w:rsidRPr="00F23427">
        <w:t>Федерации - 17 процентов, в целях последующего распределения одного процентного пункта указанного налога между бюджетами наименее обеспеченных регионов.</w:t>
      </w:r>
    </w:p>
    <w:p w:rsidR="00065F19" w:rsidRPr="00790CE8" w:rsidRDefault="00065F19" w:rsidP="00065F19">
      <w:pPr>
        <w:rPr>
          <w:b/>
        </w:rPr>
      </w:pPr>
      <w:r w:rsidRPr="00790CE8">
        <w:rPr>
          <w:b/>
        </w:rPr>
        <w:t>Налог на добавленную стоимость</w:t>
      </w:r>
    </w:p>
    <w:p w:rsidR="00065F19" w:rsidRPr="00F23427" w:rsidRDefault="005A0BA7" w:rsidP="00430CF1">
      <w:pPr>
        <w:pStyle w:val="a8"/>
        <w:numPr>
          <w:ilvl w:val="0"/>
          <w:numId w:val="10"/>
        </w:numPr>
        <w:spacing w:before="0"/>
        <w:ind w:left="0" w:firstLine="0"/>
        <w:contextualSpacing w:val="0"/>
      </w:pPr>
      <w:r w:rsidRPr="00F23427">
        <w:t>П</w:t>
      </w:r>
      <w:r w:rsidR="00065F19" w:rsidRPr="00F23427">
        <w:t>овышение основной ставки НДС с 18 до 20 процентов с сохранением</w:t>
      </w:r>
      <w:r w:rsidR="00B73503" w:rsidRPr="00F23427">
        <w:t xml:space="preserve"> всех действующих</w:t>
      </w:r>
      <w:r w:rsidR="00065F19" w:rsidRPr="00F23427">
        <w:t xml:space="preserve"> пониженных ставок по НДС. </w:t>
      </w:r>
    </w:p>
    <w:p w:rsidR="00065F19" w:rsidRPr="00F23427" w:rsidRDefault="00065F19" w:rsidP="00430CF1">
      <w:pPr>
        <w:pStyle w:val="a8"/>
        <w:numPr>
          <w:ilvl w:val="0"/>
          <w:numId w:val="10"/>
        </w:numPr>
        <w:spacing w:before="0"/>
        <w:ind w:left="0" w:firstLine="0"/>
        <w:contextualSpacing w:val="0"/>
      </w:pPr>
      <w:r w:rsidRPr="00F23427">
        <w:t>Для ускорения возмещения НДС налогоплательщикам, в том числе экспортерам, сни</w:t>
      </w:r>
      <w:r w:rsidR="00B73503" w:rsidRPr="00F23427">
        <w:t>жение</w:t>
      </w:r>
      <w:r w:rsidRPr="00F23427">
        <w:t xml:space="preserve"> с 7 до 2 млрд. рублей размер</w:t>
      </w:r>
      <w:r w:rsidR="00B73503" w:rsidRPr="00F23427">
        <w:t>а</w:t>
      </w:r>
      <w:r w:rsidRPr="00F23427">
        <w:t xml:space="preserve"> совокупной суммы налогов, уплаченных налогоплательщиком за 3 предшествующих года, при достижении которого налогоплательщику предоставл</w:t>
      </w:r>
      <w:r w:rsidR="00B73503" w:rsidRPr="00F23427">
        <w:t>яется</w:t>
      </w:r>
      <w:r w:rsidRPr="00F23427">
        <w:t xml:space="preserve"> прав</w:t>
      </w:r>
      <w:r w:rsidR="00B73503" w:rsidRPr="00F23427">
        <w:t>о</w:t>
      </w:r>
      <w:r w:rsidRPr="00F23427">
        <w:t xml:space="preserve"> на применение заявительного порядка возмещения НДС без представления в налоговые органы банковской гарантии или договора поручительства.</w:t>
      </w:r>
    </w:p>
    <w:p w:rsidR="00065F19" w:rsidRPr="00F23427" w:rsidRDefault="00065F19" w:rsidP="00430CF1">
      <w:pPr>
        <w:pStyle w:val="a8"/>
        <w:numPr>
          <w:ilvl w:val="0"/>
          <w:numId w:val="10"/>
        </w:numPr>
        <w:spacing w:before="0"/>
        <w:ind w:left="0" w:firstLine="0"/>
        <w:contextualSpacing w:val="0"/>
      </w:pPr>
      <w:r w:rsidRPr="00F23427">
        <w:t>Исключение из перечня документов, представляемых в налоговые органы одновременно с налоговой декларацией по НДС, копии транспортных, товаросопроводительных и (или) иных документов, с отметками таможенных органов, подтверждающими фактический вывоз товаров с территории Российской Федерации</w:t>
      </w:r>
      <w:r w:rsidR="00B73503" w:rsidRPr="00F23427">
        <w:t>, в целях упрощения подтверждения обоснованности применения нулевой ставки НДС при экспорте товаров</w:t>
      </w:r>
      <w:r w:rsidRPr="00F23427">
        <w:t xml:space="preserve">. </w:t>
      </w:r>
    </w:p>
    <w:p w:rsidR="00065F19" w:rsidRPr="00790CE8" w:rsidRDefault="00065F19" w:rsidP="00065F19">
      <w:pPr>
        <w:rPr>
          <w:b/>
        </w:rPr>
      </w:pPr>
      <w:r w:rsidRPr="00790CE8">
        <w:rPr>
          <w:b/>
        </w:rPr>
        <w:t>Налог на доходы физических лиц</w:t>
      </w:r>
    </w:p>
    <w:p w:rsidR="00065F19" w:rsidRPr="00F23427" w:rsidRDefault="00065F19" w:rsidP="005A0BA7">
      <w:pPr>
        <w:pStyle w:val="a8"/>
        <w:numPr>
          <w:ilvl w:val="0"/>
          <w:numId w:val="19"/>
        </w:numPr>
        <w:spacing w:before="0"/>
        <w:ind w:left="0" w:firstLine="0"/>
        <w:contextualSpacing w:val="0"/>
      </w:pPr>
      <w:r w:rsidRPr="00F23427">
        <w:t xml:space="preserve">Уточнение </w:t>
      </w:r>
      <w:r w:rsidR="005A0BA7" w:rsidRPr="00F23427">
        <w:t xml:space="preserve">в целях налогообложения </w:t>
      </w:r>
      <w:r w:rsidRPr="00F23427">
        <w:t>порядка пересчета в рубли расходов на приобретение облигаций</w:t>
      </w:r>
      <w:r w:rsidR="00515FE9" w:rsidRPr="00F23427">
        <w:t xml:space="preserve"> внешних</w:t>
      </w:r>
      <w:r w:rsidR="00BF7B9F" w:rsidRPr="00F23427">
        <w:t xml:space="preserve"> облигационных займов Российской Федерации, номинированных в иностранной валюте</w:t>
      </w:r>
      <w:r w:rsidRPr="00F23427">
        <w:t>.</w:t>
      </w:r>
    </w:p>
    <w:p w:rsidR="00065F19" w:rsidRPr="00F23427" w:rsidRDefault="00065F19" w:rsidP="005A0BA7">
      <w:pPr>
        <w:pStyle w:val="a8"/>
        <w:numPr>
          <w:ilvl w:val="0"/>
          <w:numId w:val="19"/>
        </w:numPr>
        <w:spacing w:before="0"/>
        <w:ind w:left="0" w:firstLine="0"/>
        <w:contextualSpacing w:val="0"/>
      </w:pPr>
      <w:r w:rsidRPr="00F23427">
        <w:t>Уточнение условий предоставления налоговых вычетов в отношении опекунов недееспособных граждан.</w:t>
      </w:r>
    </w:p>
    <w:p w:rsidR="00065F19" w:rsidRPr="00F23427" w:rsidRDefault="00065F19" w:rsidP="005A0BA7">
      <w:pPr>
        <w:pStyle w:val="a8"/>
        <w:numPr>
          <w:ilvl w:val="0"/>
          <w:numId w:val="19"/>
        </w:numPr>
        <w:spacing w:before="0"/>
        <w:ind w:left="0" w:firstLine="0"/>
        <w:contextualSpacing w:val="0"/>
      </w:pPr>
      <w:r w:rsidRPr="00F23427">
        <w:t>Уточнение условий предоставления имущественных налоговых вычетов в сумме фактических расходов на погашение процентов по кредитам, полученным в целях рефинансирования ипотечных жилищных кредитов, если такие кредиты выданы в соответствии с программой помощи отдельным категориям заемщиков по ипотечным жилищным кредитам (займам), оказавшихся в сложной финансовой ситуации.</w:t>
      </w:r>
    </w:p>
    <w:p w:rsidR="00065F19" w:rsidRPr="00F23427" w:rsidRDefault="00065F19" w:rsidP="005A0BA7">
      <w:pPr>
        <w:pStyle w:val="a8"/>
        <w:numPr>
          <w:ilvl w:val="0"/>
          <w:numId w:val="19"/>
        </w:numPr>
        <w:spacing w:before="0"/>
        <w:ind w:left="0" w:firstLine="0"/>
        <w:contextualSpacing w:val="0"/>
      </w:pPr>
      <w:r w:rsidRPr="00F23427">
        <w:t>Уточнение условий социальных налоговых вычетов в целях унификации их применения.</w:t>
      </w:r>
    </w:p>
    <w:p w:rsidR="00065F19" w:rsidRPr="00F23427" w:rsidRDefault="00065F19" w:rsidP="005A0BA7">
      <w:pPr>
        <w:pStyle w:val="a8"/>
        <w:numPr>
          <w:ilvl w:val="0"/>
          <w:numId w:val="19"/>
        </w:numPr>
        <w:spacing w:before="0"/>
        <w:ind w:left="0" w:firstLine="0"/>
        <w:contextualSpacing w:val="0"/>
      </w:pPr>
      <w:r w:rsidRPr="00F23427">
        <w:t>В целях обеспечения определенности налогообложения:</w:t>
      </w:r>
    </w:p>
    <w:p w:rsidR="00065F19" w:rsidRPr="00F23427" w:rsidRDefault="00065F19" w:rsidP="005A0BA7">
      <w:pPr>
        <w:pStyle w:val="a8"/>
        <w:spacing w:before="0"/>
        <w:ind w:left="0"/>
        <w:contextualSpacing w:val="0"/>
      </w:pPr>
      <w:r w:rsidRPr="00F23427">
        <w:t>- уточнение порядка признания расходов при определении налоговой базы в случае продажи жилого помещения, доли в котором выделены членам семьи, направившим средства материнского капитала на погашение обязательств по ипотечному жилищному кредиту, выданному на приобретение указанного жилого помещения;</w:t>
      </w:r>
    </w:p>
    <w:p w:rsidR="00065F19" w:rsidRPr="00F23427" w:rsidRDefault="00065F19" w:rsidP="005A0BA7">
      <w:pPr>
        <w:pStyle w:val="a8"/>
        <w:spacing w:before="0"/>
        <w:ind w:left="0"/>
        <w:contextualSpacing w:val="0"/>
      </w:pPr>
      <w:r w:rsidRPr="00F23427">
        <w:t>- уточнение порядка признания расходов при определении налоговой базы при передаче имущества участнику организации в случае ее ликвидации;</w:t>
      </w:r>
    </w:p>
    <w:p w:rsidR="00065F19" w:rsidRPr="00F23427" w:rsidRDefault="00065F19" w:rsidP="005A0BA7">
      <w:pPr>
        <w:pStyle w:val="a8"/>
        <w:spacing w:before="0"/>
        <w:ind w:left="0"/>
        <w:contextualSpacing w:val="0"/>
      </w:pPr>
      <w:r w:rsidRPr="00F23427">
        <w:noBreakHyphen/>
        <w:t> уточнение порядка признания расходов при определении налоговой базы при продаже недвижимого имущества, используемого в предпринимательской деятельности;</w:t>
      </w:r>
    </w:p>
    <w:p w:rsidR="00065F19" w:rsidRPr="00F23427" w:rsidRDefault="00065F19" w:rsidP="005A0BA7">
      <w:pPr>
        <w:pStyle w:val="a8"/>
        <w:spacing w:before="0"/>
        <w:ind w:left="0"/>
        <w:contextualSpacing w:val="0"/>
      </w:pPr>
      <w:r w:rsidRPr="00F23427">
        <w:t>- уточнение порядка налогообложения доходов в виде экономической выгоды при прекращении обязательств без их исполнения налогоплательщиком;</w:t>
      </w:r>
    </w:p>
    <w:p w:rsidR="00065F19" w:rsidRPr="00790CE8" w:rsidRDefault="00065F19" w:rsidP="005A0BA7">
      <w:pPr>
        <w:pStyle w:val="a8"/>
        <w:spacing w:before="0"/>
        <w:ind w:left="0"/>
        <w:contextualSpacing w:val="0"/>
      </w:pPr>
      <w:r w:rsidRPr="00F23427">
        <w:t>- уточнение порядка налогообложения в части применения имущественного налогового вычета при продаже имущества, полученного на безвозмездной основе, а также в порядке дарения или наследования.</w:t>
      </w:r>
    </w:p>
    <w:p w:rsidR="00065F19" w:rsidRPr="00F23427" w:rsidRDefault="00065F19" w:rsidP="005A0BA7">
      <w:pPr>
        <w:pStyle w:val="a8"/>
        <w:numPr>
          <w:ilvl w:val="0"/>
          <w:numId w:val="19"/>
        </w:numPr>
        <w:spacing w:before="0"/>
        <w:ind w:left="0" w:firstLine="0"/>
        <w:contextualSpacing w:val="0"/>
      </w:pPr>
      <w:r w:rsidRPr="00F23427">
        <w:t>В целях обеспечения полноты и своевременности уплаты НДФЛ:</w:t>
      </w:r>
    </w:p>
    <w:p w:rsidR="00065F19" w:rsidRPr="00F23427" w:rsidRDefault="00065F19" w:rsidP="005A0BA7">
      <w:pPr>
        <w:pStyle w:val="a8"/>
        <w:spacing w:before="0"/>
        <w:ind w:left="0"/>
        <w:contextualSpacing w:val="0"/>
      </w:pPr>
      <w:r w:rsidRPr="00F23427">
        <w:t>- введение права самостоятельного исчисления налоговым органом НДФЛ в случае непредставления налогоплательщиком налоговой декларации при продаже недвижимого имущества (с учетом кадастровой стоимости указанного имущества);</w:t>
      </w:r>
    </w:p>
    <w:p w:rsidR="00065F19" w:rsidRPr="00790CE8" w:rsidRDefault="00065F19" w:rsidP="005A0BA7">
      <w:pPr>
        <w:pStyle w:val="a8"/>
        <w:spacing w:before="0"/>
        <w:ind w:left="0"/>
        <w:contextualSpacing w:val="0"/>
      </w:pPr>
      <w:r w:rsidRPr="00F23427">
        <w:t>- расширение круга лиц, на которых возложены обязанности налоговых агентов в отношении доходов по операциям с ценными бумагами.</w:t>
      </w:r>
    </w:p>
    <w:p w:rsidR="00065F19" w:rsidRPr="00F23427" w:rsidRDefault="00065F19" w:rsidP="005A0BA7">
      <w:pPr>
        <w:pStyle w:val="a8"/>
        <w:numPr>
          <w:ilvl w:val="0"/>
          <w:numId w:val="19"/>
        </w:numPr>
        <w:spacing w:before="0"/>
        <w:ind w:left="0" w:firstLine="0"/>
        <w:contextualSpacing w:val="0"/>
      </w:pPr>
      <w:r w:rsidRPr="00F23427">
        <w:t>Уточнение порядка исчисления и уплаты НДФЛ индивидуальными предпринимателями с учетом отмены деклар</w:t>
      </w:r>
      <w:r w:rsidR="005A0BA7" w:rsidRPr="00F23427">
        <w:t>ирования предполагаемого дохода.</w:t>
      </w:r>
    </w:p>
    <w:p w:rsidR="00065F19" w:rsidRPr="00F23427" w:rsidRDefault="00065F19" w:rsidP="005A0BA7">
      <w:pPr>
        <w:pStyle w:val="a8"/>
        <w:numPr>
          <w:ilvl w:val="0"/>
          <w:numId w:val="19"/>
        </w:numPr>
        <w:spacing w:before="0"/>
        <w:ind w:left="0" w:firstLine="0"/>
        <w:contextualSpacing w:val="0"/>
      </w:pPr>
      <w:r w:rsidRPr="00F23427">
        <w:t>Предоставление права представления отчетности по месту учета одного из обособленных подразделений в случаях наличия нескольких обособленных подразделений организации на территории одного муниципального образования.</w:t>
      </w:r>
    </w:p>
    <w:p w:rsidR="00065F19" w:rsidRPr="00790CE8" w:rsidRDefault="00CB3850" w:rsidP="00065F19">
      <w:pPr>
        <w:rPr>
          <w:b/>
        </w:rPr>
      </w:pPr>
      <w:r w:rsidRPr="00790CE8">
        <w:rPr>
          <w:b/>
        </w:rPr>
        <w:t>Имущественные налоги</w:t>
      </w:r>
    </w:p>
    <w:p w:rsidR="00065F19" w:rsidRPr="00F23427" w:rsidRDefault="00065F19" w:rsidP="00430CF1">
      <w:pPr>
        <w:pStyle w:val="a8"/>
        <w:numPr>
          <w:ilvl w:val="0"/>
          <w:numId w:val="14"/>
        </w:numPr>
        <w:spacing w:before="0"/>
        <w:ind w:left="0" w:firstLine="0"/>
        <w:contextualSpacing w:val="0"/>
      </w:pPr>
      <w:r w:rsidRPr="00F23427">
        <w:t>Продолжение</w:t>
      </w:r>
      <w:r w:rsidR="00CB3850" w:rsidRPr="00F23427">
        <w:t xml:space="preserve"> работы по</w:t>
      </w:r>
      <w:r w:rsidRPr="00F23427">
        <w:t xml:space="preserve"> переход</w:t>
      </w:r>
      <w:r w:rsidR="00CB3850" w:rsidRPr="00F23427">
        <w:t>у</w:t>
      </w:r>
      <w:r w:rsidRPr="00F23427">
        <w:t xml:space="preserve"> к налогообложению объектов недвижимого имущества исходя из их кадастровой стоимости.</w:t>
      </w:r>
    </w:p>
    <w:p w:rsidR="00065F19" w:rsidRPr="00F23427" w:rsidRDefault="00065F19" w:rsidP="00430CF1">
      <w:pPr>
        <w:pStyle w:val="a8"/>
        <w:numPr>
          <w:ilvl w:val="0"/>
          <w:numId w:val="14"/>
        </w:numPr>
        <w:spacing w:before="0"/>
        <w:ind w:left="0" w:firstLine="0"/>
        <w:contextualSpacing w:val="0"/>
      </w:pPr>
      <w:r w:rsidRPr="00F23427">
        <w:t xml:space="preserve">Исключение </w:t>
      </w:r>
      <w:r w:rsidR="007F10F0" w:rsidRPr="00F23427">
        <w:t xml:space="preserve">с 1 января 2019 года </w:t>
      </w:r>
      <w:r w:rsidRPr="00F23427">
        <w:t>движимого имущества из объектов обложения налогом на имущество организаций для создания стимулов для ускоренного внедрения и развития технологий отечественной промышленности, а также обновления активной части основных фондов организаций (машин, оборудования).</w:t>
      </w:r>
    </w:p>
    <w:p w:rsidR="00065F19" w:rsidRPr="00F23427" w:rsidRDefault="00065F19" w:rsidP="00430CF1">
      <w:pPr>
        <w:pStyle w:val="a8"/>
        <w:numPr>
          <w:ilvl w:val="0"/>
          <w:numId w:val="14"/>
        </w:numPr>
        <w:spacing w:before="0"/>
        <w:ind w:left="0" w:firstLine="0"/>
        <w:contextualSpacing w:val="0"/>
      </w:pPr>
      <w:r w:rsidRPr="00F23427">
        <w:t>Уточнение порядка исчисления налога на имущество физических лиц</w:t>
      </w:r>
      <w:r w:rsidR="00CB3850" w:rsidRPr="00F23427">
        <w:t xml:space="preserve"> с установлением коэффициента</w:t>
      </w:r>
      <w:r w:rsidRPr="00F23427">
        <w:t>, ограничивающ</w:t>
      </w:r>
      <w:r w:rsidR="00CB3850" w:rsidRPr="00F23427">
        <w:t>его</w:t>
      </w:r>
      <w:r w:rsidRPr="00F23427">
        <w:t xml:space="preserve"> ежегодное увеличение суммы налога, исчисляемого на основании кадастровой стоимости, не более чем на 10 процентов по сравнению с предыдущим годом. </w:t>
      </w:r>
      <w:r w:rsidR="00CB3850" w:rsidRPr="00F23427">
        <w:t xml:space="preserve">Апробация </w:t>
      </w:r>
      <w:r w:rsidRPr="00F23427">
        <w:t>применени</w:t>
      </w:r>
      <w:r w:rsidR="00CB3850" w:rsidRPr="00F23427">
        <w:t>я</w:t>
      </w:r>
      <w:r w:rsidRPr="00F23427">
        <w:t xml:space="preserve"> такого коэффициента в 2018 году при исчислении налога за 2017 год </w:t>
      </w:r>
      <w:r w:rsidR="00A66C51" w:rsidRPr="00F23427">
        <w:t xml:space="preserve">будет осуществляться </w:t>
      </w:r>
      <w:r w:rsidRPr="00F23427">
        <w:t>на территориях 28 субъектов Российской Федерации</w:t>
      </w:r>
      <w:r w:rsidR="00CB3850" w:rsidRPr="00F23427">
        <w:t>, где исчисление налога на имущество физических лиц осуществляется с коэффициентом 0,6</w:t>
      </w:r>
      <w:r w:rsidR="00A66C51" w:rsidRPr="00F23427">
        <w:t>.</w:t>
      </w:r>
      <w:r w:rsidR="00CB3850" w:rsidRPr="00F23427">
        <w:t xml:space="preserve"> </w:t>
      </w:r>
      <w:r w:rsidR="0035417B" w:rsidRPr="00F23427">
        <w:t>О</w:t>
      </w:r>
      <w:r w:rsidR="00CB3850" w:rsidRPr="00F23427">
        <w:t>дновременн</w:t>
      </w:r>
      <w:r w:rsidR="0035417B" w:rsidRPr="00F23427">
        <w:t>о предусматривается</w:t>
      </w:r>
      <w:r w:rsidRPr="00F23427">
        <w:t xml:space="preserve"> отказ от применения временного коэффициента в размере 0,8, </w:t>
      </w:r>
      <w:r w:rsidR="00CB3850" w:rsidRPr="00F23427">
        <w:t>применяемого</w:t>
      </w:r>
      <w:r w:rsidRPr="00F23427">
        <w:t>, начиная с четвертого налогового периода применения кадастровой стоимости в качестве налоговой базы по налогу.</w:t>
      </w:r>
    </w:p>
    <w:p w:rsidR="009B2D9C" w:rsidRPr="00F23427" w:rsidRDefault="009B2D9C" w:rsidP="005A0BA7">
      <w:pPr>
        <w:pStyle w:val="a8"/>
        <w:numPr>
          <w:ilvl w:val="0"/>
          <w:numId w:val="14"/>
        </w:numPr>
        <w:spacing w:before="0"/>
        <w:ind w:left="0" w:firstLine="0"/>
        <w:contextualSpacing w:val="0"/>
      </w:pPr>
      <w:r w:rsidRPr="00F23427">
        <w:t>Продолжение работы по реализации механизма «двух ключей», в рамках которой предлагается передать регионам полномочия по установлению налоговых льгот по налогу на имущество организаций и земельному налогу для резидентов особых экономических зон и управляющих компаний особых экономических зон, участников свободной экономической зоны.</w:t>
      </w:r>
    </w:p>
    <w:p w:rsidR="00065F19" w:rsidRPr="00790CE8" w:rsidRDefault="00065F19" w:rsidP="00065F19">
      <w:pPr>
        <w:rPr>
          <w:b/>
        </w:rPr>
      </w:pPr>
      <w:r w:rsidRPr="00790CE8">
        <w:rPr>
          <w:b/>
        </w:rPr>
        <w:t>Налог на добычу полезных ископаемых</w:t>
      </w:r>
    </w:p>
    <w:p w:rsidR="00065F19" w:rsidRPr="00F23427" w:rsidRDefault="00065F19" w:rsidP="00430CF1">
      <w:pPr>
        <w:pStyle w:val="a8"/>
        <w:numPr>
          <w:ilvl w:val="0"/>
          <w:numId w:val="13"/>
        </w:numPr>
        <w:spacing w:before="0"/>
        <w:ind w:left="0" w:firstLine="0"/>
        <w:contextualSpacing w:val="0"/>
      </w:pPr>
      <w:r w:rsidRPr="00F23427">
        <w:t xml:space="preserve">Проведение мониторинга действия специфических ставок НДПИ при добыче многокомпонентных комплексных руд </w:t>
      </w:r>
      <w:proofErr w:type="gramStart"/>
      <w:r w:rsidRPr="00F23427">
        <w:t>в</w:t>
      </w:r>
      <w:proofErr w:type="gramEnd"/>
      <w:r w:rsidRPr="00F23427">
        <w:t xml:space="preserve"> </w:t>
      </w:r>
      <w:proofErr w:type="gramStart"/>
      <w:r w:rsidRPr="00F23427">
        <w:t>Красноярском</w:t>
      </w:r>
      <w:proofErr w:type="gramEnd"/>
      <w:r w:rsidRPr="00F23427">
        <w:t xml:space="preserve"> крае, установленных с 1 января 2017 года, </w:t>
      </w:r>
      <w:r w:rsidR="00D97F73" w:rsidRPr="00F23427">
        <w:t>и</w:t>
      </w:r>
      <w:r w:rsidRPr="00F23427">
        <w:t xml:space="preserve"> подготов</w:t>
      </w:r>
      <w:r w:rsidR="00D97F73" w:rsidRPr="00F23427">
        <w:t>ка по итогам которого</w:t>
      </w:r>
      <w:r w:rsidRPr="00F23427">
        <w:t xml:space="preserve"> </w:t>
      </w:r>
      <w:r w:rsidR="009D1A64" w:rsidRPr="00F23427">
        <w:t xml:space="preserve">будут подготовлены </w:t>
      </w:r>
      <w:r w:rsidRPr="00F23427">
        <w:t>рекомендации по распространению специфических ставок НДПИ на другие регионы и на другие виды полезных ископаемых, включая общер</w:t>
      </w:r>
      <w:bookmarkStart w:id="2" w:name="_GoBack"/>
      <w:bookmarkEnd w:id="2"/>
      <w:r w:rsidRPr="00F23427">
        <w:t>аспространенные.</w:t>
      </w:r>
    </w:p>
    <w:p w:rsidR="00065F19" w:rsidRPr="00F23427" w:rsidRDefault="00065F19" w:rsidP="005A0BA7">
      <w:pPr>
        <w:pStyle w:val="a8"/>
        <w:numPr>
          <w:ilvl w:val="0"/>
          <w:numId w:val="13"/>
        </w:numPr>
        <w:spacing w:before="0"/>
        <w:ind w:left="0" w:firstLine="0"/>
        <w:contextualSpacing w:val="0"/>
      </w:pPr>
      <w:r w:rsidRPr="00F23427">
        <w:t>Проведение работы по подготовке проекта федерального закона, направленного на совершенствование механизма налогообложения НДПИ добычи руд редких металлов и редких металлов, имеющих стратегическое назначение.</w:t>
      </w:r>
    </w:p>
    <w:p w:rsidR="00F54A3E" w:rsidRPr="00F23427" w:rsidRDefault="00F54A3E" w:rsidP="00BB4ACF">
      <w:pPr>
        <w:pStyle w:val="a8"/>
        <w:numPr>
          <w:ilvl w:val="0"/>
          <w:numId w:val="13"/>
        </w:numPr>
        <w:spacing w:before="0"/>
        <w:ind w:left="0" w:firstLine="0"/>
        <w:contextualSpacing w:val="0"/>
      </w:pPr>
      <w:r w:rsidRPr="00F23427">
        <w:t>В целях обеспечения сбалансированности бюджетов бюджетной системы Российской Федерации:</w:t>
      </w:r>
    </w:p>
    <w:p w:rsidR="00F54A3E" w:rsidRPr="00790CE8" w:rsidRDefault="00F54A3E" w:rsidP="00F54A3E">
      <w:pPr>
        <w:pStyle w:val="a8"/>
        <w:ind w:left="0"/>
        <w:contextualSpacing w:val="0"/>
      </w:pPr>
      <w:r w:rsidRPr="00F23427">
        <w:t xml:space="preserve">- повышение в период с 1 сентября по 31 декабря 2018 года при добыче газа горючего природного налогоплательщиками, являющимися собственниками объектов Единой системы газоснабжения, используемого при расчете ставки НДПИ коэффициента </w:t>
      </w:r>
      <w:proofErr w:type="spellStart"/>
      <w:r w:rsidRPr="00F23427">
        <w:t>Кгп</w:t>
      </w:r>
      <w:proofErr w:type="spellEnd"/>
      <w:r w:rsidRPr="00F23427">
        <w:t xml:space="preserve"> до значения 2,055;</w:t>
      </w:r>
    </w:p>
    <w:p w:rsidR="00F54A3E" w:rsidRPr="00790CE8" w:rsidRDefault="00F54A3E" w:rsidP="00F54A3E">
      <w:pPr>
        <w:pStyle w:val="a8"/>
        <w:spacing w:before="0"/>
        <w:ind w:left="0"/>
        <w:contextualSpacing w:val="0"/>
      </w:pPr>
      <w:r w:rsidRPr="00F23427">
        <w:t>- продление действия повышенной ставки НДПИ при добыче нефти (плюс 428 рублей за тонну), установленной на 2018-2020 годы, на период до 31 декабря 2021 года.</w:t>
      </w:r>
    </w:p>
    <w:p w:rsidR="00065F19" w:rsidRPr="0005375F" w:rsidRDefault="00065F19" w:rsidP="00065F19">
      <w:pPr>
        <w:pStyle w:val="a8"/>
        <w:ind w:left="0"/>
        <w:contextualSpacing w:val="0"/>
        <w:rPr>
          <w:b/>
        </w:rPr>
      </w:pPr>
      <w:r w:rsidRPr="0005375F">
        <w:rPr>
          <w:b/>
        </w:rPr>
        <w:t xml:space="preserve">Налог на </w:t>
      </w:r>
      <w:r w:rsidR="003211B7" w:rsidRPr="0005375F">
        <w:rPr>
          <w:b/>
        </w:rPr>
        <w:t>дополнительный</w:t>
      </w:r>
      <w:r w:rsidRPr="0005375F">
        <w:rPr>
          <w:b/>
        </w:rPr>
        <w:t xml:space="preserve"> доход</w:t>
      </w:r>
    </w:p>
    <w:p w:rsidR="00B73503" w:rsidRPr="00F23427" w:rsidRDefault="00065F19" w:rsidP="00BB4ACF">
      <w:pPr>
        <w:pStyle w:val="a8"/>
        <w:spacing w:before="0"/>
        <w:ind w:left="0"/>
        <w:contextualSpacing w:val="0"/>
      </w:pPr>
      <w:r w:rsidRPr="00F23427">
        <w:t>Введение с 1 января 2019 года ново</w:t>
      </w:r>
      <w:r w:rsidR="003B1C42" w:rsidRPr="00F23427">
        <w:t>го режима</w:t>
      </w:r>
      <w:r w:rsidRPr="00F23427">
        <w:t xml:space="preserve"> налогообложения</w:t>
      </w:r>
      <w:r w:rsidR="003B1C42" w:rsidRPr="00F23427">
        <w:t xml:space="preserve"> для нефтяного сектора</w:t>
      </w:r>
      <w:r w:rsidRPr="00F23427">
        <w:t xml:space="preserve"> – налог на дополнительный доход</w:t>
      </w:r>
      <w:r w:rsidR="003B1C42" w:rsidRPr="00F23427">
        <w:t xml:space="preserve"> при добыче углеводородного сырья</w:t>
      </w:r>
      <w:r w:rsidRPr="00F23427">
        <w:t xml:space="preserve"> (далее – НДД)</w:t>
      </w:r>
      <w:r w:rsidR="003B1C42" w:rsidRPr="00F23427">
        <w:t>, который будет осуществляться в тестовом режиме на отдельных участках недр, расположенных</w:t>
      </w:r>
      <w:r w:rsidR="003B1C42" w:rsidRPr="00F23427">
        <w:rPr>
          <w:rFonts w:eastAsiaTheme="minorHAnsi" w:cstheme="minorBidi"/>
          <w:sz w:val="28"/>
          <w:szCs w:val="28"/>
        </w:rPr>
        <w:t xml:space="preserve"> </w:t>
      </w:r>
      <w:r w:rsidR="003B1C42" w:rsidRPr="00F23427">
        <w:t>как в традиционных, так и новых регионах нефтедобычи</w:t>
      </w:r>
      <w:r w:rsidRPr="00F23427">
        <w:t xml:space="preserve">. </w:t>
      </w:r>
    </w:p>
    <w:p w:rsidR="00065F19" w:rsidRPr="00790CE8" w:rsidRDefault="00B73503" w:rsidP="00BB4ACF">
      <w:pPr>
        <w:pStyle w:val="a8"/>
        <w:spacing w:before="0"/>
        <w:ind w:left="0"/>
        <w:contextualSpacing w:val="0"/>
      </w:pPr>
      <w:proofErr w:type="gramStart"/>
      <w:r w:rsidRPr="00F23427">
        <w:t>Снижение в рамках режима НДД суммарной величины налогов, зависящих от валовых показателей, то есть НДПИ и вывозной таможенной пошлины на нефть, и введение налога на дополнительный доход от добычи углеводородного сырья, величина которого зависит от величины расчетного денежного потока от деятельности по разработке отдельного участка недр с учетом сложившихся на мировых рынках цен на углеводородное сырье и фактически понесенных и</w:t>
      </w:r>
      <w:proofErr w:type="gramEnd"/>
      <w:r w:rsidRPr="00F23427">
        <w:t xml:space="preserve"> оплаченных капитальных и операционных затрат на его добычу.</w:t>
      </w:r>
    </w:p>
    <w:p w:rsidR="00065F19" w:rsidRPr="00790CE8" w:rsidRDefault="00065F19" w:rsidP="005A0BA7">
      <w:pPr>
        <w:pStyle w:val="a8"/>
        <w:spacing w:before="0"/>
        <w:ind w:left="0"/>
        <w:contextualSpacing w:val="0"/>
        <w:rPr>
          <w:b/>
        </w:rPr>
      </w:pPr>
      <w:r w:rsidRPr="00790CE8">
        <w:rPr>
          <w:b/>
        </w:rPr>
        <w:t xml:space="preserve">Упрощенная система налогообложения </w:t>
      </w:r>
      <w:r w:rsidR="005A0BA7" w:rsidRPr="00790CE8">
        <w:rPr>
          <w:b/>
        </w:rPr>
        <w:t>и Единый сельскохозяйственный налог</w:t>
      </w:r>
    </w:p>
    <w:p w:rsidR="00065F19" w:rsidRPr="00F23427" w:rsidRDefault="005A0BA7" w:rsidP="005A0BA7">
      <w:pPr>
        <w:pStyle w:val="a8"/>
        <w:numPr>
          <w:ilvl w:val="0"/>
          <w:numId w:val="20"/>
        </w:numPr>
        <w:spacing w:before="0"/>
        <w:ind w:left="0" w:firstLine="0"/>
        <w:contextualSpacing w:val="0"/>
      </w:pPr>
      <w:r w:rsidRPr="00F23427">
        <w:t>Установление</w:t>
      </w:r>
      <w:r w:rsidR="0026347B" w:rsidRPr="00F23427">
        <w:t xml:space="preserve"> </w:t>
      </w:r>
      <w:r w:rsidR="00065F19" w:rsidRPr="00F23427">
        <w:t>порядка определения остаточной стоимости основных сре</w:t>
      </w:r>
      <w:proofErr w:type="gramStart"/>
      <w:r w:rsidR="00065F19" w:rsidRPr="00F23427">
        <w:t>дств дл</w:t>
      </w:r>
      <w:proofErr w:type="gramEnd"/>
      <w:r w:rsidR="00065F19" w:rsidRPr="00F23427">
        <w:t xml:space="preserve">я индивидуальных предпринимателей, применяющих УСН. </w:t>
      </w:r>
    </w:p>
    <w:p w:rsidR="00065F19" w:rsidRPr="00F23427" w:rsidRDefault="00065F19" w:rsidP="005A0BA7">
      <w:pPr>
        <w:pStyle w:val="a8"/>
        <w:numPr>
          <w:ilvl w:val="0"/>
          <w:numId w:val="20"/>
        </w:numPr>
        <w:ind w:left="0" w:firstLine="0"/>
        <w:contextualSpacing w:val="0"/>
      </w:pPr>
      <w:proofErr w:type="gramStart"/>
      <w:r w:rsidRPr="00F23427">
        <w:t xml:space="preserve">Уточнение порядка определения налоговой базы по УСН в отношении учета доходов и расходов товариществ собственников жилья, товариществ собственников недвижимости, управляющих организациями, садоводческих, огороднических или дачных некоммерческих товариществ (некоммерческих партнерств), жилищных, садоводческих, огороднических, дачных или иных специализированных потребительских кооперативов в части средств, полученных от собственников недвижимости в оплату коммунальных услуг и перечисленных </w:t>
      </w:r>
      <w:proofErr w:type="spellStart"/>
      <w:r w:rsidRPr="00F23427">
        <w:t>ресурсоснабжающим</w:t>
      </w:r>
      <w:proofErr w:type="spellEnd"/>
      <w:r w:rsidRPr="00F23427">
        <w:t xml:space="preserve"> организациям. </w:t>
      </w:r>
      <w:proofErr w:type="gramEnd"/>
    </w:p>
    <w:p w:rsidR="00065F19" w:rsidRPr="00F23427" w:rsidRDefault="00065F19" w:rsidP="005A0BA7">
      <w:pPr>
        <w:pStyle w:val="a8"/>
        <w:numPr>
          <w:ilvl w:val="0"/>
          <w:numId w:val="20"/>
        </w:numPr>
        <w:ind w:left="0" w:firstLine="0"/>
        <w:contextualSpacing w:val="0"/>
      </w:pPr>
      <w:r w:rsidRPr="00F23427">
        <w:t xml:space="preserve">Уточнение порядка учета субсидий и средств финансовой поддержки, полученных из бюджетной системы Российской Федерации, налогоплательщиками, применяющими УСН и ЕСХН, в случае компенсации за счет указанных средств ранее произведенных налогоплательщиками расходов. </w:t>
      </w:r>
    </w:p>
    <w:p w:rsidR="00065F19" w:rsidRPr="00F23427" w:rsidRDefault="00065F19" w:rsidP="005A0BA7">
      <w:pPr>
        <w:pStyle w:val="a8"/>
        <w:numPr>
          <w:ilvl w:val="0"/>
          <w:numId w:val="20"/>
        </w:numPr>
        <w:ind w:left="0" w:firstLine="0"/>
        <w:contextualSpacing w:val="0"/>
      </w:pPr>
      <w:proofErr w:type="gramStart"/>
      <w:r w:rsidRPr="00F23427">
        <w:t>В целях упрощения порядка учета расходов на приобретение основных средств по ЕСХН и УСН и приведения в соответствие с положениями главы 25 «Налог на прибыль организаций» Налогового кодекса, исключение нормы, согласно которой 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с момента документально подтвержденного факта подачи документов на регистрацию указанных прав.</w:t>
      </w:r>
      <w:proofErr w:type="gramEnd"/>
    </w:p>
    <w:p w:rsidR="005A0BA7" w:rsidRPr="00F23427" w:rsidRDefault="005A0BA7" w:rsidP="005A0BA7">
      <w:pPr>
        <w:pStyle w:val="a8"/>
        <w:numPr>
          <w:ilvl w:val="0"/>
          <w:numId w:val="20"/>
        </w:numPr>
        <w:ind w:left="0" w:firstLine="0"/>
        <w:contextualSpacing w:val="0"/>
      </w:pPr>
      <w:r w:rsidRPr="00F23427">
        <w:t xml:space="preserve">Предоставление Правительству Российской Федерации права устанавливать порядок отнесения судов к рыбопромысловому флоту в целях исключения неоднозначной правоприменительной практики </w:t>
      </w:r>
      <w:r w:rsidR="00F111DF" w:rsidRPr="00F23427">
        <w:t>ЕСХН</w:t>
      </w:r>
      <w:r w:rsidRPr="00F23427">
        <w:t xml:space="preserve"> сельскохозяйственными товаропроизводителями, осуществляющими рыболовство.</w:t>
      </w:r>
    </w:p>
    <w:p w:rsidR="004B5A65" w:rsidRPr="00790CE8" w:rsidRDefault="004B5A65" w:rsidP="004B5A65">
      <w:pPr>
        <w:pStyle w:val="a8"/>
        <w:ind w:left="0"/>
        <w:contextualSpacing w:val="0"/>
        <w:rPr>
          <w:b/>
        </w:rPr>
      </w:pPr>
      <w:r w:rsidRPr="00790CE8">
        <w:rPr>
          <w:b/>
        </w:rPr>
        <w:t>Патентная система налогообложения и торговый сбор</w:t>
      </w:r>
    </w:p>
    <w:p w:rsidR="004B5A65" w:rsidRPr="00F23427" w:rsidRDefault="004B5A65" w:rsidP="004B5A65">
      <w:pPr>
        <w:pStyle w:val="a8"/>
        <w:numPr>
          <w:ilvl w:val="0"/>
          <w:numId w:val="18"/>
        </w:numPr>
        <w:ind w:left="0" w:firstLine="0"/>
        <w:contextualSpacing w:val="0"/>
      </w:pPr>
      <w:r w:rsidRPr="00F23427">
        <w:t xml:space="preserve">Расширение перечня видов предпринимательской деятельности, в отношении которых применяется патентная система налогообложения (далее – ПСН), за счет включения в него видов деятельности, связанных с растениеводством и животноводством, а также услуг, связанных с этими видами деятельностями. </w:t>
      </w:r>
    </w:p>
    <w:p w:rsidR="004B5A65" w:rsidRPr="00F23427" w:rsidRDefault="004B5A65" w:rsidP="004B5A65">
      <w:pPr>
        <w:pStyle w:val="a8"/>
        <w:numPr>
          <w:ilvl w:val="0"/>
          <w:numId w:val="18"/>
        </w:numPr>
        <w:ind w:left="0" w:firstLine="0"/>
        <w:contextualSpacing w:val="0"/>
      </w:pPr>
      <w:r w:rsidRPr="00F23427">
        <w:t>Предоставление субъектам Российской Федерации полномочий по установлению ограничений для применения ПСН:</w:t>
      </w:r>
    </w:p>
    <w:p w:rsidR="004B5A65" w:rsidRPr="0005375F" w:rsidRDefault="004B5A65" w:rsidP="004B5A65">
      <w:pPr>
        <w:pStyle w:val="a8"/>
        <w:ind w:left="0"/>
        <w:contextualSpacing w:val="0"/>
      </w:pPr>
      <w:r w:rsidRPr="0005375F">
        <w:t xml:space="preserve">- по общей площади сдаваемых в аренду (наем) жилых и нежилых помещений, дач, земельных участков, принадлежащих индивидуальному предпринимателю на праве собственности; </w:t>
      </w:r>
    </w:p>
    <w:p w:rsidR="004B5A65" w:rsidRPr="0005375F" w:rsidRDefault="004B5A65" w:rsidP="004B5A65">
      <w:pPr>
        <w:pStyle w:val="a8"/>
        <w:ind w:left="0"/>
        <w:contextualSpacing w:val="0"/>
      </w:pPr>
      <w:r w:rsidRPr="0005375F">
        <w:t xml:space="preserve">- по общему количеству автотранспортных средств и судов водного транспорта; </w:t>
      </w:r>
    </w:p>
    <w:p w:rsidR="004B5A65" w:rsidRPr="0005375F" w:rsidRDefault="004B5A65" w:rsidP="004B5A65">
      <w:pPr>
        <w:pStyle w:val="a8"/>
        <w:ind w:left="0"/>
        <w:contextualSpacing w:val="0"/>
      </w:pPr>
      <w:r w:rsidRPr="0005375F">
        <w:t xml:space="preserve">- по общему количеству объектов розничной торговли и общественного питания и (или) их общей площади. </w:t>
      </w:r>
    </w:p>
    <w:p w:rsidR="004B5A65" w:rsidRPr="0005375F" w:rsidRDefault="004B5A65" w:rsidP="004B5A65">
      <w:pPr>
        <w:pStyle w:val="a8"/>
        <w:numPr>
          <w:ilvl w:val="0"/>
          <w:numId w:val="18"/>
        </w:numPr>
        <w:ind w:left="0" w:firstLine="0"/>
        <w:contextualSpacing w:val="0"/>
      </w:pPr>
      <w:r w:rsidRPr="0005375F">
        <w:t>Уточнение отдельных положений главы 33 «Торговый сбор» Налогового кодекса, исходя из практики его применения в г. Москве.</w:t>
      </w:r>
      <w:r w:rsidRPr="0005375F" w:rsidDel="009B2D9C">
        <w:t xml:space="preserve"> </w:t>
      </w:r>
    </w:p>
    <w:p w:rsidR="004B5A65" w:rsidRPr="00F23427" w:rsidRDefault="004B5A65" w:rsidP="004B5A65">
      <w:pPr>
        <w:rPr>
          <w:b/>
        </w:rPr>
      </w:pPr>
      <w:r w:rsidRPr="0005375F">
        <w:rPr>
          <w:b/>
        </w:rPr>
        <w:t>Налог на профессиональный доход</w:t>
      </w:r>
    </w:p>
    <w:p w:rsidR="004B5A65" w:rsidRPr="00F23427" w:rsidRDefault="004B5A65" w:rsidP="004B5A65">
      <w:proofErr w:type="gramStart"/>
      <w:r w:rsidRPr="00F23427">
        <w:t>Разработка нового специального налогового режима - системы налогообложения в виде налога на профессиональный доход для физических лиц, не имеющих наемных работников, в том числе самозанятых граждан, предусматривающего использование новых информационно-технологических решений, позволяющих налогоплательщикам автоматизировано с использованием мобильного приложения обмениваться информацией с налоговыми органами без представления налоговой отчетности, а также уплачивать единый платеж с выручки, включающий налог и страховые взносы.</w:t>
      </w:r>
      <w:proofErr w:type="gramEnd"/>
    </w:p>
    <w:p w:rsidR="004B5A65" w:rsidRPr="00790CE8" w:rsidRDefault="004B5A65" w:rsidP="004B5A65">
      <w:r w:rsidRPr="00F23427">
        <w:t>На первом этапе в течение 5 лет планируется проведение пилотного проекта по применению указанного специального налогового режима в отдельных субъектах Российской Федерации.</w:t>
      </w:r>
    </w:p>
    <w:p w:rsidR="00065F19" w:rsidRPr="00790CE8" w:rsidRDefault="00065F19" w:rsidP="00065F19">
      <w:pPr>
        <w:pStyle w:val="a8"/>
        <w:ind w:left="0"/>
        <w:contextualSpacing w:val="0"/>
      </w:pPr>
      <w:r w:rsidRPr="00790CE8">
        <w:rPr>
          <w:b/>
        </w:rPr>
        <w:t>Страховые взносы</w:t>
      </w:r>
    </w:p>
    <w:p w:rsidR="00065F19" w:rsidRPr="00F23427" w:rsidRDefault="00065F19" w:rsidP="00430CF1">
      <w:pPr>
        <w:pStyle w:val="a8"/>
        <w:numPr>
          <w:ilvl w:val="0"/>
          <w:numId w:val="11"/>
        </w:numPr>
        <w:spacing w:before="0"/>
        <w:ind w:left="0" w:firstLine="0"/>
        <w:contextualSpacing w:val="0"/>
      </w:pPr>
      <w:r w:rsidRPr="00F23427">
        <w:t>Фикс</w:t>
      </w:r>
      <w:r w:rsidR="00BF7B9F" w:rsidRPr="00F23427">
        <w:t>ация</w:t>
      </w:r>
      <w:r w:rsidRPr="00F23427">
        <w:t xml:space="preserve"> тарифа страховых взносов на обязательное пенсионное страхование в размере 22 процентов с предельной величиной базы для обложения взносами и 10 процентов сверх предельной величины на бессрочный период</w:t>
      </w:r>
      <w:r w:rsidR="00BF7B9F" w:rsidRPr="00F23427">
        <w:t>, а общего размера тарифов страховых взносов</w:t>
      </w:r>
      <w:r w:rsidR="00BF7B9F" w:rsidRPr="00F23427">
        <w:rPr>
          <w:rFonts w:eastAsiaTheme="minorHAnsi" w:cstheme="minorBidi"/>
          <w:sz w:val="28"/>
          <w:szCs w:val="28"/>
        </w:rPr>
        <w:t xml:space="preserve"> </w:t>
      </w:r>
      <w:r w:rsidR="00BF7B9F" w:rsidRPr="00F23427">
        <w:t>на все виды обязательного социального страхования на уровне 30 процентов.</w:t>
      </w:r>
    </w:p>
    <w:p w:rsidR="00065F19" w:rsidRPr="00F23427" w:rsidRDefault="00065F19" w:rsidP="00430CF1">
      <w:pPr>
        <w:pStyle w:val="a8"/>
        <w:numPr>
          <w:ilvl w:val="0"/>
          <w:numId w:val="11"/>
        </w:numPr>
        <w:spacing w:before="0"/>
        <w:ind w:left="0" w:firstLine="0"/>
        <w:contextualSpacing w:val="0"/>
      </w:pPr>
      <w:proofErr w:type="gramStart"/>
      <w:r w:rsidRPr="00F23427">
        <w:t>Освобождение компенсационны</w:t>
      </w:r>
      <w:r w:rsidR="00CB3850" w:rsidRPr="00F23427">
        <w:t>х</w:t>
      </w:r>
      <w:r w:rsidRPr="00F23427">
        <w:t xml:space="preserve"> выплат </w:t>
      </w:r>
      <w:r w:rsidR="002045A9">
        <w:t xml:space="preserve">работникам организаций, расположенных в районах Крайнего Севера и приравненных к ним местностях, </w:t>
      </w:r>
      <w:r w:rsidRPr="00F23427">
        <w:t>по оплате стоимости проезда и провоза багажа к месту проведения отпуска и обратно неработающих членов их семей</w:t>
      </w:r>
      <w:r w:rsidR="001A0255">
        <w:t xml:space="preserve"> </w:t>
      </w:r>
      <w:r w:rsidR="00CB3850" w:rsidRPr="00F23427">
        <w:t>от уплаты страховых взносов,</w:t>
      </w:r>
      <w:r w:rsidRPr="00F23427">
        <w:t xml:space="preserve"> учитывая, что компенсация аналогичных расходов самого работника не облагается страховыми взносами согласно положениям действующего законодательства о налогах и сборах.</w:t>
      </w:r>
      <w:proofErr w:type="gramEnd"/>
    </w:p>
    <w:p w:rsidR="00065F19" w:rsidRPr="00F23427" w:rsidRDefault="00065F19" w:rsidP="00430CF1">
      <w:pPr>
        <w:pStyle w:val="a8"/>
        <w:numPr>
          <w:ilvl w:val="0"/>
          <w:numId w:val="11"/>
        </w:numPr>
        <w:spacing w:before="0"/>
        <w:ind w:left="0" w:firstLine="0"/>
        <w:contextualSpacing w:val="0"/>
      </w:pPr>
      <w:proofErr w:type="gramStart"/>
      <w:r w:rsidRPr="00F23427">
        <w:t>Установление пониженных тарифов страховых взносов резидентам</w:t>
      </w:r>
      <w:r w:rsidR="00800C70" w:rsidRPr="00F23427">
        <w:t xml:space="preserve"> территорий опережающего социально-экономического развития (далее – ТОСЭР) в Дальневосточном федеральном округе и </w:t>
      </w:r>
      <w:r w:rsidRPr="00F23427">
        <w:t>резидентам</w:t>
      </w:r>
      <w:r w:rsidR="00800C70" w:rsidRPr="00F23427">
        <w:t xml:space="preserve"> свободного порта Владивосток (далее – СПВ)</w:t>
      </w:r>
      <w:r w:rsidRPr="00F23427">
        <w:t>, получившим соответствующий статус и открывшим новые производства до 31 декабря 2025 года, без учета ограничений по срокам, истекшим со дня создания соответствующей ТОСЭР или со дня вступления в силу Федерального закона от 13 июля 2015 г. № 212-ФЗ</w:t>
      </w:r>
      <w:proofErr w:type="gramEnd"/>
      <w:r w:rsidRPr="00F23427">
        <w:t xml:space="preserve"> «О свободном порте Владивосток», установив минимальный объем инвестиций, осуществляемых такими резидентами.</w:t>
      </w:r>
    </w:p>
    <w:p w:rsidR="00065F19" w:rsidRPr="00F23427" w:rsidRDefault="00065F19" w:rsidP="00430CF1">
      <w:pPr>
        <w:pStyle w:val="a8"/>
        <w:numPr>
          <w:ilvl w:val="0"/>
          <w:numId w:val="11"/>
        </w:numPr>
        <w:spacing w:before="0"/>
        <w:ind w:left="0" w:firstLine="0"/>
        <w:contextualSpacing w:val="0"/>
      </w:pPr>
      <w:r w:rsidRPr="00F23427">
        <w:t>Определение нового подхода к применению резидентами ТОСЭР на всей территории Российской Федерации и резидентами СПВ пониженных тарифов страховых взносов, в соответствии с которым указанные тарифы страховых взносов будут применяться резидентами исключительно в отношении выплат физическим лицам, занятым на новых рабочих местах.</w:t>
      </w:r>
    </w:p>
    <w:p w:rsidR="00065F19" w:rsidRPr="00F23427" w:rsidRDefault="00065F19" w:rsidP="00065F19">
      <w:pPr>
        <w:rPr>
          <w:b/>
        </w:rPr>
      </w:pPr>
      <w:r w:rsidRPr="00F23427">
        <w:rPr>
          <w:b/>
        </w:rPr>
        <w:t>Акцизы</w:t>
      </w:r>
    </w:p>
    <w:p w:rsidR="00065F19" w:rsidRPr="00F23427" w:rsidRDefault="00065F19" w:rsidP="00430CF1">
      <w:pPr>
        <w:pStyle w:val="a8"/>
        <w:numPr>
          <w:ilvl w:val="0"/>
          <w:numId w:val="9"/>
        </w:numPr>
        <w:spacing w:before="0"/>
        <w:ind w:left="0" w:firstLine="0"/>
        <w:contextualSpacing w:val="0"/>
      </w:pPr>
      <w:r w:rsidRPr="00F23427">
        <w:t>Сохранение на уровне, установленном действующим законодательством о налогах и сборах</w:t>
      </w:r>
      <w:r w:rsidR="00256A24" w:rsidRPr="00F23427">
        <w:t>,</w:t>
      </w:r>
      <w:r w:rsidRPr="00F23427">
        <w:t xml:space="preserve"> став</w:t>
      </w:r>
      <w:r w:rsidR="00D36E98" w:rsidRPr="00F23427">
        <w:t>о</w:t>
      </w:r>
      <w:r w:rsidRPr="00F23427">
        <w:t>к акциз</w:t>
      </w:r>
      <w:r w:rsidR="00D36E98" w:rsidRPr="00F23427">
        <w:t>ов</w:t>
      </w:r>
      <w:r w:rsidRPr="00F23427">
        <w:t xml:space="preserve"> на 2019-2020 годы. </w:t>
      </w:r>
      <w:r w:rsidR="00D36E98" w:rsidRPr="00F23427">
        <w:t>Индексация с</w:t>
      </w:r>
      <w:r w:rsidRPr="00F23427">
        <w:t>тав</w:t>
      </w:r>
      <w:r w:rsidR="00D36E98" w:rsidRPr="00F23427">
        <w:t>о</w:t>
      </w:r>
      <w:r w:rsidRPr="00F23427">
        <w:t>к акциз</w:t>
      </w:r>
      <w:r w:rsidR="00D36E98" w:rsidRPr="00F23427">
        <w:t>ов</w:t>
      </w:r>
      <w:r w:rsidRPr="00F23427">
        <w:t xml:space="preserve"> на 2021 год в соответствии с прогнозируемым уровнем инфляции (4%).</w:t>
      </w:r>
    </w:p>
    <w:p w:rsidR="00065F19" w:rsidRPr="00F23427" w:rsidRDefault="00065F19" w:rsidP="00430CF1">
      <w:pPr>
        <w:pStyle w:val="a8"/>
        <w:numPr>
          <w:ilvl w:val="0"/>
          <w:numId w:val="9"/>
        </w:numPr>
        <w:spacing w:before="0"/>
        <w:ind w:left="0" w:firstLine="0"/>
        <w:contextualSpacing w:val="0"/>
        <w:rPr>
          <w:b/>
        </w:rPr>
      </w:pPr>
      <w:r w:rsidRPr="00F23427">
        <w:t>Включ</w:t>
      </w:r>
      <w:r w:rsidR="00D36E98" w:rsidRPr="00F23427">
        <w:t>ение</w:t>
      </w:r>
      <w:r w:rsidRPr="00F23427">
        <w:t xml:space="preserve"> в перечень подакцизных товаров спиртосодержащ</w:t>
      </w:r>
      <w:r w:rsidR="00D36E98" w:rsidRPr="00F23427">
        <w:t>ей</w:t>
      </w:r>
      <w:r w:rsidRPr="00F23427">
        <w:t xml:space="preserve"> парфюмерно-косметическ</w:t>
      </w:r>
      <w:r w:rsidR="00040C10" w:rsidRPr="00F23427">
        <w:t>ой</w:t>
      </w:r>
      <w:r w:rsidRPr="00F23427">
        <w:t xml:space="preserve"> продукци</w:t>
      </w:r>
      <w:r w:rsidR="00D36E98" w:rsidRPr="00F23427">
        <w:t>и</w:t>
      </w:r>
      <w:r w:rsidRPr="00F23427">
        <w:t xml:space="preserve"> (независимо от объема тары, в которую она разлита) и установ</w:t>
      </w:r>
      <w:r w:rsidR="00D36E98" w:rsidRPr="00F23427">
        <w:t>ление</w:t>
      </w:r>
      <w:r w:rsidRPr="00F23427">
        <w:t xml:space="preserve"> на нее </w:t>
      </w:r>
      <w:r w:rsidR="00D36E98" w:rsidRPr="00F23427">
        <w:t xml:space="preserve">ставки </w:t>
      </w:r>
      <w:r w:rsidRPr="00F23427">
        <w:t xml:space="preserve">акциза в размере 0 рублей за 1 литр безводного этилового спирта. </w:t>
      </w:r>
      <w:proofErr w:type="gramStart"/>
      <w:r w:rsidR="00D40F43" w:rsidRPr="00F23427">
        <w:t xml:space="preserve">В целях недопущения роста цен на парфюмерно-косметическую продукцию и продукцию бытовой химии предоставление организациям, имеющим свидетельство на производство парфюмерно-косметической продукции и (или) свидетельство на производство спиртосодержащей продукции бытовой химии, право на налоговый вычет </w:t>
      </w:r>
      <w:r w:rsidR="00982AD5" w:rsidRPr="00F23427">
        <w:t xml:space="preserve">в </w:t>
      </w:r>
      <w:r w:rsidR="00875568" w:rsidRPr="00F23427">
        <w:t xml:space="preserve">размере </w:t>
      </w:r>
      <w:r w:rsidR="00D40F43" w:rsidRPr="00F23427">
        <w:t>суммы акциза, исчисленной налогоплательщиком при оприходовании приобретенного или произведенного этилового спирта, при условии документального подтверждения факта использования указанного спирта в целях производства спиртосодержащей парфюмерно-косметической продукции</w:t>
      </w:r>
      <w:proofErr w:type="gramEnd"/>
      <w:r w:rsidR="00D40F43" w:rsidRPr="00F23427">
        <w:t xml:space="preserve"> или продукции бытовой химии, </w:t>
      </w:r>
      <w:proofErr w:type="gramStart"/>
      <w:r w:rsidR="00D40F43" w:rsidRPr="00F23427">
        <w:t>указанных</w:t>
      </w:r>
      <w:proofErr w:type="gramEnd"/>
      <w:r w:rsidR="00D40F43" w:rsidRPr="00F23427">
        <w:t xml:space="preserve"> в свидетельстве.</w:t>
      </w:r>
    </w:p>
    <w:p w:rsidR="00065F19" w:rsidRPr="00790CE8" w:rsidRDefault="00D36E98" w:rsidP="00BB4ACF">
      <w:pPr>
        <w:pStyle w:val="a8"/>
        <w:spacing w:before="0"/>
        <w:ind w:left="0"/>
        <w:contextualSpacing w:val="0"/>
      </w:pPr>
      <w:r w:rsidRPr="00F23427">
        <w:t xml:space="preserve">Взимание акциза в размере, установленном действующим законодательством в отношении этилового спирта, используемого для производства алкогольной продукции при реализации этилового спирта в целях, не связанных с производством алкогольной продукции. </w:t>
      </w:r>
    </w:p>
    <w:p w:rsidR="00065F19" w:rsidRPr="00F23427" w:rsidRDefault="00065F19" w:rsidP="00430CF1">
      <w:pPr>
        <w:pStyle w:val="a8"/>
        <w:numPr>
          <w:ilvl w:val="0"/>
          <w:numId w:val="9"/>
        </w:numPr>
        <w:spacing w:before="0"/>
        <w:ind w:left="0" w:firstLine="0"/>
        <w:contextualSpacing w:val="0"/>
      </w:pPr>
      <w:r w:rsidRPr="00F23427">
        <w:t xml:space="preserve">Отмена с 2019 года пониженной ставки акциза в отношении вин и игристых вин (шампанских) с защищенным географическим указанием и с защищенным наименованием места происхождения, </w:t>
      </w:r>
      <w:r w:rsidR="00565B21" w:rsidRPr="00F23427">
        <w:t xml:space="preserve">с </w:t>
      </w:r>
      <w:r w:rsidRPr="00F23427">
        <w:t>установ</w:t>
      </w:r>
      <w:r w:rsidR="00565B21" w:rsidRPr="00F23427">
        <w:t>лением</w:t>
      </w:r>
      <w:r w:rsidRPr="00F23427">
        <w:t xml:space="preserve"> единой ставки акциза на вина и игристые вина (шампанские) как производимые на территории Российской Федерации, так и ввозимые на территорию Российской Федерации.</w:t>
      </w:r>
    </w:p>
    <w:p w:rsidR="000E0790" w:rsidRPr="00F23427" w:rsidRDefault="00065F19" w:rsidP="00065F19">
      <w:pPr>
        <w:pStyle w:val="a8"/>
        <w:numPr>
          <w:ilvl w:val="0"/>
          <w:numId w:val="9"/>
        </w:numPr>
        <w:spacing w:before="0"/>
        <w:ind w:left="0" w:firstLine="0"/>
        <w:contextualSpacing w:val="0"/>
      </w:pPr>
      <w:r w:rsidRPr="00F23427">
        <w:t>Отнесение к подакцизным товарам виноград</w:t>
      </w:r>
      <w:r w:rsidR="00D36E98" w:rsidRPr="00F23427">
        <w:t>а</w:t>
      </w:r>
      <w:r w:rsidRPr="00F23427">
        <w:t>, используем</w:t>
      </w:r>
      <w:r w:rsidR="00D36E98" w:rsidRPr="00F23427">
        <w:t>ого</w:t>
      </w:r>
      <w:r w:rsidRPr="00F23427">
        <w:t xml:space="preserve"> производителями винодельческой продукции при производстве вина, игристого вина (шампанского), дистиллятов полного цикла производства (винного, виноградного, коньячного) и предоставление указанным производителям, использующим в качестве сырья виноград собственного производства, налогов</w:t>
      </w:r>
      <w:r w:rsidR="00D36E98" w:rsidRPr="00F23427">
        <w:t>ого</w:t>
      </w:r>
      <w:r w:rsidRPr="00F23427">
        <w:t xml:space="preserve"> вычет</w:t>
      </w:r>
      <w:r w:rsidR="00D36E98" w:rsidRPr="00F23427">
        <w:t>а</w:t>
      </w:r>
      <w:r w:rsidRPr="00F23427">
        <w:t xml:space="preserve"> с применением повышающего коэффициента.</w:t>
      </w:r>
      <w:r w:rsidR="00B80E27" w:rsidRPr="00F23427">
        <w:t xml:space="preserve"> </w:t>
      </w:r>
    </w:p>
    <w:p w:rsidR="00065F19" w:rsidRPr="00F23427" w:rsidRDefault="00065F19" w:rsidP="00065F19">
      <w:pPr>
        <w:pStyle w:val="a8"/>
        <w:numPr>
          <w:ilvl w:val="0"/>
          <w:numId w:val="9"/>
        </w:numPr>
        <w:spacing w:before="0"/>
        <w:ind w:left="0" w:firstLine="0"/>
        <w:contextualSpacing w:val="0"/>
      </w:pPr>
      <w:r w:rsidRPr="00F23427">
        <w:t>Установление ставки акциза на винные напитки, произведенные без добавления этилового спирта, в размере ставки акциза на игристые вина (шампанские), а именно 36 рублей за 1 литр в 2019 году, 37 рублей за 1 литр в 2020 году, 38 рублей за 1 литр в 2021 году.</w:t>
      </w:r>
    </w:p>
    <w:p w:rsidR="00065F19" w:rsidRPr="00F23427" w:rsidRDefault="00065F19" w:rsidP="00430CF1">
      <w:pPr>
        <w:pStyle w:val="a8"/>
        <w:numPr>
          <w:ilvl w:val="0"/>
          <w:numId w:val="9"/>
        </w:numPr>
        <w:spacing w:before="0"/>
        <w:ind w:left="0" w:firstLine="0"/>
        <w:contextualSpacing w:val="0"/>
      </w:pPr>
      <w:r w:rsidRPr="00F23427">
        <w:t>Снижение с 10 млрд. рублей до 2 млрд. рублей размера совокупной суммы налогов, уплаченных налогоплательщиком за три предшествующих года, при достижении которого налогоплательщику предоставляется право на применение освобождения от уплаты акцизов при поставке подакцизных товаров на экспорт без представления в налоговые органы банковской гарантии или договора поручительства.</w:t>
      </w:r>
    </w:p>
    <w:p w:rsidR="00065F19" w:rsidRPr="00F23427" w:rsidRDefault="00065F19" w:rsidP="00430CF1">
      <w:pPr>
        <w:pStyle w:val="a8"/>
        <w:numPr>
          <w:ilvl w:val="0"/>
          <w:numId w:val="9"/>
        </w:numPr>
        <w:spacing w:before="0"/>
        <w:ind w:left="0" w:firstLine="0"/>
        <w:contextualSpacing w:val="0"/>
      </w:pPr>
      <w:r w:rsidRPr="00F23427">
        <w:t>Освобождение от уплаты НДС и</w:t>
      </w:r>
      <w:r w:rsidR="00D36E98" w:rsidRPr="00F23427">
        <w:t xml:space="preserve"> </w:t>
      </w:r>
      <w:r w:rsidRPr="00F23427">
        <w:t>акциз</w:t>
      </w:r>
      <w:r w:rsidR="00E322D1" w:rsidRPr="00F23427">
        <w:t>ов</w:t>
      </w:r>
      <w:r w:rsidRPr="00F23427">
        <w:t xml:space="preserve"> налогоплательщиков, осуществляющих ввоз автомобильного бензина и (или) дизельного топлива на территорию города Байконур с территории Республики Казахстан в пределах устанавливаемых квот.</w:t>
      </w:r>
    </w:p>
    <w:p w:rsidR="00065F19" w:rsidRPr="00F23427" w:rsidRDefault="00065F19" w:rsidP="00065F19">
      <w:pPr>
        <w:pStyle w:val="a8"/>
        <w:ind w:left="0"/>
        <w:contextualSpacing w:val="0"/>
        <w:rPr>
          <w:b/>
        </w:rPr>
      </w:pPr>
      <w:r w:rsidRPr="00F23427">
        <w:rPr>
          <w:b/>
        </w:rPr>
        <w:t>Международное налогообложение</w:t>
      </w:r>
    </w:p>
    <w:p w:rsidR="00065F19" w:rsidRPr="00F23427" w:rsidRDefault="00065F19" w:rsidP="002C336D">
      <w:pPr>
        <w:pStyle w:val="a8"/>
        <w:numPr>
          <w:ilvl w:val="0"/>
          <w:numId w:val="22"/>
        </w:numPr>
        <w:ind w:left="0" w:firstLine="0"/>
        <w:contextualSpacing w:val="0"/>
      </w:pPr>
      <w:r w:rsidRPr="00F23427">
        <w:t>Осуществление работы по борьбе с уклонением от налогообложения в рамках реализации Плана по противодействию размыванию налоговой базы и выводу прибыли из-под налогообложения (План BEPS) и обеспечению перехода к автоматическому обмену налоговой информацией.</w:t>
      </w:r>
    </w:p>
    <w:p w:rsidR="00065F19" w:rsidRPr="00F23427" w:rsidRDefault="001E1FEB" w:rsidP="00BB4ACF">
      <w:pPr>
        <w:pStyle w:val="a8"/>
        <w:ind w:left="0"/>
        <w:contextualSpacing w:val="0"/>
      </w:pPr>
      <w:r w:rsidRPr="00F23427">
        <w:t xml:space="preserve">1.1. </w:t>
      </w:r>
      <w:r w:rsidR="00065F19" w:rsidRPr="00F23427">
        <w:t>Дополнение законодательства Российской Федерации о налогах и сборах Правилами</w:t>
      </w:r>
      <w:r w:rsidRPr="00F23427">
        <w:t xml:space="preserve"> проведения</w:t>
      </w:r>
      <w:r w:rsidR="00065F19" w:rsidRPr="00F23427">
        <w:t xml:space="preserve"> </w:t>
      </w:r>
      <w:proofErr w:type="spellStart"/>
      <w:r w:rsidR="00065F19" w:rsidRPr="00F23427">
        <w:t>взаимосогласительных</w:t>
      </w:r>
      <w:proofErr w:type="spellEnd"/>
      <w:r w:rsidR="00065F19" w:rsidRPr="00F23427">
        <w:t xml:space="preserve"> процедур с компетентными органами иностранных государств, которыми необходимо определить:</w:t>
      </w:r>
    </w:p>
    <w:p w:rsidR="00065F19" w:rsidRPr="00F23427" w:rsidRDefault="00065F19" w:rsidP="002C336D">
      <w:pPr>
        <w:pStyle w:val="a8"/>
        <w:ind w:left="0"/>
        <w:contextualSpacing w:val="0"/>
      </w:pPr>
      <w:r w:rsidRPr="00F23427">
        <w:t xml:space="preserve">- круг лиц, имеющих право на обращение в компетентный орган для проведения </w:t>
      </w:r>
      <w:proofErr w:type="spellStart"/>
      <w:r w:rsidRPr="00F23427">
        <w:t>взаимосогласительной</w:t>
      </w:r>
      <w:proofErr w:type="spellEnd"/>
      <w:r w:rsidRPr="00F23427">
        <w:t xml:space="preserve"> процедуры; </w:t>
      </w:r>
    </w:p>
    <w:p w:rsidR="00065F19" w:rsidRPr="00F23427" w:rsidRDefault="00065F19" w:rsidP="002C336D">
      <w:pPr>
        <w:pStyle w:val="a8"/>
        <w:ind w:left="0"/>
        <w:contextualSpacing w:val="0"/>
      </w:pPr>
      <w:r w:rsidRPr="00F23427">
        <w:t>- формы и сроки подачи обращения;</w:t>
      </w:r>
    </w:p>
    <w:p w:rsidR="00065F19" w:rsidRPr="00F23427" w:rsidRDefault="00065F19" w:rsidP="002C336D">
      <w:pPr>
        <w:pStyle w:val="a8"/>
        <w:ind w:left="0"/>
        <w:contextualSpacing w:val="0"/>
      </w:pPr>
      <w:r w:rsidRPr="00F23427">
        <w:t xml:space="preserve">- соотношение между механизмом </w:t>
      </w:r>
      <w:proofErr w:type="spellStart"/>
      <w:r w:rsidRPr="00F23427">
        <w:t>взаимосогласительной</w:t>
      </w:r>
      <w:proofErr w:type="spellEnd"/>
      <w:r w:rsidRPr="00F23427">
        <w:t xml:space="preserve"> процедуры и иными средствами защиты, предусмотренными национальным законодательством; </w:t>
      </w:r>
    </w:p>
    <w:p w:rsidR="00065F19" w:rsidRPr="00F23427" w:rsidRDefault="00065F19" w:rsidP="002C336D">
      <w:pPr>
        <w:pStyle w:val="a8"/>
        <w:ind w:left="0"/>
        <w:contextualSpacing w:val="0"/>
      </w:pPr>
      <w:r w:rsidRPr="00F23427">
        <w:t xml:space="preserve">- документацию, необходимую для направления обращения в компетентный орган для проведения </w:t>
      </w:r>
      <w:proofErr w:type="spellStart"/>
      <w:r w:rsidRPr="00F23427">
        <w:t>взаимосогласительной</w:t>
      </w:r>
      <w:proofErr w:type="spellEnd"/>
      <w:r w:rsidRPr="00F23427">
        <w:t xml:space="preserve"> процедуры; </w:t>
      </w:r>
    </w:p>
    <w:p w:rsidR="00065F19" w:rsidRPr="00F23427" w:rsidRDefault="00065F19" w:rsidP="002C336D">
      <w:pPr>
        <w:pStyle w:val="a8"/>
        <w:ind w:left="0"/>
        <w:contextualSpacing w:val="0"/>
      </w:pPr>
      <w:r w:rsidRPr="00F23427">
        <w:t xml:space="preserve">- порядок выполнения достигнутых договоренностей в рамках </w:t>
      </w:r>
      <w:proofErr w:type="spellStart"/>
      <w:r w:rsidRPr="00F23427">
        <w:t>взаимосогласительной</w:t>
      </w:r>
      <w:proofErr w:type="spellEnd"/>
      <w:r w:rsidRPr="00F23427">
        <w:t xml:space="preserve"> процедуры (возврат излишне удержанных/уплаченных налогов или доначисление сумм налогов).</w:t>
      </w:r>
    </w:p>
    <w:p w:rsidR="001E1FEB" w:rsidRPr="00F23427" w:rsidRDefault="001E1FEB" w:rsidP="002C336D">
      <w:pPr>
        <w:pStyle w:val="a8"/>
        <w:ind w:left="0"/>
        <w:contextualSpacing w:val="0"/>
      </w:pPr>
      <w:r w:rsidRPr="00F23427">
        <w:t>1.2. Завершение необходимых внутригосударственных процедур для целей применения положений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года.</w:t>
      </w:r>
    </w:p>
    <w:p w:rsidR="00065F19" w:rsidRPr="00F23427" w:rsidRDefault="00D61DD6" w:rsidP="00BB4ACF">
      <w:pPr>
        <w:pStyle w:val="a8"/>
        <w:ind w:left="0"/>
        <w:contextualSpacing w:val="0"/>
      </w:pPr>
      <w:r w:rsidRPr="00F23427">
        <w:t>1.3. О</w:t>
      </w:r>
      <w:r w:rsidR="00065F19" w:rsidRPr="00F23427">
        <w:t xml:space="preserve">беспечение обмена </w:t>
      </w:r>
      <w:proofErr w:type="spellStart"/>
      <w:r w:rsidRPr="00F23427">
        <w:t>страновыми</w:t>
      </w:r>
      <w:proofErr w:type="spellEnd"/>
      <w:r w:rsidRPr="00F23427">
        <w:t xml:space="preserve"> </w:t>
      </w:r>
      <w:r w:rsidR="00065F19" w:rsidRPr="00F23427">
        <w:t xml:space="preserve">отчетами </w:t>
      </w:r>
      <w:r w:rsidRPr="00F23427">
        <w:t>по транснациональным компаниям</w:t>
      </w:r>
      <w:r w:rsidR="001312F0" w:rsidRPr="00F23427">
        <w:t xml:space="preserve"> </w:t>
      </w:r>
      <w:r w:rsidR="00065F19" w:rsidRPr="00F23427">
        <w:t xml:space="preserve">между государствами. </w:t>
      </w:r>
      <w:r w:rsidR="00EA7E86" w:rsidRPr="00F23427">
        <w:t>О</w:t>
      </w:r>
      <w:r w:rsidR="00065F19" w:rsidRPr="00F23427">
        <w:t xml:space="preserve">беспечение обмена финансовой информацией на автоматической основе в рамках реализации положений Конвенции о взаимной административной помощи по налоговым делам. </w:t>
      </w:r>
      <w:r w:rsidR="001312F0" w:rsidRPr="00F23427">
        <w:t>М</w:t>
      </w:r>
      <w:r w:rsidR="00065F19" w:rsidRPr="00F23427">
        <w:t>ониторинг действия новых положений Налогового кодекса с точки зрения их правовой определенности, а также влияния на налоговое администрирование, обеспечение сбалансированности бюджетов бюджетной системы Российской Федерации, повышение прозрачности деятельности налогоплательщиков.</w:t>
      </w:r>
    </w:p>
    <w:p w:rsidR="00065F19" w:rsidRPr="00790CE8" w:rsidRDefault="0041722B" w:rsidP="00F23427">
      <w:pPr>
        <w:pStyle w:val="a8"/>
        <w:numPr>
          <w:ilvl w:val="0"/>
          <w:numId w:val="22"/>
        </w:numPr>
        <w:ind w:left="0" w:firstLine="0"/>
        <w:contextualSpacing w:val="0"/>
      </w:pPr>
      <w:r w:rsidRPr="00F23427">
        <w:t>В</w:t>
      </w:r>
      <w:r w:rsidR="00065F19" w:rsidRPr="00F23427">
        <w:t xml:space="preserve"> целях устранения выявленных на практике коллизий принятых норм</w:t>
      </w:r>
      <w:r w:rsidRPr="00F23427">
        <w:t xml:space="preserve"> предполагается у</w:t>
      </w:r>
      <w:r w:rsidR="00065F19" w:rsidRPr="00F23427">
        <w:t>точнение положения Налогового кодекса, определяющего понятие постоянного представительства иностранной организации.</w:t>
      </w:r>
    </w:p>
    <w:p w:rsidR="00065F19" w:rsidRPr="00790CE8" w:rsidRDefault="00065F19" w:rsidP="00065F19">
      <w:pPr>
        <w:pStyle w:val="a8"/>
        <w:ind w:left="0"/>
        <w:contextualSpacing w:val="0"/>
        <w:rPr>
          <w:b/>
        </w:rPr>
      </w:pPr>
      <w:r w:rsidRPr="00790CE8">
        <w:rPr>
          <w:b/>
        </w:rPr>
        <w:t>Государственная пошлина</w:t>
      </w:r>
    </w:p>
    <w:p w:rsidR="00065F19" w:rsidRPr="00F23427" w:rsidRDefault="00065F19" w:rsidP="002C336D">
      <w:pPr>
        <w:pStyle w:val="a8"/>
        <w:numPr>
          <w:ilvl w:val="0"/>
          <w:numId w:val="23"/>
        </w:numPr>
        <w:ind w:left="0" w:firstLine="0"/>
        <w:contextualSpacing w:val="0"/>
      </w:pPr>
      <w:r w:rsidRPr="00F23427">
        <w:t>Снижение размера государственной пошлины «до нуля»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065F19" w:rsidRPr="00F23427" w:rsidRDefault="00065F19" w:rsidP="002C336D">
      <w:pPr>
        <w:pStyle w:val="a8"/>
        <w:numPr>
          <w:ilvl w:val="0"/>
          <w:numId w:val="23"/>
        </w:numPr>
        <w:ind w:left="0" w:firstLine="0"/>
        <w:contextualSpacing w:val="0"/>
      </w:pPr>
      <w:r w:rsidRPr="00F23427">
        <w:t>Установление дифференцированного подхода к определению размера государственной пошлины для лиц, осуществляющих розничную торговлю алкогольной продукцией в зависимости от количества мест осуществления деятельности.</w:t>
      </w:r>
    </w:p>
    <w:p w:rsidR="00065F19" w:rsidRPr="00F23427" w:rsidRDefault="00065F19" w:rsidP="002C336D">
      <w:pPr>
        <w:pStyle w:val="a8"/>
        <w:numPr>
          <w:ilvl w:val="0"/>
          <w:numId w:val="23"/>
        </w:numPr>
        <w:ind w:left="0" w:firstLine="0"/>
        <w:contextualSpacing w:val="0"/>
      </w:pPr>
      <w:r w:rsidRPr="00F23427">
        <w:t xml:space="preserve">Введение </w:t>
      </w:r>
      <w:r w:rsidR="002C336D" w:rsidRPr="00F23427">
        <w:t xml:space="preserve">государственной пошлины </w:t>
      </w:r>
      <w:r w:rsidRPr="00F23427">
        <w:t xml:space="preserve">за выдачу свидетельств </w:t>
      </w:r>
      <w:r w:rsidR="002C336D" w:rsidRPr="00F23427">
        <w:t>на</w:t>
      </w:r>
      <w:r w:rsidRPr="00F23427">
        <w:t xml:space="preserve"> соверш</w:t>
      </w:r>
      <w:r w:rsidR="002C336D" w:rsidRPr="00F23427">
        <w:t>ение</w:t>
      </w:r>
      <w:r w:rsidRPr="00F23427">
        <w:t xml:space="preserve"> операци</w:t>
      </w:r>
      <w:r w:rsidR="002C336D" w:rsidRPr="00F23427">
        <w:t>й</w:t>
      </w:r>
      <w:r w:rsidRPr="00F23427">
        <w:t xml:space="preserve"> по переработке нефтяного сырья.</w:t>
      </w:r>
    </w:p>
    <w:p w:rsidR="000030DC" w:rsidRPr="00F23427" w:rsidRDefault="00065F19" w:rsidP="00BB4ACF">
      <w:pPr>
        <w:pStyle w:val="a8"/>
        <w:numPr>
          <w:ilvl w:val="0"/>
          <w:numId w:val="23"/>
        </w:numPr>
        <w:ind w:left="0" w:firstLine="0"/>
        <w:contextualSpacing w:val="0"/>
      </w:pPr>
      <w:r w:rsidRPr="00F23427">
        <w:t>Установ</w:t>
      </w:r>
      <w:r w:rsidR="00D97F73" w:rsidRPr="00F23427">
        <w:t>ление</w:t>
      </w:r>
      <w:r w:rsidRPr="00F23427">
        <w:t xml:space="preserve"> государственной пошлины за</w:t>
      </w:r>
      <w:r w:rsidR="00D97F73" w:rsidRPr="00F23427">
        <w:t xml:space="preserve"> </w:t>
      </w:r>
      <w:r w:rsidR="000030DC" w:rsidRPr="00F23427">
        <w:t xml:space="preserve">выдачу федеральных специальных и (или) акцизных марок с двухмерным штриховым кодом, содержащим идентификатор </w:t>
      </w:r>
      <w:r w:rsidRPr="00F23427">
        <w:t>единой государственной автоматизированной информационной систем</w:t>
      </w:r>
      <w:r w:rsidR="00D97F73" w:rsidRPr="00F23427">
        <w:t>е</w:t>
      </w:r>
      <w:r w:rsidRPr="00F23427">
        <w:t xml:space="preserve"> учета производства и оборота этилового спирта, алкогольной и спиртосодержащей продукции </w:t>
      </w:r>
      <w:r w:rsidR="001207C2" w:rsidRPr="00F23427">
        <w:t>для маркировки алкогольной продукции</w:t>
      </w:r>
      <w:r w:rsidRPr="00F23427">
        <w:t>.</w:t>
      </w:r>
    </w:p>
    <w:p w:rsidR="00065F19" w:rsidRPr="00790CE8" w:rsidRDefault="00065F19" w:rsidP="00065F19">
      <w:pPr>
        <w:pStyle w:val="a8"/>
        <w:ind w:left="0"/>
        <w:contextualSpacing w:val="0"/>
        <w:rPr>
          <w:b/>
        </w:rPr>
      </w:pPr>
      <w:r w:rsidRPr="00790CE8">
        <w:rPr>
          <w:b/>
        </w:rPr>
        <w:t>Меры в области налогового администрирования и налогового контроля</w:t>
      </w:r>
    </w:p>
    <w:p w:rsidR="0026347B" w:rsidRPr="00F23427" w:rsidRDefault="00CD0346" w:rsidP="00E53DA2">
      <w:pPr>
        <w:pStyle w:val="a8"/>
        <w:numPr>
          <w:ilvl w:val="0"/>
          <w:numId w:val="25"/>
        </w:numPr>
        <w:ind w:left="0" w:firstLine="0"/>
        <w:contextualSpacing w:val="0"/>
      </w:pPr>
      <w:r w:rsidRPr="00F23427">
        <w:t xml:space="preserve">Сохранение </w:t>
      </w:r>
      <w:proofErr w:type="gramStart"/>
      <w:r w:rsidRPr="00F23427">
        <w:t>контроля за</w:t>
      </w:r>
      <w:proofErr w:type="gramEnd"/>
      <w:r w:rsidRPr="00F23427">
        <w:t xml:space="preserve"> трансфертным ценообразованием по внутрироссийским сделкам лишь в тех случаях, когда возможные риски, связанные с ущербом для бюджетной системы, в особенности для бюджетов субъектов Российской Федерации, являются значительными:</w:t>
      </w:r>
    </w:p>
    <w:p w:rsidR="0026347B" w:rsidRPr="00F23427" w:rsidRDefault="0026347B" w:rsidP="00E53DA2">
      <w:pPr>
        <w:pStyle w:val="a8"/>
        <w:ind w:left="0"/>
        <w:contextualSpacing w:val="0"/>
      </w:pPr>
      <w:r w:rsidRPr="00F23427">
        <w:t>а) </w:t>
      </w:r>
      <w:r w:rsidR="00E239E8" w:rsidRPr="00F23427">
        <w:t>в случае</w:t>
      </w:r>
      <w:r w:rsidRPr="00F23427">
        <w:t xml:space="preserve"> применени</w:t>
      </w:r>
      <w:r w:rsidR="00E239E8" w:rsidRPr="00F23427">
        <w:t>я</w:t>
      </w:r>
      <w:r w:rsidRPr="00F23427">
        <w:t xml:space="preserve"> пониженных ставок по налогу на прибыль организаций участниками и резидентами особых экономических зон региональных инвестиционных проектов, специальных инвестиционных контрактов, территорий опережающего социально-экономического развития;</w:t>
      </w:r>
    </w:p>
    <w:p w:rsidR="0026347B" w:rsidRPr="00790CE8" w:rsidRDefault="0026347B" w:rsidP="00E53DA2">
      <w:pPr>
        <w:pStyle w:val="a8"/>
        <w:ind w:left="0"/>
        <w:contextualSpacing w:val="0"/>
      </w:pPr>
      <w:r w:rsidRPr="00F23427">
        <w:t>б) в</w:t>
      </w:r>
      <w:r w:rsidR="00E239E8" w:rsidRPr="00F23427">
        <w:t xml:space="preserve"> случае, если </w:t>
      </w:r>
      <w:r w:rsidRPr="00F23427">
        <w:t>одна из сторон</w:t>
      </w:r>
      <w:r w:rsidR="00E239E8" w:rsidRPr="00F23427">
        <w:t xml:space="preserve"> сделки</w:t>
      </w:r>
      <w:r w:rsidRPr="00F23427">
        <w:t xml:space="preserve"> является плательщиком НДПИ</w:t>
      </w:r>
      <w:r w:rsidR="00E239E8" w:rsidRPr="00F23427">
        <w:t>,</w:t>
      </w:r>
      <w:r w:rsidRPr="00F23427">
        <w:t xml:space="preserve"> и предметом сделок является добытое полезное ископаемое, при добыче которого налогообложение производится по налоговой ставке, установленной в процентах.</w:t>
      </w:r>
    </w:p>
    <w:p w:rsidR="00674AC2" w:rsidRPr="00F23427" w:rsidRDefault="00674AC2" w:rsidP="00674AC2">
      <w:pPr>
        <w:pStyle w:val="a8"/>
        <w:numPr>
          <w:ilvl w:val="0"/>
          <w:numId w:val="25"/>
        </w:numPr>
        <w:ind w:left="0" w:firstLine="0"/>
        <w:contextualSpacing w:val="0"/>
      </w:pPr>
      <w:r w:rsidRPr="00F23427">
        <w:t>Корректировка условий привлечения к налоговой ответственности за неуплату или неполную уплату сумм налога в результате применения в целях налогообложения трансфертных цен в контролируемых сделках, в частности:</w:t>
      </w:r>
    </w:p>
    <w:p w:rsidR="00674AC2" w:rsidRPr="00F23427" w:rsidRDefault="00674AC2" w:rsidP="00674AC2">
      <w:pPr>
        <w:pStyle w:val="a8"/>
        <w:ind w:left="0"/>
        <w:contextualSpacing w:val="0"/>
      </w:pPr>
      <w:r w:rsidRPr="00F23427">
        <w:t>- освобождение налогоплательщиков от такой налоговой ответственности при условии, что применение трансфертных цен не повлекло за собой уменьшение совокупной суммы налога, зачисляемой сторонами таких сделок в консолидированный бюджет Российской Федерации по итогам одного налогового периода, в котором совершена контролируемая сделка;</w:t>
      </w:r>
    </w:p>
    <w:p w:rsidR="00674AC2" w:rsidRPr="00790CE8" w:rsidRDefault="00674AC2" w:rsidP="00674AC2">
      <w:pPr>
        <w:pStyle w:val="a8"/>
        <w:ind w:left="0"/>
        <w:contextualSpacing w:val="0"/>
      </w:pPr>
      <w:r w:rsidRPr="00F23427">
        <w:t>- начисление суммы штрафа на сумму разницы между суммой неуплаченного налога одной стороной сделки и суммой налога, подлежащей возврату (зачету) другой стороне контролируемой сделки (российской организации).</w:t>
      </w:r>
    </w:p>
    <w:p w:rsidR="00DE3548" w:rsidRPr="00F23427" w:rsidRDefault="00DE3548" w:rsidP="00BB4ACF">
      <w:pPr>
        <w:pStyle w:val="a8"/>
        <w:numPr>
          <w:ilvl w:val="0"/>
          <w:numId w:val="25"/>
        </w:numPr>
        <w:ind w:left="0" w:firstLine="0"/>
        <w:contextualSpacing w:val="0"/>
      </w:pPr>
      <w:r w:rsidRPr="00F23427">
        <w:t>Изменение порядка определения трансфер</w:t>
      </w:r>
      <w:r w:rsidR="0001722C" w:rsidRPr="00F23427">
        <w:t>т</w:t>
      </w:r>
      <w:r w:rsidRPr="00F23427">
        <w:t>ных цен</w:t>
      </w:r>
      <w:r w:rsidR="00AE567B" w:rsidRPr="00F23427">
        <w:t xml:space="preserve"> в </w:t>
      </w:r>
      <w:proofErr w:type="spellStart"/>
      <w:r w:rsidR="00AE567B" w:rsidRPr="00F23427">
        <w:t>высокорисковых</w:t>
      </w:r>
      <w:proofErr w:type="spellEnd"/>
      <w:r w:rsidR="00AE567B" w:rsidRPr="00F23427">
        <w:t xml:space="preserve"> трансграничных сделках, предметом которых выступают нематериальные активы, товары биржевой торговли, а также реализация мер, направленных на выявление реального содержания сделок, для целей реализации плана </w:t>
      </w:r>
      <w:r w:rsidR="00AE567B" w:rsidRPr="00F23427">
        <w:rPr>
          <w:szCs w:val="28"/>
        </w:rPr>
        <w:t>BEPS</w:t>
      </w:r>
      <w:r w:rsidR="00AE567B" w:rsidRPr="00F23427">
        <w:t>.</w:t>
      </w:r>
    </w:p>
    <w:p w:rsidR="0026347B" w:rsidRPr="00F23427" w:rsidRDefault="0026347B" w:rsidP="00E53DA2">
      <w:pPr>
        <w:pStyle w:val="a8"/>
        <w:numPr>
          <w:ilvl w:val="0"/>
          <w:numId w:val="25"/>
        </w:numPr>
        <w:ind w:left="0" w:firstLine="0"/>
        <w:contextualSpacing w:val="0"/>
      </w:pPr>
      <w:r w:rsidRPr="00F23427">
        <w:t>Отмена обязанности представления налоговой декларации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w:t>
      </w:r>
      <w:proofErr w:type="spellStart"/>
      <w:r w:rsidRPr="00F23427">
        <w:t>лайн</w:t>
      </w:r>
      <w:proofErr w:type="spellEnd"/>
      <w:r w:rsidRPr="00F23427">
        <w:t>» (далее - ККТ).</w:t>
      </w:r>
    </w:p>
    <w:p w:rsidR="00065F19" w:rsidRPr="00F23427" w:rsidRDefault="00065F19" w:rsidP="00E53DA2">
      <w:pPr>
        <w:pStyle w:val="a8"/>
        <w:numPr>
          <w:ilvl w:val="0"/>
          <w:numId w:val="25"/>
        </w:numPr>
        <w:ind w:left="0" w:firstLine="0"/>
        <w:contextualSpacing w:val="0"/>
      </w:pPr>
      <w:r w:rsidRPr="00F23427">
        <w:t>Установление предельного размера пеней, в соответствии с которым сумма пеней, начисленных на недоимку, не должна превышать размер этой недоимки.</w:t>
      </w:r>
    </w:p>
    <w:p w:rsidR="00065F19" w:rsidRPr="00F23427" w:rsidRDefault="00065F19" w:rsidP="00E53DA2">
      <w:pPr>
        <w:pStyle w:val="a8"/>
        <w:numPr>
          <w:ilvl w:val="0"/>
          <w:numId w:val="25"/>
        </w:numPr>
        <w:ind w:left="0" w:firstLine="0"/>
        <w:contextualSpacing w:val="0"/>
      </w:pPr>
      <w:r w:rsidRPr="00F23427">
        <w:t>В целях улучшения условий исполнения физическими лицами обязанности по уплате платежей, регулируемых Налоговым кодексом, предоставление им права:</w:t>
      </w:r>
    </w:p>
    <w:p w:rsidR="00065F19" w:rsidRPr="00F23427" w:rsidRDefault="00065F19" w:rsidP="00E53DA2">
      <w:pPr>
        <w:pStyle w:val="a8"/>
        <w:ind w:left="0"/>
        <w:contextualSpacing w:val="0"/>
      </w:pPr>
      <w:r w:rsidRPr="00F23427">
        <w:t>- уплаты таких платежей через многофункциональные центры предоставления госуда</w:t>
      </w:r>
      <w:r w:rsidR="00E53DA2" w:rsidRPr="00F23427">
        <w:t>рственных и муниципальных услуг</w:t>
      </w:r>
      <w:r w:rsidRPr="00F23427">
        <w:t xml:space="preserve"> в случаях, когда субъектами Российской Федерации на них возложены соответствующие функции;</w:t>
      </w:r>
    </w:p>
    <w:p w:rsidR="00065F19" w:rsidRPr="00790CE8" w:rsidRDefault="00065F19" w:rsidP="00E53DA2">
      <w:pPr>
        <w:pStyle w:val="a8"/>
        <w:ind w:left="0"/>
      </w:pPr>
      <w:r w:rsidRPr="00F23427">
        <w:t>- добровольного перечисления в бюджетную систему Российской Федерации един</w:t>
      </w:r>
      <w:r w:rsidR="00E53DA2" w:rsidRPr="00F23427">
        <w:t>ого</w:t>
      </w:r>
      <w:r w:rsidRPr="00F23427">
        <w:t xml:space="preserve"> платеж</w:t>
      </w:r>
      <w:r w:rsidR="00E53DA2" w:rsidRPr="00F23427">
        <w:t>а</w:t>
      </w:r>
      <w:r w:rsidRPr="00F23427">
        <w:t xml:space="preserve"> в счет предстоящей уплаты транспортного налога, земельного налога и налога на имущество физических лиц.</w:t>
      </w:r>
    </w:p>
    <w:p w:rsidR="00065F19" w:rsidRPr="00F23427" w:rsidRDefault="00065F19" w:rsidP="00E53DA2">
      <w:pPr>
        <w:pStyle w:val="a8"/>
        <w:numPr>
          <w:ilvl w:val="0"/>
          <w:numId w:val="25"/>
        </w:numPr>
        <w:spacing w:before="0"/>
        <w:ind w:left="0" w:firstLine="0"/>
        <w:contextualSpacing w:val="0"/>
      </w:pPr>
      <w:r w:rsidRPr="00F23427">
        <w:t>Расширение использования института «уточнение платежа», в том числе в случаях ошибочного указания в платежных документах реквизитов счетов Федерального казначейства.</w:t>
      </w:r>
    </w:p>
    <w:p w:rsidR="00065F19" w:rsidRPr="00F23427" w:rsidRDefault="00065F19" w:rsidP="00E53DA2">
      <w:pPr>
        <w:pStyle w:val="a8"/>
        <w:numPr>
          <w:ilvl w:val="0"/>
          <w:numId w:val="25"/>
        </w:numPr>
        <w:ind w:left="0" w:firstLine="0"/>
        <w:contextualSpacing w:val="0"/>
      </w:pPr>
      <w:r w:rsidRPr="00F23427">
        <w:t>Освобождение от ответственности за несвоевременное перечисление сумм налогов в бюджетную систему Российской Федерации налоговых агентов, не допустивших искажения налоговой отчетности, если они самостоятельно (до момента, когда им стало известно об обнаружении налоговым органом факта несвоевременной уплаты налога или о назначении выездной налоговой проверки) уплатили необходимые суммы налога и пени.</w:t>
      </w:r>
    </w:p>
    <w:p w:rsidR="00065F19" w:rsidRPr="00F23427" w:rsidRDefault="00065F19" w:rsidP="00E53DA2">
      <w:pPr>
        <w:pStyle w:val="a8"/>
        <w:numPr>
          <w:ilvl w:val="0"/>
          <w:numId w:val="25"/>
        </w:numPr>
        <w:ind w:left="0" w:firstLine="0"/>
        <w:contextualSpacing w:val="0"/>
      </w:pPr>
      <w:proofErr w:type="gramStart"/>
      <w:r w:rsidRPr="00F23427">
        <w:t xml:space="preserve">Сокращение предельного срока проведения камеральной налоговой проверки на основе налоговой декларации по налогу на добавленную стоимость до двух месяцев с возможностью его продления по решению руководителя (заместителя руководителя) налогового органа до трех месяцев в случае, если до окончания такой проверки налоговым органом установлены факты, указывающие на возможное нарушение законодательства о налогах и сборах. </w:t>
      </w:r>
      <w:proofErr w:type="gramEnd"/>
    </w:p>
    <w:p w:rsidR="00065F19" w:rsidRPr="00F23427" w:rsidRDefault="00065F19" w:rsidP="00E53DA2">
      <w:pPr>
        <w:pStyle w:val="a8"/>
        <w:numPr>
          <w:ilvl w:val="0"/>
          <w:numId w:val="25"/>
        </w:numPr>
        <w:ind w:left="0" w:firstLine="0"/>
        <w:contextualSpacing w:val="0"/>
      </w:pPr>
      <w:r w:rsidRPr="00F23427">
        <w:t xml:space="preserve">Усовершенствование порядка учета в налоговых органах иностранных граждан, не имеющих на территории Российской Федерации места жительства (места пребывания) и принадлежащих им недвижимого имущества и транспортных средств. </w:t>
      </w:r>
    </w:p>
    <w:p w:rsidR="00065F19" w:rsidRPr="00F23427" w:rsidRDefault="009B2D9C" w:rsidP="00E53DA2">
      <w:pPr>
        <w:pStyle w:val="a8"/>
        <w:numPr>
          <w:ilvl w:val="0"/>
          <w:numId w:val="25"/>
        </w:numPr>
        <w:ind w:left="0" w:firstLine="0"/>
        <w:contextualSpacing w:val="0"/>
      </w:pPr>
      <w:r w:rsidRPr="00F23427">
        <w:t>Ур</w:t>
      </w:r>
      <w:r w:rsidR="00065F19" w:rsidRPr="00F23427">
        <w:t>егулирование возможности для использования в налоговой сфере банковских гарантий, предоставляемых банками, включенными в план участия Банка России в осуществлении мер по предупреждению их банкротства.</w:t>
      </w:r>
    </w:p>
    <w:p w:rsidR="00065F19" w:rsidRPr="00F23427" w:rsidRDefault="00065F19" w:rsidP="00E53DA2">
      <w:pPr>
        <w:pStyle w:val="a8"/>
        <w:numPr>
          <w:ilvl w:val="0"/>
          <w:numId w:val="25"/>
        </w:numPr>
        <w:ind w:left="0" w:firstLine="0"/>
        <w:contextualSpacing w:val="0"/>
      </w:pPr>
      <w:r w:rsidRPr="00F23427">
        <w:t>Расширение возможности использования поручительства для целей применения заявительного порядка возмещения налога на добавленную стоимость, а также применения освобождения от уплаты акцизов при поставке подакцизных товаров на экспорт, по которому сумма обязательств поручителя не может превышать 50 процентов стоимости чистых активов поручителя, вместо действующего 20 процентного предельного размера.</w:t>
      </w:r>
    </w:p>
    <w:p w:rsidR="00962AA3" w:rsidRPr="00F23427" w:rsidRDefault="00065F19" w:rsidP="00065F19">
      <w:pPr>
        <w:pStyle w:val="a8"/>
        <w:numPr>
          <w:ilvl w:val="0"/>
          <w:numId w:val="25"/>
        </w:numPr>
        <w:ind w:left="0" w:firstLine="0"/>
        <w:contextualSpacing w:val="0"/>
        <w:rPr>
          <w:b/>
        </w:rPr>
      </w:pPr>
      <w:r w:rsidRPr="00F23427">
        <w:t xml:space="preserve">Продолжение работы по созданию единого механизма сквозного контроля на всех этапах оборота импортных товаров, подлежащих </w:t>
      </w:r>
      <w:proofErr w:type="spellStart"/>
      <w:r w:rsidRPr="00F23427">
        <w:t>прослеживаемости</w:t>
      </w:r>
      <w:proofErr w:type="spellEnd"/>
      <w:r w:rsidRPr="00F23427">
        <w:t>.</w:t>
      </w:r>
      <w:r w:rsidR="000C4C89" w:rsidRPr="00F23427">
        <w:t xml:space="preserve"> </w:t>
      </w:r>
      <w:r w:rsidRPr="00F23427">
        <w:t xml:space="preserve">Особенностью системы </w:t>
      </w:r>
      <w:proofErr w:type="spellStart"/>
      <w:r w:rsidRPr="00F23427">
        <w:t>прослеживаемости</w:t>
      </w:r>
      <w:proofErr w:type="spellEnd"/>
      <w:r w:rsidRPr="00F23427">
        <w:t xml:space="preserve"> будет являться полностью электронный документооборот счетов-фактур и универсального передаточного документа между </w:t>
      </w:r>
      <w:r w:rsidR="008C397D" w:rsidRPr="00F23427">
        <w:t>уполномоченным федеральным орган</w:t>
      </w:r>
      <w:r w:rsidR="00B63088" w:rsidRPr="00F23427">
        <w:t>ом</w:t>
      </w:r>
      <w:r w:rsidR="008C397D" w:rsidRPr="00F23427">
        <w:t xml:space="preserve"> исполнительной власти по созданию, внедрению и сопровождению НСП, и </w:t>
      </w:r>
      <w:r w:rsidRPr="00F23427">
        <w:t>налогоплательщиками, в том числе применяющими специальные режимы налогообложения, при продаже импортных товаров. В связи с этим предполагается внесение изменений в часть первую и главы 21, 26.1, 26.2, 26.3 и</w:t>
      </w:r>
      <w:r w:rsidR="000C4C89" w:rsidRPr="00F23427">
        <w:t xml:space="preserve"> </w:t>
      </w:r>
      <w:r w:rsidRPr="00F23427">
        <w:t xml:space="preserve">26.5 Налогового кодекса, иные нормативные правовые акты Российской Федерации, а также изменения в налоговую декларацию по НДС. </w:t>
      </w:r>
    </w:p>
    <w:p w:rsidR="00065F19" w:rsidRPr="00E53DA2" w:rsidRDefault="00065F19" w:rsidP="00BB4ACF">
      <w:pPr>
        <w:pStyle w:val="a8"/>
        <w:ind w:left="0"/>
        <w:contextualSpacing w:val="0"/>
        <w:rPr>
          <w:b/>
        </w:rPr>
      </w:pPr>
      <w:r w:rsidRPr="00F23427">
        <w:t>Результатами проводимой работы должны стать дальнейшее увеличение платежей в бюджеты всех уровней, обеление соответствующих секторов экономики, повышение конкурентоспособности отечественного производства</w:t>
      </w:r>
      <w:r w:rsidR="001D1492" w:rsidRPr="00F23427">
        <w:t>.</w:t>
      </w:r>
      <w:r w:rsidRPr="00AA6F2C">
        <w:t xml:space="preserve"> </w:t>
      </w:r>
    </w:p>
    <w:p w:rsidR="000B4C71" w:rsidRPr="009730D9" w:rsidRDefault="00917B18" w:rsidP="000B4C71">
      <w:pPr>
        <w:spacing w:after="0" w:line="240" w:lineRule="auto"/>
        <w:jc w:val="right"/>
        <w:rPr>
          <w:rFonts w:eastAsia="Times New Roman"/>
          <w:b/>
          <w:iCs/>
          <w:sz w:val="28"/>
          <w:lang w:eastAsia="ru-RU"/>
        </w:rPr>
      </w:pPr>
      <w:r>
        <w:br w:type="page"/>
      </w:r>
    </w:p>
    <w:p w:rsidR="00CC3761" w:rsidRDefault="00CC3761" w:rsidP="003B7786">
      <w:pPr>
        <w:spacing w:after="0" w:line="240" w:lineRule="auto"/>
        <w:outlineLvl w:val="1"/>
        <w:rPr>
          <w:rFonts w:eastAsia="Times New Roman"/>
          <w:b/>
          <w:sz w:val="28"/>
          <w:szCs w:val="28"/>
          <w:lang w:eastAsia="x-none"/>
        </w:rPr>
        <w:sectPr w:rsidR="00CC3761" w:rsidSect="009139D0">
          <w:headerReference w:type="default" r:id="rId9"/>
          <w:footerReference w:type="default" r:id="rId10"/>
          <w:headerReference w:type="first" r:id="rId11"/>
          <w:footerReference w:type="first" r:id="rId12"/>
          <w:pgSz w:w="11906" w:h="16838"/>
          <w:pgMar w:top="1134" w:right="1418" w:bottom="1134" w:left="1418" w:header="709" w:footer="300" w:gutter="0"/>
          <w:pgNumType w:start="92"/>
          <w:cols w:space="708"/>
          <w:docGrid w:linePitch="360"/>
        </w:sectPr>
      </w:pPr>
      <w:bookmarkStart w:id="3" w:name="_Toc385431909"/>
      <w:bookmarkStart w:id="4" w:name="_Toc476929940"/>
      <w:bookmarkStart w:id="5" w:name="_Toc480448859"/>
    </w:p>
    <w:bookmarkEnd w:id="3"/>
    <w:bookmarkEnd w:id="4"/>
    <w:bookmarkEnd w:id="5"/>
    <w:p w:rsidR="00887874" w:rsidRPr="009730D9" w:rsidRDefault="00887874" w:rsidP="00887874">
      <w:pPr>
        <w:widowControl w:val="0"/>
        <w:spacing w:after="0" w:line="240" w:lineRule="auto"/>
        <w:ind w:right="-31"/>
        <w:jc w:val="right"/>
        <w:rPr>
          <w:rFonts w:eastAsia="Times New Roman"/>
          <w:b/>
          <w:sz w:val="28"/>
          <w:szCs w:val="28"/>
          <w:lang w:eastAsia="ru-RU"/>
        </w:rPr>
      </w:pPr>
      <w:r w:rsidRPr="009730D9">
        <w:rPr>
          <w:rFonts w:eastAsia="Times New Roman"/>
          <w:b/>
          <w:sz w:val="28"/>
          <w:szCs w:val="28"/>
          <w:lang w:eastAsia="ru-RU"/>
        </w:rPr>
        <w:t xml:space="preserve">Приложение </w:t>
      </w:r>
      <w:r w:rsidR="003B7786">
        <w:rPr>
          <w:rFonts w:eastAsia="Times New Roman"/>
          <w:b/>
          <w:sz w:val="28"/>
          <w:szCs w:val="28"/>
          <w:lang w:eastAsia="ru-RU"/>
        </w:rPr>
        <w:t>4</w:t>
      </w:r>
      <w:r w:rsidRPr="009730D9">
        <w:rPr>
          <w:rFonts w:eastAsia="Times New Roman"/>
          <w:b/>
          <w:sz w:val="28"/>
          <w:szCs w:val="28"/>
          <w:lang w:eastAsia="ru-RU"/>
        </w:rPr>
        <w:t xml:space="preserve"> </w:t>
      </w:r>
    </w:p>
    <w:p w:rsidR="00887874" w:rsidRPr="00CF44D4" w:rsidRDefault="00887874" w:rsidP="00887874">
      <w:pPr>
        <w:widowControl w:val="0"/>
        <w:spacing w:after="0" w:line="240" w:lineRule="auto"/>
        <w:ind w:right="-31"/>
        <w:jc w:val="right"/>
        <w:rPr>
          <w:rFonts w:eastAsia="Times New Roman"/>
          <w:lang w:eastAsia="ru-RU"/>
        </w:rPr>
      </w:pPr>
    </w:p>
    <w:p w:rsidR="00887874" w:rsidRPr="000607DD" w:rsidRDefault="00887874" w:rsidP="00887874">
      <w:pPr>
        <w:pBdr>
          <w:top w:val="nil"/>
          <w:left w:val="nil"/>
          <w:bottom w:val="nil"/>
          <w:right w:val="nil"/>
          <w:between w:val="nil"/>
          <w:bar w:val="nil"/>
        </w:pBdr>
        <w:jc w:val="center"/>
        <w:rPr>
          <w:rFonts w:cs="Calibri"/>
          <w:b/>
          <w:color w:val="000000"/>
          <w:sz w:val="28"/>
          <w:u w:color="000000"/>
          <w:bdr w:val="nil"/>
          <w:lang w:eastAsia="ru-RU"/>
        </w:rPr>
      </w:pPr>
      <w:bookmarkStart w:id="6" w:name="_Toc476929943"/>
      <w:bookmarkStart w:id="7" w:name="_Toc480448862"/>
      <w:bookmarkStart w:id="8" w:name="_Toc484629880"/>
      <w:bookmarkStart w:id="9" w:name="_Toc484630565"/>
      <w:r w:rsidRPr="000607DD">
        <w:rPr>
          <w:rFonts w:cs="Calibri"/>
          <w:b/>
          <w:color w:val="000000"/>
          <w:sz w:val="28"/>
          <w:u w:color="000000"/>
          <w:bdr w:val="nil"/>
          <w:lang w:eastAsia="ru-RU"/>
        </w:rPr>
        <w:t>Оценка средневзвешенного тарифа в 2017-2021 годах по укрупненным группам товаров</w:t>
      </w:r>
      <w:bookmarkEnd w:id="6"/>
      <w:bookmarkEnd w:id="7"/>
      <w:bookmarkEnd w:id="8"/>
      <w:bookmarkEnd w:id="9"/>
    </w:p>
    <w:p w:rsidR="00887874" w:rsidRPr="00CF44D4" w:rsidRDefault="00887874" w:rsidP="00887874">
      <w:pPr>
        <w:spacing w:after="0" w:line="240" w:lineRule="auto"/>
        <w:rPr>
          <w:rFonts w:eastAsia="Times New Roman"/>
          <w:lang w:val="x-none" w:eastAsia="x-none"/>
        </w:rPr>
      </w:pPr>
    </w:p>
    <w:tbl>
      <w:tblPr>
        <w:tblW w:w="5000" w:type="pct"/>
        <w:tblLayout w:type="fixed"/>
        <w:tblLook w:val="04A0" w:firstRow="1" w:lastRow="0" w:firstColumn="1" w:lastColumn="0" w:noHBand="0" w:noVBand="1"/>
      </w:tblPr>
      <w:tblGrid>
        <w:gridCol w:w="1435"/>
        <w:gridCol w:w="5486"/>
        <w:gridCol w:w="920"/>
        <w:gridCol w:w="840"/>
        <w:gridCol w:w="1224"/>
        <w:gridCol w:w="1224"/>
        <w:gridCol w:w="1224"/>
        <w:gridCol w:w="1218"/>
        <w:gridCol w:w="1215"/>
      </w:tblGrid>
      <w:tr w:rsidR="00BB4ACF" w:rsidRPr="00CF44D4" w:rsidTr="00BB4ACF">
        <w:tc>
          <w:tcPr>
            <w:tcW w:w="485" w:type="pct"/>
            <w:vMerge w:val="restart"/>
            <w:tcBorders>
              <w:top w:val="single" w:sz="4" w:space="0" w:color="auto"/>
              <w:left w:val="single" w:sz="4" w:space="0" w:color="auto"/>
              <w:bottom w:val="single" w:sz="4" w:space="0" w:color="000000"/>
              <w:right w:val="single" w:sz="4" w:space="0" w:color="auto"/>
            </w:tcBorders>
            <w:noWrap/>
            <w:vAlign w:val="center"/>
            <w:hideMark/>
          </w:tcPr>
          <w:p w:rsidR="00BB4ACF" w:rsidRPr="00CF44D4" w:rsidRDefault="00BB4ACF" w:rsidP="00860CFA">
            <w:pPr>
              <w:widowControl w:val="0"/>
              <w:spacing w:after="0" w:line="240" w:lineRule="auto"/>
              <w:jc w:val="center"/>
              <w:rPr>
                <w:rFonts w:eastAsia="Times New Roman"/>
                <w:b/>
                <w:bCs/>
                <w:lang w:eastAsia="ru-RU"/>
              </w:rPr>
            </w:pPr>
            <w:r w:rsidRPr="00CF44D4">
              <w:rPr>
                <w:rFonts w:eastAsia="Times New Roman"/>
                <w:b/>
                <w:bCs/>
                <w:lang w:eastAsia="ru-RU"/>
              </w:rPr>
              <w:t>Код</w:t>
            </w:r>
          </w:p>
        </w:tc>
        <w:tc>
          <w:tcPr>
            <w:tcW w:w="1855" w:type="pct"/>
            <w:vMerge w:val="restart"/>
            <w:tcBorders>
              <w:top w:val="single" w:sz="4" w:space="0" w:color="auto"/>
              <w:left w:val="single" w:sz="4" w:space="0" w:color="auto"/>
              <w:bottom w:val="single" w:sz="4" w:space="0" w:color="000000"/>
              <w:right w:val="single" w:sz="4" w:space="0" w:color="auto"/>
            </w:tcBorders>
            <w:noWrap/>
            <w:vAlign w:val="center"/>
            <w:hideMark/>
          </w:tcPr>
          <w:p w:rsidR="00BB4ACF" w:rsidRPr="00CF44D4" w:rsidRDefault="00BB4ACF" w:rsidP="00860CFA">
            <w:pPr>
              <w:widowControl w:val="0"/>
              <w:spacing w:after="0" w:line="240" w:lineRule="auto"/>
              <w:jc w:val="center"/>
              <w:rPr>
                <w:rFonts w:eastAsia="Times New Roman"/>
                <w:b/>
                <w:bCs/>
                <w:lang w:eastAsia="ru-RU"/>
              </w:rPr>
            </w:pPr>
            <w:r w:rsidRPr="00CF44D4">
              <w:rPr>
                <w:rFonts w:eastAsia="Times New Roman"/>
                <w:b/>
                <w:bCs/>
                <w:lang w:eastAsia="ru-RU"/>
              </w:rPr>
              <w:t>Название</w:t>
            </w:r>
          </w:p>
        </w:tc>
        <w:tc>
          <w:tcPr>
            <w:tcW w:w="595" w:type="pct"/>
            <w:gridSpan w:val="2"/>
            <w:tcBorders>
              <w:top w:val="single" w:sz="4" w:space="0" w:color="auto"/>
              <w:left w:val="nil"/>
              <w:bottom w:val="single" w:sz="4" w:space="0" w:color="auto"/>
              <w:right w:val="single" w:sz="4" w:space="0" w:color="000000"/>
            </w:tcBorders>
            <w:shd w:val="clear" w:color="auto" w:fill="D8D8D8"/>
            <w:vAlign w:val="center"/>
            <w:hideMark/>
          </w:tcPr>
          <w:p w:rsidR="00BB4ACF" w:rsidRPr="00CF44D4" w:rsidRDefault="00BB4ACF" w:rsidP="00860CFA">
            <w:pPr>
              <w:widowControl w:val="0"/>
              <w:spacing w:after="0" w:line="240" w:lineRule="auto"/>
              <w:jc w:val="center"/>
              <w:rPr>
                <w:rFonts w:eastAsia="Times New Roman"/>
                <w:b/>
                <w:bCs/>
                <w:lang w:eastAsia="ru-RU"/>
              </w:rPr>
            </w:pPr>
            <w:r w:rsidRPr="00CF44D4">
              <w:rPr>
                <w:rFonts w:eastAsia="Times New Roman"/>
                <w:b/>
                <w:bCs/>
                <w:lang w:eastAsia="ru-RU"/>
              </w:rPr>
              <w:t>Справочно: структура импорта из стран дальнего зарубежья, %</w:t>
            </w:r>
          </w:p>
        </w:tc>
        <w:tc>
          <w:tcPr>
            <w:tcW w:w="2064" w:type="pct"/>
            <w:gridSpan w:val="5"/>
            <w:tcBorders>
              <w:top w:val="single" w:sz="4" w:space="0" w:color="auto"/>
              <w:left w:val="nil"/>
              <w:bottom w:val="single" w:sz="4" w:space="0" w:color="auto"/>
              <w:right w:val="single" w:sz="4" w:space="0" w:color="auto"/>
            </w:tcBorders>
            <w:vAlign w:val="center"/>
          </w:tcPr>
          <w:p w:rsidR="00BB4ACF" w:rsidRPr="00CF44D4" w:rsidRDefault="00BB4ACF" w:rsidP="00860CFA">
            <w:pPr>
              <w:widowControl w:val="0"/>
              <w:spacing w:after="0" w:line="240" w:lineRule="auto"/>
              <w:jc w:val="center"/>
              <w:rPr>
                <w:rFonts w:eastAsia="Times New Roman"/>
                <w:b/>
                <w:bCs/>
                <w:lang w:eastAsia="ru-RU"/>
              </w:rPr>
            </w:pPr>
            <w:r w:rsidRPr="00CF44D4">
              <w:rPr>
                <w:rFonts w:eastAsia="Times New Roman"/>
                <w:b/>
                <w:bCs/>
                <w:lang w:eastAsia="ru-RU"/>
              </w:rPr>
              <w:t>Средневзвешенные ставки, %</w:t>
            </w:r>
          </w:p>
        </w:tc>
      </w:tr>
      <w:tr w:rsidR="00BB4ACF" w:rsidRPr="00CF44D4" w:rsidTr="00BB4ACF">
        <w:tc>
          <w:tcPr>
            <w:tcW w:w="485" w:type="pct"/>
            <w:vMerge/>
            <w:tcBorders>
              <w:top w:val="single" w:sz="4" w:space="0" w:color="auto"/>
              <w:left w:val="single" w:sz="4" w:space="0" w:color="auto"/>
              <w:bottom w:val="single" w:sz="4" w:space="0" w:color="000000"/>
              <w:right w:val="single" w:sz="4" w:space="0" w:color="auto"/>
            </w:tcBorders>
            <w:vAlign w:val="center"/>
            <w:hideMark/>
          </w:tcPr>
          <w:p w:rsidR="00BB4ACF" w:rsidRPr="00CF44D4" w:rsidRDefault="00BB4ACF" w:rsidP="00860CFA">
            <w:pPr>
              <w:spacing w:after="0" w:line="240" w:lineRule="auto"/>
              <w:rPr>
                <w:rFonts w:eastAsia="Times New Roman"/>
                <w:b/>
                <w:bCs/>
                <w:lang w:eastAsia="ru-RU"/>
              </w:rPr>
            </w:pPr>
          </w:p>
        </w:tc>
        <w:tc>
          <w:tcPr>
            <w:tcW w:w="1855" w:type="pct"/>
            <w:vMerge/>
            <w:tcBorders>
              <w:top w:val="single" w:sz="4" w:space="0" w:color="auto"/>
              <w:left w:val="single" w:sz="4" w:space="0" w:color="auto"/>
              <w:bottom w:val="single" w:sz="4" w:space="0" w:color="000000"/>
              <w:right w:val="single" w:sz="4" w:space="0" w:color="auto"/>
            </w:tcBorders>
            <w:vAlign w:val="center"/>
            <w:hideMark/>
          </w:tcPr>
          <w:p w:rsidR="00BB4ACF" w:rsidRPr="00CF44D4" w:rsidRDefault="00BB4ACF" w:rsidP="00860CFA">
            <w:pPr>
              <w:spacing w:after="0" w:line="240" w:lineRule="auto"/>
              <w:rPr>
                <w:rFonts w:eastAsia="Times New Roman"/>
                <w:b/>
                <w:bCs/>
                <w:lang w:eastAsia="ru-RU"/>
              </w:rPr>
            </w:pP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rPr>
                <w:b/>
              </w:rPr>
            </w:pPr>
            <w:r w:rsidRPr="00887874">
              <w:rPr>
                <w:b/>
              </w:rPr>
              <w:t>2016</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rPr>
                <w:b/>
              </w:rPr>
            </w:pPr>
            <w:r w:rsidRPr="00887874">
              <w:rPr>
                <w:b/>
              </w:rPr>
              <w:t>2017</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rPr>
                <w:b/>
              </w:rPr>
            </w:pPr>
            <w:r w:rsidRPr="00887874">
              <w:rPr>
                <w:b/>
              </w:rPr>
              <w:t>2017</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rPr>
                <w:b/>
              </w:rPr>
            </w:pPr>
            <w:r w:rsidRPr="00887874">
              <w:rPr>
                <w:b/>
              </w:rPr>
              <w:t>2018</w:t>
            </w:r>
          </w:p>
        </w:tc>
        <w:tc>
          <w:tcPr>
            <w:tcW w:w="414" w:type="pct"/>
            <w:tcBorders>
              <w:top w:val="nil"/>
              <w:left w:val="single" w:sz="4" w:space="0" w:color="auto"/>
              <w:bottom w:val="single" w:sz="4" w:space="0" w:color="auto"/>
              <w:right w:val="single" w:sz="4" w:space="0" w:color="auto"/>
            </w:tcBorders>
          </w:tcPr>
          <w:p w:rsidR="00BB4ACF" w:rsidRPr="00887874" w:rsidRDefault="00BB4ACF" w:rsidP="00887874">
            <w:pPr>
              <w:spacing w:before="0" w:after="0" w:line="240" w:lineRule="auto"/>
              <w:contextualSpacing/>
              <w:jc w:val="center"/>
              <w:rPr>
                <w:b/>
              </w:rPr>
            </w:pPr>
            <w:r w:rsidRPr="00887874">
              <w:rPr>
                <w:b/>
              </w:rPr>
              <w:t>2019</w:t>
            </w:r>
          </w:p>
        </w:tc>
        <w:tc>
          <w:tcPr>
            <w:tcW w:w="412"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rPr>
                <w:b/>
              </w:rPr>
            </w:pPr>
            <w:r w:rsidRPr="00887874">
              <w:rPr>
                <w:b/>
              </w:rPr>
              <w:t>2020</w:t>
            </w:r>
          </w:p>
        </w:tc>
        <w:tc>
          <w:tcPr>
            <w:tcW w:w="411" w:type="pct"/>
            <w:tcBorders>
              <w:top w:val="nil"/>
              <w:left w:val="nil"/>
              <w:bottom w:val="single" w:sz="4" w:space="0" w:color="auto"/>
              <w:right w:val="single" w:sz="4" w:space="0" w:color="auto"/>
            </w:tcBorders>
          </w:tcPr>
          <w:p w:rsidR="00BB4ACF" w:rsidRPr="00887874" w:rsidRDefault="00BB4ACF" w:rsidP="00BB4ACF">
            <w:pPr>
              <w:spacing w:before="0" w:after="0" w:line="240" w:lineRule="auto"/>
              <w:contextualSpacing/>
              <w:jc w:val="center"/>
              <w:rPr>
                <w:b/>
              </w:rPr>
            </w:pPr>
            <w:r w:rsidRPr="00887874">
              <w:rPr>
                <w:b/>
              </w:rPr>
              <w:t>202</w:t>
            </w:r>
            <w:r>
              <w:rPr>
                <w:b/>
              </w:rPr>
              <w:t>1</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tcPr>
          <w:p w:rsidR="00BB4ACF" w:rsidRPr="00887874" w:rsidRDefault="00BB4ACF" w:rsidP="00887874">
            <w:pPr>
              <w:widowControl w:val="0"/>
              <w:spacing w:before="0" w:after="0" w:line="240" w:lineRule="auto"/>
              <w:contextualSpacing/>
              <w:rPr>
                <w:rFonts w:eastAsia="Times New Roman"/>
                <w:b/>
                <w:bCs/>
                <w:kern w:val="32"/>
                <w:lang w:eastAsia="ru-RU"/>
              </w:rPr>
            </w:pP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bCs/>
                <w:kern w:val="32"/>
                <w:lang w:eastAsia="ru-RU"/>
              </w:rPr>
            </w:pPr>
            <w:r w:rsidRPr="00887874">
              <w:rPr>
                <w:rFonts w:eastAsia="Times New Roman"/>
                <w:bCs/>
                <w:kern w:val="32"/>
                <w:lang w:eastAsia="ru-RU"/>
              </w:rPr>
              <w:t>В целом, в том числе</w:t>
            </w:r>
          </w:p>
        </w:tc>
        <w:tc>
          <w:tcPr>
            <w:tcW w:w="311" w:type="pct"/>
            <w:tcBorders>
              <w:top w:val="nil"/>
              <w:left w:val="nil"/>
              <w:bottom w:val="single" w:sz="4" w:space="0" w:color="auto"/>
              <w:right w:val="single" w:sz="4" w:space="0" w:color="auto"/>
            </w:tcBorders>
            <w:shd w:val="clear" w:color="auto" w:fill="D8D8D8"/>
            <w:noWrap/>
            <w:hideMark/>
          </w:tcPr>
          <w:p w:rsidR="00BB4ACF" w:rsidRPr="00887874" w:rsidRDefault="00BB4ACF" w:rsidP="00887874">
            <w:pPr>
              <w:spacing w:before="0" w:after="0" w:line="240" w:lineRule="auto"/>
              <w:contextualSpacing/>
              <w:jc w:val="center"/>
              <w:rPr>
                <w:b/>
              </w:rPr>
            </w:pPr>
            <w:r w:rsidRPr="00887874">
              <w:rPr>
                <w:b/>
              </w:rPr>
              <w:t>100,0</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rPr>
                <w:b/>
              </w:rPr>
            </w:pPr>
            <w:r w:rsidRPr="00887874">
              <w:rPr>
                <w:b/>
              </w:rPr>
              <w:t>100,0</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rPr>
                <w:b/>
              </w:rPr>
            </w:pPr>
            <w:r w:rsidRPr="00887874">
              <w:rPr>
                <w:b/>
              </w:rPr>
              <w:t>4,8</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rPr>
                <w:b/>
              </w:rPr>
            </w:pPr>
            <w:r w:rsidRPr="00887874">
              <w:rPr>
                <w:b/>
              </w:rPr>
              <w:t>4,4</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rPr>
                <w:b/>
              </w:rPr>
            </w:pPr>
            <w:r w:rsidRPr="00887874">
              <w:rPr>
                <w:b/>
              </w:rPr>
              <w:t>4,3</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rPr>
                <w:b/>
              </w:rPr>
            </w:pPr>
            <w:r w:rsidRPr="00887874">
              <w:rPr>
                <w:b/>
              </w:rPr>
              <w:t>4,2</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rPr>
                <w:b/>
              </w:rPr>
            </w:pPr>
            <w:r w:rsidRPr="00887874">
              <w:rPr>
                <w:b/>
              </w:rPr>
              <w:t>4,2</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01-24</w:t>
            </w: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 xml:space="preserve">Продовольственные товары и с/х сырье (кроме </w:t>
            </w:r>
            <w:proofErr w:type="gramStart"/>
            <w:r w:rsidRPr="00887874">
              <w:rPr>
                <w:rFonts w:eastAsia="Times New Roman"/>
                <w:lang w:eastAsia="ru-RU"/>
              </w:rPr>
              <w:t>текстильного</w:t>
            </w:r>
            <w:proofErr w:type="gramEnd"/>
            <w:r w:rsidRPr="00887874">
              <w:rPr>
                <w:rFonts w:eastAsia="Times New Roman"/>
                <w:lang w:eastAsia="ru-RU"/>
              </w:rPr>
              <w:t>)</w:t>
            </w: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12,5</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11,5</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rPr>
                <w:b/>
              </w:rPr>
            </w:pPr>
            <w:r w:rsidRPr="00887874">
              <w:rPr>
                <w:b/>
              </w:rPr>
              <w:t>5,9</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rPr>
                <w:b/>
              </w:rPr>
            </w:pPr>
            <w:r w:rsidRPr="00887874">
              <w:rPr>
                <w:b/>
              </w:rPr>
              <w:t>5,9</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rPr>
                <w:b/>
              </w:rPr>
            </w:pPr>
            <w:r w:rsidRPr="00887874">
              <w:rPr>
                <w:b/>
              </w:rPr>
              <w:t>5,9</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rPr>
                <w:b/>
              </w:rPr>
            </w:pPr>
            <w:r w:rsidRPr="00887874">
              <w:rPr>
                <w:b/>
              </w:rPr>
              <w:t>5,9</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rPr>
                <w:b/>
              </w:rPr>
            </w:pPr>
            <w:r w:rsidRPr="00887874">
              <w:rPr>
                <w:b/>
              </w:rPr>
              <w:t>5,9</w:t>
            </w:r>
          </w:p>
        </w:tc>
      </w:tr>
      <w:tr w:rsidR="00BB4ACF" w:rsidRPr="00CF44D4" w:rsidTr="00BB4ACF">
        <w:tc>
          <w:tcPr>
            <w:tcW w:w="485" w:type="pct"/>
            <w:tcBorders>
              <w:top w:val="single" w:sz="4" w:space="0" w:color="auto"/>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25-27</w:t>
            </w:r>
          </w:p>
        </w:tc>
        <w:tc>
          <w:tcPr>
            <w:tcW w:w="1855" w:type="pct"/>
            <w:tcBorders>
              <w:top w:val="single" w:sz="4" w:space="0" w:color="auto"/>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Минеральные продукты</w:t>
            </w:r>
          </w:p>
        </w:tc>
        <w:tc>
          <w:tcPr>
            <w:tcW w:w="311" w:type="pct"/>
            <w:tcBorders>
              <w:top w:val="single" w:sz="4" w:space="0" w:color="auto"/>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0,8</w:t>
            </w:r>
          </w:p>
        </w:tc>
        <w:tc>
          <w:tcPr>
            <w:tcW w:w="284" w:type="pct"/>
            <w:tcBorders>
              <w:top w:val="single" w:sz="4" w:space="0" w:color="auto"/>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0,9</w:t>
            </w:r>
          </w:p>
        </w:tc>
        <w:tc>
          <w:tcPr>
            <w:tcW w:w="414" w:type="pct"/>
            <w:tcBorders>
              <w:top w:val="single" w:sz="4" w:space="0" w:color="auto"/>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4,0</w:t>
            </w:r>
          </w:p>
        </w:tc>
        <w:tc>
          <w:tcPr>
            <w:tcW w:w="414" w:type="pct"/>
            <w:tcBorders>
              <w:top w:val="single" w:sz="4" w:space="0" w:color="auto"/>
              <w:left w:val="nil"/>
              <w:bottom w:val="single" w:sz="4" w:space="0" w:color="auto"/>
              <w:right w:val="single" w:sz="4" w:space="0" w:color="auto"/>
            </w:tcBorders>
          </w:tcPr>
          <w:p w:rsidR="00BB4ACF" w:rsidRPr="00887874" w:rsidRDefault="00BB4ACF" w:rsidP="00887874">
            <w:pPr>
              <w:spacing w:before="0" w:after="0" w:line="240" w:lineRule="auto"/>
              <w:contextualSpacing/>
              <w:jc w:val="center"/>
            </w:pPr>
            <w:r w:rsidRPr="00887874">
              <w:t>4,0</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4,0</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4,1</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pPr>
            <w:r w:rsidRPr="00887874">
              <w:t>4,1</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i/>
                <w:lang w:eastAsia="ru-RU"/>
              </w:rPr>
            </w:pPr>
            <w:r w:rsidRPr="00887874">
              <w:rPr>
                <w:rFonts w:eastAsia="Times New Roman"/>
                <w:i/>
                <w:lang w:eastAsia="ru-RU"/>
              </w:rPr>
              <w:t>27</w:t>
            </w: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ind w:left="709"/>
              <w:contextualSpacing/>
              <w:rPr>
                <w:rFonts w:eastAsia="Times New Roman"/>
                <w:i/>
                <w:lang w:eastAsia="ru-RU"/>
              </w:rPr>
            </w:pPr>
            <w:r w:rsidRPr="00887874">
              <w:rPr>
                <w:rFonts w:eastAsia="Times New Roman"/>
                <w:i/>
                <w:lang w:eastAsia="ru-RU"/>
              </w:rPr>
              <w:t>в том числе топливно-энергетические товары</w:t>
            </w: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0,5</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0,5</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4,3</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pPr>
            <w:r w:rsidRPr="00887874">
              <w:t>4,3</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4,3</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4,3</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pPr>
            <w:r w:rsidRPr="00887874">
              <w:t>4,3</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28-40</w:t>
            </w: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Продукция химической промышленности, каучук</w:t>
            </w: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19,0</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18,2</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4,5</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pPr>
            <w:r w:rsidRPr="00887874">
              <w:t>4,4</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4,4</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4,4</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pPr>
            <w:r w:rsidRPr="00887874">
              <w:t>4,4</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41-43</w:t>
            </w: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Кожевенное сырье, пушнина и изделия из них</w:t>
            </w: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0,5</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0,5</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11,4</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pPr>
            <w:r w:rsidRPr="00887874">
              <w:t>11,4</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11,4</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11,4</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pPr>
            <w:r w:rsidRPr="00887874">
              <w:t>11,4</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44-49</w:t>
            </w: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Древесина и целлюлозно-бумажные изделия</w:t>
            </w: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1,7</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1,5</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5,6</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pPr>
            <w:r w:rsidRPr="00887874">
              <w:t>5,5</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5,5</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5,5</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pPr>
            <w:r w:rsidRPr="00887874">
              <w:t>5,5</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50-67</w:t>
            </w: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Текстиль, текстильные изделия и обувь</w:t>
            </w: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5,8</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5,8</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7,3</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pPr>
            <w:r w:rsidRPr="00887874">
              <w:t>7,3</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7,3</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7,3</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pPr>
            <w:r w:rsidRPr="00887874">
              <w:t>7,3</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71</w:t>
            </w: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Драгоценные камни, металлы и изделия из них</w:t>
            </w: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0,2</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0,2</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10,5</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pPr>
            <w:r w:rsidRPr="00887874">
              <w:t>10,3</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10,3</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10,3</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pPr>
            <w:r w:rsidRPr="00887874">
              <w:t>10,3</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72-83</w:t>
            </w: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Металлы и изделия из них</w:t>
            </w: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5,3</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5,7</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6,4</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pPr>
            <w:r w:rsidRPr="00887874">
              <w:t>6,4</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6,4</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6,4</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pPr>
            <w:r w:rsidRPr="00887874">
              <w:t>6,4</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84-90</w:t>
            </w: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Машины, оборудование и транспортные средства</w:t>
            </w: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50,3</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51,7</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3,6</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pPr>
            <w:r w:rsidRPr="00887874">
              <w:t>3,4</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3,1</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3,1</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pPr>
            <w:r w:rsidRPr="00887874">
              <w:t>3,1</w:t>
            </w:r>
          </w:p>
        </w:tc>
      </w:tr>
      <w:tr w:rsidR="00BB4ACF" w:rsidRPr="00CF44D4" w:rsidTr="00BB4ACF">
        <w:tc>
          <w:tcPr>
            <w:tcW w:w="485" w:type="pct"/>
            <w:tcBorders>
              <w:top w:val="nil"/>
              <w:left w:val="single" w:sz="4" w:space="0" w:color="auto"/>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67-70, 91-97</w:t>
            </w:r>
          </w:p>
        </w:tc>
        <w:tc>
          <w:tcPr>
            <w:tcW w:w="1855" w:type="pct"/>
            <w:tcBorders>
              <w:top w:val="nil"/>
              <w:left w:val="nil"/>
              <w:bottom w:val="single" w:sz="4" w:space="0" w:color="auto"/>
              <w:right w:val="single" w:sz="4" w:space="0" w:color="auto"/>
            </w:tcBorders>
            <w:noWrap/>
            <w:vAlign w:val="center"/>
            <w:hideMark/>
          </w:tcPr>
          <w:p w:rsidR="00BB4ACF" w:rsidRPr="00887874" w:rsidRDefault="00BB4ACF" w:rsidP="00887874">
            <w:pPr>
              <w:widowControl w:val="0"/>
              <w:spacing w:before="0" w:after="0" w:line="240" w:lineRule="auto"/>
              <w:contextualSpacing/>
              <w:rPr>
                <w:rFonts w:eastAsia="Times New Roman"/>
                <w:lang w:eastAsia="ru-RU"/>
              </w:rPr>
            </w:pPr>
            <w:r w:rsidRPr="00887874">
              <w:rPr>
                <w:rFonts w:eastAsia="Times New Roman"/>
                <w:lang w:eastAsia="ru-RU"/>
              </w:rPr>
              <w:t>Другие товары</w:t>
            </w:r>
          </w:p>
        </w:tc>
        <w:tc>
          <w:tcPr>
            <w:tcW w:w="311"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3,9</w:t>
            </w:r>
          </w:p>
        </w:tc>
        <w:tc>
          <w:tcPr>
            <w:tcW w:w="284" w:type="pct"/>
            <w:tcBorders>
              <w:top w:val="nil"/>
              <w:left w:val="nil"/>
              <w:bottom w:val="single" w:sz="4" w:space="0" w:color="auto"/>
              <w:right w:val="single" w:sz="4" w:space="0" w:color="auto"/>
            </w:tcBorders>
            <w:shd w:val="clear" w:color="auto" w:fill="D8D8D8"/>
            <w:noWrap/>
          </w:tcPr>
          <w:p w:rsidR="00BB4ACF" w:rsidRPr="00887874" w:rsidRDefault="00BB4ACF" w:rsidP="00887874">
            <w:pPr>
              <w:spacing w:before="0" w:after="0" w:line="240" w:lineRule="auto"/>
              <w:contextualSpacing/>
              <w:jc w:val="center"/>
            </w:pPr>
            <w:r w:rsidRPr="00887874">
              <w:t>3,8</w:t>
            </w:r>
          </w:p>
        </w:tc>
        <w:tc>
          <w:tcPr>
            <w:tcW w:w="414"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9,9</w:t>
            </w:r>
          </w:p>
        </w:tc>
        <w:tc>
          <w:tcPr>
            <w:tcW w:w="414" w:type="pct"/>
            <w:tcBorders>
              <w:top w:val="nil"/>
              <w:left w:val="nil"/>
              <w:bottom w:val="single" w:sz="4" w:space="0" w:color="auto"/>
              <w:right w:val="single" w:sz="4" w:space="0" w:color="auto"/>
            </w:tcBorders>
          </w:tcPr>
          <w:p w:rsidR="00BB4ACF" w:rsidRPr="00887874" w:rsidRDefault="00BB4ACF" w:rsidP="00887874">
            <w:pPr>
              <w:spacing w:before="0" w:after="0" w:line="240" w:lineRule="auto"/>
              <w:contextualSpacing/>
              <w:jc w:val="center"/>
            </w:pPr>
            <w:r w:rsidRPr="00887874">
              <w:t>9,4</w:t>
            </w:r>
          </w:p>
        </w:tc>
        <w:tc>
          <w:tcPr>
            <w:tcW w:w="414" w:type="pct"/>
            <w:tcBorders>
              <w:top w:val="nil"/>
              <w:left w:val="single" w:sz="4" w:space="0" w:color="auto"/>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9,2</w:t>
            </w:r>
          </w:p>
        </w:tc>
        <w:tc>
          <w:tcPr>
            <w:tcW w:w="412" w:type="pct"/>
            <w:tcBorders>
              <w:top w:val="nil"/>
              <w:left w:val="nil"/>
              <w:bottom w:val="single" w:sz="4" w:space="0" w:color="auto"/>
              <w:right w:val="single" w:sz="4" w:space="0" w:color="auto"/>
            </w:tcBorders>
            <w:noWrap/>
          </w:tcPr>
          <w:p w:rsidR="00BB4ACF" w:rsidRPr="00887874" w:rsidRDefault="00BB4ACF" w:rsidP="00887874">
            <w:pPr>
              <w:spacing w:before="0" w:after="0" w:line="240" w:lineRule="auto"/>
              <w:contextualSpacing/>
              <w:jc w:val="center"/>
            </w:pPr>
            <w:r w:rsidRPr="00887874">
              <w:t>9,2</w:t>
            </w:r>
          </w:p>
        </w:tc>
        <w:tc>
          <w:tcPr>
            <w:tcW w:w="411" w:type="pct"/>
            <w:tcBorders>
              <w:top w:val="nil"/>
              <w:left w:val="nil"/>
              <w:bottom w:val="single" w:sz="4" w:space="0" w:color="auto"/>
              <w:right w:val="single" w:sz="4" w:space="0" w:color="auto"/>
            </w:tcBorders>
          </w:tcPr>
          <w:p w:rsidR="00BB4ACF" w:rsidRPr="00887874" w:rsidRDefault="00BB4ACF" w:rsidP="00EB6322">
            <w:pPr>
              <w:spacing w:before="0" w:after="0" w:line="240" w:lineRule="auto"/>
              <w:contextualSpacing/>
              <w:jc w:val="center"/>
            </w:pPr>
            <w:r w:rsidRPr="00887874">
              <w:t>9,2</w:t>
            </w:r>
          </w:p>
        </w:tc>
      </w:tr>
    </w:tbl>
    <w:p w:rsidR="001D4C30" w:rsidRDefault="001D4C30">
      <w:pPr>
        <w:spacing w:before="0" w:after="200"/>
        <w:jc w:val="left"/>
      </w:pPr>
      <w:r>
        <w:br w:type="page"/>
      </w:r>
    </w:p>
    <w:p w:rsidR="00860FE0" w:rsidRPr="009730D9" w:rsidRDefault="00860FE0" w:rsidP="00860FE0">
      <w:pPr>
        <w:spacing w:after="0" w:line="240" w:lineRule="auto"/>
        <w:jc w:val="right"/>
        <w:rPr>
          <w:rFonts w:eastAsia="Times New Roman"/>
          <w:b/>
          <w:sz w:val="28"/>
          <w:szCs w:val="28"/>
          <w:lang w:eastAsia="ru-RU"/>
        </w:rPr>
      </w:pPr>
      <w:r w:rsidRPr="009730D9">
        <w:rPr>
          <w:rFonts w:eastAsia="Times New Roman"/>
          <w:b/>
          <w:sz w:val="28"/>
          <w:szCs w:val="28"/>
          <w:lang w:eastAsia="ru-RU"/>
        </w:rPr>
        <w:t xml:space="preserve">Приложение </w:t>
      </w:r>
      <w:r w:rsidR="003B7786">
        <w:rPr>
          <w:rFonts w:eastAsia="Times New Roman"/>
          <w:b/>
          <w:sz w:val="28"/>
          <w:szCs w:val="28"/>
          <w:lang w:eastAsia="ru-RU"/>
        </w:rPr>
        <w:t>5</w:t>
      </w:r>
      <w:r w:rsidRPr="009730D9">
        <w:rPr>
          <w:rFonts w:eastAsia="Times New Roman"/>
          <w:b/>
          <w:sz w:val="28"/>
          <w:szCs w:val="28"/>
          <w:lang w:eastAsia="ru-RU"/>
        </w:rPr>
        <w:t xml:space="preserve"> </w:t>
      </w:r>
    </w:p>
    <w:p w:rsidR="009859DD" w:rsidRPr="009859DD" w:rsidRDefault="009859DD" w:rsidP="009859DD">
      <w:pPr>
        <w:spacing w:before="0" w:after="240" w:line="240" w:lineRule="auto"/>
        <w:ind w:firstLine="539"/>
        <w:jc w:val="center"/>
        <w:outlineLvl w:val="1"/>
        <w:rPr>
          <w:rFonts w:eastAsia="Times New Roman"/>
          <w:b/>
          <w:sz w:val="28"/>
          <w:szCs w:val="28"/>
          <w:lang w:val="x-none" w:eastAsia="x-none"/>
        </w:rPr>
      </w:pPr>
      <w:bookmarkStart w:id="10" w:name="_Toc385431913"/>
      <w:bookmarkStart w:id="11" w:name="_Toc476929944"/>
      <w:bookmarkStart w:id="12" w:name="_Toc513467675"/>
      <w:r w:rsidRPr="009859DD">
        <w:rPr>
          <w:rFonts w:eastAsia="Times New Roman"/>
          <w:b/>
          <w:sz w:val="28"/>
          <w:szCs w:val="28"/>
          <w:lang w:val="x-none" w:eastAsia="x-none"/>
        </w:rPr>
        <w:t>Перечень принятых таможенно-тарифных решений в 201</w:t>
      </w:r>
      <w:r w:rsidRPr="009859DD">
        <w:rPr>
          <w:rFonts w:eastAsia="Times New Roman"/>
          <w:b/>
          <w:sz w:val="28"/>
          <w:szCs w:val="28"/>
          <w:lang w:eastAsia="x-none"/>
        </w:rPr>
        <w:t>7</w:t>
      </w:r>
      <w:r w:rsidRPr="009859DD">
        <w:rPr>
          <w:rFonts w:eastAsia="Times New Roman"/>
          <w:b/>
          <w:sz w:val="28"/>
          <w:szCs w:val="28"/>
          <w:lang w:val="x-none" w:eastAsia="x-none"/>
        </w:rPr>
        <w:t xml:space="preserve"> году</w:t>
      </w:r>
      <w:bookmarkEnd w:id="10"/>
      <w:bookmarkEnd w:id="11"/>
      <w:bookmarkEnd w:id="1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555"/>
        <w:gridCol w:w="1822"/>
        <w:gridCol w:w="2705"/>
        <w:gridCol w:w="2918"/>
        <w:gridCol w:w="4907"/>
      </w:tblGrid>
      <w:tr w:rsidR="009859DD" w:rsidRPr="009859DD" w:rsidTr="009859DD">
        <w:trPr>
          <w:trHeight w:val="945"/>
          <w:tblHeader/>
        </w:trPr>
        <w:tc>
          <w:tcPr>
            <w:tcW w:w="977" w:type="dxa"/>
            <w:shd w:val="clear" w:color="auto" w:fill="auto"/>
            <w:vAlign w:val="center"/>
            <w:hideMark/>
          </w:tcPr>
          <w:p w:rsidR="009859DD" w:rsidRPr="009859DD" w:rsidRDefault="009859DD" w:rsidP="009859DD">
            <w:pPr>
              <w:spacing w:before="0" w:after="0" w:line="240" w:lineRule="auto"/>
              <w:jc w:val="center"/>
              <w:rPr>
                <w:rFonts w:eastAsia="Times New Roman"/>
                <w:b/>
                <w:bCs/>
                <w:lang w:eastAsia="ru-RU"/>
              </w:rPr>
            </w:pPr>
            <w:r w:rsidRPr="009859DD">
              <w:rPr>
                <w:rFonts w:eastAsia="Times New Roman"/>
                <w:b/>
                <w:bCs/>
                <w:lang w:eastAsia="ru-RU"/>
              </w:rPr>
              <w:t>№</w:t>
            </w:r>
          </w:p>
          <w:p w:rsidR="009859DD" w:rsidRPr="009859DD" w:rsidRDefault="009859DD" w:rsidP="009859DD">
            <w:pPr>
              <w:spacing w:before="0" w:after="0" w:line="240" w:lineRule="auto"/>
              <w:jc w:val="center"/>
              <w:rPr>
                <w:rFonts w:eastAsia="Times New Roman"/>
                <w:b/>
                <w:bCs/>
                <w:lang w:eastAsia="ru-RU"/>
              </w:rPr>
            </w:pPr>
            <w:proofErr w:type="gramStart"/>
            <w:r w:rsidRPr="009859DD">
              <w:rPr>
                <w:rFonts w:eastAsia="Times New Roman"/>
                <w:b/>
                <w:bCs/>
                <w:lang w:eastAsia="ru-RU"/>
              </w:rPr>
              <w:t>п</w:t>
            </w:r>
            <w:proofErr w:type="gramEnd"/>
            <w:r w:rsidRPr="009859DD">
              <w:rPr>
                <w:rFonts w:eastAsia="Times New Roman"/>
                <w:b/>
                <w:bCs/>
                <w:lang w:eastAsia="ru-RU"/>
              </w:rPr>
              <w:t>/п</w:t>
            </w:r>
          </w:p>
        </w:tc>
        <w:tc>
          <w:tcPr>
            <w:tcW w:w="1555" w:type="dxa"/>
            <w:shd w:val="clear" w:color="auto" w:fill="auto"/>
            <w:vAlign w:val="center"/>
            <w:hideMark/>
          </w:tcPr>
          <w:p w:rsidR="009859DD" w:rsidRPr="009859DD" w:rsidRDefault="009859DD" w:rsidP="009859DD">
            <w:pPr>
              <w:spacing w:before="0" w:after="0" w:line="240" w:lineRule="auto"/>
              <w:jc w:val="center"/>
              <w:rPr>
                <w:rFonts w:eastAsia="Times New Roman"/>
                <w:b/>
                <w:bCs/>
                <w:lang w:eastAsia="ru-RU"/>
              </w:rPr>
            </w:pPr>
            <w:r w:rsidRPr="009859DD">
              <w:rPr>
                <w:rFonts w:eastAsia="Times New Roman"/>
                <w:b/>
                <w:bCs/>
                <w:lang w:eastAsia="ru-RU"/>
              </w:rPr>
              <w:t>№ и дата решения Коллегии ЕЭК/Совета ЕЭК</w:t>
            </w:r>
          </w:p>
        </w:tc>
        <w:tc>
          <w:tcPr>
            <w:tcW w:w="1822" w:type="dxa"/>
            <w:shd w:val="clear" w:color="auto" w:fill="auto"/>
            <w:vAlign w:val="center"/>
            <w:hideMark/>
          </w:tcPr>
          <w:p w:rsidR="009859DD" w:rsidRPr="009859DD" w:rsidRDefault="009859DD" w:rsidP="009859DD">
            <w:pPr>
              <w:spacing w:before="0" w:after="0" w:line="240" w:lineRule="auto"/>
              <w:jc w:val="center"/>
              <w:rPr>
                <w:rFonts w:eastAsia="Times New Roman"/>
                <w:b/>
                <w:bCs/>
                <w:lang w:eastAsia="ru-RU"/>
              </w:rPr>
            </w:pPr>
            <w:r w:rsidRPr="009859DD">
              <w:rPr>
                <w:rFonts w:eastAsia="Times New Roman"/>
                <w:b/>
                <w:bCs/>
                <w:lang w:eastAsia="ru-RU"/>
              </w:rPr>
              <w:t>Наименование стороны-инициатора</w:t>
            </w:r>
          </w:p>
        </w:tc>
        <w:tc>
          <w:tcPr>
            <w:tcW w:w="2705" w:type="dxa"/>
            <w:vAlign w:val="center"/>
          </w:tcPr>
          <w:p w:rsidR="009859DD" w:rsidRPr="009859DD" w:rsidRDefault="009859DD" w:rsidP="009859DD">
            <w:pPr>
              <w:spacing w:before="0" w:after="0" w:line="240" w:lineRule="auto"/>
              <w:jc w:val="center"/>
              <w:rPr>
                <w:rFonts w:eastAsia="Times New Roman"/>
                <w:b/>
                <w:bCs/>
                <w:lang w:eastAsia="ru-RU"/>
              </w:rPr>
            </w:pPr>
            <w:r w:rsidRPr="009859DD">
              <w:rPr>
                <w:rFonts w:eastAsia="Times New Roman"/>
                <w:b/>
                <w:bCs/>
                <w:lang w:eastAsia="ru-RU"/>
              </w:rPr>
              <w:t>Цель</w:t>
            </w:r>
          </w:p>
        </w:tc>
        <w:tc>
          <w:tcPr>
            <w:tcW w:w="2918" w:type="dxa"/>
            <w:shd w:val="clear" w:color="auto" w:fill="auto"/>
            <w:vAlign w:val="center"/>
            <w:hideMark/>
          </w:tcPr>
          <w:p w:rsidR="009859DD" w:rsidRPr="009859DD" w:rsidRDefault="009859DD" w:rsidP="009859DD">
            <w:pPr>
              <w:spacing w:before="0" w:after="0" w:line="240" w:lineRule="auto"/>
              <w:jc w:val="center"/>
              <w:rPr>
                <w:rFonts w:eastAsia="Times New Roman"/>
                <w:b/>
                <w:bCs/>
                <w:lang w:eastAsia="ru-RU"/>
              </w:rPr>
            </w:pPr>
            <w:r w:rsidRPr="009859DD">
              <w:rPr>
                <w:rFonts w:eastAsia="Times New Roman"/>
                <w:b/>
                <w:bCs/>
                <w:lang w:eastAsia="ru-RU"/>
              </w:rPr>
              <w:t>Наименование товара</w:t>
            </w:r>
          </w:p>
        </w:tc>
        <w:tc>
          <w:tcPr>
            <w:tcW w:w="4907" w:type="dxa"/>
            <w:shd w:val="clear" w:color="auto" w:fill="auto"/>
            <w:vAlign w:val="center"/>
            <w:hideMark/>
          </w:tcPr>
          <w:p w:rsidR="009859DD" w:rsidRPr="009859DD" w:rsidRDefault="009859DD" w:rsidP="009859DD">
            <w:pPr>
              <w:spacing w:before="0" w:after="0" w:line="240" w:lineRule="auto"/>
              <w:jc w:val="center"/>
              <w:rPr>
                <w:rFonts w:eastAsia="Times New Roman"/>
                <w:b/>
                <w:bCs/>
                <w:lang w:eastAsia="ru-RU"/>
              </w:rPr>
            </w:pPr>
            <w:r w:rsidRPr="009859DD">
              <w:rPr>
                <w:rFonts w:eastAsia="Times New Roman"/>
                <w:b/>
                <w:bCs/>
                <w:lang w:eastAsia="ru-RU"/>
              </w:rPr>
              <w:t>Содержание меры</w:t>
            </w:r>
          </w:p>
        </w:tc>
      </w:tr>
      <w:tr w:rsidR="009859DD" w:rsidRPr="009859DD" w:rsidTr="009859DD">
        <w:trPr>
          <w:trHeight w:val="426"/>
        </w:trPr>
        <w:tc>
          <w:tcPr>
            <w:tcW w:w="14884" w:type="dxa"/>
            <w:gridSpan w:val="6"/>
            <w:vAlign w:val="center"/>
          </w:tcPr>
          <w:p w:rsidR="009859DD" w:rsidRPr="009859DD" w:rsidRDefault="009859DD" w:rsidP="009859DD">
            <w:pPr>
              <w:spacing w:before="0" w:after="0" w:line="240" w:lineRule="auto"/>
              <w:jc w:val="center"/>
              <w:rPr>
                <w:rFonts w:eastAsia="Times New Roman"/>
                <w:b/>
                <w:color w:val="000000"/>
                <w:lang w:eastAsia="ru-RU"/>
              </w:rPr>
            </w:pPr>
            <w:r w:rsidRPr="009859DD">
              <w:rPr>
                <w:rFonts w:eastAsia="Times New Roman"/>
                <w:b/>
                <w:color w:val="000000"/>
                <w:lang w:eastAsia="ru-RU"/>
              </w:rPr>
              <w:t>Авиастроение</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28.04.2017 № 31</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Казахстан</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Возможность идентификации этих товаров при их обратном ввозе на таможенную территорию Союза по способу (способам) идентификации, согласованному с таможенным органом при их вывозе с таможенной территории Союза</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 xml:space="preserve">Самолеты, </w:t>
            </w:r>
            <w:r w:rsidRPr="009859DD">
              <w:rPr>
                <w:rFonts w:eastAsia="Times New Roman"/>
                <w:color w:val="000000"/>
                <w:lang w:eastAsia="ru-RU"/>
              </w:rPr>
              <w:t>авиадвигатели и запчасти к ним</w:t>
            </w:r>
          </w:p>
        </w:tc>
        <w:tc>
          <w:tcPr>
            <w:tcW w:w="4907" w:type="dxa"/>
            <w:shd w:val="clear" w:color="auto" w:fill="auto"/>
          </w:tcPr>
          <w:p w:rsidR="009859DD" w:rsidRPr="009859DD" w:rsidRDefault="009859DD" w:rsidP="007C652A">
            <w:pPr>
              <w:widowControl w:val="0"/>
              <w:autoSpaceDE w:val="0"/>
              <w:autoSpaceDN w:val="0"/>
              <w:adjustRightInd w:val="0"/>
              <w:spacing w:before="0" w:after="0" w:line="240" w:lineRule="auto"/>
              <w:rPr>
                <w:rFonts w:eastAsia="Times New Roman"/>
                <w:color w:val="000000"/>
                <w:lang w:eastAsia="ru-RU"/>
              </w:rPr>
            </w:pPr>
            <w:proofErr w:type="gramStart"/>
            <w:r w:rsidRPr="009859DD">
              <w:rPr>
                <w:rFonts w:eastAsia="Times New Roman"/>
                <w:color w:val="000000"/>
                <w:lang w:eastAsia="ru-RU"/>
              </w:rPr>
              <w:t>Дополнение Перечня категорий товаров, в отношении которых может быть установлена специальная таможенная процедура, и условий их помещения под такую таможенную процедуру, утвержденный решением Комиссии Таможенного союза от 20 мая 2010 г. № 329, новым пунктом 5</w:t>
            </w:r>
            <w:r w:rsidRPr="009859DD">
              <w:rPr>
                <w:rFonts w:eastAsia="Times New Roman"/>
                <w:color w:val="000000"/>
                <w:vertAlign w:val="superscript"/>
                <w:lang w:eastAsia="ru-RU"/>
              </w:rPr>
              <w:t>1</w:t>
            </w:r>
            <w:r w:rsidRPr="009859DD">
              <w:rPr>
                <w:rFonts w:eastAsia="Times New Roman"/>
                <w:color w:val="000000"/>
                <w:lang w:eastAsia="ru-RU"/>
              </w:rPr>
              <w:t>, предусматривающим возможность помещения под специальную таможенную процедуру самолетов (коды 8802 40 003 5, 8802 40 003 6 и 8802 40 004 6 ТН ВЭД ЕАЭС</w:t>
            </w:r>
            <w:proofErr w:type="gramEnd"/>
            <w:r w:rsidRPr="009859DD">
              <w:rPr>
                <w:rFonts w:eastAsia="Times New Roman"/>
                <w:color w:val="000000"/>
                <w:lang w:eastAsia="ru-RU"/>
              </w:rPr>
              <w:t>), авиадвигателей</w:t>
            </w:r>
            <w:r w:rsidR="007C652A">
              <w:rPr>
                <w:rFonts w:eastAsia="Times New Roman"/>
                <w:color w:val="000000"/>
                <w:lang w:eastAsia="ru-RU"/>
              </w:rPr>
              <w:t xml:space="preserve"> </w:t>
            </w:r>
            <w:r w:rsidRPr="009859DD">
              <w:rPr>
                <w:rFonts w:eastAsia="Times New Roman"/>
                <w:color w:val="000000"/>
                <w:lang w:eastAsia="ru-RU"/>
              </w:rPr>
              <w:t>и запчастей к ним, как при их вывозе на ремонт и (или) техническое обслуживание, так и при их обратном ввозе после проведения данных операций без уплаты таможенных пошлин, налогов и без применения мер нетарифного регулирования</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от 10.11.2017 № 76</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bCs/>
                <w:lang w:eastAsia="ru-RU"/>
              </w:rPr>
            </w:pPr>
            <w:r w:rsidRPr="009859DD">
              <w:rPr>
                <w:rFonts w:eastAsia="Times New Roman"/>
                <w:bCs/>
                <w:lang w:eastAsia="ru-RU"/>
              </w:rPr>
              <w:t>В целях поддержки и развития авиации общего назначения, улучшения связности регионов</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bCs/>
                <w:lang w:eastAsia="ru-RU"/>
              </w:rPr>
              <w:t>Отдельные виды гражданских пассажирских самолетов</w:t>
            </w:r>
          </w:p>
        </w:tc>
        <w:tc>
          <w:tcPr>
            <w:tcW w:w="4907" w:type="dxa"/>
            <w:shd w:val="clear" w:color="auto" w:fill="auto"/>
          </w:tcPr>
          <w:p w:rsidR="009859DD" w:rsidRPr="009859DD" w:rsidRDefault="009859DD" w:rsidP="009859DD">
            <w:pPr>
              <w:widowControl w:val="0"/>
              <w:spacing w:before="0" w:after="0" w:line="240" w:lineRule="auto"/>
              <w:rPr>
                <w:bCs/>
              </w:rPr>
            </w:pPr>
            <w:r w:rsidRPr="009859DD">
              <w:rPr>
                <w:bCs/>
              </w:rPr>
              <w:t xml:space="preserve">Освобождение от уплаты таможенных пошлин налогов отдельных видов среднемагистральных турбореактивных пассажирских самолетов </w:t>
            </w:r>
            <w:proofErr w:type="spellStart"/>
            <w:r w:rsidRPr="009859DD">
              <w:rPr>
                <w:bCs/>
              </w:rPr>
              <w:t>пассажировместимостью</w:t>
            </w:r>
            <w:proofErr w:type="spellEnd"/>
            <w:r w:rsidRPr="009859DD">
              <w:rPr>
                <w:bCs/>
              </w:rPr>
              <w:t xml:space="preserve"> от 110 до 300 мест при их помещении под таможенную процедуру временного ввоза (допуска) до конца 2019 года на срок, не превышающий 8 лет, при условии, что </w:t>
            </w:r>
            <w:proofErr w:type="gramStart"/>
            <w:r w:rsidRPr="009859DD">
              <w:rPr>
                <w:bCs/>
              </w:rPr>
              <w:t>воздушное судно не достигло</w:t>
            </w:r>
            <w:proofErr w:type="gramEnd"/>
            <w:r w:rsidRPr="009859DD">
              <w:rPr>
                <w:bCs/>
              </w:rPr>
              <w:t xml:space="preserve"> возраста 12 лет. При достижении воздушным судном 16 лет оно должно быть вывезено либо должны быть уплачены таможенные платежи</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от 10.11.2017 № 77</w:t>
            </w:r>
            <w:r w:rsidRPr="009859DD">
              <w:rPr>
                <w:rFonts w:eastAsia="Times New Roman"/>
                <w:lang w:eastAsia="ru-RU"/>
              </w:rPr>
              <w:br/>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Казахстан</w:t>
            </w:r>
          </w:p>
        </w:tc>
        <w:tc>
          <w:tcPr>
            <w:tcW w:w="2705" w:type="dxa"/>
          </w:tcPr>
          <w:p w:rsidR="009859DD" w:rsidRPr="009859DD" w:rsidRDefault="009859DD" w:rsidP="009859DD">
            <w:pPr>
              <w:spacing w:before="0" w:after="0" w:line="240" w:lineRule="auto"/>
              <w:jc w:val="center"/>
              <w:rPr>
                <w:rFonts w:eastAsia="Times New Roman"/>
                <w:bCs/>
                <w:lang w:eastAsia="ru-RU"/>
              </w:rPr>
            </w:pPr>
            <w:r w:rsidRPr="009859DD">
              <w:rPr>
                <w:rFonts w:eastAsia="Times New Roman"/>
                <w:bCs/>
                <w:lang w:eastAsia="ru-RU"/>
              </w:rPr>
              <w:t>В целях поддержки и развития авиации общего назначения, улучшение связности регионов</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bCs/>
                <w:lang w:eastAsia="ru-RU"/>
              </w:rPr>
              <w:t>Отдельные виды турбовинтовых гражданских пассажирских самолетов</w:t>
            </w:r>
          </w:p>
        </w:tc>
        <w:tc>
          <w:tcPr>
            <w:tcW w:w="4907" w:type="dxa"/>
            <w:shd w:val="clear" w:color="auto" w:fill="auto"/>
          </w:tcPr>
          <w:p w:rsidR="009859DD" w:rsidRPr="009859DD" w:rsidRDefault="009859DD" w:rsidP="009859DD">
            <w:pPr>
              <w:spacing w:before="0" w:after="0" w:line="240" w:lineRule="auto"/>
              <w:rPr>
                <w:rFonts w:eastAsia="Times New Roman"/>
                <w:lang w:eastAsia="ru-RU"/>
              </w:rPr>
            </w:pPr>
            <w:r w:rsidRPr="009859DD">
              <w:rPr>
                <w:rFonts w:eastAsia="Times New Roman"/>
                <w:bCs/>
                <w:lang w:eastAsia="ru-RU"/>
              </w:rPr>
              <w:t>Освобождение от уплаты ввозных таможенных пошлин т</w:t>
            </w:r>
            <w:r w:rsidRPr="009859DD">
              <w:rPr>
                <w:rFonts w:eastAsia="Times New Roman"/>
                <w:lang w:eastAsia="ru-RU"/>
              </w:rPr>
              <w:t xml:space="preserve">урбовинтовых пассажирских самолетов с количеством пассажирских мест до 90 человек, ввозимых в Республику Казахстан и в </w:t>
            </w:r>
            <w:proofErr w:type="spellStart"/>
            <w:r w:rsidRPr="009859DD">
              <w:rPr>
                <w:rFonts w:eastAsia="Times New Roman"/>
                <w:lang w:eastAsia="ru-RU"/>
              </w:rPr>
              <w:t>Кыргызскую</w:t>
            </w:r>
            <w:proofErr w:type="spellEnd"/>
            <w:r w:rsidRPr="009859DD">
              <w:rPr>
                <w:rFonts w:eastAsia="Times New Roman"/>
                <w:lang w:eastAsia="ru-RU"/>
              </w:rPr>
              <w:t xml:space="preserve"> Республику с 01.01.2018 по 31.12.2020 включительно</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4</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от 20.12.2017 № 109</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szCs w:val="28"/>
                <w:lang w:eastAsia="ru-RU"/>
              </w:rPr>
            </w:pPr>
            <w:r w:rsidRPr="009859DD">
              <w:rPr>
                <w:rFonts w:eastAsia="Times New Roman"/>
                <w:szCs w:val="28"/>
                <w:lang w:eastAsia="ru-RU"/>
              </w:rPr>
              <w:t xml:space="preserve">Создание благоприятных условий для развития конкурентоспособности производства </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szCs w:val="28"/>
                <w:lang w:eastAsia="ru-RU"/>
              </w:rPr>
              <w:t>Отдельные виды гражданских грузовых самолетов</w:t>
            </w:r>
          </w:p>
        </w:tc>
        <w:tc>
          <w:tcPr>
            <w:tcW w:w="4907" w:type="dxa"/>
            <w:shd w:val="clear" w:color="auto" w:fill="auto"/>
          </w:tcPr>
          <w:p w:rsidR="009859DD" w:rsidRPr="009859DD" w:rsidRDefault="009859DD" w:rsidP="007C652A">
            <w:pPr>
              <w:autoSpaceDE w:val="0"/>
              <w:autoSpaceDN w:val="0"/>
              <w:adjustRightInd w:val="0"/>
              <w:spacing w:before="0" w:after="0" w:line="240" w:lineRule="auto"/>
              <w:rPr>
                <w:rFonts w:eastAsia="Times New Roman"/>
                <w:szCs w:val="28"/>
                <w:lang w:eastAsia="ru-RU"/>
              </w:rPr>
            </w:pPr>
            <w:proofErr w:type="gramStart"/>
            <w:r w:rsidRPr="009859DD">
              <w:rPr>
                <w:rFonts w:eastAsia="Times New Roman"/>
                <w:szCs w:val="28"/>
                <w:lang w:eastAsia="ru-RU"/>
              </w:rPr>
              <w:t>Продление срока помещения под таможенную процедуру временного ввоза с полным условным освобождением от уплаты таможенных пошлин, налогов гражданских грузовых самолетов, не оснащенных грузовой рампой,</w:t>
            </w:r>
            <w:r w:rsidR="007C652A">
              <w:rPr>
                <w:rFonts w:eastAsia="Times New Roman"/>
                <w:szCs w:val="28"/>
                <w:lang w:eastAsia="ru-RU"/>
              </w:rPr>
              <w:t xml:space="preserve"> </w:t>
            </w:r>
            <w:r w:rsidRPr="009859DD">
              <w:rPr>
                <w:rFonts w:eastAsia="Times New Roman"/>
                <w:szCs w:val="28"/>
                <w:lang w:eastAsia="ru-RU"/>
              </w:rPr>
              <w:t>с максимальной взлетной массой не менее 60 000 кг, но не более 80 000 кг и с максимальной взлетной массой более 370 000 кг (с распространением действия данной меры на воздушные суда, ранее помещенных под таможенную</w:t>
            </w:r>
            <w:proofErr w:type="gramEnd"/>
            <w:r w:rsidRPr="009859DD">
              <w:rPr>
                <w:rFonts w:eastAsia="Times New Roman"/>
                <w:szCs w:val="28"/>
                <w:lang w:eastAsia="ru-RU"/>
              </w:rPr>
              <w:t xml:space="preserve"> процедуру временного ввоза (допуска)</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5</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 xml:space="preserve">Решение Совета ЕЭК </w:t>
            </w:r>
            <w:r>
              <w:rPr>
                <w:rFonts w:eastAsia="Times New Roman"/>
                <w:lang w:eastAsia="ru-RU"/>
              </w:rPr>
              <w:t xml:space="preserve">от </w:t>
            </w:r>
            <w:r w:rsidRPr="009859DD">
              <w:rPr>
                <w:rFonts w:eastAsia="Times New Roman"/>
                <w:lang w:eastAsia="ru-RU"/>
              </w:rPr>
              <w:t>20.12.2017 № 109</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Казахстан</w:t>
            </w:r>
          </w:p>
        </w:tc>
        <w:tc>
          <w:tcPr>
            <w:tcW w:w="2705" w:type="dxa"/>
          </w:tcPr>
          <w:p w:rsidR="009859DD" w:rsidRPr="009859DD" w:rsidRDefault="009859DD" w:rsidP="009859DD">
            <w:pPr>
              <w:spacing w:before="0" w:after="0" w:line="240" w:lineRule="auto"/>
              <w:jc w:val="center"/>
              <w:rPr>
                <w:rFonts w:eastAsia="Times New Roman"/>
                <w:szCs w:val="28"/>
                <w:lang w:eastAsia="ru-RU"/>
              </w:rPr>
            </w:pPr>
            <w:r w:rsidRPr="009859DD">
              <w:rPr>
                <w:rFonts w:eastAsia="Times New Roman"/>
                <w:szCs w:val="28"/>
                <w:lang w:eastAsia="ru-RU"/>
              </w:rPr>
              <w:t>В целях поддержки и развития авиации общего назначения, улучшение связности регионов</w:t>
            </w:r>
          </w:p>
        </w:tc>
        <w:tc>
          <w:tcPr>
            <w:tcW w:w="2918" w:type="dxa"/>
            <w:shd w:val="clear" w:color="auto" w:fill="auto"/>
          </w:tcPr>
          <w:p w:rsidR="009859DD" w:rsidRPr="009859DD" w:rsidRDefault="009859DD" w:rsidP="009859DD">
            <w:pPr>
              <w:spacing w:before="0" w:after="0" w:line="240" w:lineRule="auto"/>
              <w:jc w:val="center"/>
              <w:rPr>
                <w:rFonts w:eastAsia="Times New Roman"/>
                <w:szCs w:val="28"/>
                <w:lang w:eastAsia="ru-RU"/>
              </w:rPr>
            </w:pPr>
            <w:r w:rsidRPr="009859DD">
              <w:rPr>
                <w:rFonts w:eastAsia="Times New Roman"/>
                <w:szCs w:val="28"/>
                <w:lang w:eastAsia="ru-RU"/>
              </w:rPr>
              <w:t xml:space="preserve">Широкофюзеляжные, </w:t>
            </w:r>
            <w:proofErr w:type="spellStart"/>
            <w:r w:rsidRPr="009859DD">
              <w:rPr>
                <w:rFonts w:eastAsia="Times New Roman"/>
                <w:szCs w:val="28"/>
                <w:lang w:eastAsia="ru-RU"/>
              </w:rPr>
              <w:t>дальнемагистральные</w:t>
            </w:r>
            <w:proofErr w:type="spellEnd"/>
            <w:r w:rsidRPr="009859DD">
              <w:rPr>
                <w:rFonts w:eastAsia="Times New Roman"/>
                <w:szCs w:val="28"/>
                <w:lang w:eastAsia="ru-RU"/>
              </w:rPr>
              <w:t xml:space="preserve"> гражданские грузовые самолеты</w:t>
            </w:r>
          </w:p>
        </w:tc>
        <w:tc>
          <w:tcPr>
            <w:tcW w:w="4907" w:type="dxa"/>
            <w:shd w:val="clear" w:color="auto" w:fill="auto"/>
          </w:tcPr>
          <w:p w:rsidR="009859DD" w:rsidRPr="009859DD" w:rsidRDefault="009859DD" w:rsidP="000C4C89">
            <w:pPr>
              <w:autoSpaceDE w:val="0"/>
              <w:autoSpaceDN w:val="0"/>
              <w:adjustRightInd w:val="0"/>
              <w:spacing w:before="0" w:after="0" w:line="240" w:lineRule="auto"/>
              <w:rPr>
                <w:rFonts w:eastAsia="Times New Roman"/>
                <w:szCs w:val="28"/>
                <w:lang w:eastAsia="ru-RU"/>
              </w:rPr>
            </w:pPr>
            <w:r w:rsidRPr="009859DD">
              <w:rPr>
                <w:rFonts w:eastAsia="Times New Roman"/>
                <w:lang w:eastAsia="ru-RU"/>
              </w:rPr>
              <w:t xml:space="preserve">Предоставление полного условного освобождения от уплаты таможенных пошлин, налогов при временном ввозе широкофюзеляжных, </w:t>
            </w:r>
            <w:proofErr w:type="spellStart"/>
            <w:r w:rsidRPr="009859DD">
              <w:rPr>
                <w:rFonts w:eastAsia="Times New Roman"/>
                <w:lang w:eastAsia="ru-RU"/>
              </w:rPr>
              <w:t>дальнемагистральных</w:t>
            </w:r>
            <w:proofErr w:type="spellEnd"/>
            <w:r w:rsidRPr="009859DD">
              <w:rPr>
                <w:rFonts w:eastAsia="Times New Roman"/>
                <w:lang w:eastAsia="ru-RU"/>
              </w:rPr>
              <w:t xml:space="preserve"> гражданских грузовых самолетов, с максимальной взлетной массой </w:t>
            </w:r>
            <w:r w:rsidRPr="009859DD">
              <w:rPr>
                <w:rFonts w:eastAsia="Times New Roman"/>
                <w:lang w:eastAsia="ru-RU"/>
              </w:rPr>
              <w:br/>
              <w:t>от 175 000 до 200 000 кг и с максимальной взлетной массой от 233 000 до 250 000 кг</w:t>
            </w:r>
            <w:r w:rsidR="000C4C89">
              <w:rPr>
                <w:rFonts w:eastAsia="Times New Roman"/>
                <w:lang w:eastAsia="ru-RU"/>
              </w:rPr>
              <w:t>.</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6</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w:t>
            </w:r>
            <w:r w:rsidRPr="009859DD">
              <w:rPr>
                <w:rFonts w:eastAsia="Times New Roman"/>
                <w:color w:val="000000"/>
                <w:lang w:eastAsia="ru-RU"/>
              </w:rPr>
              <w:t>от 27.11.2017 № 161</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Создание благоприятных условий для развития конкурентоспособного производства двигателей</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двигателей турбореактивных</w:t>
            </w:r>
          </w:p>
        </w:tc>
        <w:tc>
          <w:tcPr>
            <w:tcW w:w="4907" w:type="dxa"/>
            <w:shd w:val="clear" w:color="auto" w:fill="auto"/>
          </w:tcPr>
          <w:p w:rsidR="009859DD" w:rsidRPr="009859DD" w:rsidRDefault="009859DD" w:rsidP="000C4C89">
            <w:pPr>
              <w:spacing w:before="0" w:after="0" w:line="240" w:lineRule="auto"/>
              <w:rPr>
                <w:rFonts w:eastAsia="Times New Roman"/>
                <w:lang w:eastAsia="ru-RU"/>
              </w:rPr>
            </w:pPr>
            <w:r w:rsidRPr="009859DD">
              <w:rPr>
                <w:rFonts w:eastAsia="Times New Roman"/>
                <w:color w:val="000000"/>
                <w:lang w:eastAsia="ru-RU"/>
              </w:rPr>
              <w:t xml:space="preserve">Продление </w:t>
            </w:r>
            <w:r w:rsidRPr="009859DD">
              <w:rPr>
                <w:bCs/>
                <w:lang w:eastAsia="ru-RU"/>
              </w:rPr>
              <w:t>срока действия нулевых ставок ввозных таможенных пошлин</w:t>
            </w:r>
            <w:r w:rsidRPr="009859DD">
              <w:rPr>
                <w:b/>
                <w:bCs/>
                <w:lang w:eastAsia="ru-RU"/>
              </w:rPr>
              <w:t xml:space="preserve"> </w:t>
            </w:r>
            <w:r w:rsidRPr="009859DD">
              <w:rPr>
                <w:bCs/>
                <w:color w:val="000000"/>
                <w:lang w:eastAsia="ru-RU"/>
              </w:rPr>
              <w:t>в отношении сроком с 01.01.2018 по 31.12.2020 включительно</w:t>
            </w:r>
          </w:p>
        </w:tc>
      </w:tr>
      <w:tr w:rsidR="009859DD" w:rsidRPr="009859DD" w:rsidTr="009859DD">
        <w:trPr>
          <w:trHeight w:val="351"/>
        </w:trPr>
        <w:tc>
          <w:tcPr>
            <w:tcW w:w="14884" w:type="dxa"/>
            <w:gridSpan w:val="6"/>
            <w:vAlign w:val="center"/>
          </w:tcPr>
          <w:p w:rsidR="009859DD" w:rsidRPr="009859DD" w:rsidRDefault="009859DD" w:rsidP="009859DD">
            <w:pPr>
              <w:spacing w:before="0" w:after="0" w:line="240" w:lineRule="auto"/>
              <w:jc w:val="center"/>
              <w:rPr>
                <w:rFonts w:eastAsia="Times New Roman"/>
                <w:b/>
                <w:color w:val="000000"/>
                <w:lang w:eastAsia="ru-RU"/>
              </w:rPr>
            </w:pPr>
            <w:r w:rsidRPr="009859DD">
              <w:rPr>
                <w:rFonts w:eastAsia="Times New Roman"/>
                <w:b/>
                <w:color w:val="000000"/>
                <w:lang w:eastAsia="ru-RU"/>
              </w:rPr>
              <w:t>Металлургия</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7</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Решение Совета ЕЭК от 20.12.2017 № 99</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Казахстан</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Привлечение импортного сырья для загрузки производственных мощностей</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proofErr w:type="gramStart"/>
            <w:r w:rsidRPr="009859DD">
              <w:rPr>
                <w:rFonts w:eastAsia="Times New Roman"/>
                <w:lang w:eastAsia="ru-RU"/>
              </w:rPr>
              <w:t>Ванадий-алюминиевая</w:t>
            </w:r>
            <w:proofErr w:type="gramEnd"/>
            <w:r w:rsidRPr="009859DD">
              <w:rPr>
                <w:rFonts w:eastAsia="Times New Roman"/>
                <w:lang w:eastAsia="ru-RU"/>
              </w:rPr>
              <w:t xml:space="preserve"> лигатура</w:t>
            </w:r>
          </w:p>
        </w:tc>
        <w:tc>
          <w:tcPr>
            <w:tcW w:w="4907" w:type="dxa"/>
            <w:shd w:val="clear" w:color="auto" w:fill="auto"/>
          </w:tcPr>
          <w:p w:rsidR="009859DD" w:rsidRPr="009859DD" w:rsidRDefault="009859DD" w:rsidP="009859DD">
            <w:pPr>
              <w:autoSpaceDE w:val="0"/>
              <w:autoSpaceDN w:val="0"/>
              <w:adjustRightInd w:val="0"/>
              <w:spacing w:before="0" w:after="0" w:line="240" w:lineRule="auto"/>
            </w:pPr>
            <w:proofErr w:type="gramStart"/>
            <w:r w:rsidRPr="009859DD">
              <w:rPr>
                <w:rFonts w:eastAsia="Times New Roman"/>
                <w:color w:val="000000"/>
                <w:lang w:eastAsia="ru-RU"/>
              </w:rPr>
              <w:t xml:space="preserve">Предоставление тарифной льготы в виде освобождения от ввозной таможенной пошлины в отношении </w:t>
            </w:r>
            <w:r w:rsidRPr="009859DD">
              <w:rPr>
                <w:color w:val="000000"/>
              </w:rPr>
              <w:t xml:space="preserve">ванадий-алюминиевой лигатуры, классифицируемой кодом </w:t>
            </w:r>
            <w:hyperlink r:id="rId13" w:history="1">
              <w:r w:rsidRPr="009859DD">
                <w:rPr>
                  <w:color w:val="000000"/>
                </w:rPr>
                <w:t>8112 92 910 0</w:t>
              </w:r>
            </w:hyperlink>
            <w:r w:rsidRPr="009859DD">
              <w:rPr>
                <w:color w:val="000000"/>
              </w:rPr>
              <w:t xml:space="preserve"> ТН ВЭД ЕАЭС, </w:t>
            </w:r>
            <w:r w:rsidRPr="009859DD">
              <w:t>предназначенной для производства титановых слитков, сплавов и слябов и ввозимой в период с 01.01.2018 по 31.12.2019 включительно в Республику Казахстан в объеме не более 300 тонн ежегодно и в Российскую Федерацию в объеме не более 150 тонн</w:t>
            </w:r>
            <w:proofErr w:type="gramEnd"/>
            <w:r w:rsidRPr="009859DD">
              <w:t xml:space="preserve"> ежегодно</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8</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20.06.2017 </w:t>
            </w:r>
            <w:r w:rsidR="000C4C89">
              <w:rPr>
                <w:rFonts w:eastAsia="Times New Roman"/>
                <w:lang w:eastAsia="ru-RU"/>
              </w:rPr>
              <w:t>№ </w:t>
            </w:r>
            <w:r w:rsidRPr="009859DD">
              <w:rPr>
                <w:rFonts w:eastAsia="Times New Roman"/>
                <w:lang w:eastAsia="ru-RU"/>
              </w:rPr>
              <w:t>66</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Казахстан</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Привлечение импортного сырья для загрузки производственных мощностей</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 xml:space="preserve">Руды и концентраты свинцовые с содержанием свинца не менее 45 </w:t>
            </w:r>
            <w:proofErr w:type="spellStart"/>
            <w:r w:rsidRPr="009859DD">
              <w:rPr>
                <w:rFonts w:eastAsia="Times New Roman"/>
                <w:lang w:eastAsia="ru-RU"/>
              </w:rPr>
              <w:t>мас</w:t>
            </w:r>
            <w:proofErr w:type="spellEnd"/>
            <w:r w:rsidRPr="009859DD">
              <w:rPr>
                <w:rFonts w:eastAsia="Times New Roman"/>
                <w:lang w:eastAsia="ru-RU"/>
              </w:rPr>
              <w:t>.</w:t>
            </w:r>
          </w:p>
        </w:tc>
        <w:tc>
          <w:tcPr>
            <w:tcW w:w="4907" w:type="dxa"/>
            <w:shd w:val="clear" w:color="auto" w:fill="auto"/>
          </w:tcPr>
          <w:p w:rsidR="009859DD" w:rsidRPr="009859DD" w:rsidRDefault="009859DD" w:rsidP="009859DD">
            <w:pPr>
              <w:autoSpaceDE w:val="0"/>
              <w:autoSpaceDN w:val="0"/>
              <w:adjustRightInd w:val="0"/>
              <w:spacing w:before="0" w:after="0" w:line="240" w:lineRule="auto"/>
              <w:rPr>
                <w:rFonts w:eastAsia="Times New Roman"/>
                <w:color w:val="000000"/>
                <w:lang w:eastAsia="ru-RU"/>
              </w:rPr>
            </w:pPr>
            <w:r w:rsidRPr="009859DD">
              <w:rPr>
                <w:bCs/>
                <w:color w:val="000000"/>
                <w:shd w:val="clear" w:color="auto" w:fill="FFFFFF"/>
                <w:lang w:eastAsia="ru-RU"/>
              </w:rPr>
              <w:t>Продление срока действия нулевой ставки ввозной таможенной пошлины</w:t>
            </w:r>
            <w:r w:rsidRPr="009859DD">
              <w:rPr>
                <w:b/>
                <w:bCs/>
                <w:color w:val="000000"/>
                <w:shd w:val="clear" w:color="auto" w:fill="FFFFFF"/>
                <w:lang w:eastAsia="ru-RU"/>
              </w:rPr>
              <w:t xml:space="preserve"> </w:t>
            </w:r>
            <w:r w:rsidRPr="009859DD">
              <w:rPr>
                <w:rFonts w:eastAsia="Times New Roman"/>
                <w:color w:val="000000"/>
                <w:lang w:eastAsia="ru-RU"/>
              </w:rPr>
              <w:t>по 24.05.2019 включительно</w:t>
            </w:r>
          </w:p>
          <w:p w:rsidR="009859DD" w:rsidRPr="009859DD" w:rsidRDefault="009859DD" w:rsidP="009859DD">
            <w:pPr>
              <w:spacing w:before="0" w:after="0" w:line="240" w:lineRule="auto"/>
              <w:rPr>
                <w:rFonts w:eastAsia="Times New Roman"/>
                <w:lang w:eastAsia="ru-RU"/>
              </w:rPr>
            </w:pPr>
          </w:p>
        </w:tc>
      </w:tr>
      <w:tr w:rsidR="009859DD" w:rsidRPr="009859DD" w:rsidTr="009859DD">
        <w:trPr>
          <w:trHeight w:val="326"/>
        </w:trPr>
        <w:tc>
          <w:tcPr>
            <w:tcW w:w="14884" w:type="dxa"/>
            <w:gridSpan w:val="6"/>
            <w:vAlign w:val="center"/>
          </w:tcPr>
          <w:p w:rsidR="009859DD" w:rsidRPr="009859DD" w:rsidRDefault="009859DD" w:rsidP="009859DD">
            <w:pPr>
              <w:spacing w:before="0" w:after="0" w:line="240" w:lineRule="auto"/>
              <w:jc w:val="center"/>
              <w:rPr>
                <w:rFonts w:eastAsia="Times New Roman"/>
                <w:b/>
                <w:color w:val="000000"/>
                <w:lang w:eastAsia="ru-RU"/>
              </w:rPr>
            </w:pPr>
            <w:r w:rsidRPr="009859DD">
              <w:rPr>
                <w:rFonts w:eastAsia="Times New Roman"/>
                <w:b/>
                <w:color w:val="000000"/>
                <w:lang w:eastAsia="ru-RU"/>
              </w:rPr>
              <w:t>Нефть</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9</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w:t>
            </w:r>
            <w:r w:rsidRPr="009859DD">
              <w:rPr>
                <w:rFonts w:eastAsia="Times New Roman"/>
                <w:bCs/>
                <w:lang w:eastAsia="ru-RU"/>
              </w:rPr>
              <w:t xml:space="preserve">от 08.06.2017 </w:t>
            </w:r>
            <w:r w:rsidR="000C4C89">
              <w:rPr>
                <w:rFonts w:eastAsia="Times New Roman"/>
                <w:bCs/>
                <w:lang w:eastAsia="ru-RU"/>
              </w:rPr>
              <w:t>№ </w:t>
            </w:r>
            <w:r w:rsidRPr="009859DD">
              <w:rPr>
                <w:rFonts w:eastAsia="Times New Roman"/>
                <w:bCs/>
                <w:lang w:eastAsia="ru-RU"/>
              </w:rPr>
              <w:t>64</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Беларусь</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Содействие развитию национальной экономики</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Нефть</w:t>
            </w:r>
          </w:p>
        </w:tc>
        <w:tc>
          <w:tcPr>
            <w:tcW w:w="4907" w:type="dxa"/>
            <w:shd w:val="clear" w:color="auto" w:fill="auto"/>
          </w:tcPr>
          <w:p w:rsidR="009859DD" w:rsidRPr="009859DD" w:rsidRDefault="009859DD" w:rsidP="009859DD">
            <w:pPr>
              <w:spacing w:before="0" w:after="0" w:line="240" w:lineRule="auto"/>
              <w:rPr>
                <w:rFonts w:eastAsia="Times New Roman"/>
                <w:lang w:eastAsia="ru-RU"/>
              </w:rPr>
            </w:pPr>
            <w:r w:rsidRPr="009859DD">
              <w:rPr>
                <w:rFonts w:eastAsia="Times New Roman"/>
                <w:lang w:eastAsia="ru-RU"/>
              </w:rPr>
              <w:t>Внесение изменения в примечание 8 к ТН ВЭД ЕАЭС, в части расширения перечня месторождений Республики Беларусь</w:t>
            </w:r>
          </w:p>
        </w:tc>
      </w:tr>
      <w:tr w:rsidR="009859DD" w:rsidRPr="009859DD" w:rsidTr="009859DD">
        <w:trPr>
          <w:trHeight w:val="428"/>
        </w:trPr>
        <w:tc>
          <w:tcPr>
            <w:tcW w:w="14884" w:type="dxa"/>
            <w:gridSpan w:val="6"/>
            <w:vAlign w:val="center"/>
          </w:tcPr>
          <w:p w:rsidR="009859DD" w:rsidRPr="009859DD" w:rsidRDefault="009859DD" w:rsidP="009859DD">
            <w:pPr>
              <w:spacing w:before="0" w:after="0" w:line="240" w:lineRule="auto"/>
              <w:jc w:val="center"/>
              <w:rPr>
                <w:rFonts w:eastAsia="Times New Roman"/>
                <w:b/>
                <w:color w:val="000000"/>
                <w:lang w:eastAsia="ru-RU"/>
              </w:rPr>
            </w:pPr>
            <w:r w:rsidRPr="009859DD">
              <w:rPr>
                <w:rFonts w:eastAsia="Times New Roman"/>
                <w:b/>
                <w:color w:val="000000"/>
                <w:lang w:eastAsia="ru-RU"/>
              </w:rPr>
              <w:t>Пищевая промышленность</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10</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23.06.2017 № 44</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Евразийская экономическая комиссия</w:t>
            </w:r>
          </w:p>
        </w:tc>
        <w:tc>
          <w:tcPr>
            <w:tcW w:w="2705" w:type="dxa"/>
          </w:tcPr>
          <w:p w:rsidR="009859DD" w:rsidRPr="009859DD" w:rsidRDefault="009859DD" w:rsidP="009859DD">
            <w:pPr>
              <w:spacing w:before="0" w:after="0" w:line="240" w:lineRule="auto"/>
              <w:jc w:val="center"/>
              <w:rPr>
                <w:rFonts w:eastAsia="Times New Roman"/>
                <w:color w:val="000000"/>
                <w:lang w:eastAsia="ru-RU"/>
              </w:rPr>
            </w:pPr>
            <w:r w:rsidRPr="009859DD">
              <w:rPr>
                <w:rFonts w:eastAsia="Times New Roman"/>
                <w:color w:val="000000"/>
                <w:lang w:eastAsia="ru-RU"/>
              </w:rPr>
              <w:t>Содействие развитию национальной экономики</w:t>
            </w:r>
          </w:p>
        </w:tc>
        <w:tc>
          <w:tcPr>
            <w:tcW w:w="2918" w:type="dxa"/>
            <w:shd w:val="clear" w:color="auto" w:fill="auto"/>
          </w:tcPr>
          <w:p w:rsidR="009859DD" w:rsidRPr="009859DD" w:rsidRDefault="009859DD" w:rsidP="009859DD">
            <w:pPr>
              <w:spacing w:before="0" w:after="0" w:line="240" w:lineRule="auto"/>
              <w:jc w:val="center"/>
              <w:rPr>
                <w:rFonts w:eastAsia="Times New Roman"/>
                <w:highlight w:val="yellow"/>
                <w:lang w:eastAsia="ru-RU"/>
              </w:rPr>
            </w:pPr>
            <w:r w:rsidRPr="009859DD">
              <w:rPr>
                <w:rFonts w:eastAsia="Times New Roman"/>
                <w:color w:val="000000"/>
                <w:lang w:eastAsia="ru-RU"/>
              </w:rPr>
              <w:t>Картофель, томаты, лук, капуста, салат-латук, огурцы, перец, яблоки</w:t>
            </w:r>
          </w:p>
        </w:tc>
        <w:tc>
          <w:tcPr>
            <w:tcW w:w="4907" w:type="dxa"/>
            <w:shd w:val="clear" w:color="auto" w:fill="auto"/>
          </w:tcPr>
          <w:p w:rsidR="009859DD" w:rsidRPr="009859DD" w:rsidRDefault="009859DD" w:rsidP="009859DD">
            <w:pPr>
              <w:spacing w:before="0" w:after="0" w:line="240" w:lineRule="auto"/>
              <w:rPr>
                <w:rFonts w:eastAsia="Times New Roman"/>
                <w:highlight w:val="yellow"/>
                <w:lang w:eastAsia="ru-RU"/>
              </w:rPr>
            </w:pPr>
            <w:r w:rsidRPr="009859DD">
              <w:rPr>
                <w:rFonts w:eastAsia="Times New Roman"/>
                <w:color w:val="000000"/>
                <w:lang w:eastAsia="ru-RU"/>
              </w:rPr>
              <w:t>Исключение из Перечня товаров, происходящих из развивающихся стран, в отношении которых при ввозе на таможенную территорию Евразийского экономического союза предоставляются тарифные преференции</w:t>
            </w:r>
          </w:p>
        </w:tc>
      </w:tr>
      <w:tr w:rsidR="009859DD" w:rsidRPr="009859DD" w:rsidTr="009859DD">
        <w:trPr>
          <w:trHeight w:val="159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11</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w:t>
            </w:r>
          </w:p>
          <w:p w:rsidR="009859DD" w:rsidRPr="009859DD" w:rsidRDefault="009859DD" w:rsidP="009859DD">
            <w:pPr>
              <w:spacing w:before="0" w:after="0" w:line="240" w:lineRule="auto"/>
              <w:jc w:val="left"/>
              <w:rPr>
                <w:rFonts w:eastAsia="Times New Roman"/>
                <w:lang w:eastAsia="ru-RU"/>
              </w:rPr>
            </w:pPr>
            <w:r w:rsidRPr="009859DD">
              <w:rPr>
                <w:rFonts w:eastAsia="Times New Roman"/>
                <w:bCs/>
                <w:color w:val="000000"/>
                <w:lang w:eastAsia="ru-RU"/>
              </w:rPr>
              <w:t>от 22.08.2017 № 53</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Армения</w:t>
            </w:r>
          </w:p>
        </w:tc>
        <w:tc>
          <w:tcPr>
            <w:tcW w:w="2705" w:type="dxa"/>
          </w:tcPr>
          <w:p w:rsidR="009859DD" w:rsidRPr="009859DD" w:rsidRDefault="009859DD" w:rsidP="009859DD">
            <w:pPr>
              <w:autoSpaceDE w:val="0"/>
              <w:autoSpaceDN w:val="0"/>
              <w:spacing w:before="0" w:after="160" w:line="240" w:lineRule="auto"/>
              <w:jc w:val="center"/>
              <w:rPr>
                <w:rFonts w:eastAsia="Times New Roman"/>
              </w:rPr>
            </w:pPr>
            <w:r w:rsidRPr="009859DD">
              <w:rPr>
                <w:rFonts w:eastAsia="Times New Roman"/>
              </w:rPr>
              <w:t>Содействие развитию национальной экономики</w:t>
            </w:r>
          </w:p>
        </w:tc>
        <w:tc>
          <w:tcPr>
            <w:tcW w:w="2918" w:type="dxa"/>
            <w:shd w:val="clear" w:color="auto" w:fill="auto"/>
          </w:tcPr>
          <w:p w:rsidR="009859DD" w:rsidRPr="009859DD" w:rsidRDefault="009859DD" w:rsidP="009859DD">
            <w:pPr>
              <w:autoSpaceDE w:val="0"/>
              <w:autoSpaceDN w:val="0"/>
              <w:spacing w:before="0" w:after="160" w:line="240" w:lineRule="auto"/>
              <w:jc w:val="center"/>
              <w:rPr>
                <w:rFonts w:eastAsia="Times New Roman"/>
              </w:rPr>
            </w:pPr>
            <w:r w:rsidRPr="009859DD">
              <w:rPr>
                <w:rFonts w:eastAsia="Times New Roman"/>
              </w:rPr>
              <w:t xml:space="preserve">Морковь, свекла, варенье ягодное, виноградный сок, </w:t>
            </w:r>
            <w:proofErr w:type="gramStart"/>
            <w:r w:rsidRPr="009859DD">
              <w:rPr>
                <w:rFonts w:eastAsia="Times New Roman"/>
              </w:rPr>
              <w:t>томаты</w:t>
            </w:r>
            <w:proofErr w:type="gramEnd"/>
            <w:r w:rsidRPr="009859DD">
              <w:rPr>
                <w:rFonts w:eastAsia="Times New Roman"/>
              </w:rPr>
              <w:t xml:space="preserve"> приготовленные или консервированные и томатная паста</w:t>
            </w:r>
          </w:p>
        </w:tc>
        <w:tc>
          <w:tcPr>
            <w:tcW w:w="4907" w:type="dxa"/>
            <w:shd w:val="clear" w:color="auto" w:fill="auto"/>
          </w:tcPr>
          <w:p w:rsidR="009859DD" w:rsidRPr="009859DD" w:rsidRDefault="009859DD" w:rsidP="009859DD">
            <w:pPr>
              <w:spacing w:before="0" w:after="0" w:line="240" w:lineRule="auto"/>
              <w:rPr>
                <w:rFonts w:eastAsia="Times New Roman"/>
                <w:color w:val="000000"/>
                <w:lang w:eastAsia="ru-RU"/>
              </w:rPr>
            </w:pPr>
            <w:r w:rsidRPr="009859DD">
              <w:rPr>
                <w:rFonts w:eastAsia="Times New Roman"/>
                <w:color w:val="000000"/>
                <w:lang w:eastAsia="ru-RU"/>
              </w:rPr>
              <w:t>Исключение из Перечня товаров, происходящих из развивающихся стран, в отношении которых при ввозе на таможенную территорию Евразийского экономического союза предоставляются тарифные преференции</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12</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от 20.12.2017 № 108</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Беларусь</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Повышение конкурентоспособности производителей рыбы</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 xml:space="preserve">Отдельные виды рыбы и </w:t>
            </w:r>
            <w:proofErr w:type="spellStart"/>
            <w:r w:rsidRPr="009859DD">
              <w:rPr>
                <w:rFonts w:eastAsia="Times New Roman"/>
                <w:lang w:eastAsia="ru-RU"/>
              </w:rPr>
              <w:t>сурими</w:t>
            </w:r>
            <w:proofErr w:type="spellEnd"/>
            <w:r w:rsidRPr="009859DD">
              <w:rPr>
                <w:rFonts w:eastAsia="Times New Roman"/>
                <w:lang w:eastAsia="ru-RU"/>
              </w:rPr>
              <w:t xml:space="preserve"> мороженые</w:t>
            </w:r>
          </w:p>
        </w:tc>
        <w:tc>
          <w:tcPr>
            <w:tcW w:w="4907" w:type="dxa"/>
            <w:shd w:val="clear" w:color="auto" w:fill="auto"/>
          </w:tcPr>
          <w:p w:rsidR="009859DD" w:rsidRPr="009859DD" w:rsidRDefault="009859DD" w:rsidP="009859DD">
            <w:pPr>
              <w:autoSpaceDE w:val="0"/>
              <w:autoSpaceDN w:val="0"/>
              <w:adjustRightInd w:val="0"/>
              <w:spacing w:before="0" w:after="0" w:line="240" w:lineRule="auto"/>
              <w:rPr>
                <w:rFonts w:eastAsia="Times New Roman"/>
                <w:color w:val="000000"/>
                <w:lang w:eastAsia="ru-RU"/>
              </w:rPr>
            </w:pPr>
            <w:r w:rsidRPr="009859DD">
              <w:rPr>
                <w:rFonts w:eastAsia="Times New Roman"/>
                <w:lang w:eastAsia="ru-RU"/>
              </w:rPr>
              <w:t xml:space="preserve">Снижение ставок ввозных таможенных пошлин в отношении отдельных видов рыбы и </w:t>
            </w:r>
            <w:proofErr w:type="spellStart"/>
            <w:r w:rsidRPr="009859DD">
              <w:rPr>
                <w:rFonts w:eastAsia="Times New Roman"/>
                <w:lang w:eastAsia="ru-RU"/>
              </w:rPr>
              <w:t>сурими</w:t>
            </w:r>
            <w:proofErr w:type="spellEnd"/>
            <w:r w:rsidRPr="009859DD">
              <w:rPr>
                <w:rFonts w:eastAsia="Times New Roman"/>
                <w:lang w:eastAsia="ru-RU"/>
              </w:rPr>
              <w:t xml:space="preserve"> мороженых, классифицируемых кодами 0303 89 900 7 и 0304 95 100 0 ТН ВЭД ЕАЭС, до 0 % от таможенной стоимости сроком по 31 декабря 2019 г. включительно</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13</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08.06.2017 </w:t>
            </w:r>
            <w:r w:rsidR="000C4C89">
              <w:rPr>
                <w:rFonts w:eastAsia="Times New Roman"/>
                <w:lang w:eastAsia="ru-RU"/>
              </w:rPr>
              <w:t>№ </w:t>
            </w:r>
            <w:r w:rsidRPr="009859DD">
              <w:rPr>
                <w:rFonts w:eastAsia="Times New Roman"/>
                <w:lang w:eastAsia="ru-RU"/>
              </w:rPr>
              <w:t>65</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Евразийская экономическая комиссия</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Содействие развитию национальной экономики</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сельскохозяйственных товаров</w:t>
            </w:r>
          </w:p>
        </w:tc>
        <w:tc>
          <w:tcPr>
            <w:tcW w:w="4907" w:type="dxa"/>
            <w:shd w:val="clear" w:color="auto" w:fill="auto"/>
          </w:tcPr>
          <w:p w:rsidR="009859DD" w:rsidRPr="009859DD" w:rsidRDefault="009859DD" w:rsidP="009859DD">
            <w:pPr>
              <w:spacing w:before="0" w:after="0" w:line="240" w:lineRule="auto"/>
              <w:rPr>
                <w:rFonts w:eastAsia="Times New Roman"/>
                <w:lang w:eastAsia="ru-RU"/>
              </w:rPr>
            </w:pPr>
            <w:r w:rsidRPr="009859DD">
              <w:rPr>
                <w:rFonts w:eastAsia="Times New Roman"/>
                <w:lang w:eastAsia="ru-RU"/>
              </w:rPr>
              <w:t xml:space="preserve">Прекращение действия с 01.02.2018 пониженных ставок ввозных таможенных пошлин в отношении капусты брюссельской, фисташек, фиников, сушеного винограда (изюм), установленных на временной основе </w:t>
            </w:r>
          </w:p>
        </w:tc>
      </w:tr>
      <w:tr w:rsidR="009859DD" w:rsidRPr="009859DD" w:rsidTr="009859DD">
        <w:trPr>
          <w:trHeight w:val="305"/>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14</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w:t>
            </w:r>
            <w:r w:rsidRPr="009859DD">
              <w:rPr>
                <w:rFonts w:eastAsia="Times New Roman"/>
                <w:bCs/>
                <w:lang w:eastAsia="ru-RU"/>
              </w:rPr>
              <w:t xml:space="preserve">от 18.08.2017 </w:t>
            </w:r>
            <w:r w:rsidR="000C4C89">
              <w:rPr>
                <w:rFonts w:eastAsia="Times New Roman"/>
                <w:bCs/>
                <w:lang w:eastAsia="ru-RU"/>
              </w:rPr>
              <w:t>№ </w:t>
            </w:r>
            <w:r w:rsidRPr="009859DD">
              <w:rPr>
                <w:rFonts w:eastAsia="Times New Roman"/>
                <w:bCs/>
                <w:lang w:eastAsia="ru-RU"/>
              </w:rPr>
              <w:t>96</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Евразийская экономическая комиссия</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Содействие развитию национальной экономики</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 xml:space="preserve">Рис </w:t>
            </w:r>
            <w:proofErr w:type="spellStart"/>
            <w:r w:rsidRPr="009859DD">
              <w:rPr>
                <w:rFonts w:eastAsia="Times New Roman"/>
                <w:lang w:eastAsia="ru-RU"/>
              </w:rPr>
              <w:t>длиннозерный</w:t>
            </w:r>
            <w:proofErr w:type="spellEnd"/>
          </w:p>
        </w:tc>
        <w:tc>
          <w:tcPr>
            <w:tcW w:w="4907" w:type="dxa"/>
            <w:shd w:val="clear" w:color="auto" w:fill="auto"/>
          </w:tcPr>
          <w:p w:rsidR="009859DD" w:rsidRPr="009859DD" w:rsidRDefault="009859DD" w:rsidP="009859DD">
            <w:pPr>
              <w:autoSpaceDE w:val="0"/>
              <w:autoSpaceDN w:val="0"/>
              <w:adjustRightInd w:val="0"/>
              <w:spacing w:before="0" w:after="0" w:line="240" w:lineRule="auto"/>
              <w:rPr>
                <w:rFonts w:eastAsia="Times New Roman"/>
                <w:lang w:eastAsia="ru-RU"/>
              </w:rPr>
            </w:pPr>
            <w:r w:rsidRPr="009859DD">
              <w:rPr>
                <w:rFonts w:eastAsia="Times New Roman"/>
                <w:lang w:eastAsia="ru-RU"/>
              </w:rPr>
              <w:t xml:space="preserve">Установление на 2018 год объемов тарифной квоты в отношении отдельных видов риса </w:t>
            </w:r>
            <w:proofErr w:type="spellStart"/>
            <w:r w:rsidRPr="009859DD">
              <w:rPr>
                <w:rFonts w:eastAsia="Times New Roman"/>
                <w:lang w:eastAsia="ru-RU"/>
              </w:rPr>
              <w:t>длиннозерного</w:t>
            </w:r>
            <w:proofErr w:type="spellEnd"/>
            <w:r w:rsidRPr="009859DD">
              <w:rPr>
                <w:rFonts w:eastAsia="Times New Roman"/>
                <w:lang w:eastAsia="ru-RU"/>
              </w:rPr>
              <w:t>, происходящего из Социалистической Республики Вьетнам и ввозимого на территории государств-членов Евразийского экономического союза</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15</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w:t>
            </w:r>
            <w:r w:rsidRPr="009859DD">
              <w:rPr>
                <w:rFonts w:eastAsia="Times New Roman"/>
                <w:bCs/>
                <w:lang w:eastAsia="ru-RU"/>
              </w:rPr>
              <w:t xml:space="preserve">от 18.08.2017 </w:t>
            </w:r>
            <w:r w:rsidR="000C4C89">
              <w:rPr>
                <w:rFonts w:eastAsia="Times New Roman"/>
                <w:bCs/>
                <w:lang w:eastAsia="ru-RU"/>
              </w:rPr>
              <w:t>№ </w:t>
            </w:r>
            <w:r w:rsidRPr="009859DD">
              <w:rPr>
                <w:rFonts w:eastAsia="Times New Roman"/>
                <w:bCs/>
                <w:lang w:eastAsia="ru-RU"/>
              </w:rPr>
              <w:t>97</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Евразийская экономическая комиссия</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Насыщение внутреннего рынка отдельными сельскохозяйственными товарами</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сельскохозяйственных товаров</w:t>
            </w:r>
          </w:p>
        </w:tc>
        <w:tc>
          <w:tcPr>
            <w:tcW w:w="4907" w:type="dxa"/>
            <w:shd w:val="clear" w:color="auto" w:fill="auto"/>
          </w:tcPr>
          <w:p w:rsidR="009859DD" w:rsidRPr="009859DD" w:rsidRDefault="009859DD" w:rsidP="009859DD">
            <w:pPr>
              <w:autoSpaceDE w:val="0"/>
              <w:autoSpaceDN w:val="0"/>
              <w:adjustRightInd w:val="0"/>
              <w:spacing w:before="0" w:after="0" w:line="240" w:lineRule="auto"/>
              <w:rPr>
                <w:rFonts w:eastAsia="Times New Roman"/>
                <w:lang w:eastAsia="ru-RU"/>
              </w:rPr>
            </w:pPr>
            <w:r w:rsidRPr="009859DD">
              <w:rPr>
                <w:rFonts w:eastAsia="Times New Roman"/>
                <w:lang w:eastAsia="ru-RU"/>
              </w:rPr>
              <w:t>Установление на 2018 год тарифных квот в отношении отдельных видов сельскохозяйственных товаров, ввозимых на таможенную территорию Евразийского экономического союза, а также объемов тарифных квот в отношении этих товаров, ввозимых на территории государств - членов Евразийского экономического союза</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16</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18.08.2017 </w:t>
            </w:r>
            <w:r w:rsidR="000C4C89">
              <w:rPr>
                <w:rFonts w:eastAsia="Times New Roman"/>
                <w:lang w:eastAsia="ru-RU"/>
              </w:rPr>
              <w:t>№ </w:t>
            </w:r>
            <w:r w:rsidRPr="009859DD">
              <w:rPr>
                <w:rFonts w:eastAsia="Times New Roman"/>
                <w:lang w:eastAsia="ru-RU"/>
              </w:rPr>
              <w:t>99</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Беларусь</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Повышение конкурентоспособности производителей кондитерских изделий</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какао-продуктов</w:t>
            </w:r>
          </w:p>
        </w:tc>
        <w:tc>
          <w:tcPr>
            <w:tcW w:w="4907" w:type="dxa"/>
            <w:shd w:val="clear" w:color="auto" w:fill="auto"/>
          </w:tcPr>
          <w:p w:rsidR="009859DD" w:rsidRPr="009859DD" w:rsidRDefault="009859DD" w:rsidP="009859DD">
            <w:pPr>
              <w:spacing w:before="0" w:after="0" w:line="240" w:lineRule="auto"/>
              <w:rPr>
                <w:rFonts w:eastAsia="Times New Roman"/>
                <w:lang w:eastAsia="ru-RU"/>
              </w:rPr>
            </w:pPr>
            <w:r w:rsidRPr="009859DD">
              <w:rPr>
                <w:lang w:eastAsia="ru-RU"/>
              </w:rPr>
              <w:t xml:space="preserve">Продление срока действия нулевых ставок ввозных таможенных пошлин </w:t>
            </w:r>
            <w:r w:rsidRPr="009859DD">
              <w:rPr>
                <w:color w:val="000000"/>
                <w:lang w:eastAsia="ru-RU"/>
              </w:rPr>
              <w:t>сроком с 01.</w:t>
            </w:r>
            <w:r w:rsidRPr="009859DD">
              <w:rPr>
                <w:lang w:eastAsia="ru-RU"/>
              </w:rPr>
              <w:t>01.2018 по 31.12.2019 включительно</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17</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27.11.2017 </w:t>
            </w:r>
            <w:r w:rsidR="000C4C89">
              <w:rPr>
                <w:rFonts w:eastAsia="Times New Roman"/>
                <w:lang w:eastAsia="ru-RU"/>
              </w:rPr>
              <w:t>№ </w:t>
            </w:r>
            <w:r w:rsidRPr="009859DD">
              <w:rPr>
                <w:rFonts w:eastAsia="Times New Roman"/>
                <w:lang w:eastAsia="ru-RU"/>
              </w:rPr>
              <w:t>163</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Беларусь</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Повышение конкурентоспособности производителей рыбы</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моллюсков и криля антарктического</w:t>
            </w:r>
          </w:p>
        </w:tc>
        <w:tc>
          <w:tcPr>
            <w:tcW w:w="4907" w:type="dxa"/>
            <w:shd w:val="clear" w:color="auto" w:fill="auto"/>
          </w:tcPr>
          <w:p w:rsidR="009859DD" w:rsidRPr="009859DD" w:rsidRDefault="009859DD" w:rsidP="009859DD">
            <w:pPr>
              <w:spacing w:before="0" w:after="0" w:line="240" w:lineRule="auto"/>
              <w:rPr>
                <w:rFonts w:eastAsia="Times New Roman"/>
                <w:lang w:eastAsia="ru-RU"/>
              </w:rPr>
            </w:pPr>
            <w:r w:rsidRPr="009859DD">
              <w:rPr>
                <w:rFonts w:eastAsia="Times New Roman"/>
                <w:lang w:eastAsia="ru-RU"/>
              </w:rPr>
              <w:t xml:space="preserve">Выделение из кодов 0306 19 900 0 и 1605 40 000 0 ТН ВЭД ЕАЭС криля антарктического и установление в отношении него нулевых ставок ввозных таможенных пошлин сроком </w:t>
            </w:r>
            <w:r w:rsidRPr="009859DD">
              <w:rPr>
                <w:rFonts w:eastAsia="Times New Roman"/>
                <w:color w:val="000000"/>
                <w:lang w:eastAsia="ru-RU"/>
              </w:rPr>
              <w:t>по 31.12.2019 включительно</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18</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05.12.2017 </w:t>
            </w:r>
            <w:r w:rsidR="000C4C89">
              <w:rPr>
                <w:rFonts w:eastAsia="Times New Roman"/>
                <w:lang w:eastAsia="ru-RU"/>
              </w:rPr>
              <w:t>№ </w:t>
            </w:r>
            <w:r w:rsidRPr="009859DD">
              <w:rPr>
                <w:rFonts w:eastAsia="Times New Roman"/>
                <w:lang w:eastAsia="ru-RU"/>
              </w:rPr>
              <w:t>166</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Евразийская экономическая комиссия</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Содействие развитию национальной экономики</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сельскохозяйственных и промышленных товаров</w:t>
            </w:r>
          </w:p>
        </w:tc>
        <w:tc>
          <w:tcPr>
            <w:tcW w:w="4907" w:type="dxa"/>
            <w:shd w:val="clear" w:color="auto" w:fill="auto"/>
          </w:tcPr>
          <w:p w:rsidR="009859DD" w:rsidRPr="009859DD" w:rsidRDefault="009859DD" w:rsidP="009859DD">
            <w:pPr>
              <w:autoSpaceDE w:val="0"/>
              <w:autoSpaceDN w:val="0"/>
              <w:adjustRightInd w:val="0"/>
              <w:spacing w:before="0" w:after="0" w:line="240" w:lineRule="auto"/>
              <w:rPr>
                <w:rFonts w:eastAsia="Times New Roman"/>
                <w:lang w:eastAsia="ru-RU"/>
              </w:rPr>
            </w:pPr>
            <w:r w:rsidRPr="009859DD">
              <w:rPr>
                <w:rFonts w:eastAsia="Times New Roman"/>
                <w:lang w:eastAsia="ru-RU"/>
              </w:rPr>
              <w:t xml:space="preserve">Признание </w:t>
            </w:r>
            <w:proofErr w:type="gramStart"/>
            <w:r w:rsidRPr="009859DD">
              <w:rPr>
                <w:rFonts w:eastAsia="Times New Roman"/>
                <w:lang w:eastAsia="ru-RU"/>
              </w:rPr>
              <w:t>утратившими</w:t>
            </w:r>
            <w:proofErr w:type="gramEnd"/>
            <w:r w:rsidRPr="009859DD">
              <w:rPr>
                <w:rFonts w:eastAsia="Times New Roman"/>
                <w:lang w:eastAsia="ru-RU"/>
              </w:rPr>
              <w:t xml:space="preserve"> силу отдельных положений некоторых решений Коллегии ЕЭК и Решения Коллегии ЕЭК от 19.12.2016 № 165</w:t>
            </w:r>
          </w:p>
        </w:tc>
      </w:tr>
      <w:tr w:rsidR="009859DD" w:rsidRPr="009859DD" w:rsidTr="009859DD">
        <w:trPr>
          <w:trHeight w:val="315"/>
        </w:trPr>
        <w:tc>
          <w:tcPr>
            <w:tcW w:w="14884" w:type="dxa"/>
            <w:gridSpan w:val="6"/>
            <w:vAlign w:val="center"/>
          </w:tcPr>
          <w:p w:rsidR="009859DD" w:rsidRPr="009859DD" w:rsidRDefault="009859DD" w:rsidP="009859DD">
            <w:pPr>
              <w:autoSpaceDE w:val="0"/>
              <w:autoSpaceDN w:val="0"/>
              <w:adjustRightInd w:val="0"/>
              <w:spacing w:before="0" w:after="0" w:line="240" w:lineRule="auto"/>
              <w:jc w:val="center"/>
              <w:rPr>
                <w:rFonts w:eastAsia="Times New Roman"/>
                <w:b/>
                <w:lang w:eastAsia="ru-RU"/>
              </w:rPr>
            </w:pPr>
            <w:r w:rsidRPr="009859DD">
              <w:rPr>
                <w:rFonts w:eastAsia="Times New Roman"/>
                <w:b/>
                <w:lang w:eastAsia="ru-RU"/>
              </w:rPr>
              <w:t>Текстильная промышленность</w:t>
            </w:r>
          </w:p>
        </w:tc>
      </w:tr>
      <w:tr w:rsidR="009859DD" w:rsidRPr="009859DD" w:rsidTr="009859DD">
        <w:trPr>
          <w:trHeight w:val="63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19</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w:t>
            </w:r>
          </w:p>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от 22.08.2017 № 48</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Снижение себестоимости выпускаемой продукции и повышения ее конкурентоспособности на внутреннем и внешнем рынках</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нитей из полиамидов</w:t>
            </w:r>
          </w:p>
        </w:tc>
        <w:tc>
          <w:tcPr>
            <w:tcW w:w="4907" w:type="dxa"/>
            <w:shd w:val="clear" w:color="auto" w:fill="auto"/>
          </w:tcPr>
          <w:p w:rsidR="009859DD" w:rsidRPr="009859DD" w:rsidRDefault="009859DD" w:rsidP="009859DD">
            <w:pPr>
              <w:spacing w:before="0" w:after="0" w:line="259" w:lineRule="auto"/>
            </w:pPr>
            <w:r w:rsidRPr="009859DD">
              <w:t xml:space="preserve">Выделение из кода </w:t>
            </w:r>
            <w:r w:rsidRPr="009859DD">
              <w:rPr>
                <w:rFonts w:eastAsia="Times New Roman"/>
                <w:lang w:eastAsia="ru-RU"/>
              </w:rPr>
              <w:t xml:space="preserve">5402 19 000 0 </w:t>
            </w:r>
            <w:r w:rsidRPr="009859DD">
              <w:t xml:space="preserve">ТН ВЭД ЕАЭС </w:t>
            </w:r>
            <w:r w:rsidRPr="009859DD">
              <w:rPr>
                <w:rFonts w:eastAsia="Times New Roman"/>
              </w:rPr>
              <w:t xml:space="preserve">нитей из </w:t>
            </w:r>
            <w:proofErr w:type="spellStart"/>
            <w:r w:rsidRPr="009859DD">
              <w:rPr>
                <w:rFonts w:eastAsia="Times New Roman"/>
              </w:rPr>
              <w:t>анидов</w:t>
            </w:r>
            <w:proofErr w:type="spellEnd"/>
            <w:r w:rsidRPr="009859DD">
              <w:rPr>
                <w:rFonts w:eastAsia="Times New Roman"/>
              </w:rPr>
              <w:t xml:space="preserve"> линейной плотности не менее 900 </w:t>
            </w:r>
            <w:proofErr w:type="spellStart"/>
            <w:r w:rsidRPr="009859DD">
              <w:rPr>
                <w:rFonts w:eastAsia="Times New Roman"/>
              </w:rPr>
              <w:t>дтекс</w:t>
            </w:r>
            <w:proofErr w:type="spellEnd"/>
            <w:r w:rsidRPr="009859DD">
              <w:rPr>
                <w:rFonts w:eastAsia="Times New Roman"/>
              </w:rPr>
              <w:t xml:space="preserve"> и </w:t>
            </w:r>
            <w:r w:rsidRPr="009859DD">
              <w:rPr>
                <w:rFonts w:eastAsia="Times New Roman"/>
                <w:bCs/>
                <w:color w:val="000000"/>
                <w:shd w:val="clear" w:color="auto" w:fill="FFFFFF"/>
              </w:rPr>
              <w:t>установление</w:t>
            </w:r>
            <w:r w:rsidRPr="009859DD">
              <w:rPr>
                <w:rFonts w:eastAsia="Times New Roman"/>
                <w:b/>
                <w:bCs/>
                <w:color w:val="000000"/>
                <w:shd w:val="clear" w:color="auto" w:fill="FFFFFF"/>
              </w:rPr>
              <w:t xml:space="preserve"> </w:t>
            </w:r>
            <w:r w:rsidRPr="009859DD">
              <w:rPr>
                <w:rFonts w:eastAsia="Times New Roman"/>
              </w:rPr>
              <w:t xml:space="preserve">в отношении них нулевых ставок ввозных таможенных пошлин </w:t>
            </w:r>
            <w:r w:rsidRPr="009859DD">
              <w:rPr>
                <w:color w:val="000000"/>
              </w:rPr>
              <w:t xml:space="preserve">по 31.07.2019 включительно </w:t>
            </w:r>
          </w:p>
        </w:tc>
      </w:tr>
      <w:tr w:rsidR="009859DD" w:rsidRPr="009859DD" w:rsidTr="009859DD">
        <w:trPr>
          <w:trHeight w:val="353"/>
        </w:trPr>
        <w:tc>
          <w:tcPr>
            <w:tcW w:w="14884" w:type="dxa"/>
            <w:gridSpan w:val="6"/>
            <w:vAlign w:val="center"/>
          </w:tcPr>
          <w:p w:rsidR="009859DD" w:rsidRPr="009859DD" w:rsidRDefault="009859DD" w:rsidP="009859DD">
            <w:pPr>
              <w:autoSpaceDE w:val="0"/>
              <w:autoSpaceDN w:val="0"/>
              <w:adjustRightInd w:val="0"/>
              <w:spacing w:before="0" w:after="0" w:line="240" w:lineRule="auto"/>
              <w:jc w:val="center"/>
              <w:rPr>
                <w:rFonts w:eastAsia="Times New Roman"/>
                <w:b/>
                <w:lang w:eastAsia="ru-RU"/>
              </w:rPr>
            </w:pPr>
            <w:r w:rsidRPr="009859DD">
              <w:rPr>
                <w:rFonts w:eastAsia="Times New Roman"/>
                <w:b/>
                <w:lang w:eastAsia="ru-RU"/>
              </w:rPr>
              <w:t>Химическая промышленность</w:t>
            </w:r>
          </w:p>
        </w:tc>
      </w:tr>
      <w:tr w:rsidR="009859DD" w:rsidRPr="009859DD" w:rsidTr="009859DD">
        <w:trPr>
          <w:trHeight w:val="1123"/>
        </w:trPr>
        <w:tc>
          <w:tcPr>
            <w:tcW w:w="977" w:type="dxa"/>
            <w:shd w:val="clear" w:color="auto" w:fill="auto"/>
            <w:noWrap/>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20</w:t>
            </w:r>
          </w:p>
        </w:tc>
        <w:tc>
          <w:tcPr>
            <w:tcW w:w="1555" w:type="dxa"/>
            <w:shd w:val="clear" w:color="auto" w:fill="auto"/>
            <w:hideMark/>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17.03.2017 № 14</w:t>
            </w:r>
          </w:p>
        </w:tc>
        <w:tc>
          <w:tcPr>
            <w:tcW w:w="1822"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 xml:space="preserve">Российская Федерация </w:t>
            </w:r>
          </w:p>
        </w:tc>
        <w:tc>
          <w:tcPr>
            <w:tcW w:w="2705" w:type="dxa"/>
          </w:tcPr>
          <w:p w:rsidR="009859DD" w:rsidRPr="009859DD" w:rsidRDefault="009859DD" w:rsidP="009859DD">
            <w:pPr>
              <w:autoSpaceDE w:val="0"/>
              <w:autoSpaceDN w:val="0"/>
              <w:adjustRightInd w:val="0"/>
              <w:spacing w:before="0" w:after="160" w:line="240" w:lineRule="auto"/>
              <w:jc w:val="center"/>
            </w:pPr>
            <w:r w:rsidRPr="009859DD">
              <w:t>Содействие развитию национальной экономики</w:t>
            </w:r>
          </w:p>
        </w:tc>
        <w:tc>
          <w:tcPr>
            <w:tcW w:w="2918" w:type="dxa"/>
            <w:shd w:val="clear" w:color="auto" w:fill="auto"/>
            <w:hideMark/>
          </w:tcPr>
          <w:p w:rsidR="009859DD" w:rsidRPr="009859DD" w:rsidRDefault="009859DD" w:rsidP="009859DD">
            <w:pPr>
              <w:autoSpaceDE w:val="0"/>
              <w:autoSpaceDN w:val="0"/>
              <w:adjustRightInd w:val="0"/>
              <w:spacing w:before="0" w:after="160" w:line="240" w:lineRule="auto"/>
              <w:jc w:val="center"/>
            </w:pPr>
            <w:r w:rsidRPr="009859DD">
              <w:t xml:space="preserve">Отдельные виды </w:t>
            </w:r>
            <w:proofErr w:type="spellStart"/>
            <w:r w:rsidRPr="009859DD">
              <w:t>эфироспиртов</w:t>
            </w:r>
            <w:proofErr w:type="spellEnd"/>
            <w:r w:rsidRPr="009859DD">
              <w:t xml:space="preserve"> для кожевенно-обувной промышленности</w:t>
            </w:r>
          </w:p>
          <w:p w:rsidR="009859DD" w:rsidRPr="009859DD" w:rsidRDefault="009859DD" w:rsidP="009859DD">
            <w:pPr>
              <w:spacing w:before="0" w:after="0" w:line="240" w:lineRule="auto"/>
              <w:jc w:val="center"/>
              <w:rPr>
                <w:rFonts w:eastAsia="Times New Roman"/>
                <w:lang w:eastAsia="ru-RU"/>
              </w:rPr>
            </w:pPr>
          </w:p>
        </w:tc>
        <w:tc>
          <w:tcPr>
            <w:tcW w:w="4907" w:type="dxa"/>
            <w:shd w:val="clear" w:color="auto" w:fill="auto"/>
            <w:hideMark/>
          </w:tcPr>
          <w:p w:rsidR="009859DD" w:rsidRPr="009859DD" w:rsidRDefault="009859DD" w:rsidP="000C4C89">
            <w:pPr>
              <w:spacing w:before="0" w:after="0" w:line="240" w:lineRule="auto"/>
              <w:rPr>
                <w:rFonts w:eastAsia="Times New Roman"/>
                <w:b/>
                <w:color w:val="000000"/>
                <w:lang w:eastAsia="ru-RU"/>
              </w:rPr>
            </w:pPr>
            <w:r w:rsidRPr="009859DD">
              <w:rPr>
                <w:bCs/>
                <w:color w:val="000000"/>
                <w:shd w:val="clear" w:color="auto" w:fill="FFFFFF"/>
                <w:lang w:eastAsia="ru-RU"/>
              </w:rPr>
              <w:t xml:space="preserve">Выделение из кода 2909 49 800 0 ТН ВЭД ЕАЭС отдельных видов </w:t>
            </w:r>
            <w:proofErr w:type="spellStart"/>
            <w:r w:rsidRPr="009859DD">
              <w:rPr>
                <w:bCs/>
                <w:color w:val="000000"/>
                <w:shd w:val="clear" w:color="auto" w:fill="FFFFFF"/>
                <w:lang w:eastAsia="ru-RU"/>
              </w:rPr>
              <w:t>эфироспиртов</w:t>
            </w:r>
            <w:proofErr w:type="spellEnd"/>
            <w:r w:rsidRPr="009859DD">
              <w:rPr>
                <w:bCs/>
                <w:color w:val="000000"/>
                <w:shd w:val="clear" w:color="auto" w:fill="FFFFFF"/>
                <w:lang w:eastAsia="ru-RU"/>
              </w:rPr>
              <w:t xml:space="preserve"> и снижение в отношении них с 5 до 0% ставки ввозной таможенной пошлины </w:t>
            </w:r>
            <w:r w:rsidR="000C4C89">
              <w:rPr>
                <w:rFonts w:eastAsia="Times New Roman"/>
                <w:color w:val="000000"/>
                <w:lang w:eastAsia="ru-RU"/>
              </w:rPr>
              <w:t xml:space="preserve">сроком по </w:t>
            </w:r>
            <w:r w:rsidRPr="009859DD">
              <w:rPr>
                <w:rFonts w:eastAsia="Times New Roman"/>
                <w:color w:val="000000"/>
                <w:lang w:eastAsia="ru-RU"/>
              </w:rPr>
              <w:t>31.03.2019 включительно</w:t>
            </w:r>
          </w:p>
        </w:tc>
      </w:tr>
      <w:tr w:rsidR="009859DD" w:rsidRPr="009859DD" w:rsidTr="009859DD">
        <w:trPr>
          <w:trHeight w:val="583"/>
        </w:trPr>
        <w:tc>
          <w:tcPr>
            <w:tcW w:w="977" w:type="dxa"/>
            <w:shd w:val="clear" w:color="auto" w:fill="auto"/>
            <w:noWrap/>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21</w:t>
            </w:r>
          </w:p>
        </w:tc>
        <w:tc>
          <w:tcPr>
            <w:tcW w:w="1555" w:type="dxa"/>
            <w:shd w:val="clear" w:color="auto" w:fill="auto"/>
            <w:hideMark/>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17.05.2017 № 30</w:t>
            </w:r>
          </w:p>
        </w:tc>
        <w:tc>
          <w:tcPr>
            <w:tcW w:w="1822"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Повышение конкурентоспособности данной продукции</w:t>
            </w:r>
          </w:p>
        </w:tc>
        <w:tc>
          <w:tcPr>
            <w:tcW w:w="2918"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Дубильные вещества и препараты для дубления</w:t>
            </w:r>
          </w:p>
        </w:tc>
        <w:tc>
          <w:tcPr>
            <w:tcW w:w="4907" w:type="dxa"/>
            <w:shd w:val="clear" w:color="auto" w:fill="auto"/>
            <w:hideMark/>
          </w:tcPr>
          <w:p w:rsidR="009859DD" w:rsidRPr="009859DD" w:rsidRDefault="009859DD" w:rsidP="009859DD">
            <w:pPr>
              <w:spacing w:before="0" w:after="0" w:line="240" w:lineRule="auto"/>
              <w:rPr>
                <w:rFonts w:eastAsia="Times New Roman"/>
                <w:lang w:eastAsia="ru-RU"/>
              </w:rPr>
            </w:pPr>
            <w:r w:rsidRPr="009859DD">
              <w:rPr>
                <w:rFonts w:eastAsia="Times New Roman"/>
                <w:lang w:eastAsia="ru-RU"/>
              </w:rPr>
              <w:t xml:space="preserve">Установление нулевой ставки ввозной таможенной пошлины </w:t>
            </w:r>
            <w:r w:rsidRPr="009859DD">
              <w:rPr>
                <w:rFonts w:eastAsia="Times New Roman"/>
                <w:snapToGrid w:val="0"/>
                <w:lang w:eastAsia="ru-RU"/>
              </w:rPr>
              <w:t>по 30.06.2019 включительно.</w:t>
            </w:r>
          </w:p>
        </w:tc>
      </w:tr>
      <w:tr w:rsidR="009859DD" w:rsidRPr="009859DD" w:rsidTr="009859DD">
        <w:trPr>
          <w:trHeight w:val="58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22</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w:t>
            </w:r>
          </w:p>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22.08.2017 № 47</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Беларусь</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Содействие развитию национальной экономики</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поливинилхлорида и акриловых полимеров в первичных формах</w:t>
            </w:r>
          </w:p>
        </w:tc>
        <w:tc>
          <w:tcPr>
            <w:tcW w:w="4907" w:type="dxa"/>
            <w:shd w:val="clear" w:color="auto" w:fill="auto"/>
          </w:tcPr>
          <w:p w:rsidR="009859DD" w:rsidRPr="009859DD" w:rsidRDefault="009859DD" w:rsidP="009859DD">
            <w:pPr>
              <w:spacing w:before="0" w:after="0" w:line="240" w:lineRule="auto"/>
              <w:rPr>
                <w:rFonts w:eastAsia="Times New Roman"/>
                <w:lang w:eastAsia="ru-RU"/>
              </w:rPr>
            </w:pPr>
            <w:r w:rsidRPr="009859DD">
              <w:rPr>
                <w:rFonts w:eastAsia="Times New Roman"/>
                <w:lang w:eastAsia="ru-RU"/>
              </w:rPr>
              <w:t>В</w:t>
            </w:r>
            <w:r w:rsidRPr="009859DD">
              <w:rPr>
                <w:rFonts w:eastAsia="Times New Roman"/>
                <w:bCs/>
                <w:color w:val="000000"/>
                <w:shd w:val="clear" w:color="auto" w:fill="FFFFFF"/>
                <w:lang w:eastAsia="ru-RU"/>
              </w:rPr>
              <w:t>ыделение</w:t>
            </w:r>
            <w:r w:rsidRPr="009859DD">
              <w:rPr>
                <w:rFonts w:eastAsia="Times New Roman"/>
                <w:b/>
                <w:bCs/>
                <w:color w:val="000000"/>
                <w:shd w:val="clear" w:color="auto" w:fill="FFFFFF"/>
                <w:lang w:eastAsia="ru-RU"/>
              </w:rPr>
              <w:t xml:space="preserve"> </w:t>
            </w:r>
            <w:r w:rsidRPr="009859DD">
              <w:rPr>
                <w:rFonts w:eastAsia="Times New Roman"/>
                <w:lang w:eastAsia="ru-RU"/>
              </w:rPr>
              <w:t xml:space="preserve">из кодов 3904 22 000 0 и 3906 90 900 8 ТН ВЭД ЕАЭС поливинилхлорида и акриловых полимеров и </w:t>
            </w:r>
            <w:r w:rsidRPr="009859DD">
              <w:rPr>
                <w:rFonts w:eastAsia="Times New Roman"/>
                <w:bCs/>
                <w:color w:val="000000"/>
                <w:shd w:val="clear" w:color="auto" w:fill="FFFFFF"/>
                <w:lang w:eastAsia="ru-RU"/>
              </w:rPr>
              <w:t xml:space="preserve">установление </w:t>
            </w:r>
            <w:r w:rsidRPr="009859DD">
              <w:rPr>
                <w:rFonts w:eastAsia="Times New Roman"/>
                <w:lang w:eastAsia="ru-RU"/>
              </w:rPr>
              <w:t xml:space="preserve">в отношении них нулевых ставок ввозных таможенных пошлин </w:t>
            </w:r>
            <w:r w:rsidRPr="009859DD">
              <w:rPr>
                <w:lang w:eastAsia="ru-RU"/>
              </w:rPr>
              <w:t>по 31.08.2018 включительно</w:t>
            </w:r>
          </w:p>
        </w:tc>
      </w:tr>
      <w:tr w:rsidR="009859DD" w:rsidRPr="009859DD" w:rsidTr="009859DD">
        <w:trPr>
          <w:trHeight w:val="58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23</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31.01.2017 </w:t>
            </w:r>
            <w:r w:rsidR="000C4C89">
              <w:rPr>
                <w:rFonts w:eastAsia="Times New Roman"/>
                <w:lang w:eastAsia="ru-RU"/>
              </w:rPr>
              <w:t>№ </w:t>
            </w:r>
            <w:r w:rsidRPr="009859DD">
              <w:rPr>
                <w:rFonts w:eastAsia="Times New Roman"/>
                <w:lang w:eastAsia="ru-RU"/>
              </w:rPr>
              <w:t>12</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Повышение конкурентоспособности продукции отечественного производства</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поверхностно-активных сре</w:t>
            </w:r>
            <w:proofErr w:type="gramStart"/>
            <w:r w:rsidRPr="009859DD">
              <w:rPr>
                <w:rFonts w:eastAsia="Times New Roman"/>
                <w:lang w:eastAsia="ru-RU"/>
              </w:rPr>
              <w:t>дств дл</w:t>
            </w:r>
            <w:proofErr w:type="gramEnd"/>
            <w:r w:rsidRPr="009859DD">
              <w:rPr>
                <w:rFonts w:eastAsia="Times New Roman"/>
                <w:lang w:eastAsia="ru-RU"/>
              </w:rPr>
              <w:t>я кожевенно-обувной промышленности</w:t>
            </w:r>
          </w:p>
        </w:tc>
        <w:tc>
          <w:tcPr>
            <w:tcW w:w="4907" w:type="dxa"/>
            <w:shd w:val="clear" w:color="auto" w:fill="auto"/>
          </w:tcPr>
          <w:p w:rsidR="009859DD" w:rsidRPr="009859DD" w:rsidRDefault="009859DD" w:rsidP="009859DD">
            <w:pPr>
              <w:spacing w:before="0" w:after="0" w:line="240" w:lineRule="auto"/>
              <w:contextualSpacing/>
              <w:rPr>
                <w:bCs/>
                <w:color w:val="000000"/>
                <w:shd w:val="clear" w:color="auto" w:fill="FFFFFF"/>
                <w:lang w:eastAsia="x-none"/>
              </w:rPr>
            </w:pPr>
            <w:r w:rsidRPr="009859DD">
              <w:rPr>
                <w:bCs/>
                <w:color w:val="000000"/>
                <w:shd w:val="clear" w:color="auto" w:fill="FFFFFF"/>
                <w:lang w:eastAsia="x-none"/>
              </w:rPr>
              <w:t>Выделение из кода 3402 90 100 9</w:t>
            </w:r>
            <w:r w:rsidRPr="009859DD">
              <w:rPr>
                <w:b/>
                <w:bCs/>
                <w:color w:val="000000"/>
                <w:shd w:val="clear" w:color="auto" w:fill="FFFFFF"/>
                <w:lang w:eastAsia="x-none"/>
              </w:rPr>
              <w:t xml:space="preserve"> </w:t>
            </w:r>
            <w:r w:rsidRPr="009859DD">
              <w:t>ТН ВЭД ЕАЭС</w:t>
            </w:r>
            <w:r w:rsidRPr="009859DD">
              <w:rPr>
                <w:b/>
                <w:bCs/>
                <w:color w:val="000000"/>
                <w:shd w:val="clear" w:color="auto" w:fill="FFFFFF"/>
                <w:lang w:eastAsia="x-none"/>
              </w:rPr>
              <w:t xml:space="preserve"> </w:t>
            </w:r>
            <w:r w:rsidRPr="009859DD">
              <w:rPr>
                <w:rFonts w:eastAsia="Times New Roman"/>
                <w:lang w:val="x-none"/>
              </w:rPr>
              <w:t xml:space="preserve">отдельных видов </w:t>
            </w:r>
            <w:r w:rsidRPr="009859DD">
              <w:rPr>
                <w:rFonts w:eastAsia="Times New Roman"/>
                <w:color w:val="000000"/>
                <w:lang w:val="x-none"/>
              </w:rPr>
              <w:t>поверхностно-активных сре</w:t>
            </w:r>
            <w:proofErr w:type="gramStart"/>
            <w:r w:rsidRPr="009859DD">
              <w:rPr>
                <w:rFonts w:eastAsia="Times New Roman"/>
                <w:color w:val="000000"/>
                <w:lang w:val="x-none"/>
              </w:rPr>
              <w:t>дств дл</w:t>
            </w:r>
            <w:proofErr w:type="gramEnd"/>
            <w:r w:rsidRPr="009859DD">
              <w:rPr>
                <w:rFonts w:eastAsia="Times New Roman"/>
                <w:color w:val="000000"/>
                <w:lang w:val="x-none"/>
              </w:rPr>
              <w:t xml:space="preserve">я кожевенно-обувной промышленности и установление в отношении них </w:t>
            </w:r>
            <w:r w:rsidRPr="009859DD">
              <w:rPr>
                <w:rFonts w:eastAsia="Times New Roman"/>
                <w:color w:val="000000"/>
              </w:rPr>
              <w:t xml:space="preserve">нулевых </w:t>
            </w:r>
            <w:r w:rsidRPr="009859DD">
              <w:rPr>
                <w:rFonts w:eastAsia="Times New Roman"/>
                <w:color w:val="000000"/>
                <w:lang w:val="x-none"/>
              </w:rPr>
              <w:t xml:space="preserve">ставок ввозных таможенных </w:t>
            </w:r>
            <w:r w:rsidRPr="009859DD">
              <w:rPr>
                <w:color w:val="000000"/>
                <w:lang w:val="x-none"/>
              </w:rPr>
              <w:t xml:space="preserve">с </w:t>
            </w:r>
            <w:r w:rsidRPr="009859DD">
              <w:rPr>
                <w:color w:val="000000"/>
              </w:rPr>
              <w:t>0</w:t>
            </w:r>
            <w:r w:rsidRPr="009859DD">
              <w:rPr>
                <w:color w:val="000000"/>
                <w:lang w:val="x-none"/>
              </w:rPr>
              <w:t>1</w:t>
            </w:r>
            <w:r w:rsidRPr="009859DD">
              <w:rPr>
                <w:color w:val="000000"/>
              </w:rPr>
              <w:t>.03.</w:t>
            </w:r>
            <w:r w:rsidRPr="009859DD">
              <w:rPr>
                <w:color w:val="000000"/>
                <w:lang w:val="x-none"/>
              </w:rPr>
              <w:t>2017 по 28</w:t>
            </w:r>
            <w:r w:rsidRPr="009859DD">
              <w:rPr>
                <w:color w:val="000000"/>
              </w:rPr>
              <w:t>.02.</w:t>
            </w:r>
            <w:r w:rsidRPr="009859DD">
              <w:rPr>
                <w:color w:val="000000"/>
                <w:lang w:val="x-none"/>
              </w:rPr>
              <w:t>2019 включительно</w:t>
            </w:r>
          </w:p>
        </w:tc>
      </w:tr>
      <w:tr w:rsidR="009859DD" w:rsidRPr="009859DD" w:rsidTr="009859DD">
        <w:trPr>
          <w:trHeight w:val="58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24</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30.06.2017 </w:t>
            </w:r>
            <w:r w:rsidR="000C4C89">
              <w:rPr>
                <w:rFonts w:eastAsia="Times New Roman"/>
                <w:lang w:eastAsia="ru-RU"/>
              </w:rPr>
              <w:t>№ </w:t>
            </w:r>
            <w:r w:rsidRPr="009859DD">
              <w:rPr>
                <w:rFonts w:eastAsia="Times New Roman"/>
                <w:lang w:eastAsia="ru-RU"/>
              </w:rPr>
              <w:t>76</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Создание благоприятных условий для улучшения конкурентоспособности продукции отечественного производства</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Краски и лаки для кожевенно-обувной промышленности</w:t>
            </w:r>
          </w:p>
        </w:tc>
        <w:tc>
          <w:tcPr>
            <w:tcW w:w="4907" w:type="dxa"/>
            <w:shd w:val="clear" w:color="auto" w:fill="auto"/>
          </w:tcPr>
          <w:p w:rsidR="009859DD" w:rsidRPr="009859DD" w:rsidRDefault="009859DD" w:rsidP="009859DD">
            <w:pPr>
              <w:autoSpaceDE w:val="0"/>
              <w:autoSpaceDN w:val="0"/>
              <w:adjustRightInd w:val="0"/>
              <w:spacing w:before="0" w:after="0" w:line="240" w:lineRule="auto"/>
            </w:pPr>
            <w:r w:rsidRPr="009859DD">
              <w:t xml:space="preserve">Выделение из кода 3210 00 900 0 ТН ВЭД ЕАЭС </w:t>
            </w:r>
            <w:r w:rsidRPr="009859DD">
              <w:rPr>
                <w:rFonts w:eastAsia="Times New Roman"/>
              </w:rPr>
              <w:t xml:space="preserve">красок и лаков </w:t>
            </w:r>
            <w:r w:rsidRPr="009859DD">
              <w:rPr>
                <w:rFonts w:eastAsia="Times New Roman"/>
                <w:color w:val="000000"/>
              </w:rPr>
              <w:t>для кожевенно-обувной промышленности и установление в отношении них нулевой ставки ввозной таможенной пошлины сроком</w:t>
            </w:r>
            <w:r w:rsidRPr="009859DD">
              <w:rPr>
                <w:color w:val="000000"/>
              </w:rPr>
              <w:t xml:space="preserve"> по 31.08.2019 включительно</w:t>
            </w:r>
          </w:p>
        </w:tc>
      </w:tr>
      <w:tr w:rsidR="009859DD" w:rsidRPr="009859DD" w:rsidTr="009859DD">
        <w:trPr>
          <w:trHeight w:val="58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25</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04.08.2017 </w:t>
            </w:r>
            <w:r w:rsidR="000C4C89">
              <w:rPr>
                <w:rFonts w:eastAsia="Times New Roman"/>
                <w:lang w:eastAsia="ru-RU"/>
              </w:rPr>
              <w:t>№ </w:t>
            </w:r>
            <w:r w:rsidRPr="009859DD">
              <w:rPr>
                <w:rFonts w:eastAsia="Times New Roman"/>
                <w:lang w:eastAsia="ru-RU"/>
              </w:rPr>
              <w:t>94</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Содействие развитию национальной экономики</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Прутки из оптического стекла</w:t>
            </w:r>
          </w:p>
        </w:tc>
        <w:tc>
          <w:tcPr>
            <w:tcW w:w="4907" w:type="dxa"/>
            <w:shd w:val="clear" w:color="auto" w:fill="auto"/>
          </w:tcPr>
          <w:p w:rsidR="009859DD" w:rsidRPr="009859DD" w:rsidRDefault="009859DD" w:rsidP="009859DD">
            <w:pPr>
              <w:autoSpaceDE w:val="0"/>
              <w:autoSpaceDN w:val="0"/>
              <w:adjustRightInd w:val="0"/>
              <w:spacing w:before="0" w:after="0" w:line="240" w:lineRule="auto"/>
            </w:pPr>
            <w:r w:rsidRPr="009859DD">
              <w:t xml:space="preserve">Установление ставки ввозной таможенной пошлины в отношении прутков из оптического стекла в размере 0 % от таможенной стоимости, сроком с 7 сентября 2017 г. по 31 августа 2019 г. включительно. </w:t>
            </w:r>
          </w:p>
        </w:tc>
      </w:tr>
      <w:tr w:rsidR="009859DD" w:rsidRPr="009859DD" w:rsidTr="009859DD">
        <w:trPr>
          <w:trHeight w:val="583"/>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26</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14.11.2017 </w:t>
            </w:r>
            <w:r w:rsidR="000C4C89">
              <w:rPr>
                <w:rFonts w:eastAsia="Times New Roman"/>
                <w:lang w:eastAsia="ru-RU"/>
              </w:rPr>
              <w:t>№ </w:t>
            </w:r>
            <w:r w:rsidRPr="009859DD">
              <w:rPr>
                <w:rFonts w:eastAsia="Times New Roman"/>
                <w:color w:val="000000"/>
                <w:lang w:eastAsia="ru-RU"/>
              </w:rPr>
              <w:t>154</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Беларусь</w:t>
            </w:r>
          </w:p>
        </w:tc>
        <w:tc>
          <w:tcPr>
            <w:tcW w:w="2705" w:type="dxa"/>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Создание благоприятных условий для улучшения конкурентоспособности продукции отечественного производства</w:t>
            </w: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 xml:space="preserve">Машины </w:t>
            </w:r>
            <w:proofErr w:type="spellStart"/>
            <w:r w:rsidRPr="009859DD">
              <w:rPr>
                <w:rFonts w:eastAsia="Times New Roman"/>
                <w:lang w:eastAsia="ru-RU"/>
              </w:rPr>
              <w:t>инжекционно</w:t>
            </w:r>
            <w:proofErr w:type="spellEnd"/>
            <w:r w:rsidRPr="009859DD">
              <w:rPr>
                <w:rFonts w:eastAsia="Times New Roman"/>
                <w:lang w:eastAsia="ru-RU"/>
              </w:rPr>
              <w:t>-литьевые</w:t>
            </w:r>
          </w:p>
        </w:tc>
        <w:tc>
          <w:tcPr>
            <w:tcW w:w="4907" w:type="dxa"/>
            <w:shd w:val="clear" w:color="auto" w:fill="auto"/>
          </w:tcPr>
          <w:p w:rsidR="009859DD" w:rsidRPr="009859DD" w:rsidRDefault="009859DD" w:rsidP="009859DD">
            <w:pPr>
              <w:autoSpaceDE w:val="0"/>
              <w:autoSpaceDN w:val="0"/>
              <w:adjustRightInd w:val="0"/>
              <w:spacing w:before="0" w:after="0" w:line="240" w:lineRule="auto"/>
            </w:pPr>
            <w:r w:rsidRPr="009859DD">
              <w:rPr>
                <w:rFonts w:eastAsia="Times New Roman"/>
                <w:lang w:eastAsia="ru-RU"/>
              </w:rPr>
              <w:t>Выделение</w:t>
            </w:r>
            <w:r w:rsidRPr="009859DD">
              <w:t xml:space="preserve"> из кода 8477 10 000 0 </w:t>
            </w:r>
            <w:r w:rsidRPr="009859DD">
              <w:rPr>
                <w:rFonts w:eastAsia="Times New Roman"/>
                <w:lang w:eastAsia="ru-RU"/>
              </w:rPr>
              <w:t xml:space="preserve">ТН ВЭД ЕАЭС машин </w:t>
            </w:r>
            <w:proofErr w:type="spellStart"/>
            <w:r w:rsidRPr="009859DD">
              <w:rPr>
                <w:rFonts w:eastAsia="Times New Roman"/>
                <w:lang w:eastAsia="ru-RU"/>
              </w:rPr>
              <w:t>инжекционно</w:t>
            </w:r>
            <w:proofErr w:type="spellEnd"/>
            <w:r w:rsidRPr="009859DD">
              <w:rPr>
                <w:rFonts w:eastAsia="Times New Roman"/>
                <w:lang w:eastAsia="ru-RU"/>
              </w:rPr>
              <w:t>-литьевых с усилением смыкания не более 2 200 тонн (22 000 кН) и объемом впрыска не более 28 200 кубических сантиметров и установление в отношении них ставки ввозной таможенн</w:t>
            </w:r>
            <w:r w:rsidR="000C4C89">
              <w:rPr>
                <w:rFonts w:eastAsia="Times New Roman"/>
                <w:lang w:eastAsia="ru-RU"/>
              </w:rPr>
              <w:t xml:space="preserve">ой пошлины в размере 5% сроком </w:t>
            </w:r>
            <w:r w:rsidRPr="009859DD">
              <w:rPr>
                <w:rFonts w:eastAsia="Times New Roman"/>
                <w:lang w:eastAsia="ru-RU"/>
              </w:rPr>
              <w:t>по 15.12.2019 включительно</w:t>
            </w:r>
          </w:p>
        </w:tc>
      </w:tr>
      <w:tr w:rsidR="009859DD" w:rsidRPr="009859DD" w:rsidTr="009859DD">
        <w:trPr>
          <w:trHeight w:val="414"/>
        </w:trPr>
        <w:tc>
          <w:tcPr>
            <w:tcW w:w="14884" w:type="dxa"/>
            <w:gridSpan w:val="6"/>
            <w:vAlign w:val="center"/>
          </w:tcPr>
          <w:p w:rsidR="009859DD" w:rsidRPr="009859DD" w:rsidRDefault="009859DD" w:rsidP="009859DD">
            <w:pPr>
              <w:spacing w:before="0" w:after="0" w:line="240" w:lineRule="auto"/>
              <w:jc w:val="center"/>
              <w:rPr>
                <w:rFonts w:eastAsia="Times New Roman"/>
                <w:b/>
                <w:lang w:eastAsia="ru-RU"/>
              </w:rPr>
            </w:pPr>
            <w:r w:rsidRPr="009859DD">
              <w:rPr>
                <w:rFonts w:eastAsia="Times New Roman"/>
                <w:b/>
                <w:lang w:eastAsia="ru-RU"/>
              </w:rPr>
              <w:t>Прочее</w:t>
            </w:r>
          </w:p>
        </w:tc>
      </w:tr>
      <w:tr w:rsidR="009859DD" w:rsidRPr="009859DD" w:rsidTr="009859DD">
        <w:trPr>
          <w:trHeight w:val="314"/>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27</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13.01.2017 № 8</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 xml:space="preserve">Российская Федерация </w:t>
            </w:r>
          </w:p>
        </w:tc>
        <w:tc>
          <w:tcPr>
            <w:tcW w:w="2705" w:type="dxa"/>
          </w:tcPr>
          <w:p w:rsidR="009859DD" w:rsidRPr="009859DD" w:rsidRDefault="009859DD" w:rsidP="009859DD">
            <w:pPr>
              <w:spacing w:before="0" w:after="0" w:line="240" w:lineRule="auto"/>
              <w:jc w:val="center"/>
              <w:rPr>
                <w:rFonts w:eastAsia="Times New Roman"/>
                <w:color w:val="000000"/>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color w:val="000000"/>
                <w:lang w:eastAsia="ru-RU"/>
              </w:rPr>
              <w:t>Отдельные виды товаров, происходящих из развивающихся и наименее развитых стран</w:t>
            </w:r>
          </w:p>
        </w:tc>
        <w:tc>
          <w:tcPr>
            <w:tcW w:w="4907" w:type="dxa"/>
            <w:shd w:val="clear" w:color="auto" w:fill="auto"/>
          </w:tcPr>
          <w:p w:rsidR="009859DD" w:rsidRPr="009859DD" w:rsidRDefault="009859DD" w:rsidP="009859DD">
            <w:pPr>
              <w:spacing w:before="0" w:after="0" w:line="240" w:lineRule="auto"/>
              <w:rPr>
                <w:rFonts w:eastAsia="Times New Roman"/>
                <w:lang w:eastAsia="ru-RU"/>
              </w:rPr>
            </w:pPr>
            <w:r w:rsidRPr="009859DD">
              <w:rPr>
                <w:rFonts w:eastAsia="Times New Roman"/>
                <w:color w:val="000000"/>
                <w:lang w:eastAsia="ru-RU"/>
              </w:rPr>
              <w:t>Утверждение перечня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w:t>
            </w:r>
          </w:p>
        </w:tc>
      </w:tr>
      <w:tr w:rsidR="009859DD" w:rsidRPr="009859DD" w:rsidTr="009859DD">
        <w:trPr>
          <w:trHeight w:val="829"/>
        </w:trPr>
        <w:tc>
          <w:tcPr>
            <w:tcW w:w="977" w:type="dxa"/>
            <w:shd w:val="clear" w:color="auto" w:fill="auto"/>
            <w:noWrap/>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28</w:t>
            </w:r>
          </w:p>
        </w:tc>
        <w:tc>
          <w:tcPr>
            <w:tcW w:w="1555" w:type="dxa"/>
            <w:shd w:val="clear" w:color="auto" w:fill="auto"/>
            <w:hideMark/>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23.06.2017 № 41</w:t>
            </w:r>
          </w:p>
        </w:tc>
        <w:tc>
          <w:tcPr>
            <w:tcW w:w="1822"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Евразийская экономическая комиссия</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товаров</w:t>
            </w:r>
          </w:p>
        </w:tc>
        <w:tc>
          <w:tcPr>
            <w:tcW w:w="4907" w:type="dxa"/>
            <w:shd w:val="clear" w:color="auto" w:fill="auto"/>
            <w:hideMark/>
          </w:tcPr>
          <w:p w:rsidR="009859DD" w:rsidRPr="009859DD" w:rsidRDefault="009859DD" w:rsidP="009859DD">
            <w:pPr>
              <w:spacing w:before="0" w:after="0" w:line="240" w:lineRule="auto"/>
              <w:rPr>
                <w:rFonts w:eastAsia="Times New Roman"/>
                <w:lang w:eastAsia="ru-RU"/>
              </w:rPr>
            </w:pPr>
            <w:r w:rsidRPr="009859DD">
              <w:rPr>
                <w:rFonts w:eastAsia="Times New Roman"/>
                <w:lang w:eastAsia="ru-RU"/>
              </w:rPr>
              <w:t xml:space="preserve">Внесение изменений в ЕТТ ЕАЭС в отношении отдельных видов товаров в соответствии с обязательствами России </w:t>
            </w:r>
            <w:r w:rsidRPr="009859DD">
              <w:rPr>
                <w:rFonts w:eastAsia="Times New Roman"/>
                <w:lang w:eastAsia="ru-RU"/>
              </w:rPr>
              <w:br/>
              <w:t>в ВТО с 01.09.2017</w:t>
            </w:r>
          </w:p>
        </w:tc>
      </w:tr>
      <w:tr w:rsidR="009859DD" w:rsidRPr="009859DD" w:rsidTr="009859DD">
        <w:trPr>
          <w:trHeight w:val="1222"/>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29</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w:t>
            </w:r>
          </w:p>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23.06.2017 № 42</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соков, изделий из полиуретанов, холодильников и моторных транспортных средств</w:t>
            </w:r>
          </w:p>
        </w:tc>
        <w:tc>
          <w:tcPr>
            <w:tcW w:w="4907" w:type="dxa"/>
            <w:shd w:val="clear" w:color="auto" w:fill="auto"/>
          </w:tcPr>
          <w:p w:rsidR="009859DD" w:rsidRPr="009859DD" w:rsidRDefault="009859DD" w:rsidP="009859DD">
            <w:pPr>
              <w:spacing w:before="0" w:after="0" w:line="240" w:lineRule="auto"/>
              <w:contextualSpacing/>
              <w:rPr>
                <w:rFonts w:eastAsia="Times New Roman"/>
                <w:lang w:eastAsia="x-none"/>
              </w:rPr>
            </w:pPr>
            <w:r w:rsidRPr="009859DD">
              <w:rPr>
                <w:rFonts w:eastAsia="Times New Roman"/>
                <w:lang w:eastAsia="x-none"/>
              </w:rPr>
              <w:t>Установление комбинированного формата ставок ввозных таможенных пошлин, не предусмотренного обязательствами России в ВТО, сроком с 01.09.2017 по 31.12.2017 включительно</w:t>
            </w:r>
          </w:p>
        </w:tc>
      </w:tr>
      <w:tr w:rsidR="009859DD" w:rsidRPr="009859DD" w:rsidTr="009859DD">
        <w:trPr>
          <w:trHeight w:val="630"/>
        </w:trPr>
        <w:tc>
          <w:tcPr>
            <w:tcW w:w="977" w:type="dxa"/>
            <w:shd w:val="clear" w:color="auto" w:fill="auto"/>
            <w:noWrap/>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30</w:t>
            </w:r>
          </w:p>
        </w:tc>
        <w:tc>
          <w:tcPr>
            <w:tcW w:w="1555" w:type="dxa"/>
            <w:shd w:val="clear" w:color="auto" w:fill="auto"/>
            <w:hideMark/>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от 15.09.2017 № 81</w:t>
            </w:r>
          </w:p>
        </w:tc>
        <w:tc>
          <w:tcPr>
            <w:tcW w:w="1822"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Беларусь</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двигателей внутреннего сгорания</w:t>
            </w:r>
          </w:p>
        </w:tc>
        <w:tc>
          <w:tcPr>
            <w:tcW w:w="4907" w:type="dxa"/>
            <w:shd w:val="clear" w:color="auto" w:fill="auto"/>
            <w:hideMark/>
          </w:tcPr>
          <w:p w:rsidR="009859DD" w:rsidRPr="009859DD" w:rsidRDefault="009859DD" w:rsidP="009859DD">
            <w:pPr>
              <w:autoSpaceDE w:val="0"/>
              <w:autoSpaceDN w:val="0"/>
              <w:adjustRightInd w:val="0"/>
              <w:spacing w:before="0" w:after="0" w:line="240" w:lineRule="auto"/>
              <w:rPr>
                <w:rFonts w:eastAsia="Times New Roman"/>
                <w:lang w:eastAsia="ru-RU"/>
              </w:rPr>
            </w:pPr>
            <w:r w:rsidRPr="009859DD">
              <w:rPr>
                <w:rFonts w:eastAsia="Times New Roman"/>
                <w:lang w:eastAsia="ru-RU"/>
              </w:rPr>
              <w:t xml:space="preserve">Установление нулевой ставки ввозной таможенной пошлины </w:t>
            </w:r>
            <w:r w:rsidRPr="009859DD">
              <w:rPr>
                <w:rFonts w:eastAsia="Times New Roman"/>
                <w:snapToGrid w:val="0"/>
                <w:lang w:eastAsia="ru-RU"/>
              </w:rPr>
              <w:t>с 01.10.2017 по 30.09.2018 включительно</w:t>
            </w:r>
          </w:p>
        </w:tc>
      </w:tr>
      <w:tr w:rsidR="009859DD" w:rsidRPr="009859DD" w:rsidTr="009859DD">
        <w:trPr>
          <w:trHeight w:val="945"/>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31</w:t>
            </w:r>
          </w:p>
        </w:tc>
        <w:tc>
          <w:tcPr>
            <w:tcW w:w="1555" w:type="dxa"/>
            <w:shd w:val="clear" w:color="auto" w:fill="auto"/>
          </w:tcPr>
          <w:p w:rsidR="009859DD" w:rsidRPr="009859DD" w:rsidRDefault="009859DD" w:rsidP="009859DD">
            <w:pPr>
              <w:spacing w:before="0" w:after="0" w:line="240" w:lineRule="auto"/>
              <w:jc w:val="left"/>
              <w:rPr>
                <w:rFonts w:eastAsia="Times New Roman"/>
                <w:lang w:eastAsia="ru-RU"/>
              </w:rPr>
            </w:pPr>
            <w:r w:rsidRPr="009859DD">
              <w:rPr>
                <w:rFonts w:eastAsia="Times New Roman"/>
                <w:lang w:eastAsia="ru-RU"/>
              </w:rPr>
              <w:t>Решение Совета ЕЭК от 20.12.2017 № 103</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Евразийская экономическая комиссия</w:t>
            </w:r>
          </w:p>
        </w:tc>
        <w:tc>
          <w:tcPr>
            <w:tcW w:w="2705" w:type="dxa"/>
          </w:tcPr>
          <w:p w:rsidR="009859DD" w:rsidRPr="009859DD" w:rsidRDefault="009859DD" w:rsidP="009859DD">
            <w:pPr>
              <w:spacing w:before="0" w:after="0" w:line="240" w:lineRule="auto"/>
              <w:jc w:val="center"/>
              <w:rPr>
                <w:rFonts w:eastAsia="Times New Roman"/>
                <w:color w:val="000000"/>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color w:val="000000"/>
                <w:lang w:eastAsia="ru-RU"/>
              </w:rPr>
              <w:t>Отдельные виды товаров, происходящих из наименее развитых стран</w:t>
            </w:r>
          </w:p>
        </w:tc>
        <w:tc>
          <w:tcPr>
            <w:tcW w:w="4907" w:type="dxa"/>
            <w:shd w:val="clear" w:color="auto" w:fill="auto"/>
          </w:tcPr>
          <w:p w:rsidR="009859DD" w:rsidRPr="009859DD" w:rsidRDefault="009859DD" w:rsidP="009859DD">
            <w:pPr>
              <w:autoSpaceDE w:val="0"/>
              <w:autoSpaceDN w:val="0"/>
              <w:adjustRightInd w:val="0"/>
              <w:spacing w:before="0" w:after="0" w:line="240" w:lineRule="auto"/>
              <w:rPr>
                <w:rFonts w:eastAsia="Times New Roman"/>
                <w:color w:val="000000"/>
                <w:lang w:eastAsia="ru-RU"/>
              </w:rPr>
            </w:pPr>
            <w:r w:rsidRPr="009859DD">
              <w:rPr>
                <w:rFonts w:eastAsia="Times New Roman"/>
                <w:color w:val="000000"/>
                <w:lang w:eastAsia="ru-RU"/>
              </w:rPr>
              <w:t>Внесение технических изменений в раздел II перечня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в связи с детализацией кода 8540 71 000 0 ТН ВЭД ЕАЭС</w:t>
            </w:r>
          </w:p>
        </w:tc>
      </w:tr>
      <w:tr w:rsidR="009859DD" w:rsidRPr="009859DD" w:rsidTr="009859DD">
        <w:trPr>
          <w:trHeight w:val="848"/>
        </w:trPr>
        <w:tc>
          <w:tcPr>
            <w:tcW w:w="977" w:type="dxa"/>
            <w:shd w:val="clear" w:color="auto" w:fill="auto"/>
            <w:noWrap/>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32</w:t>
            </w:r>
          </w:p>
        </w:tc>
        <w:tc>
          <w:tcPr>
            <w:tcW w:w="1555" w:type="dxa"/>
            <w:shd w:val="clear" w:color="auto" w:fill="auto"/>
            <w:hideMark/>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w:t>
            </w:r>
            <w:r w:rsidRPr="009859DD">
              <w:rPr>
                <w:rFonts w:eastAsia="Times New Roman"/>
                <w:color w:val="000000"/>
                <w:lang w:eastAsia="ru-RU"/>
              </w:rPr>
              <w:t>от 31.01.2017 № 13</w:t>
            </w:r>
            <w:r w:rsidRPr="009859DD">
              <w:rPr>
                <w:rFonts w:eastAsia="Times New Roman"/>
                <w:color w:val="000000"/>
                <w:lang w:eastAsia="ru-RU"/>
              </w:rPr>
              <w:br/>
            </w:r>
          </w:p>
        </w:tc>
        <w:tc>
          <w:tcPr>
            <w:tcW w:w="1822"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color w:val="000000"/>
                <w:lang w:eastAsia="ru-RU"/>
              </w:rPr>
            </w:pPr>
          </w:p>
        </w:tc>
        <w:tc>
          <w:tcPr>
            <w:tcW w:w="2918"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color w:val="000000"/>
                <w:lang w:eastAsia="ru-RU"/>
              </w:rPr>
              <w:t>Отдельные виды бумаги и картона</w:t>
            </w:r>
          </w:p>
        </w:tc>
        <w:tc>
          <w:tcPr>
            <w:tcW w:w="4907" w:type="dxa"/>
            <w:shd w:val="clear" w:color="auto" w:fill="auto"/>
            <w:hideMark/>
          </w:tcPr>
          <w:p w:rsidR="009859DD" w:rsidRPr="009859DD" w:rsidRDefault="009859DD" w:rsidP="009859DD">
            <w:pPr>
              <w:spacing w:before="0" w:after="0" w:line="240" w:lineRule="auto"/>
              <w:contextualSpacing/>
              <w:rPr>
                <w:rFonts w:eastAsia="Times New Roman"/>
                <w:lang w:val="x-none" w:eastAsia="x-none"/>
              </w:rPr>
            </w:pPr>
            <w:r w:rsidRPr="009859DD">
              <w:rPr>
                <w:rFonts w:eastAsia="Times New Roman"/>
                <w:lang w:eastAsia="x-none"/>
              </w:rPr>
              <w:t>Установление ставок ввозных таможенных пошлин в размере 5% от таможенной стоимости на постоянной основе</w:t>
            </w:r>
          </w:p>
        </w:tc>
      </w:tr>
      <w:tr w:rsidR="009859DD" w:rsidRPr="009859DD" w:rsidTr="009859DD">
        <w:trPr>
          <w:trHeight w:val="945"/>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33</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24.04.2017 </w:t>
            </w:r>
            <w:r w:rsidR="000C4C89">
              <w:rPr>
                <w:rFonts w:eastAsia="Times New Roman"/>
                <w:lang w:eastAsia="ru-RU"/>
              </w:rPr>
              <w:t>№ </w:t>
            </w:r>
            <w:r w:rsidRPr="009859DD">
              <w:rPr>
                <w:rFonts w:eastAsia="Times New Roman"/>
                <w:lang w:eastAsia="ru-RU"/>
              </w:rPr>
              <w:t>36</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 xml:space="preserve">Отдельные виды бетономешалок и </w:t>
            </w:r>
            <w:proofErr w:type="spellStart"/>
            <w:r w:rsidRPr="009859DD">
              <w:rPr>
                <w:rFonts w:eastAsia="Times New Roman"/>
                <w:lang w:eastAsia="ru-RU"/>
              </w:rPr>
              <w:t>растворосмесителей</w:t>
            </w:r>
            <w:proofErr w:type="spellEnd"/>
          </w:p>
        </w:tc>
        <w:tc>
          <w:tcPr>
            <w:tcW w:w="4907" w:type="dxa"/>
            <w:shd w:val="clear" w:color="auto" w:fill="auto"/>
          </w:tcPr>
          <w:p w:rsidR="009859DD" w:rsidRPr="009859DD" w:rsidRDefault="009859DD" w:rsidP="000C4C89">
            <w:pPr>
              <w:spacing w:before="0" w:after="0" w:line="240" w:lineRule="auto"/>
              <w:rPr>
                <w:rFonts w:eastAsia="Times New Roman"/>
                <w:lang w:eastAsia="ru-RU"/>
              </w:rPr>
            </w:pPr>
            <w:r w:rsidRPr="009859DD">
              <w:rPr>
                <w:rFonts w:eastAsia="Times New Roman"/>
                <w:lang w:eastAsia="ru-RU"/>
              </w:rPr>
              <w:t xml:space="preserve">Выделение отдельной </w:t>
            </w:r>
            <w:proofErr w:type="spellStart"/>
            <w:r w:rsidRPr="009859DD">
              <w:rPr>
                <w:rFonts w:eastAsia="Times New Roman"/>
                <w:lang w:eastAsia="ru-RU"/>
              </w:rPr>
              <w:t>подсубпозиции</w:t>
            </w:r>
            <w:proofErr w:type="spellEnd"/>
            <w:r w:rsidRPr="009859DD">
              <w:rPr>
                <w:rFonts w:eastAsia="Times New Roman"/>
                <w:lang w:eastAsia="ru-RU"/>
              </w:rPr>
              <w:t xml:space="preserve"> из кода 8474 31 000 0 ТН ВЭД ЕАЭС для бетономешалок и </w:t>
            </w:r>
            <w:proofErr w:type="spellStart"/>
            <w:r w:rsidRPr="009859DD">
              <w:rPr>
                <w:rFonts w:eastAsia="Times New Roman"/>
                <w:lang w:eastAsia="ru-RU"/>
              </w:rPr>
              <w:t>растворосмесителей</w:t>
            </w:r>
            <w:proofErr w:type="spellEnd"/>
            <w:r w:rsidR="000C4C89">
              <w:rPr>
                <w:rFonts w:eastAsia="Times New Roman"/>
                <w:lang w:eastAsia="ru-RU"/>
              </w:rPr>
              <w:t xml:space="preserve"> </w:t>
            </w:r>
            <w:r w:rsidRPr="009859DD">
              <w:rPr>
                <w:rFonts w:eastAsia="Times New Roman"/>
                <w:lang w:eastAsia="ru-RU"/>
              </w:rPr>
              <w:t>бытового назначения (до 200 л включительно) без изменения размера ставки пошлины</w:t>
            </w:r>
          </w:p>
        </w:tc>
      </w:tr>
      <w:tr w:rsidR="009859DD" w:rsidRPr="009859DD" w:rsidTr="009859DD">
        <w:trPr>
          <w:trHeight w:val="314"/>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34</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w:t>
            </w:r>
            <w:r w:rsidRPr="009859DD">
              <w:rPr>
                <w:rFonts w:eastAsia="Times New Roman"/>
                <w:color w:val="000000"/>
                <w:lang w:eastAsia="ru-RU"/>
              </w:rPr>
              <w:t xml:space="preserve">от 24.04.2017 </w:t>
            </w:r>
            <w:r w:rsidR="000C4C89">
              <w:rPr>
                <w:rFonts w:eastAsia="Times New Roman"/>
                <w:color w:val="000000"/>
                <w:lang w:eastAsia="ru-RU"/>
              </w:rPr>
              <w:t>№ </w:t>
            </w:r>
            <w:r w:rsidRPr="009859DD">
              <w:rPr>
                <w:rFonts w:eastAsia="Times New Roman"/>
                <w:color w:val="000000"/>
                <w:lang w:eastAsia="ru-RU"/>
              </w:rPr>
              <w:t>42</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Янтарь</w:t>
            </w:r>
          </w:p>
        </w:tc>
        <w:tc>
          <w:tcPr>
            <w:tcW w:w="4907" w:type="dxa"/>
            <w:shd w:val="clear" w:color="auto" w:fill="auto"/>
          </w:tcPr>
          <w:p w:rsidR="009859DD" w:rsidRPr="009859DD" w:rsidRDefault="009859DD" w:rsidP="009859DD">
            <w:pPr>
              <w:spacing w:before="0" w:after="0" w:line="240" w:lineRule="auto"/>
              <w:ind w:left="-57"/>
              <w:rPr>
                <w:rFonts w:eastAsia="Times New Roman"/>
                <w:color w:val="000000"/>
                <w:lang w:eastAsia="ru-RU"/>
              </w:rPr>
            </w:pPr>
            <w:r w:rsidRPr="009859DD">
              <w:rPr>
                <w:rFonts w:eastAsia="Times New Roman"/>
                <w:color w:val="000000"/>
                <w:lang w:eastAsia="ru-RU"/>
              </w:rPr>
              <w:t xml:space="preserve">Внесены изменения в дополнительное примечание Евразийского экономического союза 1 (а) к группе 96 ТН ВЭД ЕАЭС по уточнению критериев, используемых при классификации янтаря в </w:t>
            </w:r>
            <w:proofErr w:type="spellStart"/>
            <w:r w:rsidRPr="009859DD">
              <w:rPr>
                <w:rFonts w:eastAsia="Times New Roman"/>
                <w:color w:val="000000"/>
                <w:lang w:eastAsia="ru-RU"/>
              </w:rPr>
              <w:t>подсубпозиции</w:t>
            </w:r>
            <w:proofErr w:type="spellEnd"/>
            <w:r w:rsidRPr="009859DD">
              <w:rPr>
                <w:rFonts w:eastAsia="Times New Roman"/>
                <w:color w:val="000000"/>
                <w:lang w:eastAsia="ru-RU"/>
              </w:rPr>
              <w:t xml:space="preserve"> 9602 00 000 1 ТН ВЭД ЕАЭС</w:t>
            </w:r>
          </w:p>
        </w:tc>
      </w:tr>
      <w:tr w:rsidR="009859DD" w:rsidRPr="009859DD" w:rsidTr="009859DD">
        <w:trPr>
          <w:trHeight w:val="829"/>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35</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11.05.2017 </w:t>
            </w:r>
            <w:r w:rsidR="000C4C89">
              <w:rPr>
                <w:rFonts w:eastAsia="Times New Roman"/>
                <w:lang w:eastAsia="ru-RU"/>
              </w:rPr>
              <w:t>№ </w:t>
            </w:r>
            <w:r w:rsidRPr="009859DD">
              <w:rPr>
                <w:rFonts w:eastAsia="Times New Roman"/>
                <w:lang w:eastAsia="ru-RU"/>
              </w:rPr>
              <w:t>44</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Евразийская экономическая комиссия</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товаров</w:t>
            </w:r>
          </w:p>
        </w:tc>
        <w:tc>
          <w:tcPr>
            <w:tcW w:w="4907" w:type="dxa"/>
            <w:shd w:val="clear" w:color="auto" w:fill="auto"/>
          </w:tcPr>
          <w:p w:rsidR="009859DD" w:rsidRPr="009859DD" w:rsidRDefault="009859DD" w:rsidP="009859DD">
            <w:pPr>
              <w:autoSpaceDE w:val="0"/>
              <w:autoSpaceDN w:val="0"/>
              <w:adjustRightInd w:val="0"/>
              <w:spacing w:before="0" w:after="0" w:line="240" w:lineRule="auto"/>
              <w:rPr>
                <w:rFonts w:eastAsia="Times New Roman"/>
                <w:lang w:eastAsia="ru-RU"/>
              </w:rPr>
            </w:pPr>
            <w:r w:rsidRPr="009859DD">
              <w:rPr>
                <w:rFonts w:eastAsia="Times New Roman"/>
                <w:lang w:eastAsia="ru-RU"/>
              </w:rPr>
              <w:t xml:space="preserve">Внесение изменений в ЕТТ ЕАЭС в отношении отдельных видов товаров в соответствии с обязательствами России </w:t>
            </w:r>
            <w:r w:rsidRPr="009859DD">
              <w:rPr>
                <w:rFonts w:eastAsia="Times New Roman"/>
                <w:lang w:eastAsia="ru-RU"/>
              </w:rPr>
              <w:br/>
              <w:t>в ВТО с 01.09.2017</w:t>
            </w:r>
          </w:p>
        </w:tc>
      </w:tr>
      <w:tr w:rsidR="009859DD" w:rsidRPr="009859DD" w:rsidTr="009859DD">
        <w:trPr>
          <w:trHeight w:val="1092"/>
        </w:trPr>
        <w:tc>
          <w:tcPr>
            <w:tcW w:w="977" w:type="dxa"/>
            <w:shd w:val="clear" w:color="auto" w:fill="auto"/>
            <w:noWrap/>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36</w:t>
            </w:r>
          </w:p>
        </w:tc>
        <w:tc>
          <w:tcPr>
            <w:tcW w:w="1555" w:type="dxa"/>
            <w:shd w:val="clear" w:color="auto" w:fill="auto"/>
            <w:hideMark/>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30.05.2017 </w:t>
            </w:r>
            <w:r w:rsidR="000C4C89">
              <w:rPr>
                <w:rFonts w:eastAsia="Times New Roman"/>
                <w:lang w:eastAsia="ru-RU"/>
              </w:rPr>
              <w:t>№ </w:t>
            </w:r>
            <w:r w:rsidRPr="009859DD">
              <w:rPr>
                <w:rFonts w:eastAsia="Times New Roman"/>
                <w:lang w:eastAsia="ru-RU"/>
              </w:rPr>
              <w:t>59</w:t>
            </w:r>
          </w:p>
        </w:tc>
        <w:tc>
          <w:tcPr>
            <w:tcW w:w="1822"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 xml:space="preserve"> Отдельные виды шин и покрышек пневматических резиновых, наручных часов, постельных принадлежностей</w:t>
            </w:r>
          </w:p>
        </w:tc>
        <w:tc>
          <w:tcPr>
            <w:tcW w:w="4907" w:type="dxa"/>
            <w:shd w:val="clear" w:color="auto" w:fill="auto"/>
          </w:tcPr>
          <w:p w:rsidR="009859DD" w:rsidRPr="009859DD" w:rsidRDefault="009859DD" w:rsidP="009859DD">
            <w:pPr>
              <w:spacing w:before="0" w:after="0" w:line="240" w:lineRule="auto"/>
              <w:rPr>
                <w:rFonts w:eastAsia="Times New Roman"/>
                <w:lang w:eastAsia="ru-RU"/>
              </w:rPr>
            </w:pPr>
            <w:r w:rsidRPr="009859DD">
              <w:rPr>
                <w:rFonts w:eastAsia="Times New Roman"/>
                <w:lang w:eastAsia="ru-RU"/>
              </w:rPr>
              <w:t>Установление комбинированного формата ставок ввозных таможенных пошлин, не предусмотренного обязательствами России в ВТО, сроком с 01.09.2017 по 31.12.2017 включительно</w:t>
            </w:r>
          </w:p>
        </w:tc>
      </w:tr>
      <w:tr w:rsidR="009859DD" w:rsidRPr="009859DD" w:rsidTr="009859DD">
        <w:trPr>
          <w:trHeight w:val="945"/>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37</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w:t>
            </w:r>
            <w:r w:rsidRPr="009859DD">
              <w:rPr>
                <w:rFonts w:eastAsia="Times New Roman"/>
                <w:bCs/>
                <w:lang w:eastAsia="ru-RU"/>
              </w:rPr>
              <w:t xml:space="preserve">от 18.08.2017 </w:t>
            </w:r>
            <w:r w:rsidR="000C4C89">
              <w:rPr>
                <w:rFonts w:eastAsia="Times New Roman"/>
                <w:bCs/>
                <w:lang w:eastAsia="ru-RU"/>
              </w:rPr>
              <w:t>№ </w:t>
            </w:r>
            <w:r w:rsidRPr="009859DD">
              <w:rPr>
                <w:rFonts w:eastAsia="Times New Roman"/>
                <w:bCs/>
                <w:lang w:eastAsia="ru-RU"/>
              </w:rPr>
              <w:t>95</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Евразийская экономическая комиссия</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товаров</w:t>
            </w:r>
          </w:p>
        </w:tc>
        <w:tc>
          <w:tcPr>
            <w:tcW w:w="4907" w:type="dxa"/>
            <w:shd w:val="clear" w:color="auto" w:fill="auto"/>
          </w:tcPr>
          <w:p w:rsidR="009859DD" w:rsidRPr="009859DD" w:rsidRDefault="009859DD" w:rsidP="009859DD">
            <w:pPr>
              <w:autoSpaceDE w:val="0"/>
              <w:autoSpaceDN w:val="0"/>
              <w:adjustRightInd w:val="0"/>
              <w:spacing w:before="0" w:after="0" w:line="240" w:lineRule="auto"/>
              <w:rPr>
                <w:rFonts w:eastAsia="Times New Roman"/>
                <w:b/>
                <w:bCs/>
                <w:lang w:eastAsia="ru-RU"/>
              </w:rPr>
            </w:pPr>
            <w:r w:rsidRPr="009859DD">
              <w:rPr>
                <w:rFonts w:eastAsia="Times New Roman"/>
                <w:lang w:eastAsia="ru-RU"/>
              </w:rPr>
              <w:t>Внесение изменений</w:t>
            </w:r>
            <w:r w:rsidRPr="009859DD">
              <w:rPr>
                <w:rFonts w:eastAsia="Times New Roman"/>
                <w:color w:val="000000"/>
                <w:lang w:eastAsia="ru-RU"/>
              </w:rPr>
              <w:t xml:space="preserve"> в ТН ВЭД ЕАЭС в связи с внесением изменений в ТН ВЭД СНГ, а также в некоторые решения Высшего Евразийского экономического совета и ЕЭК</w:t>
            </w:r>
            <w:r w:rsidRPr="009859DD">
              <w:rPr>
                <w:rFonts w:eastAsia="Times New Roman"/>
                <w:lang w:eastAsia="ru-RU"/>
              </w:rPr>
              <w:t xml:space="preserve"> в части уточнения наименования отдельных позиций</w:t>
            </w:r>
          </w:p>
        </w:tc>
      </w:tr>
      <w:tr w:rsidR="009859DD" w:rsidRPr="009859DD" w:rsidTr="009859DD">
        <w:trPr>
          <w:trHeight w:val="740"/>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38</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18.08.2017 </w:t>
            </w:r>
            <w:r w:rsidR="000C4C89">
              <w:rPr>
                <w:rFonts w:eastAsia="Times New Roman"/>
                <w:lang w:eastAsia="ru-RU"/>
              </w:rPr>
              <w:t>№ </w:t>
            </w:r>
            <w:r w:rsidRPr="009859DD">
              <w:rPr>
                <w:rFonts w:eastAsia="Times New Roman"/>
                <w:lang w:eastAsia="ru-RU"/>
              </w:rPr>
              <w:t>98</w:t>
            </w:r>
            <w:r w:rsidRPr="009859DD">
              <w:rPr>
                <w:rFonts w:eastAsia="Times New Roman"/>
                <w:lang w:eastAsia="ru-RU"/>
              </w:rPr>
              <w:br/>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комплектующих для производства велосипедов</w:t>
            </w:r>
          </w:p>
        </w:tc>
        <w:tc>
          <w:tcPr>
            <w:tcW w:w="4907" w:type="dxa"/>
            <w:shd w:val="clear" w:color="auto" w:fill="auto"/>
          </w:tcPr>
          <w:p w:rsidR="009859DD" w:rsidRPr="009859DD" w:rsidRDefault="009859DD" w:rsidP="009859DD">
            <w:pPr>
              <w:autoSpaceDE w:val="0"/>
              <w:autoSpaceDN w:val="0"/>
              <w:adjustRightInd w:val="0"/>
              <w:spacing w:before="0" w:after="0" w:line="240" w:lineRule="auto"/>
              <w:rPr>
                <w:color w:val="000000"/>
              </w:rPr>
            </w:pPr>
            <w:r w:rsidRPr="009859DD">
              <w:t>Выделение в ТН ВЭД ЕАЭС</w:t>
            </w:r>
            <w:r w:rsidRPr="009859DD">
              <w:rPr>
                <w:rFonts w:eastAsia="Times New Roman"/>
                <w:b/>
              </w:rPr>
              <w:t xml:space="preserve"> </w:t>
            </w:r>
            <w:r w:rsidRPr="009859DD">
              <w:rPr>
                <w:rFonts w:eastAsia="Times New Roman"/>
              </w:rPr>
              <w:t xml:space="preserve">отдельных видов комплектующих для производства велосипедов </w:t>
            </w:r>
            <w:r w:rsidRPr="009859DD">
              <w:rPr>
                <w:rFonts w:eastAsia="Times New Roman"/>
                <w:color w:val="000000"/>
              </w:rPr>
              <w:t>с установлением в отношении них ставки нулевой ставки ввозной таможенной пошлины на временной основе сроком</w:t>
            </w:r>
            <w:r w:rsidRPr="009859DD">
              <w:rPr>
                <w:color w:val="000000"/>
              </w:rPr>
              <w:t xml:space="preserve"> по 31.08.2018 включительно, за исключением рам, где нулевая ставка пошлины установлена сроком по 31.08.2020 включительно </w:t>
            </w:r>
          </w:p>
        </w:tc>
      </w:tr>
      <w:tr w:rsidR="009859DD" w:rsidRPr="009859DD" w:rsidTr="009859DD">
        <w:trPr>
          <w:trHeight w:val="945"/>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39</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07.11.2017 </w:t>
            </w:r>
            <w:r w:rsidR="000C4C89">
              <w:rPr>
                <w:rFonts w:eastAsia="Times New Roman"/>
                <w:lang w:eastAsia="ru-RU"/>
              </w:rPr>
              <w:t>№ </w:t>
            </w:r>
            <w:r w:rsidRPr="009859DD">
              <w:rPr>
                <w:rFonts w:eastAsia="Times New Roman"/>
                <w:lang w:eastAsia="ru-RU"/>
              </w:rPr>
              <w:t>137</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Евразийская экономическая комиссия</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Вся товарная номенклатура</w:t>
            </w:r>
          </w:p>
        </w:tc>
        <w:tc>
          <w:tcPr>
            <w:tcW w:w="4907" w:type="dxa"/>
            <w:shd w:val="clear" w:color="auto" w:fill="auto"/>
          </w:tcPr>
          <w:p w:rsidR="009859DD" w:rsidRPr="009859DD" w:rsidRDefault="009859DD" w:rsidP="009859DD">
            <w:pPr>
              <w:spacing w:before="0" w:after="0" w:line="240" w:lineRule="auto"/>
              <w:rPr>
                <w:rFonts w:eastAsia="Times New Roman"/>
                <w:lang w:eastAsia="ru-RU"/>
              </w:rPr>
            </w:pPr>
            <w:r w:rsidRPr="009859DD">
              <w:rPr>
                <w:rFonts w:eastAsia="Times New Roman"/>
                <w:lang w:eastAsia="ru-RU"/>
              </w:rPr>
              <w:t xml:space="preserve">Утверждение </w:t>
            </w:r>
            <w:r w:rsidRPr="009859DD">
              <w:rPr>
                <w:color w:val="000000"/>
                <w:lang w:eastAsia="ru-RU"/>
              </w:rPr>
              <w:t xml:space="preserve">формы </w:t>
            </w:r>
            <w:r w:rsidRPr="009859DD">
              <w:rPr>
                <w:lang w:eastAsia="ru-RU"/>
              </w:rPr>
              <w:t xml:space="preserve">расчета таможенных пошлин, налогов, специальных, антидемпинговых, компенсационных пошлин и </w:t>
            </w:r>
            <w:r w:rsidRPr="009859DD">
              <w:rPr>
                <w:color w:val="000000"/>
                <w:lang w:eastAsia="ru-RU"/>
              </w:rPr>
              <w:t xml:space="preserve">порядка </w:t>
            </w:r>
            <w:r w:rsidRPr="009859DD">
              <w:rPr>
                <w:lang w:eastAsia="ru-RU"/>
              </w:rPr>
              <w:t>заполнения расчета таможенных пошлин, налогов, специальных, антидемпинговых, компенсационных пошлин и внесения в такой расчет изменений (дополнений), в связи с принятием Таможенного кодекса Евразийского экономического союза</w:t>
            </w:r>
          </w:p>
        </w:tc>
      </w:tr>
      <w:tr w:rsidR="009859DD" w:rsidRPr="009859DD" w:rsidTr="009859DD">
        <w:trPr>
          <w:trHeight w:val="945"/>
        </w:trPr>
        <w:tc>
          <w:tcPr>
            <w:tcW w:w="977" w:type="dxa"/>
            <w:shd w:val="clear" w:color="auto" w:fill="auto"/>
            <w:noWrap/>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40</w:t>
            </w:r>
          </w:p>
        </w:tc>
        <w:tc>
          <w:tcPr>
            <w:tcW w:w="1555" w:type="dxa"/>
            <w:shd w:val="clear" w:color="auto" w:fill="auto"/>
            <w:hideMark/>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Решение Коллегии ЕЭК от 07.11.2017</w:t>
            </w:r>
            <w:r w:rsidR="000C4C89">
              <w:rPr>
                <w:rFonts w:eastAsia="Times New Roman"/>
                <w:lang w:eastAsia="ru-RU"/>
              </w:rPr>
              <w:t xml:space="preserve"> № </w:t>
            </w:r>
            <w:r w:rsidRPr="009859DD">
              <w:rPr>
                <w:rFonts w:eastAsia="Times New Roman"/>
                <w:lang w:eastAsia="ru-RU"/>
              </w:rPr>
              <w:t>141</w:t>
            </w:r>
          </w:p>
        </w:tc>
        <w:tc>
          <w:tcPr>
            <w:tcW w:w="1822"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Российская Федерация</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hideMark/>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Фольга для тиснения</w:t>
            </w:r>
          </w:p>
        </w:tc>
        <w:tc>
          <w:tcPr>
            <w:tcW w:w="4907" w:type="dxa"/>
            <w:shd w:val="clear" w:color="auto" w:fill="auto"/>
            <w:hideMark/>
          </w:tcPr>
          <w:p w:rsidR="009859DD" w:rsidRPr="009859DD" w:rsidRDefault="009859DD" w:rsidP="000C4C89">
            <w:pPr>
              <w:spacing w:before="0" w:after="0" w:line="240" w:lineRule="auto"/>
              <w:rPr>
                <w:bCs/>
                <w:color w:val="000000"/>
                <w:lang w:eastAsia="ru-RU"/>
              </w:rPr>
            </w:pPr>
            <w:r w:rsidRPr="009859DD">
              <w:rPr>
                <w:rFonts w:eastAsia="Times New Roman"/>
                <w:color w:val="000000"/>
              </w:rPr>
              <w:t xml:space="preserve">Установление нулевой ставки ввозной таможенной пошлины сроком </w:t>
            </w:r>
            <w:r w:rsidRPr="009859DD">
              <w:rPr>
                <w:bCs/>
                <w:color w:val="000000"/>
                <w:lang w:eastAsia="ru-RU"/>
              </w:rPr>
              <w:t xml:space="preserve">с 01.09.2017 по 31.08.2019 включительно </w:t>
            </w:r>
          </w:p>
        </w:tc>
      </w:tr>
      <w:tr w:rsidR="009859DD" w:rsidRPr="009859DD" w:rsidTr="009859DD">
        <w:trPr>
          <w:trHeight w:val="945"/>
        </w:trPr>
        <w:tc>
          <w:tcPr>
            <w:tcW w:w="977" w:type="dxa"/>
            <w:shd w:val="clear" w:color="auto" w:fill="auto"/>
            <w:noWrap/>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41</w:t>
            </w:r>
          </w:p>
        </w:tc>
        <w:tc>
          <w:tcPr>
            <w:tcW w:w="1555" w:type="dxa"/>
            <w:shd w:val="clear" w:color="auto" w:fill="auto"/>
          </w:tcPr>
          <w:p w:rsidR="009859DD" w:rsidRPr="009859DD" w:rsidRDefault="009859DD" w:rsidP="000C4C89">
            <w:pPr>
              <w:spacing w:before="0" w:after="0" w:line="240" w:lineRule="auto"/>
              <w:jc w:val="left"/>
              <w:rPr>
                <w:rFonts w:eastAsia="Times New Roman"/>
                <w:lang w:eastAsia="ru-RU"/>
              </w:rPr>
            </w:pPr>
            <w:r w:rsidRPr="009859DD">
              <w:rPr>
                <w:rFonts w:eastAsia="Times New Roman"/>
                <w:lang w:eastAsia="ru-RU"/>
              </w:rPr>
              <w:t xml:space="preserve">Решение Коллегии ЕЭК от 21.11.2017 </w:t>
            </w:r>
            <w:r w:rsidR="000C4C89">
              <w:rPr>
                <w:rFonts w:eastAsia="Times New Roman"/>
                <w:lang w:eastAsia="ru-RU"/>
              </w:rPr>
              <w:t>№ </w:t>
            </w:r>
            <w:r w:rsidRPr="009859DD">
              <w:rPr>
                <w:rFonts w:eastAsia="Times New Roman"/>
                <w:lang w:eastAsia="ru-RU"/>
              </w:rPr>
              <w:t>158</w:t>
            </w:r>
          </w:p>
        </w:tc>
        <w:tc>
          <w:tcPr>
            <w:tcW w:w="1822"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Республика Беларусь</w:t>
            </w:r>
          </w:p>
        </w:tc>
        <w:tc>
          <w:tcPr>
            <w:tcW w:w="2705" w:type="dxa"/>
          </w:tcPr>
          <w:p w:rsidR="009859DD" w:rsidRPr="009859DD" w:rsidRDefault="009859DD" w:rsidP="009859DD">
            <w:pPr>
              <w:spacing w:before="0" w:after="0" w:line="240" w:lineRule="auto"/>
              <w:jc w:val="center"/>
              <w:rPr>
                <w:rFonts w:eastAsia="Times New Roman"/>
                <w:lang w:eastAsia="ru-RU"/>
              </w:rPr>
            </w:pPr>
          </w:p>
        </w:tc>
        <w:tc>
          <w:tcPr>
            <w:tcW w:w="2918" w:type="dxa"/>
            <w:shd w:val="clear" w:color="auto" w:fill="auto"/>
          </w:tcPr>
          <w:p w:rsidR="009859DD" w:rsidRPr="009859DD" w:rsidRDefault="009859DD" w:rsidP="009859DD">
            <w:pPr>
              <w:spacing w:before="0" w:after="0" w:line="240" w:lineRule="auto"/>
              <w:jc w:val="center"/>
              <w:rPr>
                <w:rFonts w:eastAsia="Times New Roman"/>
                <w:lang w:eastAsia="ru-RU"/>
              </w:rPr>
            </w:pPr>
            <w:r w:rsidRPr="009859DD">
              <w:rPr>
                <w:rFonts w:eastAsia="Times New Roman"/>
                <w:lang w:eastAsia="ru-RU"/>
              </w:rPr>
              <w:t>Отдельные виды магнетронов</w:t>
            </w:r>
          </w:p>
        </w:tc>
        <w:tc>
          <w:tcPr>
            <w:tcW w:w="4907" w:type="dxa"/>
            <w:shd w:val="clear" w:color="auto" w:fill="auto"/>
          </w:tcPr>
          <w:p w:rsidR="009859DD" w:rsidRPr="009859DD" w:rsidRDefault="009859DD" w:rsidP="009859DD">
            <w:pPr>
              <w:spacing w:before="0" w:after="0" w:line="240" w:lineRule="auto"/>
              <w:rPr>
                <w:rFonts w:eastAsia="Times New Roman"/>
                <w:lang w:eastAsia="ru-RU"/>
              </w:rPr>
            </w:pPr>
            <w:r w:rsidRPr="009859DD">
              <w:rPr>
                <w:rFonts w:eastAsia="Times New Roman"/>
                <w:lang w:eastAsia="ru-RU"/>
              </w:rPr>
              <w:t>Выделение из кода 8540 71 000 0 ТН ВЭД ЕАЭС магнетронов для производства микроволновых печей и установление в отношении них нулевой ставки ввозной таможенной пошлины сроком по 31.12.2019 включительно</w:t>
            </w:r>
          </w:p>
        </w:tc>
      </w:tr>
    </w:tbl>
    <w:p w:rsidR="009859DD" w:rsidRPr="009859DD" w:rsidRDefault="009859DD" w:rsidP="009859DD">
      <w:pPr>
        <w:spacing w:before="0" w:after="60" w:line="240" w:lineRule="auto"/>
        <w:jc w:val="left"/>
        <w:outlineLvl w:val="1"/>
        <w:rPr>
          <w:rFonts w:eastAsia="Times New Roman"/>
          <w:color w:val="FF0000"/>
          <w:sz w:val="28"/>
          <w:szCs w:val="28"/>
          <w:lang w:eastAsia="x-none"/>
        </w:rPr>
      </w:pPr>
    </w:p>
    <w:p w:rsidR="00860FE0" w:rsidRDefault="00860FE0" w:rsidP="00860FE0">
      <w:pPr>
        <w:rPr>
          <w:highlight w:val="lightGray"/>
        </w:rPr>
      </w:pPr>
    </w:p>
    <w:p w:rsidR="001D4C30" w:rsidRDefault="001D4C30" w:rsidP="003B7786">
      <w:pPr>
        <w:spacing w:before="0" w:after="200"/>
        <w:jc w:val="left"/>
      </w:pPr>
    </w:p>
    <w:sectPr w:rsidR="001D4C30" w:rsidSect="00CC3761">
      <w:pgSz w:w="16838" w:h="11906" w:orient="landscape"/>
      <w:pgMar w:top="1418" w:right="1134" w:bottom="1418" w:left="1134"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27" w:rsidRDefault="00D16727" w:rsidP="00D81989">
      <w:pPr>
        <w:spacing w:before="0" w:after="0" w:line="240" w:lineRule="auto"/>
      </w:pPr>
      <w:r>
        <w:separator/>
      </w:r>
    </w:p>
  </w:endnote>
  <w:endnote w:type="continuationSeparator" w:id="0">
    <w:p w:rsidR="00D16727" w:rsidRDefault="00D16727" w:rsidP="00D819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 LT 55 Roman">
    <w:altName w:val="Malgun Gothic"/>
    <w:charset w:val="00"/>
    <w:family w:val="auto"/>
    <w:pitch w:val="variable"/>
    <w:sig w:usb0="00000003" w:usb1="00000000" w:usb2="00000000" w:usb3="00000000" w:csb0="00000001" w:csb1="00000000"/>
  </w:font>
  <w:font w:name="HelveticaNeue LT 65 Medium">
    <w:altName w:val="Trebuchet MS"/>
    <w:charset w:val="00"/>
    <w:family w:val="auto"/>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9" w:rsidRPr="00322019" w:rsidRDefault="002045A9" w:rsidP="00ED5712">
    <w:pPr>
      <w:pStyle w:val="ad"/>
      <w:jc w:val="center"/>
    </w:pPr>
    <w:r w:rsidRPr="00322019">
      <w:fldChar w:fldCharType="begin"/>
    </w:r>
    <w:r w:rsidRPr="00322019">
      <w:instrText>PAGE   \* MERGEFORMAT</w:instrText>
    </w:r>
    <w:r w:rsidRPr="00322019">
      <w:fldChar w:fldCharType="separate"/>
    </w:r>
    <w:r w:rsidR="0005375F">
      <w:rPr>
        <w:noProof/>
      </w:rPr>
      <w:t>100</w:t>
    </w:r>
    <w:r w:rsidRPr="00322019">
      <w:rPr>
        <w:noProof/>
      </w:rPr>
      <w:fldChar w:fldCharType="end"/>
    </w:r>
  </w:p>
  <w:p w:rsidR="002045A9" w:rsidRDefault="002045A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9" w:rsidRPr="00322019" w:rsidRDefault="002045A9" w:rsidP="00585740">
    <w:pPr>
      <w:pStyle w:val="ad"/>
      <w:jc w:val="center"/>
    </w:pPr>
    <w:r w:rsidRPr="00322019">
      <w:fldChar w:fldCharType="begin"/>
    </w:r>
    <w:r w:rsidRPr="00322019">
      <w:instrText>PAGE   \* MERGEFORMAT</w:instrText>
    </w:r>
    <w:r w:rsidRPr="00322019">
      <w:fldChar w:fldCharType="separate"/>
    </w:r>
    <w:r>
      <w:rPr>
        <w:noProof/>
      </w:rPr>
      <w:t>1</w:t>
    </w:r>
    <w:r w:rsidRPr="00322019">
      <w:rPr>
        <w:noProof/>
      </w:rPr>
      <w:fldChar w:fldCharType="end"/>
    </w:r>
  </w:p>
  <w:p w:rsidR="002045A9" w:rsidRDefault="002045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27" w:rsidRDefault="00D16727" w:rsidP="00D81989">
      <w:pPr>
        <w:spacing w:before="0" w:after="0" w:line="240" w:lineRule="auto"/>
      </w:pPr>
      <w:r>
        <w:separator/>
      </w:r>
    </w:p>
  </w:footnote>
  <w:footnote w:type="continuationSeparator" w:id="0">
    <w:p w:rsidR="00D16727" w:rsidRDefault="00D16727" w:rsidP="00D819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8" w:type="dxa"/>
      <w:tblInd w:w="-34" w:type="dxa"/>
      <w:tblBorders>
        <w:left w:val="single" w:sz="4" w:space="0" w:color="FFFFFF"/>
        <w:insideH w:val="single" w:sz="12" w:space="0" w:color="003300"/>
        <w:insideV w:val="single" w:sz="12" w:space="0" w:color="003300"/>
      </w:tblBorders>
      <w:tblLayout w:type="fixed"/>
      <w:tblLook w:val="00A0" w:firstRow="1" w:lastRow="0" w:firstColumn="1" w:lastColumn="0" w:noHBand="0" w:noVBand="0"/>
    </w:tblPr>
    <w:tblGrid>
      <w:gridCol w:w="7655"/>
      <w:gridCol w:w="1623"/>
    </w:tblGrid>
    <w:tr w:rsidR="002045A9" w:rsidRPr="00E11E0D" w:rsidTr="00860CFA">
      <w:trPr>
        <w:trHeight w:val="547"/>
      </w:trPr>
      <w:tc>
        <w:tcPr>
          <w:tcW w:w="7655" w:type="dxa"/>
        </w:tcPr>
        <w:p w:rsidR="002045A9" w:rsidRPr="00F22583" w:rsidRDefault="002045A9" w:rsidP="00F22583">
          <w:pPr>
            <w:pStyle w:val="ab"/>
            <w:ind w:left="-846" w:firstLine="846"/>
            <w:jc w:val="right"/>
            <w:rPr>
              <w:b/>
              <w:color w:val="003300"/>
              <w:sz w:val="22"/>
            </w:rPr>
          </w:pPr>
          <w:r w:rsidRPr="00F22583">
            <w:rPr>
              <w:b/>
              <w:color w:val="003300"/>
              <w:sz w:val="22"/>
            </w:rPr>
            <w:t>Основные направления бюджетной, налоговой и таможенно-тарифной политики на 2019 год и плановый период 2020 и 2021 годов</w:t>
          </w:r>
        </w:p>
      </w:tc>
      <w:tc>
        <w:tcPr>
          <w:tcW w:w="1623" w:type="dxa"/>
        </w:tcPr>
        <w:p w:rsidR="002045A9" w:rsidRPr="00E11E0D" w:rsidRDefault="002045A9" w:rsidP="00860CFA">
          <w:pPr>
            <w:pStyle w:val="ab"/>
            <w:jc w:val="right"/>
            <w:rPr>
              <w:b/>
              <w:color w:val="003300"/>
            </w:rPr>
          </w:pPr>
        </w:p>
      </w:tc>
    </w:tr>
  </w:tbl>
  <w:p w:rsidR="002045A9" w:rsidRDefault="002045A9">
    <w:pPr>
      <w:pStyle w:val="ab"/>
    </w:pPr>
    <w:r>
      <w:rPr>
        <w:noProof/>
        <w:lang w:eastAsia="ru-RU"/>
      </w:rPr>
      <w:drawing>
        <wp:anchor distT="0" distB="0" distL="114300" distR="114300" simplePos="0" relativeHeight="251669504" behindDoc="0" locked="0" layoutInCell="1" allowOverlap="1" wp14:anchorId="5FEEA980" wp14:editId="61E980F8">
          <wp:simplePos x="0" y="0"/>
          <wp:positionH relativeFrom="column">
            <wp:posOffset>4833620</wp:posOffset>
          </wp:positionH>
          <wp:positionV relativeFrom="paragraph">
            <wp:posOffset>-432435</wp:posOffset>
          </wp:positionV>
          <wp:extent cx="467360" cy="474345"/>
          <wp:effectExtent l="0" t="0" r="8890" b="1905"/>
          <wp:wrapNone/>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7456" behindDoc="0" locked="0" layoutInCell="1" allowOverlap="1" wp14:anchorId="56059265" wp14:editId="2ECE008A">
              <wp:simplePos x="0" y="0"/>
              <wp:positionH relativeFrom="column">
                <wp:posOffset>5474335</wp:posOffset>
              </wp:positionH>
              <wp:positionV relativeFrom="paragraph">
                <wp:posOffset>-401320</wp:posOffset>
              </wp:positionV>
              <wp:extent cx="381635" cy="412750"/>
              <wp:effectExtent l="0" t="0" r="0" b="6350"/>
              <wp:wrapNone/>
              <wp:docPr id="2"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5A9" w:rsidRPr="00E11E0D" w:rsidRDefault="002045A9" w:rsidP="00F22583">
                          <w:pPr>
                            <w:pStyle w:val="af"/>
                            <w:spacing w:before="0" w:beforeAutospacing="0" w:after="0" w:afterAutospacing="0"/>
                            <w:textAlignment w:val="baseline"/>
                            <w:rPr>
                              <w:color w:val="948A54"/>
                            </w:rPr>
                          </w:pPr>
                          <w:r w:rsidRPr="00E11E0D">
                            <w:rPr>
                              <w:i/>
                              <w:iCs/>
                              <w:color w:val="948A54"/>
                              <w:kern w:val="24"/>
                              <w:sz w:val="44"/>
                              <w:szCs w:val="44"/>
                            </w:rPr>
                            <w:t>ф</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3" o:spid="_x0000_s1026" type="#_x0000_t202" style="position:absolute;left:0;text-align:left;margin-left:431.05pt;margin-top:-31.6pt;width:30.05pt;height:3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kmfAIAAEkFAAAOAAAAZHJzL2Uyb0RvYy54bWysVNuOmzAQfa/Uf7D8znIJSQCFrLIh9GV7&#10;kXb7AQ42wSrYyPYGVlX/vWOTy15eqrY8WGCPz5yZc5jV7di16MiU5lLkOLwJMGKikpSLQ46/P5Ze&#10;gpE2RFDSSsFy/Mw0vl1//LAa+oxFspEtZQoBiNDZ0Oe4MabPfF9XDeuIvpE9E3BYS9URA5/q4FNF&#10;BkDvWj8KgoU/SEV7JSumNewW0yFeO/y6ZpX5WteaGdTmGLgZtyq37u3qr1ckOyjSN7w60SB/waIj&#10;XEDSC1RBDEFPir+D6nilpJa1ualk58u65hVzNUA1YfCmmoeG9MzVAs3R/aVN+v/BVl+O3xTiNMcR&#10;RoJ0INEjG82dHFE4s90Zep1B0EMPYWaEfVDZVar7e1n90EjIbUPEgW2UkkPDCAV2ob3pv7g64WgL&#10;sh8+SwppyJORDmisVWdbB81AgA4qPV+UASqogs1ZEi5mc4wqOIrDaDl3yvkkO1/ulTafmOyQfcmx&#10;AuEdODnea2PJkOwcYnMJWfK2deK34tUGBE47kBqu2jNLwmn5Mw3SXbJLYi+OFjsvDorC25Tb2FuU&#10;4XJezIrttgh/2bxhnDWcUiZsmrOvwvjPdDs5fHLExVlatpxaOEtJq8N+2yp0JODr0j2u5XByDfNf&#10;03BNgFrelBRGcXAXpV65SJZeXMZzL10GiReE6V26COI0LsrXJd1zwf69JDTkOJ1H88lLV9Jvagvc&#10;8742knXcwORoeZfj5BJEMuvAnaBOWkN4O72/aIWlf20FyH0W2vnVWnQyqxn3I6BYE+8lfQbnDjAm&#10;cixgjk2k+w1YuOTOXtewk/Hhf3VZTrPFDoSX3y7qOgHXvwEAAP//AwBQSwMEFAAGAAgAAAAhAGHk&#10;+PrcAAAACQEAAA8AAABkcnMvZG93bnJldi54bWxMj8FOwzAMhu9IvENkJG5b2gBV1zWd0IAzMHiA&#10;rDFt18apmmwrPD3mxG62/On395eb2Q3ihFPoPGlIlwkIpNrbjhoNnx8vixxEiIasGTyhhm8MsKmu&#10;r0pTWH+mdzztYiM4hEJhNLQxjoWUoW7RmbD0IxLfvvzkTOR1aqSdzJnD3SBVkmTSmY74Q2tG3LZY&#10;97uj05An7rXvV+otuPuf9KHdPvnn8aD17c38uAYRcY7/MPzpszpU7LT3R7JBDJyRqZRRDYvsToFg&#10;YqUUD3tGc5BVKS8bVL8AAAD//wMAUEsBAi0AFAAGAAgAAAAhALaDOJL+AAAA4QEAABMAAAAAAAAA&#10;AAAAAAAAAAAAAFtDb250ZW50X1R5cGVzXS54bWxQSwECLQAUAAYACAAAACEAOP0h/9YAAACUAQAA&#10;CwAAAAAAAAAAAAAAAAAvAQAAX3JlbHMvLnJlbHNQSwECLQAUAAYACAAAACEAN38JJnwCAABJBQAA&#10;DgAAAAAAAAAAAAAAAAAuAgAAZHJzL2Uyb0RvYy54bWxQSwECLQAUAAYACAAAACEAYeT4+twAAAAJ&#10;AQAADwAAAAAAAAAAAAAAAADWBAAAZHJzL2Rvd25yZXYueG1sUEsFBgAAAAAEAAQA8wAAAN8FAAAA&#10;AA==&#10;" filled="f" stroked="f">
              <v:textbox style="mso-fit-shape-to-text:t">
                <w:txbxContent>
                  <w:p w:rsidR="002045A9" w:rsidRPr="00E11E0D" w:rsidRDefault="002045A9" w:rsidP="00F22583">
                    <w:pPr>
                      <w:pStyle w:val="af"/>
                      <w:spacing w:before="0" w:beforeAutospacing="0" w:after="0" w:afterAutospacing="0"/>
                      <w:textAlignment w:val="baseline"/>
                      <w:rPr>
                        <w:color w:val="948A54"/>
                      </w:rPr>
                    </w:pPr>
                    <w:r w:rsidRPr="00E11E0D">
                      <w:rPr>
                        <w:i/>
                        <w:iCs/>
                        <w:color w:val="948A54"/>
                        <w:kern w:val="24"/>
                        <w:sz w:val="44"/>
                        <w:szCs w:val="44"/>
                      </w:rPr>
                      <w:t>ф</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2FF76B6D" wp14:editId="41E0FE67">
              <wp:simplePos x="0" y="0"/>
              <wp:positionH relativeFrom="column">
                <wp:posOffset>5250815</wp:posOffset>
              </wp:positionH>
              <wp:positionV relativeFrom="paragraph">
                <wp:posOffset>-387350</wp:posOffset>
              </wp:positionV>
              <wp:extent cx="408940" cy="379095"/>
              <wp:effectExtent l="0" t="0" r="0" b="0"/>
              <wp:wrapNone/>
              <wp:docPr id="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940" cy="379095"/>
                      </a:xfrm>
                      <a:prstGeom prst="rect">
                        <a:avLst/>
                      </a:prstGeom>
                    </wps:spPr>
                    <wps:txbx>
                      <w:txbxContent>
                        <w:p w:rsidR="002045A9" w:rsidRPr="009C27DD" w:rsidRDefault="002045A9" w:rsidP="00F22583">
                          <w:pPr>
                            <w:pStyle w:val="af"/>
                            <w:spacing w:before="0" w:beforeAutospacing="0" w:after="0" w:afterAutospacing="0"/>
                            <w:textAlignment w:val="baseline"/>
                            <w:rPr>
                              <w:color w:val="003300"/>
                            </w:rPr>
                          </w:pPr>
                          <w:r w:rsidRPr="009C27DD">
                            <w:rPr>
                              <w:color w:val="003300"/>
                              <w:kern w:val="24"/>
                              <w:sz w:val="40"/>
                              <w:szCs w:val="40"/>
                            </w:rPr>
                            <w:t>М</w:t>
                          </w:r>
                        </w:p>
                      </w:txbxContent>
                    </wps:txbx>
                    <wps:bodyPr wrap="none">
                      <a:normAutofit lnSpcReduction="10000"/>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413.45pt;margin-top:-30.5pt;width:32.2pt;height:29.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b7wgEAADcDAAAOAAAAZHJzL2Uyb0RvYy54bWysUs1uEzEQviPxDpbvxJu2lGaVTYVUwaWC&#10;itAHcLx21mL9I9vJbm5IXJF4BB6CSwW0z+C8EWPvJvzdEHsY7Xhmvvm+mZlf9qpFW+68NLrC00mB&#10;EdfM1FKvK3z79sWTC4x8oLqmrdG8wjvu8eXi8aN5Z0t+YhrT1twhANG+7GyFmxBsSYhnDVfUT4zl&#10;GoLCOEUDuG5Nakc7QFctOSmKc9IZV1tnGPceXq+GIF5kfCE4C6+F8DygtsLALWTrsl0lSxZzWq4d&#10;tY1kIw36DywUlRqaHqGuaKBo4+RfUEoyZ7wRYcKMIkYIyXjWAGqmxR9qlg21PGuB4Xh7HJP/f7Ds&#10;1fbGIVlX+BQjTRWsKH7ev99/it/jw/5D/BIf4rf9x3gf7+JXND1PA+usL6FuaW9ckuzttWHvPATI&#10;b5Hk+DGnF06lXBCM+jz93XH6vA+IweNZcTE7gx0xCJ0+mxWzp6kZoeWh2DofXnKjUPqpsIPl5pnT&#10;7bUPQ+ohZeQytE9EQr/qs8zpQcHK1DuQ3sHuK6zhODOWhkt7vglGSDgZvbTsDa83LAzXXcCXOSXE&#10;oX5sBNvJVMdLSuv/1c9ZP+998QMAAP//AwBQSwMEFAAGAAgAAAAhADxy87PgAAAACgEAAA8AAABk&#10;cnMvZG93bnJldi54bWxMj0FLw0AQhe+C/2EZwVu7ScWYxGyKCLkIClbB9jbNrkkwOxuymyb9944n&#10;expm3uPN94rtYntxMqPvHCmI1xEIQ7XTHTUKPj+qVQrCBySNvSOj4Gw8bMvrqwJz7WZ6N6ddaASH&#10;kM9RQRvCkEvp69ZY9Gs3GGLt240WA69jI/WIM4fbXm6iKJEWO+IPLQ7muTX1z26yCpJ9dZ5Smh9e&#10;7wd9yCqkl7fuS6nbm+XpEUQwS/g3wx8+o0PJTEc3kfaiV5BukoytClZJzKXYkWbxHYgjX3jKspCX&#10;FcpfAAAA//8DAFBLAQItABQABgAIAAAAIQC2gziS/gAAAOEBAAATAAAAAAAAAAAAAAAAAAAAAABb&#10;Q29udGVudF9UeXBlc10ueG1sUEsBAi0AFAAGAAgAAAAhADj9If/WAAAAlAEAAAsAAAAAAAAAAAAA&#10;AAAALwEAAF9yZWxzLy5yZWxzUEsBAi0AFAAGAAgAAAAhAK6ktvvCAQAANwMAAA4AAAAAAAAAAAAA&#10;AAAALgIAAGRycy9lMm9Eb2MueG1sUEsBAi0AFAAGAAgAAAAhADxy87PgAAAACgEAAA8AAAAAAAAA&#10;AAAAAAAAHAQAAGRycy9kb3ducmV2LnhtbFBLBQYAAAAABAAEAPMAAAApBQAAAAA=&#10;" filled="f" stroked="f">
              <v:path arrowok="t"/>
              <v:textbox>
                <w:txbxContent>
                  <w:p w:rsidR="002045A9" w:rsidRPr="009C27DD" w:rsidRDefault="002045A9" w:rsidP="00F22583">
                    <w:pPr>
                      <w:pStyle w:val="af"/>
                      <w:spacing w:before="0" w:beforeAutospacing="0" w:after="0" w:afterAutospacing="0"/>
                      <w:textAlignment w:val="baseline"/>
                      <w:rPr>
                        <w:color w:val="003300"/>
                      </w:rPr>
                    </w:pPr>
                    <w:r w:rsidRPr="009C27DD">
                      <w:rPr>
                        <w:color w:val="003300"/>
                        <w:kern w:val="24"/>
                        <w:sz w:val="40"/>
                        <w:szCs w:val="40"/>
                      </w:rPr>
                      <w:t>М</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6F8C8C08" wp14:editId="7DE50E35">
              <wp:simplePos x="0" y="0"/>
              <wp:positionH relativeFrom="column">
                <wp:posOffset>5652135</wp:posOffset>
              </wp:positionH>
              <wp:positionV relativeFrom="paragraph">
                <wp:posOffset>-362585</wp:posOffset>
              </wp:positionV>
              <wp:extent cx="250825" cy="325120"/>
              <wp:effectExtent l="0" t="0" r="0" b="0"/>
              <wp:wrapNone/>
              <wp:docPr id="4"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8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5A9" w:rsidRPr="009C27DD" w:rsidRDefault="002045A9" w:rsidP="00F22583">
                          <w:pPr>
                            <w:pStyle w:val="af"/>
                            <w:spacing w:before="0" w:beforeAutospacing="0" w:after="0" w:afterAutospacing="0"/>
                            <w:textAlignment w:val="baseline"/>
                            <w:rPr>
                              <w:color w:val="003300"/>
                            </w:rPr>
                          </w:pPr>
                          <w:r w:rsidRPr="009C27DD">
                            <w:rPr>
                              <w:color w:val="003300"/>
                              <w:kern w:val="24"/>
                              <w:sz w:val="32"/>
                              <w:szCs w:val="32"/>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445.05pt;margin-top:-28.55pt;width:19.75pt;height:25.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IqQIAAGwFAAAOAAAAZHJzL2Uyb0RvYy54bWysVMtu1DAU3SPxD5b3aR7NPBI1U7WTCZsC&#10;lQof4EmciUViR7aZTIWQkNgi8Ql8BBvEo9+Q+SOuPa9Ou0FAFlb8Ovece4/v2fmqqdGSSsUET7B/&#10;4mFEeS4KxhcJfv0qc8YYKU14QWrBaYJvqcLnk6dPzro2poGoRF1QiQCEq7hrE1xp3cauq/KKNkSd&#10;iJZy2CyFbIiGqVy4hSQdoDe1G3je0O2ELFopcqoUrKabTTyx+GVJc/2yLBXVqE4wcNN2lHacm9Gd&#10;nJF4IUlbsXxLg/wFi4YwDkH3UCnRBL2V7BFUw3IplCj1SS4aV5Qly6nVAGp874Gam4q01GqB5Kh2&#10;nyb1/2DzF8triViR4BAjThooUf9l/WH9uf/Z360/9l/7u/7H+lP/q//Wf0fByCSsa1UM927aa2kk&#10;q/ZK5G8U4mJaEb6gF6qFtIMZAHC3JKXoKkoKYO4bCPcIw0wUoKF591wUQIG81cKmc1XKxsSARKGV&#10;rdrtvmp0pVEOi8HAGwcDjHLYOg0GfmCr6pJ4d7mVSj+jokHmJ8ES2FlwsrxS2pAh8e6IicVFxura&#10;GqPmRwtwcLMCoeGq2TMkbJ3fRV40G8/GoRMGw5kTemnqXGTT0Blm/miQnqbTaeq/N3H9MK5YUVBu&#10;wuw854d/VtOt+zdu2btOiZoVBs5QUnIxn9YSLQl4PrOfTTnsHI65xzRsEkDLA0l+EHqXQeRkw/HI&#10;CbNw4EQjb+x4fnQZDb0wCtPsWNIV4/TfJaEuwdEAamrlHEg/0ObZ77E2EjdMQ1epWZPg8f4QiY0D&#10;Z7ywpdWE1Zv/e6kw9A+pgHLvCm39aiy6cb9ezVf20QS79zAXxS0YuINOkmAOrW7Dvb0AJ2fMusy4&#10;fHNs63940jbYtv2YnnF/bk8dmuTkNwAAAP//AwBQSwMEFAAGAAgAAAAhAHyOyjjfAAAACgEAAA8A&#10;AABkcnMvZG93bnJldi54bWxMj8tOwzAQRfdI/IM1SGxQazeC0qRxKoR4SO2K0g9wYzexiMeR7aTh&#10;75muym4eR3fOlJvJdWw0IVqPEhZzAcxg7bXFRsLh+322AhaTQq06j0bCr4mwqW5vSlVof8YvM+5T&#10;wygEY6EktCn1Beexbo1Tce57g7Q7+eBUojY0XAd1pnDX8UyIJXfKIl1oVW9eW1P/7Acn4fEj277Z&#10;B7GzbhzUYcuD+MSdlPd308saWDJTusJw0Sd1qMjp6AfUkXUSVrlYECph9vRMBRF5li+BHS+THHhV&#10;8v8vVH8AAAD//wMAUEsBAi0AFAAGAAgAAAAhALaDOJL+AAAA4QEAABMAAAAAAAAAAAAAAAAAAAAA&#10;AFtDb250ZW50X1R5cGVzXS54bWxQSwECLQAUAAYACAAAACEAOP0h/9YAAACUAQAACwAAAAAAAAAA&#10;AAAAAAAvAQAAX3JlbHMvLnJlbHNQSwECLQAUAAYACAAAACEAtP5fSKkCAABsBQAADgAAAAAAAAAA&#10;AAAAAAAuAgAAZHJzL2Uyb0RvYy54bWxQSwECLQAUAAYACAAAACEAfI7KON8AAAAKAQAADwAAAAAA&#10;AAAAAAAAAAADBQAAZHJzL2Rvd25yZXYueG1sUEsFBgAAAAAEAAQA8wAAAA8GAAAAAA==&#10;" filled="f" stroked="f">
              <o:lock v:ext="edit" aspectratio="t"/>
              <v:textbox style="mso-fit-shape-to-text:t">
                <w:txbxContent>
                  <w:p w:rsidR="002045A9" w:rsidRPr="009C27DD" w:rsidRDefault="002045A9" w:rsidP="00F22583">
                    <w:pPr>
                      <w:pStyle w:val="af"/>
                      <w:spacing w:before="0" w:beforeAutospacing="0" w:after="0" w:afterAutospacing="0"/>
                      <w:textAlignment w:val="baseline"/>
                      <w:rPr>
                        <w:color w:val="003300"/>
                      </w:rPr>
                    </w:pPr>
                    <w:r w:rsidRPr="009C27DD">
                      <w:rPr>
                        <w:color w:val="003300"/>
                        <w:kern w:val="24"/>
                        <w:sz w:val="32"/>
                        <w:szCs w:val="32"/>
                      </w:rPr>
                      <w:t>]</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575EF878" wp14:editId="716EFF1D">
              <wp:simplePos x="0" y="0"/>
              <wp:positionH relativeFrom="column">
                <wp:posOffset>-36195</wp:posOffset>
              </wp:positionH>
              <wp:positionV relativeFrom="paragraph">
                <wp:posOffset>64770</wp:posOffset>
              </wp:positionV>
              <wp:extent cx="5851525" cy="14605"/>
              <wp:effectExtent l="0" t="0" r="15875"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1525" cy="14605"/>
                      </a:xfrm>
                      <a:prstGeom prst="line">
                        <a:avLst/>
                      </a:prstGeom>
                      <a:ln w="19050">
                        <a:solidFill>
                          <a:srgbClr val="00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wfHQIAAFAEAAAOAAAAZHJzL2Uyb0RvYy54bWysVE1u1DAU3iNxB8t7JsmUVCWaTBetyqaC&#10;EYUDeBx7xsKxLdtMMjtgjdQjcAUWIFUqcIbkRjw7mVB+hARiY9l+7/ve9z6/ZHHa1hLtmHVCqxJn&#10;sxQjpqiuhNqU+MXziwcnGDlPVEWkVqzEe+bw6fL+vUVjCjbXWy0rZhGQKFc0psRb702RJI5uWU3c&#10;TBumIMi1rYmHo90klSUNsNcymafpcdJoWxmrKXMObs+HIF5Gfs4Z9U85d8wjWWLQ5uNq47oOa7Jc&#10;kGJjidkKOsog/6CiJkJB0YnqnHiCXlnxC1UtqNVOcz+juk4054Ky2AN0k6U/dXO1JYbFXsAcZyab&#10;3P+jpU92K4tEVeIcI0VqeKLuff+6v+4+dx/6a9S/6b52n7qP3U33pbvp38L+tn8H+xDsbsfra5QH&#10;JxvjCiA8UysbvKCtujKXmr50EEt+CIaDM0Nay20d0sEM1MaX2U8vw1qPKFzmJ3mWz0EihVj28DiN&#10;9RJSHMDGOv+Y6RqFTYmlUME4UpDdpfOhPCkOKeFaKtQA0aM0T2Oa01JUF0LKEHR2sz6TFu1IGJr0&#10;6CiNcwIUd9LgJNXY1tBJ7MnvJRsKPGMcfAXt2VAhTDSbaAmlTPksuBaZIDvAOEiYgKO0PwHH/ABl&#10;cdr/BjwhYmWt/ASuhdL2d7J9e5DMh/yDA0PfwYK1rvYre3hxGNvY4fiJhe/i7jnCv/8Ilt8AAAD/&#10;/wMAUEsDBBQABgAIAAAAIQBKVyDC3gAAAAgBAAAPAAAAZHJzL2Rvd25yZXYueG1sTI9BS8NAEIXv&#10;gv9hGcFbu9tAbE2zKSKGCoJg2oPHbXaaBLOzIbtp4793POlx3nu8+V6+m10vLjiGzpOG1VKBQKq9&#10;7ajRcDyUiw2IEA1Z03tCDd8YYFfc3uQms/5KH3ipYiO4hEJmNLQxDpmUoW7RmbD0AxJ7Zz86E/kc&#10;G2lHc+Vy18tEqQfpTEf8oTUDPrdYf1WT01BtDmp6d5+v+/1bXb4Mx349V6XW93fz0xZExDn+heEX&#10;n9GhYKaTn8gG0WtYpGtOsq4SEOw/rlKecmIhSUEWufw/oPgBAAD//wMAUEsBAi0AFAAGAAgAAAAh&#10;ALaDOJL+AAAA4QEAABMAAAAAAAAAAAAAAAAAAAAAAFtDb250ZW50X1R5cGVzXS54bWxQSwECLQAU&#10;AAYACAAAACEAOP0h/9YAAACUAQAACwAAAAAAAAAAAAAAAAAvAQAAX3JlbHMvLnJlbHNQSwECLQAU&#10;AAYACAAAACEAMy9sHx0CAABQBAAADgAAAAAAAAAAAAAAAAAuAgAAZHJzL2Uyb0RvYy54bWxQSwEC&#10;LQAUAAYACAAAACEASlcgwt4AAAAIAQAADwAAAAAAAAAAAAAAAAB3BAAAZHJzL2Rvd25yZXYueG1s&#10;UEsFBgAAAAAEAAQA8wAAAIIFAAAAAA==&#10;" strokecolor="#03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8" w:type="dxa"/>
      <w:tblInd w:w="-34" w:type="dxa"/>
      <w:tblBorders>
        <w:left w:val="single" w:sz="4" w:space="0" w:color="FFFFFF"/>
        <w:insideH w:val="single" w:sz="12" w:space="0" w:color="003300"/>
        <w:insideV w:val="single" w:sz="12" w:space="0" w:color="003300"/>
      </w:tblBorders>
      <w:tblLayout w:type="fixed"/>
      <w:tblLook w:val="00A0" w:firstRow="1" w:lastRow="0" w:firstColumn="1" w:lastColumn="0" w:noHBand="0" w:noVBand="0"/>
    </w:tblPr>
    <w:tblGrid>
      <w:gridCol w:w="7655"/>
      <w:gridCol w:w="1623"/>
    </w:tblGrid>
    <w:tr w:rsidR="002045A9" w:rsidRPr="00E11E0D" w:rsidTr="00860CFA">
      <w:trPr>
        <w:trHeight w:val="547"/>
      </w:trPr>
      <w:tc>
        <w:tcPr>
          <w:tcW w:w="7655" w:type="dxa"/>
        </w:tcPr>
        <w:p w:rsidR="002045A9" w:rsidRPr="00E11E0D" w:rsidRDefault="002045A9" w:rsidP="00585740">
          <w:pPr>
            <w:pStyle w:val="ab"/>
            <w:ind w:left="-846" w:firstLine="846"/>
            <w:jc w:val="right"/>
            <w:rPr>
              <w:b/>
              <w:color w:val="003300"/>
            </w:rPr>
          </w:pPr>
          <w:r w:rsidRPr="00585740">
            <w:rPr>
              <w:b/>
              <w:color w:val="003300"/>
              <w:sz w:val="22"/>
            </w:rPr>
            <w:t>Основные направления бюджетной, налоговой и таможенно-тарифной политики на 2019 год и плановый период 2020 и 2021 годов</w:t>
          </w:r>
        </w:p>
      </w:tc>
      <w:tc>
        <w:tcPr>
          <w:tcW w:w="1623" w:type="dxa"/>
        </w:tcPr>
        <w:p w:rsidR="002045A9" w:rsidRPr="00E11E0D" w:rsidRDefault="002045A9" w:rsidP="00860CFA">
          <w:pPr>
            <w:pStyle w:val="ab"/>
            <w:jc w:val="right"/>
            <w:rPr>
              <w:b/>
              <w:color w:val="003300"/>
            </w:rPr>
          </w:pPr>
        </w:p>
      </w:tc>
    </w:tr>
  </w:tbl>
  <w:p w:rsidR="002045A9" w:rsidRDefault="002045A9">
    <w:pPr>
      <w:pStyle w:val="ab"/>
    </w:pPr>
    <w:r>
      <w:rPr>
        <w:noProof/>
        <w:lang w:eastAsia="ru-RU"/>
      </w:rPr>
      <w:drawing>
        <wp:anchor distT="0" distB="0" distL="114300" distR="114300" simplePos="0" relativeHeight="251663360" behindDoc="0" locked="0" layoutInCell="1" allowOverlap="1" wp14:anchorId="4A3DEE7A" wp14:editId="44F28A39">
          <wp:simplePos x="0" y="0"/>
          <wp:positionH relativeFrom="column">
            <wp:posOffset>4833620</wp:posOffset>
          </wp:positionH>
          <wp:positionV relativeFrom="paragraph">
            <wp:posOffset>-432435</wp:posOffset>
          </wp:positionV>
          <wp:extent cx="467360" cy="474345"/>
          <wp:effectExtent l="0" t="0" r="8890" b="1905"/>
          <wp:wrapNone/>
          <wp:docPr id="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27AD869F" wp14:editId="47125A67">
              <wp:simplePos x="0" y="0"/>
              <wp:positionH relativeFrom="column">
                <wp:posOffset>5474335</wp:posOffset>
              </wp:positionH>
              <wp:positionV relativeFrom="paragraph">
                <wp:posOffset>-401320</wp:posOffset>
              </wp:positionV>
              <wp:extent cx="381635" cy="412750"/>
              <wp:effectExtent l="0" t="0" r="0" b="6350"/>
              <wp:wrapNone/>
              <wp:docPr id="1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5A9" w:rsidRPr="00E11E0D" w:rsidRDefault="002045A9" w:rsidP="00585740">
                          <w:pPr>
                            <w:pStyle w:val="af"/>
                            <w:spacing w:before="0" w:beforeAutospacing="0" w:after="0" w:afterAutospacing="0"/>
                            <w:textAlignment w:val="baseline"/>
                            <w:rPr>
                              <w:color w:val="948A54"/>
                            </w:rPr>
                          </w:pPr>
                          <w:r w:rsidRPr="00E11E0D">
                            <w:rPr>
                              <w:i/>
                              <w:iCs/>
                              <w:color w:val="948A54"/>
                              <w:kern w:val="24"/>
                              <w:sz w:val="44"/>
                              <w:szCs w:val="44"/>
                            </w:rPr>
                            <w:t>ф</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31.05pt;margin-top:-31.6pt;width:30.05pt;height: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bxfwIAAFEFAAAOAAAAZHJzL2Uyb0RvYy54bWysVNuOmzAQfa/Uf7D8znKJkwAKWWVD6Mv2&#10;Iu32AxwwwSrYyPYGVlX/vWOTy15eqrY8ILDHZ87MOZ7V7di16MiU5lJkOLwJMGKilBUXhwx/fyy8&#10;GCNtqKhoKwXL8DPT+Hb98cNq6FMWyUa2FVMIQIROhz7DjTF96vu6bFhH9Y3smYDNWqqOGvhVB79S&#10;dAD0rvWjIFj4g1RVr2TJtIbVfNrEa4df16w0X+taM4PaDAM3497Kvff27a9XND0o2je8PNGgf8Gi&#10;o1xA0gtUTg1FT4q/g+p4qaSWtbkpZefLuuYlczVANWHwppqHhvbM1QLN0f2lTfr/wZZfjt8U4hVo&#10;RzAStAONHtlo7uSIwpltz9DrFKIeeogzI6xDqCtV9/ey/KGRkNuGigPbKCWHhtEK6IX2pP/i6ISj&#10;Lch++CwrSEOfjHRAY6062zvoBgJ0kOn5Ig1QQSUszuJwMZtjVMIWCaPl3Enn0/R8uFfafGKyQ/Yj&#10;wwqUd+D0eK+NJUPTc4jNJWTB29ap34pXCxA4rUBqOGr3LAkn5s8kSHbxLiYeiRY7jwR57m2KLfEW&#10;Rbic57N8u83DXzZvSNKGVxUTNs3ZWCH5M+FOFp8scbGWli2vLJylpNVhv20VOlIwduEe13LYuYb5&#10;r2m4JkAtb0oKIxLcRYlXLOKlRwoy95JlEHtBmNwli4AkJC9el3TPBfv3ktCQ4WQezScvXUm/qS1w&#10;z/vaaNpxA6Oj5V2G40sQTa0Dd6Jy0hrK2+n7RSss/WsrQO6z0M6v1qKTWc24H93NuFyDvayewcAD&#10;jIsMC5hnE/d+A04uuHOZtfwUdvI/3FuX7DRj7GB4+e+irpNw/RsAAP//AwBQSwMEFAAGAAgAAAAh&#10;AGHk+PrcAAAACQEAAA8AAABkcnMvZG93bnJldi54bWxMj8FOwzAMhu9IvENkJG5b2gBV1zWd0IAz&#10;MHiArDFt18apmmwrPD3mxG62/On395eb2Q3ihFPoPGlIlwkIpNrbjhoNnx8vixxEiIasGTyhhm8M&#10;sKmur0pTWH+mdzztYiM4hEJhNLQxjoWUoW7RmbD0IxLfvvzkTOR1aqSdzJnD3SBVkmTSmY74Q2tG&#10;3LZY97uj05An7rXvV+otuPuf9KHdPvnn8aD17c38uAYRcY7/MPzpszpU7LT3R7JBDJyRqZRRDYvs&#10;ToFgYqUUD3tGc5BVKS8bVL8AAAD//wMAUEsBAi0AFAAGAAgAAAAhALaDOJL+AAAA4QEAABMAAAAA&#10;AAAAAAAAAAAAAAAAAFtDb250ZW50X1R5cGVzXS54bWxQSwECLQAUAAYACAAAACEAOP0h/9YAAACU&#10;AQAACwAAAAAAAAAAAAAAAAAvAQAAX3JlbHMvLnJlbHNQSwECLQAUAAYACAAAACEAmJyG8X8CAABR&#10;BQAADgAAAAAAAAAAAAAAAAAuAgAAZHJzL2Uyb0RvYy54bWxQSwECLQAUAAYACAAAACEAYeT4+twA&#10;AAAJAQAADwAAAAAAAAAAAAAAAADZBAAAZHJzL2Rvd25yZXYueG1sUEsFBgAAAAAEAAQA8wAAAOIF&#10;AAAAAA==&#10;" filled="f" stroked="f">
              <v:textbox style="mso-fit-shape-to-text:t">
                <w:txbxContent>
                  <w:p w:rsidR="002045A9" w:rsidRPr="00E11E0D" w:rsidRDefault="002045A9" w:rsidP="00585740">
                    <w:pPr>
                      <w:pStyle w:val="af"/>
                      <w:spacing w:before="0" w:beforeAutospacing="0" w:after="0" w:afterAutospacing="0"/>
                      <w:textAlignment w:val="baseline"/>
                      <w:rPr>
                        <w:color w:val="948A54"/>
                      </w:rPr>
                    </w:pPr>
                    <w:r w:rsidRPr="00E11E0D">
                      <w:rPr>
                        <w:i/>
                        <w:iCs/>
                        <w:color w:val="948A54"/>
                        <w:kern w:val="24"/>
                        <w:sz w:val="44"/>
                        <w:szCs w:val="44"/>
                      </w:rPr>
                      <w:t>ф</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622F6B0" wp14:editId="265E8C8A">
              <wp:simplePos x="0" y="0"/>
              <wp:positionH relativeFrom="column">
                <wp:posOffset>5250815</wp:posOffset>
              </wp:positionH>
              <wp:positionV relativeFrom="paragraph">
                <wp:posOffset>-387350</wp:posOffset>
              </wp:positionV>
              <wp:extent cx="408940" cy="379095"/>
              <wp:effectExtent l="0" t="0" r="0" b="0"/>
              <wp:wrapNone/>
              <wp:docPr id="1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940" cy="379095"/>
                      </a:xfrm>
                      <a:prstGeom prst="rect">
                        <a:avLst/>
                      </a:prstGeom>
                    </wps:spPr>
                    <wps:txbx>
                      <w:txbxContent>
                        <w:p w:rsidR="002045A9" w:rsidRPr="009C27DD" w:rsidRDefault="002045A9" w:rsidP="00585740">
                          <w:pPr>
                            <w:pStyle w:val="af"/>
                            <w:spacing w:before="0" w:beforeAutospacing="0" w:after="0" w:afterAutospacing="0"/>
                            <w:textAlignment w:val="baseline"/>
                            <w:rPr>
                              <w:color w:val="003300"/>
                            </w:rPr>
                          </w:pPr>
                          <w:r w:rsidRPr="009C27DD">
                            <w:rPr>
                              <w:color w:val="003300"/>
                              <w:kern w:val="24"/>
                              <w:sz w:val="40"/>
                              <w:szCs w:val="40"/>
                            </w:rPr>
                            <w:t>М</w:t>
                          </w:r>
                        </w:p>
                      </w:txbxContent>
                    </wps:txbx>
                    <wps:bodyPr wrap="none">
                      <a:normAutofit lnSpcReduction="10000"/>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13.45pt;margin-top:-30.5pt;width:32.2pt;height:29.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BZwgEAADgDAAAOAAAAZHJzL2Uyb0RvYy54bWysUkuOEzEQ3SNxB8t74s4QZiatdEZII9iM&#10;YETgAI7bTlu0P7KddGeHxBaJI3AINiM+cwbnRpTdnfDbIXphtV1Vr96rV4urXrVox52XRld4Oikw&#10;4pqZWupNhd+8fvboEiMfqK5pazSv8J57fLV8+GDR2ZKfmca0NXcIQLQvO1vhJgRbEuJZwxX1E2O5&#10;hqAwTtEAV7chtaMdoKuWnBXFOemMq60zjHsPr9dDEC8zvhCchZdCeB5QW2HgFvLp8rlOJ1kuaLlx&#10;1DaSjTToP7BQVGpoeoK6poGirZN/QSnJnPFGhAkzihghJONZA6iZFn+oWTXU8qwFhuPtaUz+/8Gy&#10;F7tbh2QN3l1gpKkCj+Knw7vDx/gt3h/ex8/xPn49fIjf4138gqbnaWKd9SUUruytS5q9vTHsrYcA&#10;+S2SLn7M6YVTKRcUoz6Pf38aP+8DYvA4Ky7nMzCJQejxxbyYP0nNCC2Pxdb58JwbhdJPhR24m4dO&#10;dzc+DKnHlJHL0D4RCf26zzpnRwVrU+9BewfmV1jDdmYsDav2dBuMkLAzemXZK15vWRjWu4Avc0qI&#10;Q/3YCOzJVMdVSv7/es9ZPxd++QMAAP//AwBQSwMEFAAGAAgAAAAhADxy87PgAAAACgEAAA8AAABk&#10;cnMvZG93bnJldi54bWxMj0FLw0AQhe+C/2EZwVu7ScWYxGyKCLkIClbB9jbNrkkwOxuymyb9944n&#10;expm3uPN94rtYntxMqPvHCmI1xEIQ7XTHTUKPj+qVQrCBySNvSOj4Gw8bMvrqwJz7WZ6N6ddaASH&#10;kM9RQRvCkEvp69ZY9Gs3GGLt240WA69jI/WIM4fbXm6iKJEWO+IPLQ7muTX1z26yCpJ9dZ5Smh9e&#10;7wd9yCqkl7fuS6nbm+XpEUQwS/g3wx8+o0PJTEc3kfaiV5BukoytClZJzKXYkWbxHYgjX3jKspCX&#10;FcpfAAAA//8DAFBLAQItABQABgAIAAAAIQC2gziS/gAAAOEBAAATAAAAAAAAAAAAAAAAAAAAAABb&#10;Q29udGVudF9UeXBlc10ueG1sUEsBAi0AFAAGAAgAAAAhADj9If/WAAAAlAEAAAsAAAAAAAAAAAAA&#10;AAAALwEAAF9yZWxzLy5yZWxzUEsBAi0AFAAGAAgAAAAhAAa1gFnCAQAAOAMAAA4AAAAAAAAAAAAA&#10;AAAALgIAAGRycy9lMm9Eb2MueG1sUEsBAi0AFAAGAAgAAAAhADxy87PgAAAACgEAAA8AAAAAAAAA&#10;AAAAAAAAHAQAAGRycy9kb3ducmV2LnhtbFBLBQYAAAAABAAEAPMAAAApBQAAAAA=&#10;" filled="f" stroked="f">
              <v:path arrowok="t"/>
              <v:textbox>
                <w:txbxContent>
                  <w:p w:rsidR="002045A9" w:rsidRPr="009C27DD" w:rsidRDefault="002045A9" w:rsidP="00585740">
                    <w:pPr>
                      <w:pStyle w:val="af"/>
                      <w:spacing w:before="0" w:beforeAutospacing="0" w:after="0" w:afterAutospacing="0"/>
                      <w:textAlignment w:val="baseline"/>
                      <w:rPr>
                        <w:color w:val="003300"/>
                      </w:rPr>
                    </w:pPr>
                    <w:r w:rsidRPr="009C27DD">
                      <w:rPr>
                        <w:color w:val="003300"/>
                        <w:kern w:val="24"/>
                        <w:sz w:val="40"/>
                        <w:szCs w:val="40"/>
                      </w:rPr>
                      <w:t>М</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1442525E" wp14:editId="4F5E9785">
              <wp:simplePos x="0" y="0"/>
              <wp:positionH relativeFrom="column">
                <wp:posOffset>5652135</wp:posOffset>
              </wp:positionH>
              <wp:positionV relativeFrom="paragraph">
                <wp:posOffset>-362585</wp:posOffset>
              </wp:positionV>
              <wp:extent cx="250825" cy="325120"/>
              <wp:effectExtent l="0" t="0" r="0" b="0"/>
              <wp:wrapNone/>
              <wp:docPr id="18"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8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5A9" w:rsidRPr="009C27DD" w:rsidRDefault="002045A9" w:rsidP="00585740">
                          <w:pPr>
                            <w:pStyle w:val="af"/>
                            <w:spacing w:before="0" w:beforeAutospacing="0" w:after="0" w:afterAutospacing="0"/>
                            <w:textAlignment w:val="baseline"/>
                            <w:rPr>
                              <w:color w:val="003300"/>
                            </w:rPr>
                          </w:pPr>
                          <w:r w:rsidRPr="009C27DD">
                            <w:rPr>
                              <w:color w:val="003300"/>
                              <w:kern w:val="24"/>
                              <w:sz w:val="32"/>
                              <w:szCs w:val="32"/>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45.05pt;margin-top:-28.55pt;width:19.75pt;height:25.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RBqgIAAG0FAAAOAAAAZHJzL2Uyb0RvYy54bWysVMtu1DAU3SPxD1b2aR7NzCRRM1U7mbAp&#10;UKnwAZ7EmVgkdmSbyVQICYktEp/AR7BBPPoNmT/i2plHp90gIAsrfp17zr3H9+x83dRoRYSknCWW&#10;d+JaiLCcF5QtE+v1q8wOLSQVZgWuOSOJdUukdT59+uSsa2Pi84rXBREIQJiMuzaxKqXa2HFkXpEG&#10;yxPeEgabJRcNVjAVS6cQuAP0pnZ81x07HRdFK3hOpITVdNi0pga/LEmuXpalJArViQXclBmFGRd6&#10;dKZnOF4K3FY039LAf8GiwZRB0D1UihVGbwV9BNXQXHDJS3WS88bhZUlzYjSAGs99oOamwi0xWiA5&#10;st2nSf4/2PzF6logWkDtoFIMN1Cj/svmw+Zz/7O/23zsv/Z3/Y/Np/5X/63/jvyJzljXyhgu3rTX&#10;QmuW7RXP30jE+KzCbEkuZAt5B0QA3C0JwbuK4AKoexrCOcLQEwloaNE95wVQwG8VN/lcl6LRMSBT&#10;aG3KdrsvG1krlMOiP3JDf2ShHLZO/ZHnm7I6ON5dboVUzwhvkP5JLAHsDDheXUmlyeB4d0THYjyj&#10;dW2cUbOjBTg4rEBouKr3NAlT6HeRG83DeRjYgT+e24GbpvZFNgvsceZNRulpOpul3nsd1wviihYF&#10;YTrMznRe8GdF3dp/sMvedpLXtNBwmpIUy8WsFmiFwfSZ+UzKYedwzDmmYZIAWh5I8vzAvfQjOxuH&#10;EzvIgpEdTdzQdr3oMhq7QRSk2bGkK8rIv0tCXWJFI6ipkXMg/UCba77H2nDcUAVtpaZNYoX7QzjW&#10;DpyzwpRWYVoP//dSoekfUgHl3hXa+FVbdHC/Wi/W5tWMdu9hwYtbMHAHrSSxGPS6gXt7AU7OqHGZ&#10;dvlwbOt/eNMm2Lb/6KZxf25OHbrk9DcAAAD//wMAUEsDBBQABgAIAAAAIQB8jso43wAAAAoBAAAP&#10;AAAAZHJzL2Rvd25yZXYueG1sTI/LTsMwEEX3SPyDNUhsUGs3gtKkcSqEeEjtitIPcGM3sYjHke2k&#10;4e+ZrspuHkd3zpSbyXVsNCFajxIWcwHMYO21xUbC4ft9tgIWk0KtOo9Gwq+JsKlub0pVaH/GLzPu&#10;U8MoBGOhJLQp9QXnsW6NU3Hue4O0O/ngVKI2NFwHdaZw1/FMiCV3yiJdaFVvXltT/+wHJ+HxI9u+&#10;2Qexs24c1GHLg/jEnZT3d9PLGlgyU7rCcNEndajI6egH1JF1Ela5WBAqYfb0TAUReZYvgR0vkxx4&#10;VfL/L1R/AAAA//8DAFBLAQItABQABgAIAAAAIQC2gziS/gAAAOEBAAATAAAAAAAAAAAAAAAAAAAA&#10;AABbQ29udGVudF9UeXBlc10ueG1sUEsBAi0AFAAGAAgAAAAhADj9If/WAAAAlAEAAAsAAAAAAAAA&#10;AAAAAAAALwEAAF9yZWxzLy5yZWxzUEsBAi0AFAAGAAgAAAAhAB4l9EGqAgAAbQUAAA4AAAAAAAAA&#10;AAAAAAAALgIAAGRycy9lMm9Eb2MueG1sUEsBAi0AFAAGAAgAAAAhAHyOyjjfAAAACgEAAA8AAAAA&#10;AAAAAAAAAAAABAUAAGRycy9kb3ducmV2LnhtbFBLBQYAAAAABAAEAPMAAAAQBgAAAAA=&#10;" filled="f" stroked="f">
              <o:lock v:ext="edit" aspectratio="t"/>
              <v:textbox style="mso-fit-shape-to-text:t">
                <w:txbxContent>
                  <w:p w:rsidR="002045A9" w:rsidRPr="009C27DD" w:rsidRDefault="002045A9" w:rsidP="00585740">
                    <w:pPr>
                      <w:pStyle w:val="af"/>
                      <w:spacing w:before="0" w:beforeAutospacing="0" w:after="0" w:afterAutospacing="0"/>
                      <w:textAlignment w:val="baseline"/>
                      <w:rPr>
                        <w:color w:val="003300"/>
                      </w:rPr>
                    </w:pPr>
                    <w:r w:rsidRPr="009C27DD">
                      <w:rPr>
                        <w:color w:val="003300"/>
                        <w:kern w:val="24"/>
                        <w:sz w:val="32"/>
                        <w:szCs w:val="32"/>
                      </w:rPr>
                      <w:t>]</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7AE7AC12" wp14:editId="24C117D1">
              <wp:simplePos x="0" y="0"/>
              <wp:positionH relativeFrom="column">
                <wp:posOffset>-36195</wp:posOffset>
              </wp:positionH>
              <wp:positionV relativeFrom="paragraph">
                <wp:posOffset>64770</wp:posOffset>
              </wp:positionV>
              <wp:extent cx="5851525" cy="14605"/>
              <wp:effectExtent l="0" t="0" r="15875"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1525" cy="14605"/>
                      </a:xfrm>
                      <a:prstGeom prst="line">
                        <a:avLst/>
                      </a:prstGeom>
                      <a:ln w="19050">
                        <a:solidFill>
                          <a:srgbClr val="00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xWHAIAAFAEAAAOAAAAZHJzL2Uyb0RvYy54bWysVE2O0zAU3iNxB8t7mqRDZoao6SxmNGxG&#10;UDFwANexWwvHtmzTtDtgjdQjcAUWII00wBmSG/HspGH4ERKIjWW/933f+01mZ9taog2zTmhV4myS&#10;YsQU1ZVQqxK/eH754BQj54mqiNSKlXjHHD6b3783a0zBpnqtZcUsAhHlisaUeO29KZLE0TWriZto&#10;wxQ4ubY18fC0q6SypAH1WibTND1OGm0rYzVlzoH1onfiedTnnFH/lHPHPJIlhtx8PG08l+FM5jNS&#10;rCwxa0GHNMg/ZFEToSDoKHVBPEGvrPhFqhbUaqe5n1BdJ5pzQVmsAarJ0p+quV4Tw2It0Bxnxja5&#10;/ydLn2wWFomqxCcYKVLDiNr33etu335uP3R71L1pv7af2o/tTfulvenewv22ewf34GxvB/MenYRO&#10;NsYVIHiuFjb0gm7VtbnS9KUDX/KDMzyc6WFbbusAh2agbZzMbpwM23pEwZif5lk+zTGi4MseHqd5&#10;iJeQ4kA21vnHTNcoXEoshQqNIwXZXDnfQw+QYJYKNSD0KM3TCHNaiupSSBmczq6W59KiDQlLkx4d&#10;pXFPINodGLykGsrqK4k1+Z1kfYBnjENfIfesjxA2mo2yhFKmfDZUIRWgA41DCiNxSO1PxAEfqCxu&#10;+9+QR0aMrJUfybVQ2v4ubb89pMx7/KEDfd2hBUtd7Rb2MHFY2zin4RML38Xdd6R//xHMvwEAAP//&#10;AwBQSwMEFAAGAAgAAAAhAEpXIMLeAAAACAEAAA8AAABkcnMvZG93bnJldi54bWxMj0FLw0AQhe+C&#10;/2EZwVu720BsTbMpIoYKgmDag8dtdpoEs7Mhu2njv3c86XHee7z5Xr6bXS8uOIbOk4bVUoFAqr3t&#10;qNFwPJSLDYgQDVnTe0IN3xhgV9ze5Caz/kofeKliI7iEQmY0tDEOmZShbtGZsPQDEntnPzoT+Rwb&#10;aUdz5XLXy0SpB+lMR/yhNQM+t1h/VZPTUG0Oanp3n6/7/VtdvgzHfj1Xpdb3d/PTFkTEOf6F4Ref&#10;0aFgppOfyAbRa1ika06yrhIQ7D+uUp5yYiFJQRa5/D+g+AEAAP//AwBQSwECLQAUAAYACAAAACEA&#10;toM4kv4AAADhAQAAEwAAAAAAAAAAAAAAAAAAAAAAW0NvbnRlbnRfVHlwZXNdLnhtbFBLAQItABQA&#10;BgAIAAAAIQA4/SH/1gAAAJQBAAALAAAAAAAAAAAAAAAAAC8BAABfcmVscy8ucmVsc1BLAQItABQA&#10;BgAIAAAAIQCsTbxWHAIAAFAEAAAOAAAAAAAAAAAAAAAAAC4CAABkcnMvZTJvRG9jLnhtbFBLAQIt&#10;ABQABgAIAAAAIQBKVyDC3gAAAAgBAAAPAAAAAAAAAAAAAAAAAHYEAABkcnMvZG93bnJldi54bWxQ&#10;SwUGAAAAAAQABADzAAAAgQUAAAAA&#10;" strokecolor="#03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656"/>
    <w:multiLevelType w:val="hybridMultilevel"/>
    <w:tmpl w:val="ABE86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5026B"/>
    <w:multiLevelType w:val="hybridMultilevel"/>
    <w:tmpl w:val="F076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16C51"/>
    <w:multiLevelType w:val="hybridMultilevel"/>
    <w:tmpl w:val="117AF6E2"/>
    <w:lvl w:ilvl="0" w:tplc="9B105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80C2E"/>
    <w:multiLevelType w:val="hybridMultilevel"/>
    <w:tmpl w:val="89C01BD0"/>
    <w:lvl w:ilvl="0" w:tplc="6C30DDDC">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803925"/>
    <w:multiLevelType w:val="hybridMultilevel"/>
    <w:tmpl w:val="0292DADA"/>
    <w:lvl w:ilvl="0" w:tplc="880233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C4E60"/>
    <w:multiLevelType w:val="hybridMultilevel"/>
    <w:tmpl w:val="08A0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A7EF2"/>
    <w:multiLevelType w:val="multilevel"/>
    <w:tmpl w:val="C0087ACA"/>
    <w:lvl w:ilvl="0">
      <w:start w:val="5"/>
      <w:numFmt w:val="decimal"/>
      <w:lvlText w:val="%1."/>
      <w:lvlJc w:val="left"/>
      <w:pPr>
        <w:ind w:left="360" w:hanging="360"/>
      </w:pPr>
      <w:rPr>
        <w:rFonts w:cs="Times New Roman" w:hint="default"/>
      </w:rPr>
    </w:lvl>
    <w:lvl w:ilvl="1">
      <w:start w:val="1"/>
      <w:numFmt w:val="decimal"/>
      <w:pStyle w:val="1"/>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3EC832A2"/>
    <w:multiLevelType w:val="hybridMultilevel"/>
    <w:tmpl w:val="E3A4852C"/>
    <w:lvl w:ilvl="0" w:tplc="66424B7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5190CAB"/>
    <w:multiLevelType w:val="hybridMultilevel"/>
    <w:tmpl w:val="50D22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9D5778"/>
    <w:multiLevelType w:val="hybridMultilevel"/>
    <w:tmpl w:val="D520D870"/>
    <w:lvl w:ilvl="0" w:tplc="22D6E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42BC6"/>
    <w:multiLevelType w:val="hybridMultilevel"/>
    <w:tmpl w:val="ECF4CA5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DE5517"/>
    <w:multiLevelType w:val="hybridMultilevel"/>
    <w:tmpl w:val="35B271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EDF0AF7"/>
    <w:multiLevelType w:val="hybridMultilevel"/>
    <w:tmpl w:val="A9E4339E"/>
    <w:lvl w:ilvl="0" w:tplc="9B105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53833"/>
    <w:multiLevelType w:val="hybridMultilevel"/>
    <w:tmpl w:val="8F729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A33ADF"/>
    <w:multiLevelType w:val="multilevel"/>
    <w:tmpl w:val="9A704086"/>
    <w:lvl w:ilvl="0">
      <w:start w:val="1"/>
      <w:numFmt w:val="decimal"/>
      <w:pStyle w:val="a"/>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A21712F"/>
    <w:multiLevelType w:val="hybridMultilevel"/>
    <w:tmpl w:val="D1509B18"/>
    <w:lvl w:ilvl="0" w:tplc="9B105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1F537D"/>
    <w:multiLevelType w:val="hybridMultilevel"/>
    <w:tmpl w:val="2E024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0B159B"/>
    <w:multiLevelType w:val="multilevel"/>
    <w:tmpl w:val="F38028CC"/>
    <w:styleLink w:val="2"/>
    <w:lvl w:ilvl="0">
      <w:start w:val="1"/>
      <w:numFmt w:val="decimal"/>
      <w:suff w:val="space"/>
      <w:lvlText w:val="%1."/>
      <w:lvlJc w:val="left"/>
      <w:pPr>
        <w:ind w:left="11" w:hanging="11"/>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71273598"/>
    <w:multiLevelType w:val="hybridMultilevel"/>
    <w:tmpl w:val="9B580680"/>
    <w:lvl w:ilvl="0" w:tplc="9B105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12ECA"/>
    <w:multiLevelType w:val="hybridMultilevel"/>
    <w:tmpl w:val="6916F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845263"/>
    <w:multiLevelType w:val="hybridMultilevel"/>
    <w:tmpl w:val="B808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A322BB1"/>
    <w:multiLevelType w:val="hybridMultilevel"/>
    <w:tmpl w:val="A9FA742A"/>
    <w:lvl w:ilvl="0" w:tplc="9B105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7D627A"/>
    <w:multiLevelType w:val="hybridMultilevel"/>
    <w:tmpl w:val="E2E6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5A27AE"/>
    <w:multiLevelType w:val="hybridMultilevel"/>
    <w:tmpl w:val="6A5C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F7FE2"/>
    <w:multiLevelType w:val="multilevel"/>
    <w:tmpl w:val="C854E434"/>
    <w:styleLink w:val="10"/>
    <w:lvl w:ilvl="0">
      <w:start w:val="1"/>
      <w:numFmt w:val="decimal"/>
      <w:suff w:val="space"/>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14"/>
  </w:num>
  <w:num w:numId="2">
    <w:abstractNumId w:val="6"/>
  </w:num>
  <w:num w:numId="3">
    <w:abstractNumId w:val="24"/>
  </w:num>
  <w:num w:numId="4">
    <w:abstractNumId w:val="17"/>
  </w:num>
  <w:num w:numId="5">
    <w:abstractNumId w:val="20"/>
  </w:num>
  <w:num w:numId="6">
    <w:abstractNumId w:val="7"/>
  </w:num>
  <w:num w:numId="7">
    <w:abstractNumId w:val="11"/>
  </w:num>
  <w:num w:numId="8">
    <w:abstractNumId w:val="10"/>
  </w:num>
  <w:num w:numId="9">
    <w:abstractNumId w:val="3"/>
  </w:num>
  <w:num w:numId="10">
    <w:abstractNumId w:val="22"/>
  </w:num>
  <w:num w:numId="11">
    <w:abstractNumId w:val="19"/>
  </w:num>
  <w:num w:numId="12">
    <w:abstractNumId w:val="5"/>
  </w:num>
  <w:num w:numId="13">
    <w:abstractNumId w:val="0"/>
  </w:num>
  <w:num w:numId="14">
    <w:abstractNumId w:val="1"/>
  </w:num>
  <w:num w:numId="15">
    <w:abstractNumId w:val="16"/>
  </w:num>
  <w:num w:numId="16">
    <w:abstractNumId w:val="13"/>
  </w:num>
  <w:num w:numId="17">
    <w:abstractNumId w:val="8"/>
  </w:num>
  <w:num w:numId="18">
    <w:abstractNumId w:val="23"/>
  </w:num>
  <w:num w:numId="19">
    <w:abstractNumId w:val="15"/>
  </w:num>
  <w:num w:numId="20">
    <w:abstractNumId w:val="21"/>
  </w:num>
  <w:num w:numId="21">
    <w:abstractNumId w:val="12"/>
  </w:num>
  <w:num w:numId="22">
    <w:abstractNumId w:val="2"/>
  </w:num>
  <w:num w:numId="23">
    <w:abstractNumId w:val="18"/>
  </w:num>
  <w:num w:numId="24">
    <w:abstractNumId w:val="9"/>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9F"/>
    <w:rsid w:val="00000377"/>
    <w:rsid w:val="00001F20"/>
    <w:rsid w:val="000030DC"/>
    <w:rsid w:val="0001722C"/>
    <w:rsid w:val="00021B8A"/>
    <w:rsid w:val="00021C5D"/>
    <w:rsid w:val="00040C10"/>
    <w:rsid w:val="00050657"/>
    <w:rsid w:val="0005375F"/>
    <w:rsid w:val="000607DD"/>
    <w:rsid w:val="00065F19"/>
    <w:rsid w:val="000733E2"/>
    <w:rsid w:val="00084300"/>
    <w:rsid w:val="000B4C71"/>
    <w:rsid w:val="000C4C89"/>
    <w:rsid w:val="000D46E4"/>
    <w:rsid w:val="000D5091"/>
    <w:rsid w:val="000D6564"/>
    <w:rsid w:val="000D741B"/>
    <w:rsid w:val="000E0790"/>
    <w:rsid w:val="000E3427"/>
    <w:rsid w:val="001207C2"/>
    <w:rsid w:val="001312F0"/>
    <w:rsid w:val="001346DB"/>
    <w:rsid w:val="00154A6D"/>
    <w:rsid w:val="00185515"/>
    <w:rsid w:val="00190C95"/>
    <w:rsid w:val="001A0255"/>
    <w:rsid w:val="001A4DFC"/>
    <w:rsid w:val="001C5667"/>
    <w:rsid w:val="001C65BF"/>
    <w:rsid w:val="001D1492"/>
    <w:rsid w:val="001D4C30"/>
    <w:rsid w:val="001E1FEB"/>
    <w:rsid w:val="001E4EBD"/>
    <w:rsid w:val="002045A9"/>
    <w:rsid w:val="00212CCD"/>
    <w:rsid w:val="0021626F"/>
    <w:rsid w:val="002165A5"/>
    <w:rsid w:val="002424A9"/>
    <w:rsid w:val="00256A24"/>
    <w:rsid w:val="002577AA"/>
    <w:rsid w:val="002601A1"/>
    <w:rsid w:val="0026347B"/>
    <w:rsid w:val="00290DDF"/>
    <w:rsid w:val="002A0072"/>
    <w:rsid w:val="002A6E9F"/>
    <w:rsid w:val="002C1D5C"/>
    <w:rsid w:val="002C336D"/>
    <w:rsid w:val="002D5CAE"/>
    <w:rsid w:val="003211B7"/>
    <w:rsid w:val="0035417B"/>
    <w:rsid w:val="00365EEE"/>
    <w:rsid w:val="00372B30"/>
    <w:rsid w:val="003B1C42"/>
    <w:rsid w:val="003B7786"/>
    <w:rsid w:val="003E0B7B"/>
    <w:rsid w:val="0041722B"/>
    <w:rsid w:val="00430CF1"/>
    <w:rsid w:val="00440EE5"/>
    <w:rsid w:val="00446F0E"/>
    <w:rsid w:val="00452309"/>
    <w:rsid w:val="004B5A65"/>
    <w:rsid w:val="004B650D"/>
    <w:rsid w:val="004E165D"/>
    <w:rsid w:val="00504068"/>
    <w:rsid w:val="00515FE9"/>
    <w:rsid w:val="0053743A"/>
    <w:rsid w:val="005454EB"/>
    <w:rsid w:val="005469BE"/>
    <w:rsid w:val="00565B21"/>
    <w:rsid w:val="00585740"/>
    <w:rsid w:val="005A0BA7"/>
    <w:rsid w:val="005A766A"/>
    <w:rsid w:val="005B23B4"/>
    <w:rsid w:val="005C3875"/>
    <w:rsid w:val="005F0CF1"/>
    <w:rsid w:val="005F74AB"/>
    <w:rsid w:val="00655E5F"/>
    <w:rsid w:val="00660730"/>
    <w:rsid w:val="00662727"/>
    <w:rsid w:val="00674AC2"/>
    <w:rsid w:val="006F7B9E"/>
    <w:rsid w:val="007217A9"/>
    <w:rsid w:val="007506A6"/>
    <w:rsid w:val="007624AD"/>
    <w:rsid w:val="00770B9E"/>
    <w:rsid w:val="00790CE8"/>
    <w:rsid w:val="007C32AD"/>
    <w:rsid w:val="007C652A"/>
    <w:rsid w:val="007C6E89"/>
    <w:rsid w:val="007F10F0"/>
    <w:rsid w:val="007F412A"/>
    <w:rsid w:val="00800C70"/>
    <w:rsid w:val="00846082"/>
    <w:rsid w:val="008500E5"/>
    <w:rsid w:val="00860CFA"/>
    <w:rsid w:val="00860FE0"/>
    <w:rsid w:val="0086329C"/>
    <w:rsid w:val="00875568"/>
    <w:rsid w:val="00887874"/>
    <w:rsid w:val="00891E3F"/>
    <w:rsid w:val="008C397D"/>
    <w:rsid w:val="008D4796"/>
    <w:rsid w:val="00906C55"/>
    <w:rsid w:val="009139D0"/>
    <w:rsid w:val="00917B18"/>
    <w:rsid w:val="00925682"/>
    <w:rsid w:val="00936760"/>
    <w:rsid w:val="00961170"/>
    <w:rsid w:val="00962AA3"/>
    <w:rsid w:val="0097622F"/>
    <w:rsid w:val="00977CA0"/>
    <w:rsid w:val="00982AD5"/>
    <w:rsid w:val="009859DD"/>
    <w:rsid w:val="00985EB0"/>
    <w:rsid w:val="009B2D9C"/>
    <w:rsid w:val="009C075A"/>
    <w:rsid w:val="009C5936"/>
    <w:rsid w:val="009D1A64"/>
    <w:rsid w:val="009D4024"/>
    <w:rsid w:val="009D5685"/>
    <w:rsid w:val="009F4826"/>
    <w:rsid w:val="009F7580"/>
    <w:rsid w:val="00A017D4"/>
    <w:rsid w:val="00A058BB"/>
    <w:rsid w:val="00A25EC3"/>
    <w:rsid w:val="00A577E3"/>
    <w:rsid w:val="00A66C51"/>
    <w:rsid w:val="00A74C98"/>
    <w:rsid w:val="00A82DFC"/>
    <w:rsid w:val="00AE567B"/>
    <w:rsid w:val="00AF030A"/>
    <w:rsid w:val="00B45651"/>
    <w:rsid w:val="00B616C4"/>
    <w:rsid w:val="00B63088"/>
    <w:rsid w:val="00B73503"/>
    <w:rsid w:val="00B80E27"/>
    <w:rsid w:val="00BA1693"/>
    <w:rsid w:val="00BB4ACF"/>
    <w:rsid w:val="00BF7B9F"/>
    <w:rsid w:val="00C35F8E"/>
    <w:rsid w:val="00C40215"/>
    <w:rsid w:val="00C85DDD"/>
    <w:rsid w:val="00CB1353"/>
    <w:rsid w:val="00CB3850"/>
    <w:rsid w:val="00CB722B"/>
    <w:rsid w:val="00CC3761"/>
    <w:rsid w:val="00CD0346"/>
    <w:rsid w:val="00D14594"/>
    <w:rsid w:val="00D16727"/>
    <w:rsid w:val="00D21917"/>
    <w:rsid w:val="00D36E98"/>
    <w:rsid w:val="00D40F43"/>
    <w:rsid w:val="00D459A2"/>
    <w:rsid w:val="00D61DD6"/>
    <w:rsid w:val="00D81989"/>
    <w:rsid w:val="00D949ED"/>
    <w:rsid w:val="00D9732B"/>
    <w:rsid w:val="00D97F73"/>
    <w:rsid w:val="00DB5F1B"/>
    <w:rsid w:val="00DC107D"/>
    <w:rsid w:val="00DD2938"/>
    <w:rsid w:val="00DE3548"/>
    <w:rsid w:val="00DF298A"/>
    <w:rsid w:val="00E0506B"/>
    <w:rsid w:val="00E2276A"/>
    <w:rsid w:val="00E239E8"/>
    <w:rsid w:val="00E322D1"/>
    <w:rsid w:val="00E53188"/>
    <w:rsid w:val="00E53DA2"/>
    <w:rsid w:val="00E74B79"/>
    <w:rsid w:val="00EA2939"/>
    <w:rsid w:val="00EA7E86"/>
    <w:rsid w:val="00EB6322"/>
    <w:rsid w:val="00ED5712"/>
    <w:rsid w:val="00F07A27"/>
    <w:rsid w:val="00F111DF"/>
    <w:rsid w:val="00F22583"/>
    <w:rsid w:val="00F23427"/>
    <w:rsid w:val="00F54A3E"/>
    <w:rsid w:val="00F655AB"/>
    <w:rsid w:val="00F9387E"/>
    <w:rsid w:val="00FF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E0B7B"/>
    <w:pPr>
      <w:spacing w:before="120" w:after="120"/>
      <w:jc w:val="both"/>
    </w:pPr>
    <w:rPr>
      <w:rFonts w:ascii="Times New Roman" w:eastAsia="Calibri" w:hAnsi="Times New Roman" w:cs="Times New Roman"/>
      <w:sz w:val="24"/>
      <w:szCs w:val="24"/>
    </w:rPr>
  </w:style>
  <w:style w:type="paragraph" w:styleId="11">
    <w:name w:val="heading 1"/>
    <w:basedOn w:val="a0"/>
    <w:next w:val="a0"/>
    <w:link w:val="12"/>
    <w:uiPriority w:val="99"/>
    <w:qFormat/>
    <w:rsid w:val="003E0B7B"/>
    <w:pPr>
      <w:keepNext/>
      <w:keepLines/>
      <w:spacing w:before="480" w:after="0"/>
      <w:outlineLvl w:val="0"/>
    </w:pPr>
    <w:rPr>
      <w:rFonts w:eastAsia="Times New Roman"/>
      <w:b/>
      <w:bCs/>
      <w:sz w:val="32"/>
      <w:szCs w:val="28"/>
    </w:rPr>
  </w:style>
  <w:style w:type="paragraph" w:styleId="20">
    <w:name w:val="heading 2"/>
    <w:basedOn w:val="a0"/>
    <w:next w:val="a0"/>
    <w:link w:val="21"/>
    <w:uiPriority w:val="99"/>
    <w:unhideWhenUsed/>
    <w:qFormat/>
    <w:rsid w:val="003E0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3E0B7B"/>
    <w:pPr>
      <w:keepNext/>
      <w:keepLines/>
      <w:spacing w:before="200" w:after="0"/>
      <w:jc w:val="left"/>
      <w:outlineLvl w:val="2"/>
    </w:pPr>
    <w:rPr>
      <w:rFonts w:ascii="Cambria" w:eastAsia="Times New Roman" w:hAnsi="Cambria"/>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3E0B7B"/>
    <w:rPr>
      <w:rFonts w:ascii="Times New Roman" w:eastAsia="Times New Roman" w:hAnsi="Times New Roman" w:cs="Times New Roman"/>
      <w:b/>
      <w:bCs/>
      <w:sz w:val="32"/>
      <w:szCs w:val="28"/>
    </w:rPr>
  </w:style>
  <w:style w:type="character" w:customStyle="1" w:styleId="21">
    <w:name w:val="Заголовок 2 Знак"/>
    <w:basedOn w:val="a1"/>
    <w:link w:val="20"/>
    <w:uiPriority w:val="99"/>
    <w:rsid w:val="003E0B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9"/>
    <w:rsid w:val="003E0B7B"/>
    <w:rPr>
      <w:rFonts w:ascii="Cambria" w:eastAsia="Times New Roman" w:hAnsi="Cambria" w:cs="Times New Roman"/>
      <w:b/>
      <w:bCs/>
    </w:rPr>
  </w:style>
  <w:style w:type="paragraph" w:styleId="a4">
    <w:name w:val="TOC Heading"/>
    <w:basedOn w:val="11"/>
    <w:next w:val="a0"/>
    <w:uiPriority w:val="99"/>
    <w:qFormat/>
    <w:rsid w:val="003E0B7B"/>
    <w:pPr>
      <w:spacing w:before="240" w:line="259" w:lineRule="auto"/>
      <w:outlineLvl w:val="9"/>
    </w:pPr>
    <w:rPr>
      <w:b w:val="0"/>
      <w:bCs w:val="0"/>
      <w:szCs w:val="32"/>
      <w:lang w:val="en-US"/>
    </w:rPr>
  </w:style>
  <w:style w:type="paragraph" w:styleId="22">
    <w:name w:val="toc 2"/>
    <w:basedOn w:val="a0"/>
    <w:next w:val="a0"/>
    <w:autoRedefine/>
    <w:uiPriority w:val="39"/>
    <w:rsid w:val="003E0B7B"/>
    <w:pPr>
      <w:tabs>
        <w:tab w:val="left" w:pos="880"/>
        <w:tab w:val="right" w:leader="dot" w:pos="9062"/>
      </w:tabs>
      <w:spacing w:line="312" w:lineRule="auto"/>
      <w:ind w:left="221"/>
    </w:pPr>
  </w:style>
  <w:style w:type="character" w:styleId="a5">
    <w:name w:val="Hyperlink"/>
    <w:uiPriority w:val="99"/>
    <w:rsid w:val="003E0B7B"/>
    <w:rPr>
      <w:rFonts w:cs="Times New Roman"/>
      <w:color w:val="0000FF"/>
      <w:u w:val="single"/>
    </w:rPr>
  </w:style>
  <w:style w:type="paragraph" w:styleId="13">
    <w:name w:val="toc 1"/>
    <w:basedOn w:val="a0"/>
    <w:next w:val="a0"/>
    <w:autoRedefine/>
    <w:uiPriority w:val="39"/>
    <w:rsid w:val="003E0B7B"/>
    <w:pPr>
      <w:tabs>
        <w:tab w:val="right" w:leader="dot" w:pos="9062"/>
      </w:tabs>
      <w:spacing w:after="100"/>
    </w:pPr>
  </w:style>
  <w:style w:type="paragraph" w:styleId="a6">
    <w:name w:val="Balloon Text"/>
    <w:basedOn w:val="a0"/>
    <w:link w:val="a7"/>
    <w:uiPriority w:val="99"/>
    <w:semiHidden/>
    <w:unhideWhenUsed/>
    <w:rsid w:val="003E0B7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E0B7B"/>
    <w:rPr>
      <w:rFonts w:ascii="Tahoma" w:eastAsia="Calibri" w:hAnsi="Tahoma" w:cs="Tahoma"/>
      <w:sz w:val="16"/>
      <w:szCs w:val="16"/>
    </w:rPr>
  </w:style>
  <w:style w:type="paragraph" w:styleId="a8">
    <w:name w:val="List Paragraph"/>
    <w:basedOn w:val="a0"/>
    <w:link w:val="a9"/>
    <w:uiPriority w:val="34"/>
    <w:qFormat/>
    <w:rsid w:val="003E0B7B"/>
    <w:pPr>
      <w:ind w:left="720"/>
      <w:contextualSpacing/>
    </w:pPr>
  </w:style>
  <w:style w:type="table" w:styleId="aa">
    <w:name w:val="Table Grid"/>
    <w:basedOn w:val="a2"/>
    <w:uiPriority w:val="59"/>
    <w:rsid w:val="003E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3E0B7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3E0B7B"/>
    <w:rPr>
      <w:rFonts w:ascii="Times New Roman" w:eastAsia="Calibri" w:hAnsi="Times New Roman" w:cs="Times New Roman"/>
      <w:sz w:val="24"/>
      <w:szCs w:val="24"/>
    </w:rPr>
  </w:style>
  <w:style w:type="paragraph" w:styleId="ad">
    <w:name w:val="footer"/>
    <w:basedOn w:val="a0"/>
    <w:link w:val="ae"/>
    <w:uiPriority w:val="99"/>
    <w:unhideWhenUsed/>
    <w:rsid w:val="003E0B7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E0B7B"/>
    <w:rPr>
      <w:rFonts w:ascii="Times New Roman" w:eastAsia="Calibri" w:hAnsi="Times New Roman" w:cs="Times New Roman"/>
      <w:sz w:val="24"/>
      <w:szCs w:val="24"/>
    </w:rPr>
  </w:style>
  <w:style w:type="paragraph" w:styleId="af">
    <w:name w:val="Normal (Web)"/>
    <w:basedOn w:val="a0"/>
    <w:uiPriority w:val="99"/>
    <w:semiHidden/>
    <w:rsid w:val="003E0B7B"/>
    <w:pPr>
      <w:spacing w:before="100" w:beforeAutospacing="1" w:after="100" w:afterAutospacing="1" w:line="240" w:lineRule="auto"/>
    </w:pPr>
    <w:rPr>
      <w:rFonts w:eastAsia="Times New Roman"/>
      <w:lang w:eastAsia="ru-RU"/>
    </w:rPr>
  </w:style>
  <w:style w:type="paragraph" w:customStyle="1" w:styleId="a">
    <w:name w:val="Заголовок ОНБП"/>
    <w:basedOn w:val="11"/>
    <w:link w:val="af0"/>
    <w:qFormat/>
    <w:rsid w:val="003E0B7B"/>
    <w:pPr>
      <w:numPr>
        <w:numId w:val="1"/>
      </w:numPr>
      <w:spacing w:after="240"/>
    </w:pPr>
    <w:rPr>
      <w:szCs w:val="32"/>
    </w:rPr>
  </w:style>
  <w:style w:type="paragraph" w:customStyle="1" w:styleId="1">
    <w:name w:val="Заголовок ОНБП 1 уровня"/>
    <w:basedOn w:val="20"/>
    <w:link w:val="14"/>
    <w:qFormat/>
    <w:rsid w:val="003E0B7B"/>
    <w:pPr>
      <w:numPr>
        <w:ilvl w:val="1"/>
        <w:numId w:val="2"/>
      </w:numPr>
      <w:spacing w:before="240" w:after="240"/>
    </w:pPr>
    <w:rPr>
      <w:rFonts w:ascii="Times New Roman" w:eastAsia="Times New Roman" w:hAnsi="Times New Roman" w:cs="Times New Roman"/>
      <w:sz w:val="28"/>
      <w:szCs w:val="28"/>
    </w:rPr>
  </w:style>
  <w:style w:type="character" w:customStyle="1" w:styleId="af0">
    <w:name w:val="Заголовок ОНБП Знак"/>
    <w:basedOn w:val="12"/>
    <w:link w:val="a"/>
    <w:rsid w:val="003E0B7B"/>
    <w:rPr>
      <w:rFonts w:ascii="Times New Roman" w:eastAsia="Times New Roman" w:hAnsi="Times New Roman" w:cs="Times New Roman"/>
      <w:b/>
      <w:bCs/>
      <w:sz w:val="32"/>
      <w:szCs w:val="32"/>
    </w:rPr>
  </w:style>
  <w:style w:type="character" w:customStyle="1" w:styleId="CharStyle5">
    <w:name w:val="Char Style 5"/>
    <w:basedOn w:val="a1"/>
    <w:link w:val="Style4"/>
    <w:uiPriority w:val="99"/>
    <w:locked/>
    <w:rsid w:val="003E0B7B"/>
    <w:rPr>
      <w:rFonts w:cs="Times New Roman"/>
      <w:b/>
      <w:bCs/>
      <w:spacing w:val="-10"/>
      <w:sz w:val="26"/>
      <w:szCs w:val="26"/>
      <w:shd w:val="clear" w:color="auto" w:fill="FFFFFF"/>
    </w:rPr>
  </w:style>
  <w:style w:type="character" w:customStyle="1" w:styleId="14">
    <w:name w:val="Заголовок ОНБП 1 уровня Знак"/>
    <w:basedOn w:val="21"/>
    <w:link w:val="1"/>
    <w:rsid w:val="003E0B7B"/>
    <w:rPr>
      <w:rFonts w:ascii="Times New Roman" w:eastAsia="Times New Roman" w:hAnsi="Times New Roman" w:cs="Times New Roman"/>
      <w:b/>
      <w:bCs/>
      <w:color w:val="4F81BD" w:themeColor="accent1"/>
      <w:sz w:val="28"/>
      <w:szCs w:val="28"/>
    </w:rPr>
  </w:style>
  <w:style w:type="character" w:customStyle="1" w:styleId="CharStyle7Exact">
    <w:name w:val="Char Style 7 Exact"/>
    <w:basedOn w:val="a1"/>
    <w:uiPriority w:val="99"/>
    <w:rsid w:val="003E0B7B"/>
    <w:rPr>
      <w:rFonts w:cs="Times New Roman"/>
      <w:b/>
      <w:bCs/>
      <w:spacing w:val="-13"/>
      <w:u w:val="none"/>
    </w:rPr>
  </w:style>
  <w:style w:type="character" w:customStyle="1" w:styleId="CharStyle12">
    <w:name w:val="Char Style 12"/>
    <w:basedOn w:val="a1"/>
    <w:link w:val="Style6"/>
    <w:uiPriority w:val="99"/>
    <w:locked/>
    <w:rsid w:val="003E0B7B"/>
    <w:rPr>
      <w:rFonts w:cs="Times New Roman"/>
      <w:b/>
      <w:bCs/>
      <w:spacing w:val="-10"/>
      <w:sz w:val="26"/>
      <w:szCs w:val="26"/>
      <w:shd w:val="clear" w:color="auto" w:fill="FFFFFF"/>
    </w:rPr>
  </w:style>
  <w:style w:type="character" w:customStyle="1" w:styleId="CharStyle20">
    <w:name w:val="Char Style 20"/>
    <w:basedOn w:val="CharStyle5"/>
    <w:uiPriority w:val="99"/>
    <w:rsid w:val="003E0B7B"/>
    <w:rPr>
      <w:rFonts w:cs="Times New Roman"/>
      <w:b/>
      <w:bCs/>
      <w:spacing w:val="-10"/>
      <w:sz w:val="26"/>
      <w:szCs w:val="26"/>
      <w:shd w:val="clear" w:color="auto" w:fill="FFFFFF"/>
    </w:rPr>
  </w:style>
  <w:style w:type="character" w:customStyle="1" w:styleId="CharStyle24">
    <w:name w:val="Char Style 24"/>
    <w:basedOn w:val="CharStyle5"/>
    <w:uiPriority w:val="99"/>
    <w:rsid w:val="003E0B7B"/>
    <w:rPr>
      <w:rFonts w:cs="Times New Roman"/>
      <w:b w:val="0"/>
      <w:bCs w:val="0"/>
      <w:spacing w:val="0"/>
      <w:sz w:val="11"/>
      <w:szCs w:val="11"/>
      <w:shd w:val="clear" w:color="auto" w:fill="FFFFFF"/>
    </w:rPr>
  </w:style>
  <w:style w:type="character" w:customStyle="1" w:styleId="CharStyle25">
    <w:name w:val="Char Style 25"/>
    <w:basedOn w:val="CharStyle5"/>
    <w:uiPriority w:val="99"/>
    <w:rsid w:val="003E0B7B"/>
    <w:rPr>
      <w:rFonts w:cs="Times New Roman"/>
      <w:b/>
      <w:bCs/>
      <w:spacing w:val="-10"/>
      <w:sz w:val="24"/>
      <w:szCs w:val="24"/>
      <w:shd w:val="clear" w:color="auto" w:fill="FFFFFF"/>
    </w:rPr>
  </w:style>
  <w:style w:type="character" w:customStyle="1" w:styleId="CharStyle26">
    <w:name w:val="Char Style 26"/>
    <w:basedOn w:val="CharStyle5"/>
    <w:uiPriority w:val="99"/>
    <w:rsid w:val="003E0B7B"/>
    <w:rPr>
      <w:rFonts w:cs="Times New Roman"/>
      <w:b/>
      <w:bCs/>
      <w:spacing w:val="-10"/>
      <w:sz w:val="24"/>
      <w:szCs w:val="24"/>
      <w:u w:val="single"/>
      <w:shd w:val="clear" w:color="auto" w:fill="FFFFFF"/>
    </w:rPr>
  </w:style>
  <w:style w:type="paragraph" w:customStyle="1" w:styleId="Style4">
    <w:name w:val="Style 4"/>
    <w:basedOn w:val="a0"/>
    <w:link w:val="CharStyle5"/>
    <w:uiPriority w:val="99"/>
    <w:rsid w:val="003E0B7B"/>
    <w:pPr>
      <w:widowControl w:val="0"/>
      <w:shd w:val="clear" w:color="auto" w:fill="FFFFFF"/>
      <w:spacing w:after="0" w:line="322" w:lineRule="exact"/>
    </w:pPr>
    <w:rPr>
      <w:rFonts w:asciiTheme="minorHAnsi" w:eastAsiaTheme="minorHAnsi" w:hAnsiTheme="minorHAnsi"/>
      <w:b/>
      <w:bCs/>
      <w:spacing w:val="-10"/>
      <w:sz w:val="26"/>
      <w:szCs w:val="26"/>
    </w:rPr>
  </w:style>
  <w:style w:type="paragraph" w:customStyle="1" w:styleId="Style6">
    <w:name w:val="Style 6"/>
    <w:basedOn w:val="a0"/>
    <w:link w:val="CharStyle12"/>
    <w:uiPriority w:val="99"/>
    <w:rsid w:val="003E0B7B"/>
    <w:pPr>
      <w:widowControl w:val="0"/>
      <w:shd w:val="clear" w:color="auto" w:fill="FFFFFF"/>
      <w:spacing w:after="0" w:line="298" w:lineRule="exact"/>
    </w:pPr>
    <w:rPr>
      <w:rFonts w:asciiTheme="minorHAnsi" w:eastAsiaTheme="minorHAnsi" w:hAnsiTheme="minorHAnsi"/>
      <w:b/>
      <w:bCs/>
      <w:spacing w:val="-10"/>
      <w:sz w:val="26"/>
      <w:szCs w:val="26"/>
    </w:rPr>
  </w:style>
  <w:style w:type="character" w:customStyle="1" w:styleId="CharStyle3">
    <w:name w:val="Char Style 3"/>
    <w:basedOn w:val="a1"/>
    <w:link w:val="Style2"/>
    <w:uiPriority w:val="99"/>
    <w:locked/>
    <w:rsid w:val="003E0B7B"/>
    <w:rPr>
      <w:rFonts w:cs="Times New Roman"/>
      <w:b/>
      <w:bCs/>
      <w:sz w:val="20"/>
      <w:szCs w:val="20"/>
      <w:shd w:val="clear" w:color="auto" w:fill="FFFFFF"/>
    </w:rPr>
  </w:style>
  <w:style w:type="character" w:customStyle="1" w:styleId="CharStyle27">
    <w:name w:val="Char Style 27"/>
    <w:basedOn w:val="CharStyle5"/>
    <w:uiPriority w:val="99"/>
    <w:rsid w:val="003E0B7B"/>
    <w:rPr>
      <w:rFonts w:cs="Times New Roman"/>
      <w:b w:val="0"/>
      <w:bCs w:val="0"/>
      <w:spacing w:val="-10"/>
      <w:sz w:val="18"/>
      <w:szCs w:val="18"/>
      <w:u w:val="none"/>
      <w:shd w:val="clear" w:color="auto" w:fill="FFFFFF"/>
    </w:rPr>
  </w:style>
  <w:style w:type="character" w:customStyle="1" w:styleId="CharStyle28">
    <w:name w:val="Char Style 28"/>
    <w:basedOn w:val="CharStyle5"/>
    <w:uiPriority w:val="99"/>
    <w:rsid w:val="003E0B7B"/>
    <w:rPr>
      <w:rFonts w:cs="Times New Roman"/>
      <w:b/>
      <w:bCs/>
      <w:spacing w:val="-10"/>
      <w:sz w:val="18"/>
      <w:szCs w:val="18"/>
      <w:u w:val="none"/>
      <w:shd w:val="clear" w:color="auto" w:fill="FFFFFF"/>
    </w:rPr>
  </w:style>
  <w:style w:type="paragraph" w:customStyle="1" w:styleId="Style2">
    <w:name w:val="Style 2"/>
    <w:basedOn w:val="a0"/>
    <w:link w:val="CharStyle3"/>
    <w:uiPriority w:val="99"/>
    <w:rsid w:val="003E0B7B"/>
    <w:pPr>
      <w:widowControl w:val="0"/>
      <w:shd w:val="clear" w:color="auto" w:fill="FFFFFF"/>
      <w:spacing w:before="60" w:after="0" w:line="206" w:lineRule="exact"/>
      <w:jc w:val="center"/>
    </w:pPr>
    <w:rPr>
      <w:rFonts w:asciiTheme="minorHAnsi" w:eastAsiaTheme="minorHAnsi" w:hAnsiTheme="minorHAnsi"/>
      <w:b/>
      <w:bCs/>
      <w:sz w:val="20"/>
      <w:szCs w:val="20"/>
    </w:rPr>
  </w:style>
  <w:style w:type="character" w:customStyle="1" w:styleId="CharStyle30">
    <w:name w:val="Char Style 30"/>
    <w:basedOn w:val="a1"/>
    <w:link w:val="Style29"/>
    <w:uiPriority w:val="99"/>
    <w:locked/>
    <w:rsid w:val="003E0B7B"/>
    <w:rPr>
      <w:rFonts w:cs="Times New Roman"/>
      <w:b/>
      <w:bCs/>
      <w:spacing w:val="-20"/>
      <w:shd w:val="clear" w:color="auto" w:fill="FFFFFF"/>
    </w:rPr>
  </w:style>
  <w:style w:type="character" w:customStyle="1" w:styleId="CharStyle31">
    <w:name w:val="Char Style 31"/>
    <w:basedOn w:val="CharStyle5"/>
    <w:uiPriority w:val="99"/>
    <w:rsid w:val="003E0B7B"/>
    <w:rPr>
      <w:rFonts w:cs="Times New Roman"/>
      <w:b w:val="0"/>
      <w:bCs w:val="0"/>
      <w:spacing w:val="-10"/>
      <w:sz w:val="24"/>
      <w:szCs w:val="24"/>
      <w:u w:val="none"/>
      <w:shd w:val="clear" w:color="auto" w:fill="FFFFFF"/>
    </w:rPr>
  </w:style>
  <w:style w:type="paragraph" w:customStyle="1" w:styleId="Style29">
    <w:name w:val="Style 29"/>
    <w:basedOn w:val="a0"/>
    <w:link w:val="CharStyle30"/>
    <w:uiPriority w:val="99"/>
    <w:rsid w:val="003E0B7B"/>
    <w:pPr>
      <w:widowControl w:val="0"/>
      <w:shd w:val="clear" w:color="auto" w:fill="FFFFFF"/>
      <w:spacing w:after="360" w:line="293" w:lineRule="exact"/>
      <w:jc w:val="center"/>
    </w:pPr>
    <w:rPr>
      <w:rFonts w:asciiTheme="minorHAnsi" w:eastAsiaTheme="minorHAnsi" w:hAnsiTheme="minorHAnsi"/>
      <w:b/>
      <w:bCs/>
      <w:spacing w:val="-20"/>
      <w:sz w:val="22"/>
      <w:szCs w:val="22"/>
    </w:rPr>
  </w:style>
  <w:style w:type="paragraph" w:styleId="af1">
    <w:name w:val="No Spacing"/>
    <w:basedOn w:val="a8"/>
    <w:link w:val="af2"/>
    <w:uiPriority w:val="99"/>
    <w:qFormat/>
    <w:rsid w:val="003E0B7B"/>
  </w:style>
  <w:style w:type="character" w:customStyle="1" w:styleId="af2">
    <w:name w:val="Без интервала Знак"/>
    <w:link w:val="af1"/>
    <w:uiPriority w:val="99"/>
    <w:locked/>
    <w:rsid w:val="003E0B7B"/>
    <w:rPr>
      <w:rFonts w:ascii="Times New Roman" w:eastAsia="Calibri" w:hAnsi="Times New Roman" w:cs="Times New Roman"/>
      <w:sz w:val="24"/>
      <w:szCs w:val="24"/>
    </w:rPr>
  </w:style>
  <w:style w:type="paragraph" w:customStyle="1" w:styleId="TabText">
    <w:name w:val="Tab_Text"/>
    <w:aliases w:val="Black,Normal + HelveticaNeue LT 55 Roman,10 pt,Justified"/>
    <w:link w:val="TabTextChar"/>
    <w:rsid w:val="003E0B7B"/>
    <w:pPr>
      <w:spacing w:after="0" w:line="240" w:lineRule="auto"/>
    </w:pPr>
    <w:rPr>
      <w:rFonts w:ascii="HelveticaNeue LT 55 Roman" w:eastAsia="Times New Roman" w:hAnsi="HelveticaNeue LT 55 Roman" w:cs="HelveticaNeue LT 55 Roman"/>
      <w:sz w:val="14"/>
      <w:szCs w:val="14"/>
      <w:lang w:val="en-GB" w:eastAsia="ru-RU" w:bidi="ml-IN"/>
    </w:rPr>
  </w:style>
  <w:style w:type="character" w:customStyle="1" w:styleId="TabTextChar">
    <w:name w:val="Tab_Text Char"/>
    <w:aliases w:val="Black Char"/>
    <w:link w:val="TabText"/>
    <w:locked/>
    <w:rsid w:val="003E0B7B"/>
    <w:rPr>
      <w:rFonts w:ascii="HelveticaNeue LT 55 Roman" w:eastAsia="Times New Roman" w:hAnsi="HelveticaNeue LT 55 Roman" w:cs="HelveticaNeue LT 55 Roman"/>
      <w:sz w:val="14"/>
      <w:szCs w:val="14"/>
      <w:lang w:val="en-GB" w:eastAsia="ru-RU" w:bidi="ml-IN"/>
    </w:rPr>
  </w:style>
  <w:style w:type="paragraph" w:customStyle="1" w:styleId="SourceLarge">
    <w:name w:val="SourceLarge"/>
    <w:next w:val="a0"/>
    <w:link w:val="SourceLargeChar"/>
    <w:rsid w:val="003E0B7B"/>
    <w:pPr>
      <w:suppressAutoHyphens/>
      <w:spacing w:after="360" w:line="160" w:lineRule="atLeast"/>
    </w:pPr>
    <w:rPr>
      <w:rFonts w:ascii="HelveticaNeue LT 65 Medium" w:eastAsia="Times New Roman" w:hAnsi="HelveticaNeue LT 65 Medium" w:cs="HelveticaNeue LT 65 Medium"/>
      <w:sz w:val="11"/>
      <w:szCs w:val="11"/>
      <w:lang w:val="en-GB" w:eastAsia="ru-RU" w:bidi="ml-IN"/>
    </w:rPr>
  </w:style>
  <w:style w:type="character" w:customStyle="1" w:styleId="SourceLargeChar">
    <w:name w:val="SourceLarge Char"/>
    <w:link w:val="SourceLarge"/>
    <w:locked/>
    <w:rsid w:val="003E0B7B"/>
    <w:rPr>
      <w:rFonts w:ascii="HelveticaNeue LT 65 Medium" w:eastAsia="Times New Roman" w:hAnsi="HelveticaNeue LT 65 Medium" w:cs="HelveticaNeue LT 65 Medium"/>
      <w:sz w:val="11"/>
      <w:szCs w:val="11"/>
      <w:lang w:val="en-GB" w:eastAsia="ru-RU" w:bidi="ml-IN"/>
    </w:rPr>
  </w:style>
  <w:style w:type="paragraph" w:customStyle="1" w:styleId="GraphTitle">
    <w:name w:val="Graph_Title"/>
    <w:basedOn w:val="a0"/>
    <w:link w:val="GraphTitleChar"/>
    <w:rsid w:val="003E0B7B"/>
    <w:pPr>
      <w:suppressAutoHyphens/>
      <w:spacing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3E0B7B"/>
    <w:rPr>
      <w:rFonts w:ascii="HelveticaNeue LT 65 Medium" w:eastAsia="Times New Roman" w:hAnsi="HelveticaNeue LT 65 Medium" w:cs="HelveticaNeue LT 65 Medium"/>
      <w:sz w:val="17"/>
      <w:szCs w:val="17"/>
      <w:lang w:val="en-GB" w:eastAsia="ru-RU" w:bidi="ml-IN"/>
    </w:rPr>
  </w:style>
  <w:style w:type="table" w:customStyle="1" w:styleId="Smalltable">
    <w:name w:val="Small table"/>
    <w:basedOn w:val="a2"/>
    <w:rsid w:val="003E0B7B"/>
    <w:pPr>
      <w:spacing w:after="0" w:line="240" w:lineRule="auto"/>
      <w:jc w:val="both"/>
    </w:pPr>
    <w:rPr>
      <w:rFonts w:ascii="HelveticaNeue LT 65 Medium" w:eastAsia="Times New Roman" w:hAnsi="HelveticaNeue LT 65 Medium" w:cs="Times New Roman"/>
      <w:sz w:val="14"/>
      <w:szCs w:val="14"/>
      <w:lang w:val="en-US"/>
    </w:rPr>
    <w:tblPr>
      <w:tblInd w:w="2608" w:type="dxa"/>
      <w:tblCellMar>
        <w:left w:w="0" w:type="dxa"/>
        <w:right w:w="0" w:type="dxa"/>
      </w:tblCellMar>
    </w:tblPr>
    <w:tcPr>
      <w:tcMar>
        <w:left w:w="28" w:type="dxa"/>
        <w:right w:w="28" w:type="dxa"/>
      </w:tcMar>
    </w:tcPr>
  </w:style>
  <w:style w:type="character" w:styleId="af3">
    <w:name w:val="annotation reference"/>
    <w:basedOn w:val="a1"/>
    <w:uiPriority w:val="99"/>
    <w:semiHidden/>
    <w:unhideWhenUsed/>
    <w:rsid w:val="003E0B7B"/>
    <w:rPr>
      <w:sz w:val="16"/>
      <w:szCs w:val="16"/>
    </w:rPr>
  </w:style>
  <w:style w:type="paragraph" w:styleId="af4">
    <w:name w:val="annotation text"/>
    <w:basedOn w:val="a0"/>
    <w:link w:val="af5"/>
    <w:uiPriority w:val="99"/>
    <w:semiHidden/>
    <w:unhideWhenUsed/>
    <w:rsid w:val="003E0B7B"/>
    <w:pPr>
      <w:spacing w:line="240" w:lineRule="auto"/>
    </w:pPr>
    <w:rPr>
      <w:sz w:val="20"/>
      <w:szCs w:val="20"/>
    </w:rPr>
  </w:style>
  <w:style w:type="character" w:customStyle="1" w:styleId="af5">
    <w:name w:val="Текст примечания Знак"/>
    <w:basedOn w:val="a1"/>
    <w:link w:val="af4"/>
    <w:uiPriority w:val="99"/>
    <w:semiHidden/>
    <w:rsid w:val="003E0B7B"/>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3E0B7B"/>
    <w:rPr>
      <w:b/>
      <w:bCs/>
    </w:rPr>
  </w:style>
  <w:style w:type="character" w:customStyle="1" w:styleId="af7">
    <w:name w:val="Тема примечания Знак"/>
    <w:basedOn w:val="af5"/>
    <w:link w:val="af6"/>
    <w:uiPriority w:val="99"/>
    <w:semiHidden/>
    <w:rsid w:val="003E0B7B"/>
    <w:rPr>
      <w:rFonts w:ascii="Times New Roman" w:eastAsia="Calibri" w:hAnsi="Times New Roman" w:cs="Times New Roman"/>
      <w:b/>
      <w:bCs/>
      <w:sz w:val="20"/>
      <w:szCs w:val="20"/>
    </w:rPr>
  </w:style>
  <w:style w:type="character" w:customStyle="1" w:styleId="a9">
    <w:name w:val="Абзац списка Знак"/>
    <w:link w:val="a8"/>
    <w:uiPriority w:val="34"/>
    <w:rsid w:val="003E0B7B"/>
    <w:rPr>
      <w:rFonts w:ascii="Times New Roman" w:eastAsia="Calibri" w:hAnsi="Times New Roman" w:cs="Times New Roman"/>
      <w:sz w:val="24"/>
      <w:szCs w:val="24"/>
    </w:rPr>
  </w:style>
  <w:style w:type="paragraph" w:styleId="af8">
    <w:name w:val="footnote text"/>
    <w:aliases w:val="Текст сноски-FN,Table_Footnote_last,single space,footnote text,Footnote Text Char Char,Footnote Text Char Char Char Char,Footnote Text1,Footnote Text Char Char Char,Footnote Text Char,Footnote Text Char Знак,Footnote Text Char Знак Знак"/>
    <w:basedOn w:val="a0"/>
    <w:link w:val="af9"/>
    <w:uiPriority w:val="99"/>
    <w:unhideWhenUsed/>
    <w:rsid w:val="003E0B7B"/>
    <w:pPr>
      <w:spacing w:after="0" w:line="240" w:lineRule="auto"/>
    </w:pPr>
    <w:rPr>
      <w:sz w:val="20"/>
      <w:szCs w:val="20"/>
    </w:rPr>
  </w:style>
  <w:style w:type="character" w:customStyle="1" w:styleId="af9">
    <w:name w:val="Текст сноски Знак"/>
    <w:aliases w:val="Текст сноски-FN Знак,Table_Footnote_last Знак,single space Знак,footnote text Знак,Footnote Text Char Char Знак,Footnote Text Char Char Char Char Знак,Footnote Text1 Знак,Footnote Text Char Char Char Знак,Footnote Text Char Знак1"/>
    <w:basedOn w:val="a1"/>
    <w:link w:val="af8"/>
    <w:uiPriority w:val="99"/>
    <w:rsid w:val="003E0B7B"/>
    <w:rPr>
      <w:rFonts w:ascii="Times New Roman" w:eastAsia="Calibri" w:hAnsi="Times New Roman" w:cs="Times New Roman"/>
      <w:sz w:val="20"/>
      <w:szCs w:val="20"/>
    </w:rPr>
  </w:style>
  <w:style w:type="character" w:styleId="afa">
    <w:name w:val="footnote reference"/>
    <w:aliases w:val="Знак сноски-FN,Ciae niinee-FN,SUPERS,Знак сноски 1"/>
    <w:basedOn w:val="a1"/>
    <w:uiPriority w:val="99"/>
    <w:unhideWhenUsed/>
    <w:rsid w:val="003E0B7B"/>
    <w:rPr>
      <w:vertAlign w:val="superscript"/>
    </w:rPr>
  </w:style>
  <w:style w:type="paragraph" w:styleId="afb">
    <w:name w:val="Subtitle"/>
    <w:basedOn w:val="a0"/>
    <w:next w:val="a0"/>
    <w:link w:val="afc"/>
    <w:qFormat/>
    <w:rsid w:val="003E0B7B"/>
    <w:pPr>
      <w:spacing w:after="60" w:line="240" w:lineRule="auto"/>
      <w:jc w:val="center"/>
      <w:outlineLvl w:val="1"/>
    </w:pPr>
    <w:rPr>
      <w:rFonts w:ascii="Cambria" w:eastAsia="Times New Roman" w:hAnsi="Cambria"/>
      <w:lang w:val="x-none" w:eastAsia="x-none"/>
    </w:rPr>
  </w:style>
  <w:style w:type="character" w:customStyle="1" w:styleId="afc">
    <w:name w:val="Подзаголовок Знак"/>
    <w:basedOn w:val="a1"/>
    <w:link w:val="afb"/>
    <w:rsid w:val="003E0B7B"/>
    <w:rPr>
      <w:rFonts w:ascii="Cambria" w:eastAsia="Times New Roman" w:hAnsi="Cambria" w:cs="Times New Roman"/>
      <w:sz w:val="24"/>
      <w:szCs w:val="24"/>
      <w:lang w:val="x-none" w:eastAsia="x-none"/>
    </w:rPr>
  </w:style>
  <w:style w:type="paragraph" w:customStyle="1" w:styleId="ConsPlusNormal">
    <w:name w:val="ConsPlusNormal"/>
    <w:uiPriority w:val="99"/>
    <w:rsid w:val="003E0B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d">
    <w:name w:val="Основной текст + Полужирный"/>
    <w:rsid w:val="003E0B7B"/>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customStyle="1" w:styleId="Style7">
    <w:name w:val="Style7"/>
    <w:basedOn w:val="a0"/>
    <w:uiPriority w:val="99"/>
    <w:rsid w:val="003E0B7B"/>
    <w:pPr>
      <w:widowControl w:val="0"/>
      <w:autoSpaceDE w:val="0"/>
      <w:autoSpaceDN w:val="0"/>
      <w:adjustRightInd w:val="0"/>
      <w:spacing w:after="0" w:line="522" w:lineRule="exact"/>
      <w:ind w:firstLine="684"/>
    </w:pPr>
    <w:rPr>
      <w:rFonts w:eastAsia="Times New Roman"/>
      <w:lang w:eastAsia="ru-RU"/>
    </w:rPr>
  </w:style>
  <w:style w:type="character" w:customStyle="1" w:styleId="FontStyle87">
    <w:name w:val="Font Style87"/>
    <w:uiPriority w:val="99"/>
    <w:rsid w:val="003E0B7B"/>
    <w:rPr>
      <w:rFonts w:ascii="Times New Roman" w:hAnsi="Times New Roman" w:cs="Times New Roman"/>
      <w:sz w:val="28"/>
      <w:szCs w:val="28"/>
    </w:rPr>
  </w:style>
  <w:style w:type="paragraph" w:styleId="31">
    <w:name w:val="toc 3"/>
    <w:basedOn w:val="a0"/>
    <w:next w:val="a0"/>
    <w:autoRedefine/>
    <w:uiPriority w:val="39"/>
    <w:unhideWhenUsed/>
    <w:rsid w:val="003E0B7B"/>
    <w:pPr>
      <w:spacing w:after="100"/>
      <w:ind w:left="440"/>
    </w:pPr>
    <w:rPr>
      <w:rFonts w:asciiTheme="minorHAnsi" w:eastAsiaTheme="minorEastAsia" w:hAnsiTheme="minorHAnsi" w:cstheme="minorBidi"/>
      <w:lang w:eastAsia="ru-RU"/>
    </w:rPr>
  </w:style>
  <w:style w:type="paragraph" w:styleId="4">
    <w:name w:val="toc 4"/>
    <w:basedOn w:val="a0"/>
    <w:next w:val="a0"/>
    <w:autoRedefine/>
    <w:uiPriority w:val="39"/>
    <w:unhideWhenUsed/>
    <w:rsid w:val="003E0B7B"/>
    <w:pPr>
      <w:spacing w:after="100"/>
      <w:ind w:left="660"/>
    </w:pPr>
    <w:rPr>
      <w:rFonts w:asciiTheme="minorHAnsi" w:eastAsiaTheme="minorEastAsia" w:hAnsiTheme="minorHAnsi" w:cstheme="minorBidi"/>
      <w:lang w:eastAsia="ru-RU"/>
    </w:rPr>
  </w:style>
  <w:style w:type="paragraph" w:styleId="5">
    <w:name w:val="toc 5"/>
    <w:basedOn w:val="a0"/>
    <w:next w:val="a0"/>
    <w:autoRedefine/>
    <w:uiPriority w:val="39"/>
    <w:unhideWhenUsed/>
    <w:rsid w:val="003E0B7B"/>
    <w:pPr>
      <w:spacing w:after="100"/>
      <w:ind w:left="880"/>
    </w:pPr>
    <w:rPr>
      <w:rFonts w:asciiTheme="minorHAnsi" w:eastAsiaTheme="minorEastAsia" w:hAnsiTheme="minorHAnsi" w:cstheme="minorBidi"/>
      <w:lang w:eastAsia="ru-RU"/>
    </w:rPr>
  </w:style>
  <w:style w:type="paragraph" w:styleId="6">
    <w:name w:val="toc 6"/>
    <w:basedOn w:val="a0"/>
    <w:next w:val="a0"/>
    <w:autoRedefine/>
    <w:uiPriority w:val="39"/>
    <w:unhideWhenUsed/>
    <w:rsid w:val="003E0B7B"/>
    <w:pPr>
      <w:spacing w:after="100"/>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3E0B7B"/>
    <w:pPr>
      <w:spacing w:after="100"/>
      <w:ind w:left="1320"/>
    </w:pPr>
    <w:rPr>
      <w:rFonts w:asciiTheme="minorHAnsi" w:eastAsiaTheme="minorEastAsia" w:hAnsiTheme="minorHAnsi" w:cstheme="minorBidi"/>
      <w:lang w:eastAsia="ru-RU"/>
    </w:rPr>
  </w:style>
  <w:style w:type="paragraph" w:styleId="8">
    <w:name w:val="toc 8"/>
    <w:basedOn w:val="a0"/>
    <w:next w:val="a0"/>
    <w:autoRedefine/>
    <w:uiPriority w:val="39"/>
    <w:unhideWhenUsed/>
    <w:rsid w:val="003E0B7B"/>
    <w:pPr>
      <w:spacing w:after="100"/>
      <w:ind w:left="1540"/>
    </w:pPr>
    <w:rPr>
      <w:rFonts w:asciiTheme="minorHAnsi" w:eastAsiaTheme="minorEastAsia" w:hAnsiTheme="minorHAnsi" w:cstheme="minorBidi"/>
      <w:lang w:eastAsia="ru-RU"/>
    </w:rPr>
  </w:style>
  <w:style w:type="paragraph" w:styleId="9">
    <w:name w:val="toc 9"/>
    <w:basedOn w:val="a0"/>
    <w:next w:val="a0"/>
    <w:autoRedefine/>
    <w:uiPriority w:val="39"/>
    <w:unhideWhenUsed/>
    <w:rsid w:val="003E0B7B"/>
    <w:pPr>
      <w:spacing w:after="100"/>
      <w:ind w:left="1760"/>
    </w:pPr>
    <w:rPr>
      <w:rFonts w:asciiTheme="minorHAnsi" w:eastAsiaTheme="minorEastAsia" w:hAnsiTheme="minorHAnsi" w:cstheme="minorBidi"/>
      <w:lang w:eastAsia="ru-RU"/>
    </w:rPr>
  </w:style>
  <w:style w:type="paragraph" w:styleId="23">
    <w:name w:val="Body Text 2"/>
    <w:basedOn w:val="a0"/>
    <w:link w:val="24"/>
    <w:rsid w:val="003E0B7B"/>
    <w:pPr>
      <w:spacing w:line="480" w:lineRule="auto"/>
    </w:pPr>
    <w:rPr>
      <w:rFonts w:eastAsia="Times New Roman"/>
      <w:lang w:eastAsia="ru-RU"/>
    </w:rPr>
  </w:style>
  <w:style w:type="character" w:customStyle="1" w:styleId="24">
    <w:name w:val="Основной текст 2 Знак"/>
    <w:basedOn w:val="a1"/>
    <w:link w:val="23"/>
    <w:rsid w:val="003E0B7B"/>
    <w:rPr>
      <w:rFonts w:ascii="Times New Roman" w:eastAsia="Times New Roman" w:hAnsi="Times New Roman" w:cs="Times New Roman"/>
      <w:sz w:val="24"/>
      <w:szCs w:val="24"/>
      <w:lang w:eastAsia="ru-RU"/>
    </w:rPr>
  </w:style>
  <w:style w:type="paragraph" w:customStyle="1" w:styleId="ConsPlusTitle">
    <w:name w:val="ConsPlusTitle"/>
    <w:uiPriority w:val="99"/>
    <w:rsid w:val="003E0B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harStyle6">
    <w:name w:val="Char Style 6"/>
    <w:uiPriority w:val="99"/>
    <w:locked/>
    <w:rsid w:val="003E0B7B"/>
    <w:rPr>
      <w:rFonts w:cs="Times New Roman"/>
      <w:shd w:val="clear" w:color="auto" w:fill="FFFFFF"/>
    </w:rPr>
  </w:style>
  <w:style w:type="paragraph" w:styleId="afe">
    <w:name w:val="endnote text"/>
    <w:basedOn w:val="a0"/>
    <w:link w:val="aff"/>
    <w:uiPriority w:val="99"/>
    <w:semiHidden/>
    <w:rsid w:val="003E0B7B"/>
    <w:pPr>
      <w:spacing w:before="0" w:after="0" w:line="240" w:lineRule="auto"/>
      <w:jc w:val="left"/>
    </w:pPr>
    <w:rPr>
      <w:rFonts w:ascii="Calibri" w:hAnsi="Calibri"/>
      <w:sz w:val="20"/>
      <w:szCs w:val="20"/>
    </w:rPr>
  </w:style>
  <w:style w:type="character" w:customStyle="1" w:styleId="aff">
    <w:name w:val="Текст концевой сноски Знак"/>
    <w:basedOn w:val="a1"/>
    <w:link w:val="afe"/>
    <w:uiPriority w:val="99"/>
    <w:semiHidden/>
    <w:rsid w:val="003E0B7B"/>
    <w:rPr>
      <w:rFonts w:ascii="Calibri" w:eastAsia="Calibri" w:hAnsi="Calibri" w:cs="Times New Roman"/>
      <w:sz w:val="20"/>
      <w:szCs w:val="20"/>
    </w:rPr>
  </w:style>
  <w:style w:type="character" w:styleId="aff0">
    <w:name w:val="endnote reference"/>
    <w:uiPriority w:val="99"/>
    <w:semiHidden/>
    <w:rsid w:val="003E0B7B"/>
    <w:rPr>
      <w:rFonts w:cs="Times New Roman"/>
      <w:vertAlign w:val="superscript"/>
    </w:rPr>
  </w:style>
  <w:style w:type="table" w:customStyle="1" w:styleId="28">
    <w:name w:val="28"/>
    <w:uiPriority w:val="99"/>
    <w:rsid w:val="003E0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2608" w:type="dxa"/>
      <w:tblCellMar>
        <w:top w:w="0" w:type="dxa"/>
        <w:left w:w="0" w:type="dxa"/>
        <w:bottom w:w="0" w:type="dxa"/>
        <w:right w:w="0" w:type="dxa"/>
      </w:tblCellMar>
    </w:tblPr>
  </w:style>
  <w:style w:type="paragraph" w:styleId="aff1">
    <w:name w:val="Revision"/>
    <w:hidden/>
    <w:uiPriority w:val="99"/>
    <w:semiHidden/>
    <w:rsid w:val="003E0B7B"/>
    <w:pPr>
      <w:spacing w:after="0" w:line="240" w:lineRule="auto"/>
    </w:pPr>
    <w:rPr>
      <w:rFonts w:ascii="Calibri" w:eastAsia="Calibri" w:hAnsi="Calibri" w:cs="Times New Roman"/>
    </w:rPr>
  </w:style>
  <w:style w:type="table" w:customStyle="1" w:styleId="41">
    <w:name w:val="Таблица простая 41"/>
    <w:uiPriority w:val="99"/>
    <w:rsid w:val="003E0B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character" w:styleId="aff2">
    <w:name w:val="Placeholder Text"/>
    <w:uiPriority w:val="99"/>
    <w:semiHidden/>
    <w:rsid w:val="003E0B7B"/>
    <w:rPr>
      <w:rFonts w:cs="Times New Roman"/>
      <w:color w:val="808080"/>
    </w:rPr>
  </w:style>
  <w:style w:type="paragraph" w:customStyle="1" w:styleId="Style8">
    <w:name w:val="Style8"/>
    <w:basedOn w:val="a0"/>
    <w:uiPriority w:val="99"/>
    <w:rsid w:val="003E0B7B"/>
    <w:pPr>
      <w:widowControl w:val="0"/>
      <w:autoSpaceDE w:val="0"/>
      <w:autoSpaceDN w:val="0"/>
      <w:adjustRightInd w:val="0"/>
      <w:spacing w:before="0" w:after="0" w:line="369" w:lineRule="exact"/>
      <w:ind w:firstLine="698"/>
    </w:pPr>
    <w:rPr>
      <w:lang w:eastAsia="ru-RU"/>
    </w:rPr>
  </w:style>
  <w:style w:type="character" w:customStyle="1" w:styleId="FontStyle23">
    <w:name w:val="Font Style23"/>
    <w:uiPriority w:val="99"/>
    <w:rsid w:val="003E0B7B"/>
    <w:rPr>
      <w:rFonts w:ascii="Times New Roman" w:hAnsi="Times New Roman"/>
      <w:sz w:val="24"/>
    </w:rPr>
  </w:style>
  <w:style w:type="numbering" w:customStyle="1" w:styleId="2">
    <w:name w:val="Стиль2"/>
    <w:rsid w:val="003E0B7B"/>
    <w:pPr>
      <w:numPr>
        <w:numId w:val="4"/>
      </w:numPr>
    </w:pPr>
  </w:style>
  <w:style w:type="numbering" w:customStyle="1" w:styleId="10">
    <w:name w:val="Стиль1"/>
    <w:rsid w:val="003E0B7B"/>
    <w:pPr>
      <w:numPr>
        <w:numId w:val="3"/>
      </w:numPr>
    </w:pPr>
  </w:style>
  <w:style w:type="paragraph" w:customStyle="1" w:styleId="aff3">
    <w:name w:val="Обычный текст"/>
    <w:basedOn w:val="a0"/>
    <w:link w:val="aff4"/>
    <w:qFormat/>
    <w:rsid w:val="003E0B7B"/>
    <w:pPr>
      <w:spacing w:before="0" w:after="0" w:line="360" w:lineRule="auto"/>
      <w:ind w:firstLine="709"/>
    </w:pPr>
    <w:rPr>
      <w:rFonts w:eastAsia="Times New Roman"/>
      <w:lang w:eastAsia="ru-RU"/>
    </w:rPr>
  </w:style>
  <w:style w:type="character" w:customStyle="1" w:styleId="aff4">
    <w:name w:val="Обычный текст Знак"/>
    <w:link w:val="aff3"/>
    <w:rsid w:val="003E0B7B"/>
    <w:rPr>
      <w:rFonts w:ascii="Times New Roman" w:eastAsia="Times New Roman" w:hAnsi="Times New Roman" w:cs="Times New Roman"/>
      <w:sz w:val="24"/>
      <w:szCs w:val="24"/>
      <w:lang w:eastAsia="ru-RU"/>
    </w:rPr>
  </w:style>
  <w:style w:type="paragraph" w:customStyle="1" w:styleId="aff5">
    <w:name w:val="Рисунок примечание"/>
    <w:basedOn w:val="a0"/>
    <w:link w:val="aff6"/>
    <w:qFormat/>
    <w:rsid w:val="003E0B7B"/>
    <w:pPr>
      <w:keepNext/>
      <w:keepLines/>
      <w:spacing w:before="20" w:after="0" w:line="240" w:lineRule="auto"/>
      <w:ind w:firstLine="709"/>
      <w:jc w:val="left"/>
    </w:pPr>
    <w:rPr>
      <w:rFonts w:eastAsia="Times New Roman"/>
      <w:i/>
      <w:sz w:val="20"/>
      <w:szCs w:val="20"/>
    </w:rPr>
  </w:style>
  <w:style w:type="character" w:customStyle="1" w:styleId="aff6">
    <w:name w:val="Рисунок примечание Знак"/>
    <w:link w:val="aff5"/>
    <w:rsid w:val="003E0B7B"/>
    <w:rPr>
      <w:rFonts w:ascii="Times New Roman" w:eastAsia="Times New Roman" w:hAnsi="Times New Roman" w:cs="Times New Roman"/>
      <w:i/>
      <w:sz w:val="20"/>
      <w:szCs w:val="20"/>
    </w:rPr>
  </w:style>
  <w:style w:type="paragraph" w:customStyle="1" w:styleId="-">
    <w:name w:val="Рисунок - название"/>
    <w:basedOn w:val="a0"/>
    <w:link w:val="-0"/>
    <w:qFormat/>
    <w:rsid w:val="003E0B7B"/>
    <w:pPr>
      <w:keepNext/>
      <w:keepLines/>
      <w:tabs>
        <w:tab w:val="num" w:pos="0"/>
      </w:tabs>
      <w:spacing w:before="60" w:after="240" w:line="360" w:lineRule="auto"/>
      <w:ind w:left="709"/>
      <w:jc w:val="center"/>
    </w:pPr>
    <w:rPr>
      <w:rFonts w:eastAsia="Times New Roman"/>
      <w:b/>
      <w:lang w:eastAsia="ru-RU"/>
    </w:rPr>
  </w:style>
  <w:style w:type="character" w:customStyle="1" w:styleId="-0">
    <w:name w:val="Рисунок - название Знак"/>
    <w:link w:val="-"/>
    <w:rsid w:val="003E0B7B"/>
    <w:rPr>
      <w:rFonts w:ascii="Times New Roman" w:eastAsia="Times New Roman" w:hAnsi="Times New Roman" w:cs="Times New Roman"/>
      <w:b/>
      <w:sz w:val="24"/>
      <w:szCs w:val="24"/>
      <w:lang w:eastAsia="ru-RU"/>
    </w:rPr>
  </w:style>
  <w:style w:type="paragraph" w:customStyle="1" w:styleId="Default">
    <w:name w:val="Default"/>
    <w:rsid w:val="003E0B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f7">
    <w:name w:val="Light Shading"/>
    <w:basedOn w:val="a2"/>
    <w:uiPriority w:val="60"/>
    <w:rsid w:val="003E0B7B"/>
    <w:pPr>
      <w:spacing w:after="0" w:line="240" w:lineRule="auto"/>
    </w:pPr>
    <w:rPr>
      <w:rFonts w:ascii="Calibri" w:eastAsia="Calibri" w:hAnsi="Calibri"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E0B7B"/>
    <w:pPr>
      <w:spacing w:before="120" w:after="120"/>
      <w:jc w:val="both"/>
    </w:pPr>
    <w:rPr>
      <w:rFonts w:ascii="Times New Roman" w:eastAsia="Calibri" w:hAnsi="Times New Roman" w:cs="Times New Roman"/>
      <w:sz w:val="24"/>
      <w:szCs w:val="24"/>
    </w:rPr>
  </w:style>
  <w:style w:type="paragraph" w:styleId="11">
    <w:name w:val="heading 1"/>
    <w:basedOn w:val="a0"/>
    <w:next w:val="a0"/>
    <w:link w:val="12"/>
    <w:uiPriority w:val="99"/>
    <w:qFormat/>
    <w:rsid w:val="003E0B7B"/>
    <w:pPr>
      <w:keepNext/>
      <w:keepLines/>
      <w:spacing w:before="480" w:after="0"/>
      <w:outlineLvl w:val="0"/>
    </w:pPr>
    <w:rPr>
      <w:rFonts w:eastAsia="Times New Roman"/>
      <w:b/>
      <w:bCs/>
      <w:sz w:val="32"/>
      <w:szCs w:val="28"/>
    </w:rPr>
  </w:style>
  <w:style w:type="paragraph" w:styleId="20">
    <w:name w:val="heading 2"/>
    <w:basedOn w:val="a0"/>
    <w:next w:val="a0"/>
    <w:link w:val="21"/>
    <w:uiPriority w:val="99"/>
    <w:unhideWhenUsed/>
    <w:qFormat/>
    <w:rsid w:val="003E0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3E0B7B"/>
    <w:pPr>
      <w:keepNext/>
      <w:keepLines/>
      <w:spacing w:before="200" w:after="0"/>
      <w:jc w:val="left"/>
      <w:outlineLvl w:val="2"/>
    </w:pPr>
    <w:rPr>
      <w:rFonts w:ascii="Cambria" w:eastAsia="Times New Roman" w:hAnsi="Cambria"/>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3E0B7B"/>
    <w:rPr>
      <w:rFonts w:ascii="Times New Roman" w:eastAsia="Times New Roman" w:hAnsi="Times New Roman" w:cs="Times New Roman"/>
      <w:b/>
      <w:bCs/>
      <w:sz w:val="32"/>
      <w:szCs w:val="28"/>
    </w:rPr>
  </w:style>
  <w:style w:type="character" w:customStyle="1" w:styleId="21">
    <w:name w:val="Заголовок 2 Знак"/>
    <w:basedOn w:val="a1"/>
    <w:link w:val="20"/>
    <w:uiPriority w:val="99"/>
    <w:rsid w:val="003E0B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9"/>
    <w:rsid w:val="003E0B7B"/>
    <w:rPr>
      <w:rFonts w:ascii="Cambria" w:eastAsia="Times New Roman" w:hAnsi="Cambria" w:cs="Times New Roman"/>
      <w:b/>
      <w:bCs/>
    </w:rPr>
  </w:style>
  <w:style w:type="paragraph" w:styleId="a4">
    <w:name w:val="TOC Heading"/>
    <w:basedOn w:val="11"/>
    <w:next w:val="a0"/>
    <w:uiPriority w:val="99"/>
    <w:qFormat/>
    <w:rsid w:val="003E0B7B"/>
    <w:pPr>
      <w:spacing w:before="240" w:line="259" w:lineRule="auto"/>
      <w:outlineLvl w:val="9"/>
    </w:pPr>
    <w:rPr>
      <w:b w:val="0"/>
      <w:bCs w:val="0"/>
      <w:szCs w:val="32"/>
      <w:lang w:val="en-US"/>
    </w:rPr>
  </w:style>
  <w:style w:type="paragraph" w:styleId="22">
    <w:name w:val="toc 2"/>
    <w:basedOn w:val="a0"/>
    <w:next w:val="a0"/>
    <w:autoRedefine/>
    <w:uiPriority w:val="39"/>
    <w:rsid w:val="003E0B7B"/>
    <w:pPr>
      <w:tabs>
        <w:tab w:val="left" w:pos="880"/>
        <w:tab w:val="right" w:leader="dot" w:pos="9062"/>
      </w:tabs>
      <w:spacing w:line="312" w:lineRule="auto"/>
      <w:ind w:left="221"/>
    </w:pPr>
  </w:style>
  <w:style w:type="character" w:styleId="a5">
    <w:name w:val="Hyperlink"/>
    <w:uiPriority w:val="99"/>
    <w:rsid w:val="003E0B7B"/>
    <w:rPr>
      <w:rFonts w:cs="Times New Roman"/>
      <w:color w:val="0000FF"/>
      <w:u w:val="single"/>
    </w:rPr>
  </w:style>
  <w:style w:type="paragraph" w:styleId="13">
    <w:name w:val="toc 1"/>
    <w:basedOn w:val="a0"/>
    <w:next w:val="a0"/>
    <w:autoRedefine/>
    <w:uiPriority w:val="39"/>
    <w:rsid w:val="003E0B7B"/>
    <w:pPr>
      <w:tabs>
        <w:tab w:val="right" w:leader="dot" w:pos="9062"/>
      </w:tabs>
      <w:spacing w:after="100"/>
    </w:pPr>
  </w:style>
  <w:style w:type="paragraph" w:styleId="a6">
    <w:name w:val="Balloon Text"/>
    <w:basedOn w:val="a0"/>
    <w:link w:val="a7"/>
    <w:uiPriority w:val="99"/>
    <w:semiHidden/>
    <w:unhideWhenUsed/>
    <w:rsid w:val="003E0B7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E0B7B"/>
    <w:rPr>
      <w:rFonts w:ascii="Tahoma" w:eastAsia="Calibri" w:hAnsi="Tahoma" w:cs="Tahoma"/>
      <w:sz w:val="16"/>
      <w:szCs w:val="16"/>
    </w:rPr>
  </w:style>
  <w:style w:type="paragraph" w:styleId="a8">
    <w:name w:val="List Paragraph"/>
    <w:basedOn w:val="a0"/>
    <w:link w:val="a9"/>
    <w:uiPriority w:val="34"/>
    <w:qFormat/>
    <w:rsid w:val="003E0B7B"/>
    <w:pPr>
      <w:ind w:left="720"/>
      <w:contextualSpacing/>
    </w:pPr>
  </w:style>
  <w:style w:type="table" w:styleId="aa">
    <w:name w:val="Table Grid"/>
    <w:basedOn w:val="a2"/>
    <w:uiPriority w:val="59"/>
    <w:rsid w:val="003E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3E0B7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3E0B7B"/>
    <w:rPr>
      <w:rFonts w:ascii="Times New Roman" w:eastAsia="Calibri" w:hAnsi="Times New Roman" w:cs="Times New Roman"/>
      <w:sz w:val="24"/>
      <w:szCs w:val="24"/>
    </w:rPr>
  </w:style>
  <w:style w:type="paragraph" w:styleId="ad">
    <w:name w:val="footer"/>
    <w:basedOn w:val="a0"/>
    <w:link w:val="ae"/>
    <w:uiPriority w:val="99"/>
    <w:unhideWhenUsed/>
    <w:rsid w:val="003E0B7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E0B7B"/>
    <w:rPr>
      <w:rFonts w:ascii="Times New Roman" w:eastAsia="Calibri" w:hAnsi="Times New Roman" w:cs="Times New Roman"/>
      <w:sz w:val="24"/>
      <w:szCs w:val="24"/>
    </w:rPr>
  </w:style>
  <w:style w:type="paragraph" w:styleId="af">
    <w:name w:val="Normal (Web)"/>
    <w:basedOn w:val="a0"/>
    <w:uiPriority w:val="99"/>
    <w:semiHidden/>
    <w:rsid w:val="003E0B7B"/>
    <w:pPr>
      <w:spacing w:before="100" w:beforeAutospacing="1" w:after="100" w:afterAutospacing="1" w:line="240" w:lineRule="auto"/>
    </w:pPr>
    <w:rPr>
      <w:rFonts w:eastAsia="Times New Roman"/>
      <w:lang w:eastAsia="ru-RU"/>
    </w:rPr>
  </w:style>
  <w:style w:type="paragraph" w:customStyle="1" w:styleId="a">
    <w:name w:val="Заголовок ОНБП"/>
    <w:basedOn w:val="11"/>
    <w:link w:val="af0"/>
    <w:qFormat/>
    <w:rsid w:val="003E0B7B"/>
    <w:pPr>
      <w:numPr>
        <w:numId w:val="1"/>
      </w:numPr>
      <w:spacing w:after="240"/>
    </w:pPr>
    <w:rPr>
      <w:szCs w:val="32"/>
    </w:rPr>
  </w:style>
  <w:style w:type="paragraph" w:customStyle="1" w:styleId="1">
    <w:name w:val="Заголовок ОНБП 1 уровня"/>
    <w:basedOn w:val="20"/>
    <w:link w:val="14"/>
    <w:qFormat/>
    <w:rsid w:val="003E0B7B"/>
    <w:pPr>
      <w:numPr>
        <w:ilvl w:val="1"/>
        <w:numId w:val="2"/>
      </w:numPr>
      <w:spacing w:before="240" w:after="240"/>
    </w:pPr>
    <w:rPr>
      <w:rFonts w:ascii="Times New Roman" w:eastAsia="Times New Roman" w:hAnsi="Times New Roman" w:cs="Times New Roman"/>
      <w:sz w:val="28"/>
      <w:szCs w:val="28"/>
    </w:rPr>
  </w:style>
  <w:style w:type="character" w:customStyle="1" w:styleId="af0">
    <w:name w:val="Заголовок ОНБП Знак"/>
    <w:basedOn w:val="12"/>
    <w:link w:val="a"/>
    <w:rsid w:val="003E0B7B"/>
    <w:rPr>
      <w:rFonts w:ascii="Times New Roman" w:eastAsia="Times New Roman" w:hAnsi="Times New Roman" w:cs="Times New Roman"/>
      <w:b/>
      <w:bCs/>
      <w:sz w:val="32"/>
      <w:szCs w:val="32"/>
    </w:rPr>
  </w:style>
  <w:style w:type="character" w:customStyle="1" w:styleId="CharStyle5">
    <w:name w:val="Char Style 5"/>
    <w:basedOn w:val="a1"/>
    <w:link w:val="Style4"/>
    <w:uiPriority w:val="99"/>
    <w:locked/>
    <w:rsid w:val="003E0B7B"/>
    <w:rPr>
      <w:rFonts w:cs="Times New Roman"/>
      <w:b/>
      <w:bCs/>
      <w:spacing w:val="-10"/>
      <w:sz w:val="26"/>
      <w:szCs w:val="26"/>
      <w:shd w:val="clear" w:color="auto" w:fill="FFFFFF"/>
    </w:rPr>
  </w:style>
  <w:style w:type="character" w:customStyle="1" w:styleId="14">
    <w:name w:val="Заголовок ОНБП 1 уровня Знак"/>
    <w:basedOn w:val="21"/>
    <w:link w:val="1"/>
    <w:rsid w:val="003E0B7B"/>
    <w:rPr>
      <w:rFonts w:ascii="Times New Roman" w:eastAsia="Times New Roman" w:hAnsi="Times New Roman" w:cs="Times New Roman"/>
      <w:b/>
      <w:bCs/>
      <w:color w:val="4F81BD" w:themeColor="accent1"/>
      <w:sz w:val="28"/>
      <w:szCs w:val="28"/>
    </w:rPr>
  </w:style>
  <w:style w:type="character" w:customStyle="1" w:styleId="CharStyle7Exact">
    <w:name w:val="Char Style 7 Exact"/>
    <w:basedOn w:val="a1"/>
    <w:uiPriority w:val="99"/>
    <w:rsid w:val="003E0B7B"/>
    <w:rPr>
      <w:rFonts w:cs="Times New Roman"/>
      <w:b/>
      <w:bCs/>
      <w:spacing w:val="-13"/>
      <w:u w:val="none"/>
    </w:rPr>
  </w:style>
  <w:style w:type="character" w:customStyle="1" w:styleId="CharStyle12">
    <w:name w:val="Char Style 12"/>
    <w:basedOn w:val="a1"/>
    <w:link w:val="Style6"/>
    <w:uiPriority w:val="99"/>
    <w:locked/>
    <w:rsid w:val="003E0B7B"/>
    <w:rPr>
      <w:rFonts w:cs="Times New Roman"/>
      <w:b/>
      <w:bCs/>
      <w:spacing w:val="-10"/>
      <w:sz w:val="26"/>
      <w:szCs w:val="26"/>
      <w:shd w:val="clear" w:color="auto" w:fill="FFFFFF"/>
    </w:rPr>
  </w:style>
  <w:style w:type="character" w:customStyle="1" w:styleId="CharStyle20">
    <w:name w:val="Char Style 20"/>
    <w:basedOn w:val="CharStyle5"/>
    <w:uiPriority w:val="99"/>
    <w:rsid w:val="003E0B7B"/>
    <w:rPr>
      <w:rFonts w:cs="Times New Roman"/>
      <w:b/>
      <w:bCs/>
      <w:spacing w:val="-10"/>
      <w:sz w:val="26"/>
      <w:szCs w:val="26"/>
      <w:shd w:val="clear" w:color="auto" w:fill="FFFFFF"/>
    </w:rPr>
  </w:style>
  <w:style w:type="character" w:customStyle="1" w:styleId="CharStyle24">
    <w:name w:val="Char Style 24"/>
    <w:basedOn w:val="CharStyle5"/>
    <w:uiPriority w:val="99"/>
    <w:rsid w:val="003E0B7B"/>
    <w:rPr>
      <w:rFonts w:cs="Times New Roman"/>
      <w:b w:val="0"/>
      <w:bCs w:val="0"/>
      <w:spacing w:val="0"/>
      <w:sz w:val="11"/>
      <w:szCs w:val="11"/>
      <w:shd w:val="clear" w:color="auto" w:fill="FFFFFF"/>
    </w:rPr>
  </w:style>
  <w:style w:type="character" w:customStyle="1" w:styleId="CharStyle25">
    <w:name w:val="Char Style 25"/>
    <w:basedOn w:val="CharStyle5"/>
    <w:uiPriority w:val="99"/>
    <w:rsid w:val="003E0B7B"/>
    <w:rPr>
      <w:rFonts w:cs="Times New Roman"/>
      <w:b/>
      <w:bCs/>
      <w:spacing w:val="-10"/>
      <w:sz w:val="24"/>
      <w:szCs w:val="24"/>
      <w:shd w:val="clear" w:color="auto" w:fill="FFFFFF"/>
    </w:rPr>
  </w:style>
  <w:style w:type="character" w:customStyle="1" w:styleId="CharStyle26">
    <w:name w:val="Char Style 26"/>
    <w:basedOn w:val="CharStyle5"/>
    <w:uiPriority w:val="99"/>
    <w:rsid w:val="003E0B7B"/>
    <w:rPr>
      <w:rFonts w:cs="Times New Roman"/>
      <w:b/>
      <w:bCs/>
      <w:spacing w:val="-10"/>
      <w:sz w:val="24"/>
      <w:szCs w:val="24"/>
      <w:u w:val="single"/>
      <w:shd w:val="clear" w:color="auto" w:fill="FFFFFF"/>
    </w:rPr>
  </w:style>
  <w:style w:type="paragraph" w:customStyle="1" w:styleId="Style4">
    <w:name w:val="Style 4"/>
    <w:basedOn w:val="a0"/>
    <w:link w:val="CharStyle5"/>
    <w:uiPriority w:val="99"/>
    <w:rsid w:val="003E0B7B"/>
    <w:pPr>
      <w:widowControl w:val="0"/>
      <w:shd w:val="clear" w:color="auto" w:fill="FFFFFF"/>
      <w:spacing w:after="0" w:line="322" w:lineRule="exact"/>
    </w:pPr>
    <w:rPr>
      <w:rFonts w:asciiTheme="minorHAnsi" w:eastAsiaTheme="minorHAnsi" w:hAnsiTheme="minorHAnsi"/>
      <w:b/>
      <w:bCs/>
      <w:spacing w:val="-10"/>
      <w:sz w:val="26"/>
      <w:szCs w:val="26"/>
    </w:rPr>
  </w:style>
  <w:style w:type="paragraph" w:customStyle="1" w:styleId="Style6">
    <w:name w:val="Style 6"/>
    <w:basedOn w:val="a0"/>
    <w:link w:val="CharStyle12"/>
    <w:uiPriority w:val="99"/>
    <w:rsid w:val="003E0B7B"/>
    <w:pPr>
      <w:widowControl w:val="0"/>
      <w:shd w:val="clear" w:color="auto" w:fill="FFFFFF"/>
      <w:spacing w:after="0" w:line="298" w:lineRule="exact"/>
    </w:pPr>
    <w:rPr>
      <w:rFonts w:asciiTheme="minorHAnsi" w:eastAsiaTheme="minorHAnsi" w:hAnsiTheme="minorHAnsi"/>
      <w:b/>
      <w:bCs/>
      <w:spacing w:val="-10"/>
      <w:sz w:val="26"/>
      <w:szCs w:val="26"/>
    </w:rPr>
  </w:style>
  <w:style w:type="character" w:customStyle="1" w:styleId="CharStyle3">
    <w:name w:val="Char Style 3"/>
    <w:basedOn w:val="a1"/>
    <w:link w:val="Style2"/>
    <w:uiPriority w:val="99"/>
    <w:locked/>
    <w:rsid w:val="003E0B7B"/>
    <w:rPr>
      <w:rFonts w:cs="Times New Roman"/>
      <w:b/>
      <w:bCs/>
      <w:sz w:val="20"/>
      <w:szCs w:val="20"/>
      <w:shd w:val="clear" w:color="auto" w:fill="FFFFFF"/>
    </w:rPr>
  </w:style>
  <w:style w:type="character" w:customStyle="1" w:styleId="CharStyle27">
    <w:name w:val="Char Style 27"/>
    <w:basedOn w:val="CharStyle5"/>
    <w:uiPriority w:val="99"/>
    <w:rsid w:val="003E0B7B"/>
    <w:rPr>
      <w:rFonts w:cs="Times New Roman"/>
      <w:b w:val="0"/>
      <w:bCs w:val="0"/>
      <w:spacing w:val="-10"/>
      <w:sz w:val="18"/>
      <w:szCs w:val="18"/>
      <w:u w:val="none"/>
      <w:shd w:val="clear" w:color="auto" w:fill="FFFFFF"/>
    </w:rPr>
  </w:style>
  <w:style w:type="character" w:customStyle="1" w:styleId="CharStyle28">
    <w:name w:val="Char Style 28"/>
    <w:basedOn w:val="CharStyle5"/>
    <w:uiPriority w:val="99"/>
    <w:rsid w:val="003E0B7B"/>
    <w:rPr>
      <w:rFonts w:cs="Times New Roman"/>
      <w:b/>
      <w:bCs/>
      <w:spacing w:val="-10"/>
      <w:sz w:val="18"/>
      <w:szCs w:val="18"/>
      <w:u w:val="none"/>
      <w:shd w:val="clear" w:color="auto" w:fill="FFFFFF"/>
    </w:rPr>
  </w:style>
  <w:style w:type="paragraph" w:customStyle="1" w:styleId="Style2">
    <w:name w:val="Style 2"/>
    <w:basedOn w:val="a0"/>
    <w:link w:val="CharStyle3"/>
    <w:uiPriority w:val="99"/>
    <w:rsid w:val="003E0B7B"/>
    <w:pPr>
      <w:widowControl w:val="0"/>
      <w:shd w:val="clear" w:color="auto" w:fill="FFFFFF"/>
      <w:spacing w:before="60" w:after="0" w:line="206" w:lineRule="exact"/>
      <w:jc w:val="center"/>
    </w:pPr>
    <w:rPr>
      <w:rFonts w:asciiTheme="minorHAnsi" w:eastAsiaTheme="minorHAnsi" w:hAnsiTheme="minorHAnsi"/>
      <w:b/>
      <w:bCs/>
      <w:sz w:val="20"/>
      <w:szCs w:val="20"/>
    </w:rPr>
  </w:style>
  <w:style w:type="character" w:customStyle="1" w:styleId="CharStyle30">
    <w:name w:val="Char Style 30"/>
    <w:basedOn w:val="a1"/>
    <w:link w:val="Style29"/>
    <w:uiPriority w:val="99"/>
    <w:locked/>
    <w:rsid w:val="003E0B7B"/>
    <w:rPr>
      <w:rFonts w:cs="Times New Roman"/>
      <w:b/>
      <w:bCs/>
      <w:spacing w:val="-20"/>
      <w:shd w:val="clear" w:color="auto" w:fill="FFFFFF"/>
    </w:rPr>
  </w:style>
  <w:style w:type="character" w:customStyle="1" w:styleId="CharStyle31">
    <w:name w:val="Char Style 31"/>
    <w:basedOn w:val="CharStyle5"/>
    <w:uiPriority w:val="99"/>
    <w:rsid w:val="003E0B7B"/>
    <w:rPr>
      <w:rFonts w:cs="Times New Roman"/>
      <w:b w:val="0"/>
      <w:bCs w:val="0"/>
      <w:spacing w:val="-10"/>
      <w:sz w:val="24"/>
      <w:szCs w:val="24"/>
      <w:u w:val="none"/>
      <w:shd w:val="clear" w:color="auto" w:fill="FFFFFF"/>
    </w:rPr>
  </w:style>
  <w:style w:type="paragraph" w:customStyle="1" w:styleId="Style29">
    <w:name w:val="Style 29"/>
    <w:basedOn w:val="a0"/>
    <w:link w:val="CharStyle30"/>
    <w:uiPriority w:val="99"/>
    <w:rsid w:val="003E0B7B"/>
    <w:pPr>
      <w:widowControl w:val="0"/>
      <w:shd w:val="clear" w:color="auto" w:fill="FFFFFF"/>
      <w:spacing w:after="360" w:line="293" w:lineRule="exact"/>
      <w:jc w:val="center"/>
    </w:pPr>
    <w:rPr>
      <w:rFonts w:asciiTheme="minorHAnsi" w:eastAsiaTheme="minorHAnsi" w:hAnsiTheme="minorHAnsi"/>
      <w:b/>
      <w:bCs/>
      <w:spacing w:val="-20"/>
      <w:sz w:val="22"/>
      <w:szCs w:val="22"/>
    </w:rPr>
  </w:style>
  <w:style w:type="paragraph" w:styleId="af1">
    <w:name w:val="No Spacing"/>
    <w:basedOn w:val="a8"/>
    <w:link w:val="af2"/>
    <w:uiPriority w:val="99"/>
    <w:qFormat/>
    <w:rsid w:val="003E0B7B"/>
  </w:style>
  <w:style w:type="character" w:customStyle="1" w:styleId="af2">
    <w:name w:val="Без интервала Знак"/>
    <w:link w:val="af1"/>
    <w:uiPriority w:val="99"/>
    <w:locked/>
    <w:rsid w:val="003E0B7B"/>
    <w:rPr>
      <w:rFonts w:ascii="Times New Roman" w:eastAsia="Calibri" w:hAnsi="Times New Roman" w:cs="Times New Roman"/>
      <w:sz w:val="24"/>
      <w:szCs w:val="24"/>
    </w:rPr>
  </w:style>
  <w:style w:type="paragraph" w:customStyle="1" w:styleId="TabText">
    <w:name w:val="Tab_Text"/>
    <w:aliases w:val="Black,Normal + HelveticaNeue LT 55 Roman,10 pt,Justified"/>
    <w:link w:val="TabTextChar"/>
    <w:rsid w:val="003E0B7B"/>
    <w:pPr>
      <w:spacing w:after="0" w:line="240" w:lineRule="auto"/>
    </w:pPr>
    <w:rPr>
      <w:rFonts w:ascii="HelveticaNeue LT 55 Roman" w:eastAsia="Times New Roman" w:hAnsi="HelveticaNeue LT 55 Roman" w:cs="HelveticaNeue LT 55 Roman"/>
      <w:sz w:val="14"/>
      <w:szCs w:val="14"/>
      <w:lang w:val="en-GB" w:eastAsia="ru-RU" w:bidi="ml-IN"/>
    </w:rPr>
  </w:style>
  <w:style w:type="character" w:customStyle="1" w:styleId="TabTextChar">
    <w:name w:val="Tab_Text Char"/>
    <w:aliases w:val="Black Char"/>
    <w:link w:val="TabText"/>
    <w:locked/>
    <w:rsid w:val="003E0B7B"/>
    <w:rPr>
      <w:rFonts w:ascii="HelveticaNeue LT 55 Roman" w:eastAsia="Times New Roman" w:hAnsi="HelveticaNeue LT 55 Roman" w:cs="HelveticaNeue LT 55 Roman"/>
      <w:sz w:val="14"/>
      <w:szCs w:val="14"/>
      <w:lang w:val="en-GB" w:eastAsia="ru-RU" w:bidi="ml-IN"/>
    </w:rPr>
  </w:style>
  <w:style w:type="paragraph" w:customStyle="1" w:styleId="SourceLarge">
    <w:name w:val="SourceLarge"/>
    <w:next w:val="a0"/>
    <w:link w:val="SourceLargeChar"/>
    <w:rsid w:val="003E0B7B"/>
    <w:pPr>
      <w:suppressAutoHyphens/>
      <w:spacing w:after="360" w:line="160" w:lineRule="atLeast"/>
    </w:pPr>
    <w:rPr>
      <w:rFonts w:ascii="HelveticaNeue LT 65 Medium" w:eastAsia="Times New Roman" w:hAnsi="HelveticaNeue LT 65 Medium" w:cs="HelveticaNeue LT 65 Medium"/>
      <w:sz w:val="11"/>
      <w:szCs w:val="11"/>
      <w:lang w:val="en-GB" w:eastAsia="ru-RU" w:bidi="ml-IN"/>
    </w:rPr>
  </w:style>
  <w:style w:type="character" w:customStyle="1" w:styleId="SourceLargeChar">
    <w:name w:val="SourceLarge Char"/>
    <w:link w:val="SourceLarge"/>
    <w:locked/>
    <w:rsid w:val="003E0B7B"/>
    <w:rPr>
      <w:rFonts w:ascii="HelveticaNeue LT 65 Medium" w:eastAsia="Times New Roman" w:hAnsi="HelveticaNeue LT 65 Medium" w:cs="HelveticaNeue LT 65 Medium"/>
      <w:sz w:val="11"/>
      <w:szCs w:val="11"/>
      <w:lang w:val="en-GB" w:eastAsia="ru-RU" w:bidi="ml-IN"/>
    </w:rPr>
  </w:style>
  <w:style w:type="paragraph" w:customStyle="1" w:styleId="GraphTitle">
    <w:name w:val="Graph_Title"/>
    <w:basedOn w:val="a0"/>
    <w:link w:val="GraphTitleChar"/>
    <w:rsid w:val="003E0B7B"/>
    <w:pPr>
      <w:suppressAutoHyphens/>
      <w:spacing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3E0B7B"/>
    <w:rPr>
      <w:rFonts w:ascii="HelveticaNeue LT 65 Medium" w:eastAsia="Times New Roman" w:hAnsi="HelveticaNeue LT 65 Medium" w:cs="HelveticaNeue LT 65 Medium"/>
      <w:sz w:val="17"/>
      <w:szCs w:val="17"/>
      <w:lang w:val="en-GB" w:eastAsia="ru-RU" w:bidi="ml-IN"/>
    </w:rPr>
  </w:style>
  <w:style w:type="table" w:customStyle="1" w:styleId="Smalltable">
    <w:name w:val="Small table"/>
    <w:basedOn w:val="a2"/>
    <w:rsid w:val="003E0B7B"/>
    <w:pPr>
      <w:spacing w:after="0" w:line="240" w:lineRule="auto"/>
      <w:jc w:val="both"/>
    </w:pPr>
    <w:rPr>
      <w:rFonts w:ascii="HelveticaNeue LT 65 Medium" w:eastAsia="Times New Roman" w:hAnsi="HelveticaNeue LT 65 Medium" w:cs="Times New Roman"/>
      <w:sz w:val="14"/>
      <w:szCs w:val="14"/>
      <w:lang w:val="en-US"/>
    </w:rPr>
    <w:tblPr>
      <w:tblInd w:w="2608" w:type="dxa"/>
      <w:tblCellMar>
        <w:left w:w="0" w:type="dxa"/>
        <w:right w:w="0" w:type="dxa"/>
      </w:tblCellMar>
    </w:tblPr>
    <w:tcPr>
      <w:tcMar>
        <w:left w:w="28" w:type="dxa"/>
        <w:right w:w="28" w:type="dxa"/>
      </w:tcMar>
    </w:tcPr>
  </w:style>
  <w:style w:type="character" w:styleId="af3">
    <w:name w:val="annotation reference"/>
    <w:basedOn w:val="a1"/>
    <w:uiPriority w:val="99"/>
    <w:semiHidden/>
    <w:unhideWhenUsed/>
    <w:rsid w:val="003E0B7B"/>
    <w:rPr>
      <w:sz w:val="16"/>
      <w:szCs w:val="16"/>
    </w:rPr>
  </w:style>
  <w:style w:type="paragraph" w:styleId="af4">
    <w:name w:val="annotation text"/>
    <w:basedOn w:val="a0"/>
    <w:link w:val="af5"/>
    <w:uiPriority w:val="99"/>
    <w:semiHidden/>
    <w:unhideWhenUsed/>
    <w:rsid w:val="003E0B7B"/>
    <w:pPr>
      <w:spacing w:line="240" w:lineRule="auto"/>
    </w:pPr>
    <w:rPr>
      <w:sz w:val="20"/>
      <w:szCs w:val="20"/>
    </w:rPr>
  </w:style>
  <w:style w:type="character" w:customStyle="1" w:styleId="af5">
    <w:name w:val="Текст примечания Знак"/>
    <w:basedOn w:val="a1"/>
    <w:link w:val="af4"/>
    <w:uiPriority w:val="99"/>
    <w:semiHidden/>
    <w:rsid w:val="003E0B7B"/>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3E0B7B"/>
    <w:rPr>
      <w:b/>
      <w:bCs/>
    </w:rPr>
  </w:style>
  <w:style w:type="character" w:customStyle="1" w:styleId="af7">
    <w:name w:val="Тема примечания Знак"/>
    <w:basedOn w:val="af5"/>
    <w:link w:val="af6"/>
    <w:uiPriority w:val="99"/>
    <w:semiHidden/>
    <w:rsid w:val="003E0B7B"/>
    <w:rPr>
      <w:rFonts w:ascii="Times New Roman" w:eastAsia="Calibri" w:hAnsi="Times New Roman" w:cs="Times New Roman"/>
      <w:b/>
      <w:bCs/>
      <w:sz w:val="20"/>
      <w:szCs w:val="20"/>
    </w:rPr>
  </w:style>
  <w:style w:type="character" w:customStyle="1" w:styleId="a9">
    <w:name w:val="Абзац списка Знак"/>
    <w:link w:val="a8"/>
    <w:uiPriority w:val="34"/>
    <w:rsid w:val="003E0B7B"/>
    <w:rPr>
      <w:rFonts w:ascii="Times New Roman" w:eastAsia="Calibri" w:hAnsi="Times New Roman" w:cs="Times New Roman"/>
      <w:sz w:val="24"/>
      <w:szCs w:val="24"/>
    </w:rPr>
  </w:style>
  <w:style w:type="paragraph" w:styleId="af8">
    <w:name w:val="footnote text"/>
    <w:aliases w:val="Текст сноски-FN,Table_Footnote_last,single space,footnote text,Footnote Text Char Char,Footnote Text Char Char Char Char,Footnote Text1,Footnote Text Char Char Char,Footnote Text Char,Footnote Text Char Знак,Footnote Text Char Знак Знак"/>
    <w:basedOn w:val="a0"/>
    <w:link w:val="af9"/>
    <w:uiPriority w:val="99"/>
    <w:unhideWhenUsed/>
    <w:rsid w:val="003E0B7B"/>
    <w:pPr>
      <w:spacing w:after="0" w:line="240" w:lineRule="auto"/>
    </w:pPr>
    <w:rPr>
      <w:sz w:val="20"/>
      <w:szCs w:val="20"/>
    </w:rPr>
  </w:style>
  <w:style w:type="character" w:customStyle="1" w:styleId="af9">
    <w:name w:val="Текст сноски Знак"/>
    <w:aliases w:val="Текст сноски-FN Знак,Table_Footnote_last Знак,single space Знак,footnote text Знак,Footnote Text Char Char Знак,Footnote Text Char Char Char Char Знак,Footnote Text1 Знак,Footnote Text Char Char Char Знак,Footnote Text Char Знак1"/>
    <w:basedOn w:val="a1"/>
    <w:link w:val="af8"/>
    <w:uiPriority w:val="99"/>
    <w:rsid w:val="003E0B7B"/>
    <w:rPr>
      <w:rFonts w:ascii="Times New Roman" w:eastAsia="Calibri" w:hAnsi="Times New Roman" w:cs="Times New Roman"/>
      <w:sz w:val="20"/>
      <w:szCs w:val="20"/>
    </w:rPr>
  </w:style>
  <w:style w:type="character" w:styleId="afa">
    <w:name w:val="footnote reference"/>
    <w:aliases w:val="Знак сноски-FN,Ciae niinee-FN,SUPERS,Знак сноски 1"/>
    <w:basedOn w:val="a1"/>
    <w:uiPriority w:val="99"/>
    <w:unhideWhenUsed/>
    <w:rsid w:val="003E0B7B"/>
    <w:rPr>
      <w:vertAlign w:val="superscript"/>
    </w:rPr>
  </w:style>
  <w:style w:type="paragraph" w:styleId="afb">
    <w:name w:val="Subtitle"/>
    <w:basedOn w:val="a0"/>
    <w:next w:val="a0"/>
    <w:link w:val="afc"/>
    <w:qFormat/>
    <w:rsid w:val="003E0B7B"/>
    <w:pPr>
      <w:spacing w:after="60" w:line="240" w:lineRule="auto"/>
      <w:jc w:val="center"/>
      <w:outlineLvl w:val="1"/>
    </w:pPr>
    <w:rPr>
      <w:rFonts w:ascii="Cambria" w:eastAsia="Times New Roman" w:hAnsi="Cambria"/>
      <w:lang w:val="x-none" w:eastAsia="x-none"/>
    </w:rPr>
  </w:style>
  <w:style w:type="character" w:customStyle="1" w:styleId="afc">
    <w:name w:val="Подзаголовок Знак"/>
    <w:basedOn w:val="a1"/>
    <w:link w:val="afb"/>
    <w:rsid w:val="003E0B7B"/>
    <w:rPr>
      <w:rFonts w:ascii="Cambria" w:eastAsia="Times New Roman" w:hAnsi="Cambria" w:cs="Times New Roman"/>
      <w:sz w:val="24"/>
      <w:szCs w:val="24"/>
      <w:lang w:val="x-none" w:eastAsia="x-none"/>
    </w:rPr>
  </w:style>
  <w:style w:type="paragraph" w:customStyle="1" w:styleId="ConsPlusNormal">
    <w:name w:val="ConsPlusNormal"/>
    <w:uiPriority w:val="99"/>
    <w:rsid w:val="003E0B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d">
    <w:name w:val="Основной текст + Полужирный"/>
    <w:rsid w:val="003E0B7B"/>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customStyle="1" w:styleId="Style7">
    <w:name w:val="Style7"/>
    <w:basedOn w:val="a0"/>
    <w:uiPriority w:val="99"/>
    <w:rsid w:val="003E0B7B"/>
    <w:pPr>
      <w:widowControl w:val="0"/>
      <w:autoSpaceDE w:val="0"/>
      <w:autoSpaceDN w:val="0"/>
      <w:adjustRightInd w:val="0"/>
      <w:spacing w:after="0" w:line="522" w:lineRule="exact"/>
      <w:ind w:firstLine="684"/>
    </w:pPr>
    <w:rPr>
      <w:rFonts w:eastAsia="Times New Roman"/>
      <w:lang w:eastAsia="ru-RU"/>
    </w:rPr>
  </w:style>
  <w:style w:type="character" w:customStyle="1" w:styleId="FontStyle87">
    <w:name w:val="Font Style87"/>
    <w:uiPriority w:val="99"/>
    <w:rsid w:val="003E0B7B"/>
    <w:rPr>
      <w:rFonts w:ascii="Times New Roman" w:hAnsi="Times New Roman" w:cs="Times New Roman"/>
      <w:sz w:val="28"/>
      <w:szCs w:val="28"/>
    </w:rPr>
  </w:style>
  <w:style w:type="paragraph" w:styleId="31">
    <w:name w:val="toc 3"/>
    <w:basedOn w:val="a0"/>
    <w:next w:val="a0"/>
    <w:autoRedefine/>
    <w:uiPriority w:val="39"/>
    <w:unhideWhenUsed/>
    <w:rsid w:val="003E0B7B"/>
    <w:pPr>
      <w:spacing w:after="100"/>
      <w:ind w:left="440"/>
    </w:pPr>
    <w:rPr>
      <w:rFonts w:asciiTheme="minorHAnsi" w:eastAsiaTheme="minorEastAsia" w:hAnsiTheme="minorHAnsi" w:cstheme="minorBidi"/>
      <w:lang w:eastAsia="ru-RU"/>
    </w:rPr>
  </w:style>
  <w:style w:type="paragraph" w:styleId="4">
    <w:name w:val="toc 4"/>
    <w:basedOn w:val="a0"/>
    <w:next w:val="a0"/>
    <w:autoRedefine/>
    <w:uiPriority w:val="39"/>
    <w:unhideWhenUsed/>
    <w:rsid w:val="003E0B7B"/>
    <w:pPr>
      <w:spacing w:after="100"/>
      <w:ind w:left="660"/>
    </w:pPr>
    <w:rPr>
      <w:rFonts w:asciiTheme="minorHAnsi" w:eastAsiaTheme="minorEastAsia" w:hAnsiTheme="minorHAnsi" w:cstheme="minorBidi"/>
      <w:lang w:eastAsia="ru-RU"/>
    </w:rPr>
  </w:style>
  <w:style w:type="paragraph" w:styleId="5">
    <w:name w:val="toc 5"/>
    <w:basedOn w:val="a0"/>
    <w:next w:val="a0"/>
    <w:autoRedefine/>
    <w:uiPriority w:val="39"/>
    <w:unhideWhenUsed/>
    <w:rsid w:val="003E0B7B"/>
    <w:pPr>
      <w:spacing w:after="100"/>
      <w:ind w:left="880"/>
    </w:pPr>
    <w:rPr>
      <w:rFonts w:asciiTheme="minorHAnsi" w:eastAsiaTheme="minorEastAsia" w:hAnsiTheme="minorHAnsi" w:cstheme="minorBidi"/>
      <w:lang w:eastAsia="ru-RU"/>
    </w:rPr>
  </w:style>
  <w:style w:type="paragraph" w:styleId="6">
    <w:name w:val="toc 6"/>
    <w:basedOn w:val="a0"/>
    <w:next w:val="a0"/>
    <w:autoRedefine/>
    <w:uiPriority w:val="39"/>
    <w:unhideWhenUsed/>
    <w:rsid w:val="003E0B7B"/>
    <w:pPr>
      <w:spacing w:after="100"/>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3E0B7B"/>
    <w:pPr>
      <w:spacing w:after="100"/>
      <w:ind w:left="1320"/>
    </w:pPr>
    <w:rPr>
      <w:rFonts w:asciiTheme="minorHAnsi" w:eastAsiaTheme="minorEastAsia" w:hAnsiTheme="minorHAnsi" w:cstheme="minorBidi"/>
      <w:lang w:eastAsia="ru-RU"/>
    </w:rPr>
  </w:style>
  <w:style w:type="paragraph" w:styleId="8">
    <w:name w:val="toc 8"/>
    <w:basedOn w:val="a0"/>
    <w:next w:val="a0"/>
    <w:autoRedefine/>
    <w:uiPriority w:val="39"/>
    <w:unhideWhenUsed/>
    <w:rsid w:val="003E0B7B"/>
    <w:pPr>
      <w:spacing w:after="100"/>
      <w:ind w:left="1540"/>
    </w:pPr>
    <w:rPr>
      <w:rFonts w:asciiTheme="minorHAnsi" w:eastAsiaTheme="minorEastAsia" w:hAnsiTheme="minorHAnsi" w:cstheme="minorBidi"/>
      <w:lang w:eastAsia="ru-RU"/>
    </w:rPr>
  </w:style>
  <w:style w:type="paragraph" w:styleId="9">
    <w:name w:val="toc 9"/>
    <w:basedOn w:val="a0"/>
    <w:next w:val="a0"/>
    <w:autoRedefine/>
    <w:uiPriority w:val="39"/>
    <w:unhideWhenUsed/>
    <w:rsid w:val="003E0B7B"/>
    <w:pPr>
      <w:spacing w:after="100"/>
      <w:ind w:left="1760"/>
    </w:pPr>
    <w:rPr>
      <w:rFonts w:asciiTheme="minorHAnsi" w:eastAsiaTheme="minorEastAsia" w:hAnsiTheme="minorHAnsi" w:cstheme="minorBidi"/>
      <w:lang w:eastAsia="ru-RU"/>
    </w:rPr>
  </w:style>
  <w:style w:type="paragraph" w:styleId="23">
    <w:name w:val="Body Text 2"/>
    <w:basedOn w:val="a0"/>
    <w:link w:val="24"/>
    <w:rsid w:val="003E0B7B"/>
    <w:pPr>
      <w:spacing w:line="480" w:lineRule="auto"/>
    </w:pPr>
    <w:rPr>
      <w:rFonts w:eastAsia="Times New Roman"/>
      <w:lang w:eastAsia="ru-RU"/>
    </w:rPr>
  </w:style>
  <w:style w:type="character" w:customStyle="1" w:styleId="24">
    <w:name w:val="Основной текст 2 Знак"/>
    <w:basedOn w:val="a1"/>
    <w:link w:val="23"/>
    <w:rsid w:val="003E0B7B"/>
    <w:rPr>
      <w:rFonts w:ascii="Times New Roman" w:eastAsia="Times New Roman" w:hAnsi="Times New Roman" w:cs="Times New Roman"/>
      <w:sz w:val="24"/>
      <w:szCs w:val="24"/>
      <w:lang w:eastAsia="ru-RU"/>
    </w:rPr>
  </w:style>
  <w:style w:type="paragraph" w:customStyle="1" w:styleId="ConsPlusTitle">
    <w:name w:val="ConsPlusTitle"/>
    <w:uiPriority w:val="99"/>
    <w:rsid w:val="003E0B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harStyle6">
    <w:name w:val="Char Style 6"/>
    <w:uiPriority w:val="99"/>
    <w:locked/>
    <w:rsid w:val="003E0B7B"/>
    <w:rPr>
      <w:rFonts w:cs="Times New Roman"/>
      <w:shd w:val="clear" w:color="auto" w:fill="FFFFFF"/>
    </w:rPr>
  </w:style>
  <w:style w:type="paragraph" w:styleId="afe">
    <w:name w:val="endnote text"/>
    <w:basedOn w:val="a0"/>
    <w:link w:val="aff"/>
    <w:uiPriority w:val="99"/>
    <w:semiHidden/>
    <w:rsid w:val="003E0B7B"/>
    <w:pPr>
      <w:spacing w:before="0" w:after="0" w:line="240" w:lineRule="auto"/>
      <w:jc w:val="left"/>
    </w:pPr>
    <w:rPr>
      <w:rFonts w:ascii="Calibri" w:hAnsi="Calibri"/>
      <w:sz w:val="20"/>
      <w:szCs w:val="20"/>
    </w:rPr>
  </w:style>
  <w:style w:type="character" w:customStyle="1" w:styleId="aff">
    <w:name w:val="Текст концевой сноски Знак"/>
    <w:basedOn w:val="a1"/>
    <w:link w:val="afe"/>
    <w:uiPriority w:val="99"/>
    <w:semiHidden/>
    <w:rsid w:val="003E0B7B"/>
    <w:rPr>
      <w:rFonts w:ascii="Calibri" w:eastAsia="Calibri" w:hAnsi="Calibri" w:cs="Times New Roman"/>
      <w:sz w:val="20"/>
      <w:szCs w:val="20"/>
    </w:rPr>
  </w:style>
  <w:style w:type="character" w:styleId="aff0">
    <w:name w:val="endnote reference"/>
    <w:uiPriority w:val="99"/>
    <w:semiHidden/>
    <w:rsid w:val="003E0B7B"/>
    <w:rPr>
      <w:rFonts w:cs="Times New Roman"/>
      <w:vertAlign w:val="superscript"/>
    </w:rPr>
  </w:style>
  <w:style w:type="table" w:customStyle="1" w:styleId="28">
    <w:name w:val="28"/>
    <w:uiPriority w:val="99"/>
    <w:rsid w:val="003E0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2608" w:type="dxa"/>
      <w:tblCellMar>
        <w:top w:w="0" w:type="dxa"/>
        <w:left w:w="0" w:type="dxa"/>
        <w:bottom w:w="0" w:type="dxa"/>
        <w:right w:w="0" w:type="dxa"/>
      </w:tblCellMar>
    </w:tblPr>
  </w:style>
  <w:style w:type="paragraph" w:styleId="aff1">
    <w:name w:val="Revision"/>
    <w:hidden/>
    <w:uiPriority w:val="99"/>
    <w:semiHidden/>
    <w:rsid w:val="003E0B7B"/>
    <w:pPr>
      <w:spacing w:after="0" w:line="240" w:lineRule="auto"/>
    </w:pPr>
    <w:rPr>
      <w:rFonts w:ascii="Calibri" w:eastAsia="Calibri" w:hAnsi="Calibri" w:cs="Times New Roman"/>
    </w:rPr>
  </w:style>
  <w:style w:type="table" w:customStyle="1" w:styleId="41">
    <w:name w:val="Таблица простая 41"/>
    <w:uiPriority w:val="99"/>
    <w:rsid w:val="003E0B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character" w:styleId="aff2">
    <w:name w:val="Placeholder Text"/>
    <w:uiPriority w:val="99"/>
    <w:semiHidden/>
    <w:rsid w:val="003E0B7B"/>
    <w:rPr>
      <w:rFonts w:cs="Times New Roman"/>
      <w:color w:val="808080"/>
    </w:rPr>
  </w:style>
  <w:style w:type="paragraph" w:customStyle="1" w:styleId="Style8">
    <w:name w:val="Style8"/>
    <w:basedOn w:val="a0"/>
    <w:uiPriority w:val="99"/>
    <w:rsid w:val="003E0B7B"/>
    <w:pPr>
      <w:widowControl w:val="0"/>
      <w:autoSpaceDE w:val="0"/>
      <w:autoSpaceDN w:val="0"/>
      <w:adjustRightInd w:val="0"/>
      <w:spacing w:before="0" w:after="0" w:line="369" w:lineRule="exact"/>
      <w:ind w:firstLine="698"/>
    </w:pPr>
    <w:rPr>
      <w:lang w:eastAsia="ru-RU"/>
    </w:rPr>
  </w:style>
  <w:style w:type="character" w:customStyle="1" w:styleId="FontStyle23">
    <w:name w:val="Font Style23"/>
    <w:uiPriority w:val="99"/>
    <w:rsid w:val="003E0B7B"/>
    <w:rPr>
      <w:rFonts w:ascii="Times New Roman" w:hAnsi="Times New Roman"/>
      <w:sz w:val="24"/>
    </w:rPr>
  </w:style>
  <w:style w:type="numbering" w:customStyle="1" w:styleId="2">
    <w:name w:val="Стиль2"/>
    <w:rsid w:val="003E0B7B"/>
    <w:pPr>
      <w:numPr>
        <w:numId w:val="4"/>
      </w:numPr>
    </w:pPr>
  </w:style>
  <w:style w:type="numbering" w:customStyle="1" w:styleId="10">
    <w:name w:val="Стиль1"/>
    <w:rsid w:val="003E0B7B"/>
    <w:pPr>
      <w:numPr>
        <w:numId w:val="3"/>
      </w:numPr>
    </w:pPr>
  </w:style>
  <w:style w:type="paragraph" w:customStyle="1" w:styleId="aff3">
    <w:name w:val="Обычный текст"/>
    <w:basedOn w:val="a0"/>
    <w:link w:val="aff4"/>
    <w:qFormat/>
    <w:rsid w:val="003E0B7B"/>
    <w:pPr>
      <w:spacing w:before="0" w:after="0" w:line="360" w:lineRule="auto"/>
      <w:ind w:firstLine="709"/>
    </w:pPr>
    <w:rPr>
      <w:rFonts w:eastAsia="Times New Roman"/>
      <w:lang w:eastAsia="ru-RU"/>
    </w:rPr>
  </w:style>
  <w:style w:type="character" w:customStyle="1" w:styleId="aff4">
    <w:name w:val="Обычный текст Знак"/>
    <w:link w:val="aff3"/>
    <w:rsid w:val="003E0B7B"/>
    <w:rPr>
      <w:rFonts w:ascii="Times New Roman" w:eastAsia="Times New Roman" w:hAnsi="Times New Roman" w:cs="Times New Roman"/>
      <w:sz w:val="24"/>
      <w:szCs w:val="24"/>
      <w:lang w:eastAsia="ru-RU"/>
    </w:rPr>
  </w:style>
  <w:style w:type="paragraph" w:customStyle="1" w:styleId="aff5">
    <w:name w:val="Рисунок примечание"/>
    <w:basedOn w:val="a0"/>
    <w:link w:val="aff6"/>
    <w:qFormat/>
    <w:rsid w:val="003E0B7B"/>
    <w:pPr>
      <w:keepNext/>
      <w:keepLines/>
      <w:spacing w:before="20" w:after="0" w:line="240" w:lineRule="auto"/>
      <w:ind w:firstLine="709"/>
      <w:jc w:val="left"/>
    </w:pPr>
    <w:rPr>
      <w:rFonts w:eastAsia="Times New Roman"/>
      <w:i/>
      <w:sz w:val="20"/>
      <w:szCs w:val="20"/>
    </w:rPr>
  </w:style>
  <w:style w:type="character" w:customStyle="1" w:styleId="aff6">
    <w:name w:val="Рисунок примечание Знак"/>
    <w:link w:val="aff5"/>
    <w:rsid w:val="003E0B7B"/>
    <w:rPr>
      <w:rFonts w:ascii="Times New Roman" w:eastAsia="Times New Roman" w:hAnsi="Times New Roman" w:cs="Times New Roman"/>
      <w:i/>
      <w:sz w:val="20"/>
      <w:szCs w:val="20"/>
    </w:rPr>
  </w:style>
  <w:style w:type="paragraph" w:customStyle="1" w:styleId="-">
    <w:name w:val="Рисунок - название"/>
    <w:basedOn w:val="a0"/>
    <w:link w:val="-0"/>
    <w:qFormat/>
    <w:rsid w:val="003E0B7B"/>
    <w:pPr>
      <w:keepNext/>
      <w:keepLines/>
      <w:tabs>
        <w:tab w:val="num" w:pos="0"/>
      </w:tabs>
      <w:spacing w:before="60" w:after="240" w:line="360" w:lineRule="auto"/>
      <w:ind w:left="709"/>
      <w:jc w:val="center"/>
    </w:pPr>
    <w:rPr>
      <w:rFonts w:eastAsia="Times New Roman"/>
      <w:b/>
      <w:lang w:eastAsia="ru-RU"/>
    </w:rPr>
  </w:style>
  <w:style w:type="character" w:customStyle="1" w:styleId="-0">
    <w:name w:val="Рисунок - название Знак"/>
    <w:link w:val="-"/>
    <w:rsid w:val="003E0B7B"/>
    <w:rPr>
      <w:rFonts w:ascii="Times New Roman" w:eastAsia="Times New Roman" w:hAnsi="Times New Roman" w:cs="Times New Roman"/>
      <w:b/>
      <w:sz w:val="24"/>
      <w:szCs w:val="24"/>
      <w:lang w:eastAsia="ru-RU"/>
    </w:rPr>
  </w:style>
  <w:style w:type="paragraph" w:customStyle="1" w:styleId="Default">
    <w:name w:val="Default"/>
    <w:rsid w:val="003E0B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f7">
    <w:name w:val="Light Shading"/>
    <w:basedOn w:val="a2"/>
    <w:uiPriority w:val="60"/>
    <w:rsid w:val="003E0B7B"/>
    <w:pPr>
      <w:spacing w:after="0" w:line="240" w:lineRule="auto"/>
    </w:pPr>
    <w:rPr>
      <w:rFonts w:ascii="Calibri" w:eastAsia="Calibri" w:hAnsi="Calibri"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1233">
      <w:bodyDiv w:val="1"/>
      <w:marLeft w:val="0"/>
      <w:marRight w:val="0"/>
      <w:marTop w:val="0"/>
      <w:marBottom w:val="0"/>
      <w:divBdr>
        <w:top w:val="none" w:sz="0" w:space="0" w:color="auto"/>
        <w:left w:val="none" w:sz="0" w:space="0" w:color="auto"/>
        <w:bottom w:val="none" w:sz="0" w:space="0" w:color="auto"/>
        <w:right w:val="none" w:sz="0" w:space="0" w:color="auto"/>
      </w:divBdr>
    </w:div>
    <w:div w:id="1770664294">
      <w:bodyDiv w:val="1"/>
      <w:marLeft w:val="0"/>
      <w:marRight w:val="0"/>
      <w:marTop w:val="0"/>
      <w:marBottom w:val="0"/>
      <w:divBdr>
        <w:top w:val="none" w:sz="0" w:space="0" w:color="auto"/>
        <w:left w:val="none" w:sz="0" w:space="0" w:color="auto"/>
        <w:bottom w:val="none" w:sz="0" w:space="0" w:color="auto"/>
        <w:right w:val="none" w:sz="0" w:space="0" w:color="auto"/>
      </w:divBdr>
    </w:div>
    <w:div w:id="19222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2EDF8C01C81D681308EAAE87972F08D3AA6DAEFBB40567CC246284D50B2EA58C84548DFF7285P8PA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F3D4-E1F5-49D0-BAA7-F5AB645B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7764</Words>
  <Characters>44260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ТОБОЛЕВА ЕЛЕНА АЛЕКСАНДРОВНА</dc:creator>
  <cp:lastModifiedBy>Домбровский Е.А.</cp:lastModifiedBy>
  <cp:revision>9</cp:revision>
  <cp:lastPrinted>2018-07-16T15:17:00Z</cp:lastPrinted>
  <dcterms:created xsi:type="dcterms:W3CDTF">2018-07-10T12:22:00Z</dcterms:created>
  <dcterms:modified xsi:type="dcterms:W3CDTF">2018-07-19T11:41:00Z</dcterms:modified>
</cp:coreProperties>
</file>