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59" w:rsidRPr="0031268F" w:rsidRDefault="00D87009" w:rsidP="0031268F">
      <w:pPr>
        <w:pStyle w:val="ConsPlusTitle"/>
        <w:ind w:left="567" w:right="566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Д</w:t>
      </w:r>
      <w:r w:rsidR="00571B59" w:rsidRPr="0031268F">
        <w:rPr>
          <w:rFonts w:ascii="Times New Roman" w:hAnsi="Times New Roman" w:cs="Times New Roman"/>
          <w:color w:val="000000" w:themeColor="text1"/>
        </w:rPr>
        <w:t xml:space="preserve">оклад о </w:t>
      </w:r>
      <w:r w:rsidR="003545F1" w:rsidRPr="0031268F">
        <w:rPr>
          <w:rFonts w:ascii="Times New Roman" w:hAnsi="Times New Roman" w:cs="Times New Roman"/>
          <w:color w:val="000000" w:themeColor="text1"/>
        </w:rPr>
        <w:t xml:space="preserve">реализации </w:t>
      </w:r>
      <w:r w:rsidR="00A124B9">
        <w:rPr>
          <w:rFonts w:ascii="Times New Roman" w:hAnsi="Times New Roman" w:cs="Times New Roman"/>
          <w:color w:val="000000" w:themeColor="text1"/>
        </w:rPr>
        <w:t>п</w:t>
      </w:r>
      <w:r w:rsidR="003545F1" w:rsidRPr="0031268F">
        <w:rPr>
          <w:rFonts w:ascii="Times New Roman" w:hAnsi="Times New Roman" w:cs="Times New Roman"/>
          <w:color w:val="000000" w:themeColor="text1"/>
        </w:rPr>
        <w:t xml:space="preserve">лана мероприятий («дорожной карты») Стратегии развития страховой деятельности в Российской Федерации до 2020 года, утвержденной </w:t>
      </w:r>
      <w:r w:rsidR="00145A16">
        <w:rPr>
          <w:rFonts w:ascii="Times New Roman" w:hAnsi="Times New Roman" w:cs="Times New Roman"/>
          <w:color w:val="000000" w:themeColor="text1"/>
        </w:rPr>
        <w:t>р</w:t>
      </w:r>
      <w:r w:rsidR="003545F1" w:rsidRPr="0031268F">
        <w:rPr>
          <w:rFonts w:ascii="Times New Roman" w:hAnsi="Times New Roman" w:cs="Times New Roman"/>
          <w:color w:val="000000" w:themeColor="text1"/>
        </w:rPr>
        <w:t>аспоряжением Правительства Российской Федерации от 22 июля 2013 г. № 1293-р, в</w:t>
      </w:r>
      <w:r w:rsidR="0031268F">
        <w:rPr>
          <w:rFonts w:ascii="Times New Roman" w:hAnsi="Times New Roman" w:cs="Times New Roman"/>
          <w:color w:val="000000" w:themeColor="text1"/>
        </w:rPr>
        <w:t> </w:t>
      </w:r>
      <w:r w:rsidR="003545F1" w:rsidRPr="0031268F">
        <w:rPr>
          <w:rFonts w:ascii="Times New Roman" w:hAnsi="Times New Roman" w:cs="Times New Roman"/>
          <w:color w:val="000000" w:themeColor="text1"/>
        </w:rPr>
        <w:t>части мероприятий, запланированных на 2017 год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1268F">
        <w:rPr>
          <w:rFonts w:ascii="Times New Roman" w:hAnsi="Times New Roman" w:cs="Times New Roman"/>
          <w:color w:val="000000" w:themeColor="text1"/>
        </w:rPr>
        <w:t>1. Общая информация об отраслевом документе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 Российской Федерации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по вопросам, находящимся в ведении Правительства Российской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1268F">
        <w:rPr>
          <w:rFonts w:ascii="Times New Roman" w:hAnsi="Times New Roman" w:cs="Times New Roman"/>
          <w:color w:val="000000" w:themeColor="text1"/>
        </w:rPr>
        <w:t>Федерации (далее - отраслевой документ</w:t>
      </w:r>
      <w:proofErr w:type="gramEnd"/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планирования)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отраслевого документа стратегического планирования:</w:t>
            </w:r>
          </w:p>
          <w:p w:rsidR="00D87009" w:rsidRPr="0031268F" w:rsidRDefault="00D8700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Стратегия развития страховой деятельности в Рос</w:t>
            </w:r>
            <w:r w:rsidR="008B443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сийской Федерации до 2020 года</w:t>
            </w:r>
            <w:r w:rsidR="001753B4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(далее – Стратегия)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Реквизиты акта, которым утвержден отраслевой документ стратегического планирования:</w:t>
            </w:r>
          </w:p>
          <w:p w:rsidR="008B443F" w:rsidRPr="0031268F" w:rsidRDefault="008B443F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распоряжение Правительства Российской Федерации от 22 июля 2013 г. № 1293-р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название, номер и дата акта)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Федеральный орган исполнительной власти (далее - разработчик):</w:t>
            </w:r>
          </w:p>
          <w:p w:rsidR="00571B59" w:rsidRPr="0031268F" w:rsidRDefault="008B443F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финансов Российской Федерации (Минфин России)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и краткое наименования)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Федеральные органы исполнительной власти - соисполнители:</w:t>
            </w:r>
          </w:p>
          <w:p w:rsidR="00490E1C" w:rsidRPr="0031268F" w:rsidRDefault="00E52C4F" w:rsidP="0059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здравоохранения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Минздрав России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экономического развития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Минэкономразвития России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транспорта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Минтранс России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обороны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Минобороны России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МЧС России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Министерство промышленности и торговли Российской Федерации (</w:t>
            </w:r>
            <w:proofErr w:type="spellStart"/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Минпромторг</w:t>
            </w:r>
            <w:proofErr w:type="spellEnd"/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России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труда и социальной защиты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Минтруд России</w:t>
            </w:r>
            <w:r w:rsidR="00772A7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04313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Министерство внутренних</w:t>
            </w:r>
            <w:proofErr w:type="gramEnd"/>
            <w:r w:rsidR="0004313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gramStart"/>
            <w:r w:rsidR="0004313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дел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МВД России</w:t>
            </w:r>
            <w:r w:rsidR="0004313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), Министерство иностранных дел Российской Федерации (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МИД России</w:t>
            </w:r>
            <w:r w:rsidR="0004313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D13E9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 w:rsidR="005045A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Министерство цифрового развития, связи и массовых коммуникаций Российской Федерации, Министерство природных ресурсов и экологии Российской Федерации (Минприроды России), Министерство сельского хозяйства Российской Федерации (Минсельхоз России), Федеральное агентство по туризму (Ростуризм), Федеральная служба по экологическому, технологическому и атомному надзору (</w:t>
            </w:r>
            <w:proofErr w:type="spellStart"/>
            <w:r w:rsidR="005045A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Ростехнадзор</w:t>
            </w:r>
            <w:proofErr w:type="spellEnd"/>
            <w:r w:rsidR="005045A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), </w:t>
            </w:r>
            <w:r w:rsidR="0052326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Федеральная служба по надзору в сфере защиты прав потребителей</w:t>
            </w:r>
            <w:proofErr w:type="gramEnd"/>
            <w:r w:rsidR="0052326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и благополучия человека (</w:t>
            </w:r>
            <w:proofErr w:type="spellStart"/>
            <w:r w:rsidR="0052326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Роспотребнадзор</w:t>
            </w:r>
            <w:proofErr w:type="spellEnd"/>
            <w:r w:rsidR="0052326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)</w:t>
            </w:r>
            <w:r w:rsidR="0099271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Федеральная антимонопольная служба (ФАС России) </w:t>
            </w:r>
            <w:r w:rsidR="00490E1C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и иные заинтересованные федеральные органы исполнительной власти</w:t>
            </w:r>
            <w:r w:rsidR="0099271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полное и краткое наименования)</w:t>
            </w:r>
          </w:p>
        </w:tc>
      </w:tr>
      <w:tr w:rsidR="00571B59" w:rsidRPr="0031268F" w:rsidTr="00D87009">
        <w:trPr>
          <w:jc w:val="center"/>
        </w:trPr>
        <w:tc>
          <w:tcPr>
            <w:tcW w:w="680" w:type="dxa"/>
            <w:vAlign w:val="center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Отчетный год, за который представляется доклад о реализации отраслевого документа стратегического планирования: </w:t>
            </w:r>
            <w:r w:rsidR="0099271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2017</w:t>
            </w:r>
            <w:r w:rsidR="0064493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год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31268F" w:rsidRDefault="0031268F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lastRenderedPageBreak/>
        <w:t>2. Аналитическая справка о реализации отраслевого документа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Описание динамики показателей отраслевого документа стратегического планирования, отраженных в </w:t>
            </w:r>
            <w:hyperlink w:anchor="P122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пункте 5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настоящей формы:</w:t>
            </w:r>
          </w:p>
          <w:p w:rsidR="00625FDE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Доля страховых премий в валовом внутреннем продукте (процентов к валовому внутреннему продукту, без обязательного медицинского страхования).</w:t>
            </w:r>
          </w:p>
          <w:p w:rsidR="00625FDE" w:rsidRPr="0031268F" w:rsidRDefault="00D972A5" w:rsidP="00F87789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Доля</w:t>
            </w:r>
            <w:r w:rsidR="00625FD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страховых премий в валовом внутреннем продукте 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2016 г.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составила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1,37</w:t>
            </w:r>
            <w:r w:rsidR="00876FC3">
              <w:rPr>
                <w:rFonts w:ascii="Times New Roman" w:hAnsi="Times New Roman" w:cs="Times New Roman"/>
                <w:color w:val="000000" w:themeColor="text1"/>
                <w:u w:val="single"/>
              </w:rPr>
              <w:t> 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процента, в 2017 г. – 1,39 процента</w:t>
            </w:r>
            <w:r w:rsidR="00625FD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</w:t>
            </w:r>
            <w:r w:rsidR="004E2113">
              <w:rPr>
                <w:rFonts w:ascii="Times New Roman" w:hAnsi="Times New Roman" w:cs="Times New Roman"/>
                <w:color w:val="000000" w:themeColor="text1"/>
                <w:u w:val="single"/>
              </w:rPr>
              <w:t>оответствен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но, </w:t>
            </w:r>
            <w:r w:rsidR="00E16E9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наблюдается тенденция 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постепенн</w:t>
            </w:r>
            <w:r w:rsidR="00E16E99">
              <w:rPr>
                <w:rFonts w:ascii="Times New Roman" w:hAnsi="Times New Roman" w:cs="Times New Roman"/>
                <w:color w:val="000000" w:themeColor="text1"/>
                <w:u w:val="single"/>
              </w:rPr>
              <w:t>ого</w:t>
            </w:r>
            <w:r w:rsidR="00625FD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рост</w:t>
            </w:r>
            <w:r w:rsidR="00E16E99">
              <w:rPr>
                <w:rFonts w:ascii="Times New Roman" w:hAnsi="Times New Roman" w:cs="Times New Roman"/>
                <w:color w:val="000000" w:themeColor="text1"/>
                <w:u w:val="single"/>
              </w:rPr>
              <w:t>а</w:t>
            </w:r>
            <w:r w:rsidR="00625FD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данного показателя.</w:t>
            </w:r>
          </w:p>
          <w:p w:rsidR="00625FDE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Объем совокупной страховой премии (без обязательного медицинского страхования) (млрд. рублей).</w:t>
            </w:r>
          </w:p>
          <w:p w:rsidR="00F87789" w:rsidRPr="0031268F" w:rsidRDefault="0031472B" w:rsidP="000650E6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О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бъем совокупной страховой премии в 2017 г.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составил 1278,84 млрд. руб. (рост на 8 процентов по сравнению с  2016 г.). </w:t>
            </w:r>
            <w:r w:rsidR="009A4EB0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Развитие российского страхового рынка в 2017 г. было обеспечено за счет видов добровольного страхования, в 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первую очередь</w:t>
            </w:r>
            <w:r w:rsidR="009A4EB0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="00B26BF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добровольного 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страхования жизни</w:t>
            </w:r>
            <w:r w:rsidR="009A4EB0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объем страховых </w:t>
            </w:r>
            <w:proofErr w:type="gramStart"/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премий</w:t>
            </w:r>
            <w:proofErr w:type="gramEnd"/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по </w:t>
            </w:r>
            <w:r w:rsidR="009A4EB0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которому</w:t>
            </w:r>
            <w:r w:rsidR="00F8778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 2017 г. вырос на 54 процента по сравнению с 2016 г.</w:t>
            </w:r>
          </w:p>
          <w:p w:rsidR="00625FDE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Доля страхования жизни в объеме совокупной страховой премии (процентов).</w:t>
            </w:r>
          </w:p>
          <w:p w:rsidR="00191CC9" w:rsidRPr="0031268F" w:rsidRDefault="00191CC9" w:rsidP="00542345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Страхование жизни</w:t>
            </w:r>
            <w:r w:rsidR="004E2113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–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0650E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наиболее динамично развивающи</w:t>
            </w:r>
            <w:r w:rsidR="004E2113">
              <w:rPr>
                <w:rFonts w:ascii="Times New Roman" w:hAnsi="Times New Roman" w:cs="Times New Roman"/>
                <w:color w:val="000000" w:themeColor="text1"/>
                <w:u w:val="single"/>
              </w:rPr>
              <w:t>йся вид</w:t>
            </w:r>
            <w:r w:rsidR="000650E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страхования</w:t>
            </w:r>
            <w:r w:rsidR="0054234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В 2017 г. </w:t>
            </w:r>
            <w:r w:rsidR="00542345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объем страховых премий по страхованию жизни вырос на 54 процента по сравнению с 2016 г., что</w:t>
            </w:r>
            <w:r w:rsidR="000650E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связан</w:t>
            </w:r>
            <w:r w:rsidR="0054234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о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 повышенным спросом на заключение договоров потребительского кредита (займа) и сопутствующих им договоров </w:t>
            </w:r>
            <w:r w:rsidR="00B26BF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добровольного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страхования жизни заемщика, </w:t>
            </w:r>
            <w:r w:rsidR="00542345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заключением договоров инвестиционного страхования жизни как альтернативы</w:t>
            </w:r>
            <w:r w:rsidR="004E2113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банковскому вкладу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625FDE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Доля добровольных видов страхования в объеме совокупной страховой премии (процентов).</w:t>
            </w:r>
          </w:p>
          <w:p w:rsidR="00D42F76" w:rsidRPr="0031268F" w:rsidRDefault="00D42F76" w:rsidP="00D42F76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Развитие российского страхового рынка обеспеч</w:t>
            </w:r>
            <w:r w:rsidR="00B52E2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ивается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за счет добровольного страхования</w:t>
            </w:r>
            <w:r w:rsidR="00B52E2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: в 2016 </w:t>
            </w:r>
            <w:r w:rsidR="0087240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г. </w:t>
            </w:r>
            <w:r w:rsidR="00B52E2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соотношение добровольного и обязательного страхования составило 78 процентов к 22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</w:t>
            </w:r>
            <w:r w:rsidR="00B52E2D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процентам, в 2017 г.  – 81 процент к 19</w:t>
            </w:r>
            <w:r w:rsidR="002E79DC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 </w:t>
            </w:r>
            <w:r w:rsidR="00B52E2D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процентам.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Рост доли добровольного страхования в объеме совокупной страховой премии </w:t>
            </w:r>
            <w:r w:rsidR="00DE12D7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обусловлен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развити</w:t>
            </w:r>
            <w:r w:rsidR="00DE12D7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ем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</w:t>
            </w:r>
            <w:r w:rsidR="002E79DC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добровольного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страхования жизни</w:t>
            </w:r>
            <w:r w:rsidR="00DE12D7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, а также замедлением </w:t>
            </w:r>
            <w:proofErr w:type="gramStart"/>
            <w:r w:rsidR="00DE12D7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темпов роста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 </w:t>
            </w:r>
            <w:r w:rsidR="00DE12D7"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обязательного страхования гражданской ответственности владельцев транспортных средств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.</w:t>
            </w:r>
          </w:p>
          <w:p w:rsidR="00625FDE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Доля обязательных видов страхования в объеме совокупной страховой премии (процентов).</w:t>
            </w:r>
          </w:p>
          <w:p w:rsidR="001D1A45" w:rsidRPr="0031268F" w:rsidRDefault="001D1A45" w:rsidP="001D1A45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Сокращение доли обязательного страхования в объеме совокупной страховой премии связан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о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 </w:t>
            </w:r>
            <w:r w:rsidR="00731CC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замедлением темпов роста обязательного страхования гражданской ответственности владельцев транспортных средств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r w:rsidR="00731CC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а также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 более высокими темпами развития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="002E79D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добровольного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страхования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, в частности</w:t>
            </w:r>
            <w:proofErr w:type="gramStart"/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,</w:t>
            </w:r>
            <w:proofErr w:type="gramEnd"/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страхования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жизни (объем страховых премий по страхованию жизни в 2017 г. вырос на 54 п</w:t>
            </w:r>
            <w:r w:rsidR="00731CC6">
              <w:rPr>
                <w:rFonts w:ascii="Times New Roman" w:hAnsi="Times New Roman" w:cs="Times New Roman"/>
                <w:color w:val="000000" w:themeColor="text1"/>
                <w:u w:val="single"/>
              </w:rPr>
              <w:t>роцента по сравнению с 2016 г.)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571B59" w:rsidRPr="0031268F" w:rsidRDefault="00625FDE" w:rsidP="00625FDE">
            <w:pPr>
              <w:pStyle w:val="ConsPlusNormal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Объем страховых премий на душу населения (рублей) 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(представляются описания изменений показателей)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534617" w:rsidRPr="0031268F" w:rsidRDefault="0016005F" w:rsidP="0016005F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16005F">
              <w:rPr>
                <w:rFonts w:ascii="Times New Roman" w:hAnsi="Times New Roman" w:cs="Times New Roman"/>
                <w:color w:val="000000" w:themeColor="text1"/>
                <w:u w:val="single"/>
              </w:rPr>
              <w:t>Рост объема страховых премий на душу населения в 2017 г. составил 8 процентов по сравнению с 2016 г., что указывает на заинтересованность граждан в страховании своих имущественных интересов и готовность увеличива</w:t>
            </w: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ть свои расходы на страхование</w:t>
            </w:r>
            <w:r w:rsidR="00534617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</w:tc>
      </w:tr>
      <w:tr w:rsidR="0031268F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Оценка эффективности действующих мер государственного регулирования в описываемой сфере или отрасли экономики </w:t>
            </w:r>
            <w:hyperlink w:anchor="P79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&lt;1&gt;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34617" w:rsidRPr="0031268F" w:rsidRDefault="00534617" w:rsidP="00DD200D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Нормативные правовые акты</w:t>
            </w:r>
            <w:r w:rsidR="00DD200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Российской Федерации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 принимаемые</w:t>
            </w:r>
            <w:r w:rsidR="00DD200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 сфере страховой деятельности, направлены на </w:t>
            </w:r>
            <w:r w:rsidR="0039696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развитие</w:t>
            </w:r>
            <w:r w:rsidR="00DD200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страховой деятельности в Российской Федерации, обеспечение баланса</w:t>
            </w:r>
            <w:r w:rsidR="00E16E9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интересов участников страховых </w:t>
            </w:r>
            <w:r w:rsidR="00E16E99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отношений</w:t>
            </w:r>
            <w:r w:rsidR="00DD200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 соблюдение прав и законных интересов</w:t>
            </w:r>
            <w:r w:rsidR="002E6EB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страхователей (застрахованных лиц, выгодоприобретателей).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мер с характеристикой их влияния)</w:t>
            </w:r>
          </w:p>
        </w:tc>
      </w:tr>
      <w:tr w:rsidR="00571B59" w:rsidRPr="0031268F" w:rsidTr="00D87009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2.3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Итоги реализации мероприятий, предусмотренных отраслевым документом стратегического планирования в отчетном году (при наличии таких мероприятий):</w:t>
            </w:r>
          </w:p>
          <w:p w:rsidR="00571B59" w:rsidRPr="0031268F" w:rsidRDefault="001753B4" w:rsidP="00591FA3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Совершенствование нормативной правовой базы, регулирующей деятельность обще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ств вз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аимного страхования, обеспечение их финансовой устойчивости (пункт 19 плана мероприятий («дорожной карты») Стратегии)</w:t>
            </w:r>
            <w:r w:rsidR="003D05F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– мероприятие выполнено;</w:t>
            </w:r>
          </w:p>
          <w:p w:rsidR="003D05F9" w:rsidRPr="0031268F" w:rsidRDefault="003D05F9" w:rsidP="00A7028A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Регулирование сферы деятельности иностранных страховщиков и их филиалов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на территории Российской Федерации в связи с обязательствами Российской Федерации по вступлению во Всемирную торговую организацию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(пункт 38 плана мероприятий («дорожной карты») Стратегии) – мероприятие </w:t>
            </w:r>
            <w:r w:rsidR="00A7028A" w:rsidRPr="00A7028A">
              <w:rPr>
                <w:rFonts w:ascii="Times New Roman" w:hAnsi="Times New Roman" w:cs="Times New Roman"/>
                <w:color w:val="000000" w:themeColor="text1"/>
                <w:u w:val="single"/>
              </w:rPr>
              <w:t>частично выполнено</w:t>
            </w:r>
            <w:r w:rsidR="00A7028A">
              <w:rPr>
                <w:rFonts w:ascii="Times New Roman" w:hAnsi="Times New Roman" w:cs="Times New Roman"/>
                <w:color w:val="000000" w:themeColor="text1"/>
                <w:u w:val="single"/>
              </w:rPr>
              <w:t>, работа над соответствующим проектом федерального закона продолжается в 2018</w:t>
            </w:r>
            <w:r w:rsidR="00876FC3">
              <w:rPr>
                <w:rFonts w:ascii="Times New Roman" w:hAnsi="Times New Roman" w:cs="Times New Roman"/>
                <w:color w:val="000000" w:themeColor="text1"/>
                <w:u w:val="single"/>
              </w:rPr>
              <w:t> </w:t>
            </w:r>
            <w:r w:rsidR="00A7028A">
              <w:rPr>
                <w:rFonts w:ascii="Times New Roman" w:hAnsi="Times New Roman" w:cs="Times New Roman"/>
                <w:color w:val="000000" w:themeColor="text1"/>
                <w:u w:val="single"/>
              </w:rPr>
              <w:t>г</w:t>
            </w:r>
            <w:r w:rsidR="00966001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;</w:t>
            </w:r>
          </w:p>
          <w:p w:rsidR="003D05F9" w:rsidRPr="0031268F" w:rsidRDefault="003D05F9" w:rsidP="00A7028A">
            <w:pPr>
              <w:pStyle w:val="ConsPlusNormal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Сближение с нормами международного регулирования (Организации экономического сотрудничества и развития, Международной ассоциации страховых надзоров, Европейского союза, Таможенного союза) (пункт 40 плана мероприятий («дорожной карты») Стратегии) – мероприятие </w:t>
            </w:r>
            <w:r w:rsidR="0021585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 2017 г.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выполнено</w:t>
            </w:r>
            <w:r w:rsidR="0021585B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(срок реализации 2017-2019 гг.).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(представляется перечень мероприятий с указанием достигнутых результатов </w:t>
            </w:r>
            <w:r w:rsidR="009B5D7B" w:rsidRPr="0031268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мероприятие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выполнено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</w:rPr>
              <w:t>/не выполнено/частично выполнено</w:t>
            </w:r>
            <w:r w:rsidR="009B5D7B" w:rsidRPr="0031268F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1268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1" w:name="P79"/>
      <w:bookmarkEnd w:id="1"/>
      <w:r w:rsidRPr="0031268F">
        <w:rPr>
          <w:rFonts w:ascii="Times New Roman" w:hAnsi="Times New Roman" w:cs="Times New Roman"/>
          <w:color w:val="000000" w:themeColor="text1"/>
        </w:rPr>
        <w:t>&lt;1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Д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ается оценка достаточности и эффективности регулирующих соответствующую сферу или отрасль экономики нормативных правовых актов и международных соглашений.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мер, оказавших значимое положительное влияние на сферу или отрасль экономики в целом, приводится описание их влияния.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При выявлении мер, оказавших значимое отрицательное влияние на сферу или отрасль экономики в целом, приводится описание этого влияния, при этом в </w:t>
      </w:r>
      <w:hyperlink w:anchor="P92" w:history="1">
        <w:r w:rsidRPr="0031268F">
          <w:rPr>
            <w:rFonts w:ascii="Times New Roman" w:hAnsi="Times New Roman" w:cs="Times New Roman"/>
            <w:color w:val="000000" w:themeColor="text1"/>
          </w:rPr>
          <w:t>пункте 3.2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настоящей формы указываются предложения по его предотвращению в дальнейшем.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3. Анализ факторов, повлиявших на ход реализации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Факторы, повлекшие полное или частичное неисполнение мероприятий и (или) </w:t>
            </w:r>
            <w:proofErr w:type="spellStart"/>
            <w:r w:rsidRPr="0031268F">
              <w:rPr>
                <w:rFonts w:ascii="Times New Roman" w:hAnsi="Times New Roman" w:cs="Times New Roman"/>
                <w:color w:val="000000" w:themeColor="text1"/>
              </w:rPr>
              <w:t>недостижение</w:t>
            </w:r>
            <w:proofErr w:type="spellEnd"/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целевых показателей (при наличии):</w:t>
            </w:r>
          </w:p>
          <w:p w:rsidR="001E78B3" w:rsidRPr="0031268F" w:rsidRDefault="001E78B3" w:rsidP="00591FA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Во исполнение пункта 38 плана мероприятий («дорожной карты») Стратегии Минфином России разработан проект федерального закона «О внесении изменений в Закон Российской Федерации «Об организации страхового дела в Российской Федерации» и </w:t>
            </w:r>
            <w:r w:rsidR="000852BC">
              <w:rPr>
                <w:rFonts w:ascii="Times New Roman" w:hAnsi="Times New Roman" w:cs="Times New Roman"/>
                <w:color w:val="000000" w:themeColor="text1"/>
                <w:u w:val="single"/>
              </w:rPr>
              <w:t>отдель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ные законодательные акты Российской Федерации», направленный на регулирование сферы деятельности иностранных страховщиков и их филиалов на территории Российской Федерации в связи с обязательствами Российской Федерации, принятыми при вступлении во Всемирную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торговую организацию.</w:t>
            </w:r>
          </w:p>
          <w:p w:rsidR="002726D3" w:rsidRPr="0031268F" w:rsidRDefault="002726D3" w:rsidP="00591FA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Протоколом от 16.12.2011 «О присоединении Российской Федерации к </w:t>
            </w:r>
            <w:proofErr w:type="spell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Марракешскому</w:t>
            </w:r>
            <w:proofErr w:type="spell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соглашению об учреждении Всемирной торговой организации от 15 апреля 1994 года», «Специфическими обязательствами Российской Федерации по услугам» и «Докладом Рабочей группы по присоединению Российской Федерации к Всемирной торговой организации» («Пакет документов о ратификации </w:t>
            </w:r>
            <w:proofErr w:type="spell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Марракешского</w:t>
            </w:r>
            <w:proofErr w:type="spell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соглашения об учреждении Всемирной торговой организации от 15 апреля 1994 года») предусмотрено обязательство Российской Федерации допустить </w:t>
            </w:r>
            <w:r w:rsidR="00C974C6">
              <w:rPr>
                <w:rFonts w:ascii="Times New Roman" w:hAnsi="Times New Roman" w:cs="Times New Roman"/>
                <w:color w:val="000000" w:themeColor="text1"/>
                <w:u w:val="single"/>
              </w:rPr>
              <w:t>филиалы</w:t>
            </w:r>
            <w:proofErr w:type="gramEnd"/>
            <w:r w:rsidR="00C974C6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иностранных страховщиков из государств-членов Всемирной торговой организации к оказанию </w:t>
            </w:r>
            <w:r w:rsidR="000852BC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услуг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 страхованию и перестрахованию на территории Российской Федерации через 9 лет после присоединения России к </w:t>
            </w:r>
            <w:r w:rsidR="009667F4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Всемирной торговой </w:t>
            </w:r>
            <w:r w:rsidR="009667F4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>организации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2726D3" w:rsidRPr="0031268F" w:rsidRDefault="002726D3" w:rsidP="00591FA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Таким образом, появление </w:t>
            </w:r>
            <w:r w:rsidR="00D34CD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филиалов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иностранных страховщиков на российском страховом рынке возможно, начиная с 22.08.2021.</w:t>
            </w:r>
          </w:p>
          <w:p w:rsidR="002726D3" w:rsidRPr="0031268F" w:rsidRDefault="002726D3" w:rsidP="00591FA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По состоянию на 01.01.2018 размер (квота) участия иностранного капитала в уставных капиталах страховых организаций составил 1</w:t>
            </w:r>
            <w:r w:rsidR="009667F4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1,29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%, что меньше показателя 2010 г. (22,2 %) и ниже максимального предела 50 %, предусмотренного пунктом 3 статьи 6 Закона Российской Федерации от 27.11.1992 № 4015-I «Об организации страхового дела в Российской Федерации». Данные тенденции свидетельствуют о незначительности интереса иностранных страховщиков в участии в уставном капитале российских страховых организаций в текущих экономических условиях.</w:t>
            </w:r>
          </w:p>
          <w:p w:rsidR="002726D3" w:rsidRPr="0031268F" w:rsidRDefault="002726D3" w:rsidP="00591FA3">
            <w:pPr>
              <w:pStyle w:val="ConsPlusNormal"/>
              <w:ind w:firstLine="392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Учитывая необходимость комплексной проработки вопросов обеспечения прав и законных интересов потребителей страховых услуг, обеспечения финансовой устойчивости филиалов иностранных страховщиков, гарантирования исполнения иностранными страховщиками обязательств в случае их неплатежеспособности, предусматривающих внесение изменений в большое количество норм</w:t>
            </w:r>
            <w:r w:rsidR="00CC504A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ативных 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правовых актов</w:t>
            </w:r>
            <w:r w:rsidR="00CC504A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Российской Федерации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а также их обсуждения с заинтересованными федеральными органами исполнительной власти и Банком России, профессиональными объединениями и </w:t>
            </w:r>
            <w:proofErr w:type="spellStart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референтными</w:t>
            </w:r>
            <w:proofErr w:type="spellEnd"/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группами, </w:t>
            </w:r>
            <w:r w:rsidR="001E78B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проект федерального закона «О внесении изменений в Закон Российской Федерации «Об организации страхового дела в Российской Федерации» и </w:t>
            </w:r>
            <w:r w:rsidR="000852BC">
              <w:rPr>
                <w:rFonts w:ascii="Times New Roman" w:hAnsi="Times New Roman" w:cs="Times New Roman"/>
                <w:color w:val="000000" w:themeColor="text1"/>
                <w:u w:val="single"/>
              </w:rPr>
              <w:t>отдель</w:t>
            </w:r>
            <w:r w:rsidR="001E78B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ные законодательные акты Российской Федерации» будет внесен в Правительство Российской Федерации в 2018</w:t>
            </w:r>
            <w:r w:rsidR="00996BDD">
              <w:rPr>
                <w:rFonts w:ascii="Times New Roman" w:hAnsi="Times New Roman" w:cs="Times New Roman"/>
                <w:color w:val="000000" w:themeColor="text1"/>
                <w:u w:val="single"/>
              </w:rPr>
              <w:t> </w:t>
            </w:r>
            <w:r w:rsidR="001E78B3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г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.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факторов)</w:t>
            </w:r>
          </w:p>
        </w:tc>
      </w:tr>
      <w:tr w:rsidR="00571B59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" w:name="P92"/>
            <w:bookmarkEnd w:id="2"/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совершенствованию мер государственного регулирования в рассматриваемой отрасли:</w:t>
            </w:r>
          </w:p>
          <w:p w:rsidR="00571B59" w:rsidRPr="0031268F" w:rsidRDefault="000852BC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Снижение административной нагрузки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субъектов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страхового дела, отказ от избыточных и неэффективных требований к ним</w:t>
            </w:r>
            <w:r w:rsidR="00807D76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мероприятий)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4. Предложения о необходимости корректировки отраслевого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8391"/>
      </w:tblGrid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Содержание раздела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Перечень факторов, последствия которых окажут значительное влияние на сферы или отрасли экономики </w:t>
            </w:r>
            <w:hyperlink w:anchor="P120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&lt;2&gt;</w:t>
              </w:r>
            </w:hyperlink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71B59" w:rsidRPr="0031268F" w:rsidRDefault="00807D76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Развитие цифровых технологий и их </w:t>
            </w:r>
            <w:proofErr w:type="gramStart"/>
            <w:r w:rsidR="006755B8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внедрение</w:t>
            </w:r>
            <w:proofErr w:type="gramEnd"/>
            <w:r w:rsidR="00B57C0D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и использование</w:t>
            </w: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в сфере страхования</w:t>
            </w:r>
            <w:r w:rsidR="00BC3B18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(позитивное влияние)</w:t>
            </w:r>
            <w:r w:rsidR="008B551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восстановление социально-экономического развития и реальных располагаемых денежных доходов населения </w:t>
            </w:r>
            <w:r w:rsidR="008B5519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(позитивное влияние)</w:t>
            </w:r>
            <w:r w:rsidR="00BC3B18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перечень факторов с характеристикой их влияния)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содержания отраслевого документа стратегического планирования (при необходимости):</w:t>
            </w:r>
          </w:p>
          <w:p w:rsidR="00571B59" w:rsidRPr="0031268F" w:rsidRDefault="00BC3B18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Находятся в разработке.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и/или уточнению)</w:t>
            </w:r>
          </w:p>
        </w:tc>
      </w:tr>
      <w:tr w:rsidR="0031268F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мероприятий отраслевого документа стратегического планирования (при необходимости):</w:t>
            </w:r>
          </w:p>
          <w:p w:rsidR="00BC3B18" w:rsidRPr="0031268F" w:rsidRDefault="00BC3B18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Находятся в разработке.</w:t>
            </w:r>
          </w:p>
          <w:p w:rsidR="00571B59" w:rsidRPr="0031268F" w:rsidRDefault="00BC3B18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и/или уточнению)</w:t>
            </w:r>
          </w:p>
        </w:tc>
      </w:tr>
      <w:tr w:rsidR="00571B59" w:rsidRPr="0031268F" w:rsidTr="00641597">
        <w:trPr>
          <w:jc w:val="center"/>
        </w:trPr>
        <w:tc>
          <w:tcPr>
            <w:tcW w:w="680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839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Предложения по корректировке показателей отраслевого документа стратегического планирования и (или) их значений (при необходимости):</w:t>
            </w:r>
          </w:p>
          <w:p w:rsidR="00BC3B18" w:rsidRPr="0031268F" w:rsidRDefault="00BC3B18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Находятся в разработке.</w:t>
            </w:r>
          </w:p>
          <w:p w:rsidR="00571B59" w:rsidRPr="0031268F" w:rsidRDefault="00BC3B18" w:rsidP="00BC3B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(указываются предложения по корректировке и (или) уточнению)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3" w:name="P120"/>
      <w:bookmarkEnd w:id="3"/>
      <w:r w:rsidRPr="0031268F">
        <w:rPr>
          <w:rFonts w:ascii="Times New Roman" w:hAnsi="Times New Roman" w:cs="Times New Roman"/>
          <w:color w:val="000000" w:themeColor="text1"/>
        </w:rPr>
        <w:t>&lt;2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казываются факторы, последствия которых окажут негативное или позитивное влияние на сферу или отрасль экономики, с характеристикой их влияния. В качестве характеристики влияния фактора указывается "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негативное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/позитивное".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bookmarkStart w:id="4" w:name="P122"/>
      <w:bookmarkEnd w:id="4"/>
      <w:r w:rsidRPr="0031268F">
        <w:rPr>
          <w:rFonts w:ascii="Times New Roman" w:hAnsi="Times New Roman" w:cs="Times New Roman"/>
          <w:color w:val="000000" w:themeColor="text1"/>
        </w:rPr>
        <w:t>5. Сведения о достижении целевых значений показателей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за отчетный период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2834"/>
        <w:gridCol w:w="1077"/>
        <w:gridCol w:w="865"/>
        <w:gridCol w:w="903"/>
        <w:gridCol w:w="2822"/>
      </w:tblGrid>
      <w:tr w:rsidR="0031268F" w:rsidRPr="0031268F" w:rsidTr="002013A0">
        <w:trPr>
          <w:jc w:val="center"/>
        </w:trPr>
        <w:tc>
          <w:tcPr>
            <w:tcW w:w="552" w:type="dxa"/>
            <w:vMerge w:val="restart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4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Показатели отрасли/сферы </w:t>
            </w:r>
            <w:hyperlink w:anchor="P158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&lt;3&gt;</w:t>
              </w:r>
            </w:hyperlink>
          </w:p>
        </w:tc>
        <w:tc>
          <w:tcPr>
            <w:tcW w:w="1077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Предыдущий год</w:t>
            </w:r>
          </w:p>
        </w:tc>
        <w:tc>
          <w:tcPr>
            <w:tcW w:w="1768" w:type="dxa"/>
            <w:gridSpan w:val="2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Отчетный год</w:t>
            </w:r>
          </w:p>
        </w:tc>
        <w:tc>
          <w:tcPr>
            <w:tcW w:w="2822" w:type="dxa"/>
            <w:vMerge w:val="restart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Характеристика показателя </w:t>
            </w:r>
            <w:hyperlink w:anchor="P160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&lt;5&gt;</w:t>
              </w:r>
            </w:hyperlink>
          </w:p>
        </w:tc>
      </w:tr>
      <w:tr w:rsidR="0031268F" w:rsidRPr="0031268F" w:rsidTr="002013A0">
        <w:trPr>
          <w:jc w:val="center"/>
        </w:trPr>
        <w:tc>
          <w:tcPr>
            <w:tcW w:w="552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4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План </w:t>
            </w:r>
            <w:hyperlink w:anchor="P159" w:history="1">
              <w:r w:rsidRPr="0031268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&lt;4&gt;</w:t>
              </w:r>
            </w:hyperlink>
          </w:p>
        </w:tc>
        <w:tc>
          <w:tcPr>
            <w:tcW w:w="903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Факт</w:t>
            </w:r>
          </w:p>
        </w:tc>
        <w:tc>
          <w:tcPr>
            <w:tcW w:w="2822" w:type="dxa"/>
            <w:vMerge/>
          </w:tcPr>
          <w:p w:rsidR="00571B59" w:rsidRPr="0031268F" w:rsidRDefault="00571B59" w:rsidP="00591F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268F" w:rsidRPr="0031268F" w:rsidTr="002013A0">
        <w:trPr>
          <w:trHeight w:val="783"/>
          <w:jc w:val="center"/>
        </w:trPr>
        <w:tc>
          <w:tcPr>
            <w:tcW w:w="552" w:type="dxa"/>
            <w:vMerge w:val="restart"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5.1</w:t>
            </w:r>
          </w:p>
        </w:tc>
        <w:tc>
          <w:tcPr>
            <w:tcW w:w="2834" w:type="dxa"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Основные показатели сферы/отрасли экономики (например, выпуск и потребление товаров, работ, услуг; инвестиции; цены/тарифы на товары, работы, услуги)</w:t>
            </w:r>
            <w:proofErr w:type="gramEnd"/>
          </w:p>
        </w:tc>
        <w:tc>
          <w:tcPr>
            <w:tcW w:w="1077" w:type="dxa"/>
            <w:vAlign w:val="center"/>
          </w:tcPr>
          <w:p w:rsidR="001418FB" w:rsidRPr="0031268F" w:rsidRDefault="001418FB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65" w:type="dxa"/>
            <w:vAlign w:val="center"/>
          </w:tcPr>
          <w:p w:rsidR="001418FB" w:rsidRPr="0031268F" w:rsidRDefault="001418FB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03" w:type="dxa"/>
            <w:vAlign w:val="center"/>
          </w:tcPr>
          <w:p w:rsidR="001418FB" w:rsidRPr="0031268F" w:rsidRDefault="001418FB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1418FB" w:rsidRPr="0031268F" w:rsidRDefault="001418FB" w:rsidP="00185C7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1268F" w:rsidRPr="0031268F" w:rsidTr="002013A0">
        <w:trPr>
          <w:trHeight w:val="716"/>
          <w:jc w:val="center"/>
        </w:trPr>
        <w:tc>
          <w:tcPr>
            <w:tcW w:w="552" w:type="dxa"/>
            <w:vMerge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1418FB" w:rsidRPr="0031268F" w:rsidRDefault="001418FB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Доля страховых премий в валовом внутреннем продукте (процентов к валовому внутреннему продукту, без обязательного медицинского страхования)</w:t>
            </w:r>
          </w:p>
        </w:tc>
        <w:tc>
          <w:tcPr>
            <w:tcW w:w="1077" w:type="dxa"/>
            <w:vAlign w:val="center"/>
          </w:tcPr>
          <w:p w:rsidR="001418FB" w:rsidRPr="0031268F" w:rsidRDefault="00AE464A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1,</w:t>
            </w:r>
            <w:r w:rsidR="00E876AB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37</w:t>
            </w:r>
          </w:p>
        </w:tc>
        <w:tc>
          <w:tcPr>
            <w:tcW w:w="865" w:type="dxa"/>
            <w:vAlign w:val="center"/>
          </w:tcPr>
          <w:p w:rsidR="001418FB" w:rsidRPr="0031268F" w:rsidRDefault="00F26C78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2,6</w:t>
            </w:r>
          </w:p>
        </w:tc>
        <w:tc>
          <w:tcPr>
            <w:tcW w:w="903" w:type="dxa"/>
            <w:vAlign w:val="center"/>
          </w:tcPr>
          <w:p w:rsidR="001418FB" w:rsidRPr="0031268F" w:rsidRDefault="00AE464A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1,</w:t>
            </w:r>
            <w:r w:rsidR="00E876AB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39</w:t>
            </w:r>
          </w:p>
        </w:tc>
        <w:tc>
          <w:tcPr>
            <w:tcW w:w="2822" w:type="dxa"/>
            <w:vAlign w:val="center"/>
          </w:tcPr>
          <w:p w:rsidR="003C7B89" w:rsidRDefault="00A7028A" w:rsidP="003C7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="00F10430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а год </w:t>
            </w:r>
            <w:r w:rsidR="00E3618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наблюдается постепенный рост данного показателя</w:t>
            </w:r>
            <w:r w:rsidR="008676A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</w:t>
            </w:r>
          </w:p>
          <w:p w:rsidR="001418FB" w:rsidRPr="0031268F" w:rsidRDefault="003C7B89" w:rsidP="00996BD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Недостижение</w:t>
            </w:r>
            <w:proofErr w:type="spellEnd"/>
            <w:r w:rsidR="008676A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планового</w:t>
            </w:r>
            <w:r w:rsidR="003B4EB2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показател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3B4EB2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C644D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Стратегии </w:t>
            </w:r>
            <w:r w:rsidR="001743A6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обусловлено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сложившейся экономической и </w:t>
            </w:r>
            <w:r w:rsidR="001743A6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геополитической ситуац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ией</w:t>
            </w:r>
            <w:r w:rsidR="00CB564A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="00F9449A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последствиями финансово</w:t>
            </w:r>
            <w:r w:rsid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>-экономическо</w:t>
            </w:r>
            <w:r w:rsidR="00F9449A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го кризиса</w:t>
            </w:r>
            <w:r w:rsid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>, снижением платежеспособного спроса</w:t>
            </w:r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31268F" w:rsidRPr="0031268F" w:rsidTr="002013A0">
        <w:trPr>
          <w:trHeight w:val="479"/>
          <w:jc w:val="center"/>
        </w:trPr>
        <w:tc>
          <w:tcPr>
            <w:tcW w:w="552" w:type="dxa"/>
            <w:vMerge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1418FB" w:rsidRPr="0031268F" w:rsidRDefault="001418FB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Объем совокупной страховой премии (без обязательного медицинского страхования) (млрд. рублей)</w:t>
            </w:r>
          </w:p>
        </w:tc>
        <w:tc>
          <w:tcPr>
            <w:tcW w:w="1077" w:type="dxa"/>
            <w:vAlign w:val="center"/>
          </w:tcPr>
          <w:p w:rsidR="001418FB" w:rsidRPr="0031268F" w:rsidRDefault="00AE464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1180,63</w:t>
            </w:r>
          </w:p>
        </w:tc>
        <w:tc>
          <w:tcPr>
            <w:tcW w:w="865" w:type="dxa"/>
            <w:vAlign w:val="center"/>
          </w:tcPr>
          <w:p w:rsidR="001418FB" w:rsidRPr="0031268F" w:rsidRDefault="00AE464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2277,8</w:t>
            </w:r>
          </w:p>
        </w:tc>
        <w:tc>
          <w:tcPr>
            <w:tcW w:w="903" w:type="dxa"/>
            <w:vAlign w:val="center"/>
          </w:tcPr>
          <w:p w:rsidR="001418FB" w:rsidRPr="0031268F" w:rsidRDefault="00AE464A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lang w:eastAsia="ru-RU"/>
              </w:rPr>
              <w:t>1278,84</w:t>
            </w:r>
          </w:p>
        </w:tc>
        <w:tc>
          <w:tcPr>
            <w:tcW w:w="2822" w:type="dxa"/>
            <w:vAlign w:val="center"/>
          </w:tcPr>
          <w:p w:rsidR="001418FB" w:rsidRPr="0031268F" w:rsidRDefault="00C57A3A" w:rsidP="002D7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Рост</w:t>
            </w:r>
            <w:r w:rsidR="008676A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2013A0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объема совокупной страховой премии </w:t>
            </w:r>
            <w:r w:rsidR="002D791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2017 г. </w:t>
            </w:r>
            <w:r w:rsidR="008676A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на 8 процентов</w:t>
            </w:r>
            <w:r w:rsidR="003B4EB2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2D791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 сравнению с 2016 г. обусловлен</w:t>
            </w:r>
            <w:r w:rsidR="00F9449A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развити</w:t>
            </w:r>
            <w:r w:rsidR="002D791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ем</w:t>
            </w:r>
            <w:r w:rsidR="003B4EB2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страховани</w:t>
            </w:r>
            <w:r w:rsidR="001C76D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="003B4EB2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жизни</w:t>
            </w:r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743056" w:rsidRPr="0031268F" w:rsidRDefault="00743056" w:rsidP="002D791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 этом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показатель Стратегии не достигнут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что обусловлено </w:t>
            </w:r>
            <w:r w:rsidR="003C7B89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сложившейся экономической и </w:t>
            </w:r>
            <w:r w:rsidR="003C7B89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геополитической ситуац</w:t>
            </w:r>
            <w:r w:rsidR="003C7B89">
              <w:rPr>
                <w:rFonts w:ascii="Times New Roman" w:hAnsi="Times New Roman" w:cs="Times New Roman"/>
                <w:color w:val="000000" w:themeColor="text1"/>
                <w:szCs w:val="22"/>
              </w:rPr>
              <w:t>ией</w:t>
            </w:r>
            <w:r w:rsidR="00DB495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, последствиями финансово</w:t>
            </w:r>
            <w:r w:rsid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>-экономическо</w:t>
            </w:r>
            <w:r w:rsidR="00DB495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го кризиса</w:t>
            </w:r>
            <w:r w:rsid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>, снижением платежеспособного спроса</w:t>
            </w:r>
            <w:r w:rsidR="00DB495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31268F" w:rsidRPr="0031268F" w:rsidTr="002013A0">
        <w:trPr>
          <w:trHeight w:val="69"/>
          <w:jc w:val="center"/>
        </w:trPr>
        <w:tc>
          <w:tcPr>
            <w:tcW w:w="552" w:type="dxa"/>
            <w:vMerge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1418FB" w:rsidRPr="0031268F" w:rsidRDefault="001418FB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 xml:space="preserve">Доля страхования жизни в объеме совокупной страховой премии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lastRenderedPageBreak/>
              <w:t>(процентов)</w:t>
            </w:r>
          </w:p>
        </w:tc>
        <w:tc>
          <w:tcPr>
            <w:tcW w:w="1077" w:type="dxa"/>
            <w:vAlign w:val="center"/>
          </w:tcPr>
          <w:p w:rsidR="001418FB" w:rsidRPr="0031268F" w:rsidRDefault="007F177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18,</w:t>
            </w:r>
            <w:r w:rsidR="00185C75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865" w:type="dxa"/>
            <w:vAlign w:val="center"/>
          </w:tcPr>
          <w:p w:rsidR="001418FB" w:rsidRPr="0031268F" w:rsidRDefault="007F177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11,4</w:t>
            </w:r>
          </w:p>
        </w:tc>
        <w:tc>
          <w:tcPr>
            <w:tcW w:w="903" w:type="dxa"/>
            <w:vAlign w:val="center"/>
          </w:tcPr>
          <w:p w:rsidR="001418FB" w:rsidRPr="0031268F" w:rsidRDefault="005E57E1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25,8</w:t>
            </w:r>
          </w:p>
        </w:tc>
        <w:tc>
          <w:tcPr>
            <w:tcW w:w="2822" w:type="dxa"/>
            <w:vAlign w:val="center"/>
          </w:tcPr>
          <w:p w:rsidR="001418FB" w:rsidRPr="0031268F" w:rsidRDefault="007316CE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Рост доли</w:t>
            </w:r>
            <w:r w:rsidR="0045740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страхования жизни в объеме совокупной страховой премии связан с </w:t>
            </w:r>
            <w:r w:rsidR="00986DD4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повышенным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спрос</w:t>
            </w:r>
            <w:r w:rsidR="00986DD4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ом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</w:t>
            </w:r>
            <w:r w:rsidR="002E54C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заключение</w:t>
            </w:r>
            <w:r w:rsidR="0045740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="0026513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оговор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  <w:r w:rsidR="0026513D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потребительского кредита (займа)</w:t>
            </w:r>
            <w:r w:rsidR="00CE113B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</w:t>
            </w:r>
            <w:r w:rsidR="0045740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:rsidR="0026513D" w:rsidRPr="0031268F" w:rsidRDefault="00CE113B" w:rsidP="00C974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опутствующи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им договор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  <w:r w:rsidR="009C737E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страхования жизни </w:t>
            </w:r>
            <w:r w:rsidR="00E137B3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заемщика</w:t>
            </w:r>
            <w:r w:rsidR="001D2546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а также </w:t>
            </w:r>
            <w:r w:rsidR="00C974C6">
              <w:rPr>
                <w:rFonts w:ascii="Times New Roman" w:hAnsi="Times New Roman" w:cs="Times New Roman"/>
                <w:color w:val="000000" w:themeColor="text1"/>
                <w:szCs w:val="22"/>
              </w:rPr>
              <w:t>заключением договоров инвестиционного страхования жизни как альтернативы банковскому вкладу</w:t>
            </w:r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31268F" w:rsidRPr="0031268F" w:rsidTr="002013A0">
        <w:trPr>
          <w:trHeight w:val="507"/>
          <w:jc w:val="center"/>
        </w:trPr>
        <w:tc>
          <w:tcPr>
            <w:tcW w:w="552" w:type="dxa"/>
            <w:vMerge/>
          </w:tcPr>
          <w:p w:rsidR="007F177D" w:rsidRPr="0031268F" w:rsidRDefault="007F177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7F177D" w:rsidRPr="0031268F" w:rsidRDefault="007F177D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Доля добровольных видов страхования в объеме совокупной страховой премии (процентов)</w:t>
            </w:r>
          </w:p>
        </w:tc>
        <w:tc>
          <w:tcPr>
            <w:tcW w:w="1077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865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84,8</w:t>
            </w:r>
          </w:p>
        </w:tc>
        <w:tc>
          <w:tcPr>
            <w:tcW w:w="903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2822" w:type="dxa"/>
            <w:vAlign w:val="center"/>
          </w:tcPr>
          <w:p w:rsidR="007F177D" w:rsidRPr="0031268F" w:rsidRDefault="0033350C" w:rsidP="00986D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Рост доли добровольн</w:t>
            </w:r>
            <w:r w:rsidR="00986DD4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ого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страхования в объеме совокупной страховой премии обеспечен за счет развития страхования жизни</w:t>
            </w:r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D14B6F" w:rsidRPr="0031268F" w:rsidRDefault="00D14B6F" w:rsidP="00986D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 этом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показатель Стратегии не достигнут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</w:tr>
      <w:tr w:rsidR="0031268F" w:rsidRPr="0031268F" w:rsidTr="002013A0">
        <w:trPr>
          <w:trHeight w:val="140"/>
          <w:jc w:val="center"/>
        </w:trPr>
        <w:tc>
          <w:tcPr>
            <w:tcW w:w="552" w:type="dxa"/>
            <w:vMerge/>
          </w:tcPr>
          <w:p w:rsidR="007F177D" w:rsidRPr="0031268F" w:rsidRDefault="007F177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7F177D" w:rsidRPr="0031268F" w:rsidRDefault="007F177D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Доля обязательных видов страхования в объеме совокупной страховой премии (процентов)</w:t>
            </w:r>
          </w:p>
        </w:tc>
        <w:tc>
          <w:tcPr>
            <w:tcW w:w="1077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65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15,2</w:t>
            </w:r>
          </w:p>
        </w:tc>
        <w:tc>
          <w:tcPr>
            <w:tcW w:w="903" w:type="dxa"/>
            <w:vAlign w:val="center"/>
          </w:tcPr>
          <w:p w:rsidR="007F177D" w:rsidRPr="0031268F" w:rsidRDefault="007F177D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822" w:type="dxa"/>
            <w:vAlign w:val="center"/>
          </w:tcPr>
          <w:p w:rsidR="007F177D" w:rsidRPr="0031268F" w:rsidRDefault="00DB495F" w:rsidP="00E425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Сокращение доли обязательного страхования в объеме совокупной страховой премии связано с замедлением </w:t>
            </w:r>
            <w:proofErr w:type="gramStart"/>
            <w:r w:rsidRP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>темпов роста обязательного страхования гражданской ответственности владельцев транспортных</w:t>
            </w:r>
            <w:proofErr w:type="gramEnd"/>
            <w:r w:rsidRPr="00DB495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средств, а также с более высокими темпами развития добровольного страхования, в частности, страхования жизни.</w:t>
            </w:r>
          </w:p>
        </w:tc>
      </w:tr>
      <w:tr w:rsidR="0031268F" w:rsidRPr="0031268F" w:rsidTr="002013A0">
        <w:trPr>
          <w:trHeight w:val="55"/>
          <w:jc w:val="center"/>
        </w:trPr>
        <w:tc>
          <w:tcPr>
            <w:tcW w:w="552" w:type="dxa"/>
            <w:vMerge/>
          </w:tcPr>
          <w:p w:rsidR="001418FB" w:rsidRPr="0031268F" w:rsidRDefault="001418F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4" w:type="dxa"/>
          </w:tcPr>
          <w:p w:rsidR="001418FB" w:rsidRPr="0031268F" w:rsidRDefault="001418FB" w:rsidP="00591FA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Объем страховых премий на душу населения (рублей)</w:t>
            </w:r>
          </w:p>
        </w:tc>
        <w:tc>
          <w:tcPr>
            <w:tcW w:w="1077" w:type="dxa"/>
            <w:vAlign w:val="center"/>
          </w:tcPr>
          <w:p w:rsidR="001418FB" w:rsidRPr="0031268F" w:rsidRDefault="009B2F8B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8042</w:t>
            </w:r>
          </w:p>
        </w:tc>
        <w:tc>
          <w:tcPr>
            <w:tcW w:w="865" w:type="dxa"/>
            <w:vAlign w:val="center"/>
          </w:tcPr>
          <w:p w:rsidR="001418FB" w:rsidRPr="0031268F" w:rsidRDefault="00A65207" w:rsidP="00643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16021</w:t>
            </w:r>
          </w:p>
        </w:tc>
        <w:tc>
          <w:tcPr>
            <w:tcW w:w="903" w:type="dxa"/>
            <w:vAlign w:val="center"/>
          </w:tcPr>
          <w:p w:rsidR="001418FB" w:rsidRPr="0031268F" w:rsidRDefault="001C4D7D" w:rsidP="009B2F8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870</w:t>
            </w:r>
            <w:r w:rsidR="009B2F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8F7973" w:rsidRPr="0031268F" w:rsidRDefault="008F7973" w:rsidP="008F7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ост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объема страховых премий на душу населения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2017 г. 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составил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процентов по сравнению с 2016 г., что</w:t>
            </w:r>
          </w:p>
          <w:p w:rsidR="008F7973" w:rsidRDefault="008F7973" w:rsidP="008F7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8F7973">
              <w:rPr>
                <w:rFonts w:ascii="Times New Roman" w:hAnsi="Times New Roman" w:cs="Times New Roman"/>
                <w:color w:val="000000" w:themeColor="text1"/>
                <w:szCs w:val="22"/>
              </w:rPr>
              <w:t>указывает на заинтересованность граждан в страховании своих имущественных интересов и готовность увеличивать свои расходы на страхование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  <w:p w:rsidR="001418FB" w:rsidRPr="0031268F" w:rsidRDefault="008F7973" w:rsidP="008F797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При этом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плановый по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казатель Стратегии не достигнут</w:t>
            </w:r>
            <w:proofErr w:type="gramEnd"/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что обусловлено снижением покупательной способности в связи с падением реальных доходов населения, изменением </w:t>
            </w:r>
            <w:r w:rsidR="00E4020F"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приоритетов в </w:t>
            </w:r>
            <w:r w:rsidR="004071CF">
              <w:rPr>
                <w:rFonts w:ascii="Times New Roman" w:hAnsi="Times New Roman" w:cs="Times New Roman"/>
                <w:color w:val="000000" w:themeColor="text1"/>
                <w:szCs w:val="22"/>
              </w:rPr>
              <w:t>пользу товаров и услуг первой необходимости.</w:t>
            </w:r>
          </w:p>
        </w:tc>
      </w:tr>
      <w:tr w:rsidR="0031268F" w:rsidRPr="0031268F" w:rsidTr="002013A0">
        <w:trPr>
          <w:jc w:val="center"/>
        </w:trPr>
        <w:tc>
          <w:tcPr>
            <w:tcW w:w="55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5.2</w:t>
            </w:r>
          </w:p>
        </w:tc>
        <w:tc>
          <w:tcPr>
            <w:tcW w:w="283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Динамика показателей, характеризующих место сферы/отрасли экономики России в мире (например, объемы выпуска товаров, работ, услуг в целом по миру; доля товаров, работ, услуг российского происхождения в мировом объеме)</w:t>
            </w:r>
          </w:p>
          <w:p w:rsidR="00F1578F" w:rsidRPr="0031268F" w:rsidRDefault="00D5035A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отсутствуют</w:t>
            </w:r>
          </w:p>
        </w:tc>
        <w:tc>
          <w:tcPr>
            <w:tcW w:w="1077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571B59" w:rsidRPr="0031268F" w:rsidRDefault="00D5035A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E42504" w:rsidRPr="0031268F" w:rsidTr="00E42504">
        <w:trPr>
          <w:trHeight w:val="1672"/>
          <w:jc w:val="center"/>
        </w:trPr>
        <w:tc>
          <w:tcPr>
            <w:tcW w:w="552" w:type="dxa"/>
          </w:tcPr>
          <w:p w:rsidR="00E42504" w:rsidRPr="0031268F" w:rsidRDefault="00E42504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5.3</w:t>
            </w:r>
          </w:p>
        </w:tc>
        <w:tc>
          <w:tcPr>
            <w:tcW w:w="2834" w:type="dxa"/>
          </w:tcPr>
          <w:p w:rsidR="00E42504" w:rsidRDefault="00E42504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 финансового состояния сферы/отрасли экономики (например, прибыль/убыток, рентабельность отрасли/сектора)</w:t>
            </w:r>
          </w:p>
          <w:p w:rsidR="00E42504" w:rsidRPr="0031268F" w:rsidRDefault="00E42504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отсутствуют</w:t>
            </w:r>
          </w:p>
        </w:tc>
        <w:tc>
          <w:tcPr>
            <w:tcW w:w="1077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E42504" w:rsidRPr="0031268F" w:rsidRDefault="00E42504" w:rsidP="00940FA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  <w:tr w:rsidR="0031268F" w:rsidRPr="0031268F" w:rsidTr="002013A0">
        <w:trPr>
          <w:jc w:val="center"/>
        </w:trPr>
        <w:tc>
          <w:tcPr>
            <w:tcW w:w="552" w:type="dxa"/>
          </w:tcPr>
          <w:p w:rsidR="00985E1D" w:rsidRPr="0031268F" w:rsidRDefault="00985E1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5.4.</w:t>
            </w:r>
          </w:p>
        </w:tc>
        <w:tc>
          <w:tcPr>
            <w:tcW w:w="2834" w:type="dxa"/>
          </w:tcPr>
          <w:p w:rsidR="00985E1D" w:rsidRPr="0031268F" w:rsidRDefault="00985E1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Показатели, характеризующие технологическое развитие сферы/отрасли экономики (например, объем инновационных товаров, работ, услуг, их удельный вес в общем объеме товаров, работ, услуг; производительность труда; экологические показатели сферы/отрасли экономики - объемы выбросов загрязнений, объемы отходов)</w:t>
            </w:r>
            <w:proofErr w:type="gramEnd"/>
          </w:p>
          <w:p w:rsidR="00985E1D" w:rsidRPr="0031268F" w:rsidRDefault="00985E1D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  <w:u w:val="single"/>
              </w:rPr>
              <w:t>отсутствуют</w:t>
            </w:r>
          </w:p>
        </w:tc>
        <w:tc>
          <w:tcPr>
            <w:tcW w:w="1077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865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903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  <w:tc>
          <w:tcPr>
            <w:tcW w:w="2822" w:type="dxa"/>
            <w:vAlign w:val="center"/>
          </w:tcPr>
          <w:p w:rsidR="00985E1D" w:rsidRPr="0031268F" w:rsidRDefault="00985E1D" w:rsidP="00643F5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5" w:name="P158"/>
      <w:bookmarkEnd w:id="5"/>
      <w:r w:rsidRPr="0031268F">
        <w:rPr>
          <w:rFonts w:ascii="Times New Roman" w:hAnsi="Times New Roman" w:cs="Times New Roman"/>
          <w:color w:val="000000" w:themeColor="text1"/>
        </w:rPr>
        <w:t>&lt;3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К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аждый показатель указывается в отдельной строке.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6" w:name="P159"/>
      <w:bookmarkEnd w:id="6"/>
      <w:r w:rsidRPr="0031268F">
        <w:rPr>
          <w:rFonts w:ascii="Times New Roman" w:hAnsi="Times New Roman" w:cs="Times New Roman"/>
          <w:color w:val="000000" w:themeColor="text1"/>
        </w:rPr>
        <w:t>&lt;4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П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ри наличии утвержденного планового значения показателя на отчетный год в отраслевом документе стратегического планирования.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7" w:name="P160"/>
      <w:bookmarkEnd w:id="7"/>
      <w:r w:rsidRPr="0031268F">
        <w:rPr>
          <w:rFonts w:ascii="Times New Roman" w:hAnsi="Times New Roman" w:cs="Times New Roman"/>
          <w:color w:val="000000" w:themeColor="text1"/>
        </w:rPr>
        <w:t>&lt;5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З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аполняется в соответствии с динамикой относительно предыдущего года (с точки зрения достижения целевого значения показателя):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улучшение ситуации в отрасли по сравнению с предыдущим годом;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ситуация не изменилась;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Рисунок (не приводится) - ухудшение ситуации по сравнению с предыдущим годом.</w:t>
      </w:r>
    </w:p>
    <w:p w:rsidR="00571B59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Pr="0031268F" w:rsidRDefault="00575092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lastRenderedPageBreak/>
        <w:t>6. Данные об использованных бюджетных ассигнованиях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на реализацию мероприятий государственных программ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Российской Федерации,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обеспечивающих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реализацию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4762"/>
        <w:gridCol w:w="3345"/>
      </w:tblGrid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государственной программы Российской Федерации (госпрограммы), федеральной целевой программы (ФЦП) либо их составляющих </w:t>
            </w:r>
            <w:hyperlink w:anchor="P196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&lt;6&gt;</w:t>
              </w:r>
            </w:hyperlink>
          </w:p>
        </w:tc>
        <w:tc>
          <w:tcPr>
            <w:tcW w:w="334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Объем бюджетных ассигнований, выделенных в отчетном году на реализацию отраслевого документа стратегического планирования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45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8" w:name="P175"/>
            <w:bookmarkEnd w:id="8"/>
            <w:r w:rsidRPr="0031268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госпрограммы:</w:t>
            </w:r>
          </w:p>
          <w:p w:rsidR="004155CE" w:rsidRPr="0031268F" w:rsidRDefault="00260C1F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государственная программа Российской Федерации «Управление государственными финансами и регулирование финансовых рынков»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, утвержденная постановлением Правительства Российской Федерации от 15</w:t>
            </w:r>
            <w:r w:rsidR="00D14B6F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 </w:t>
            </w:r>
            <w:r w:rsidR="004155CE"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>апреля 2014 г. № 320</w:t>
            </w: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  <w:tc>
          <w:tcPr>
            <w:tcW w:w="3345" w:type="dxa"/>
          </w:tcPr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B59" w:rsidRPr="0031268F" w:rsidRDefault="00260C1F" w:rsidP="005649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31268F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6.1.1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подпрограммы/ФЦП госпрограммы:</w:t>
            </w:r>
          </w:p>
          <w:p w:rsidR="004155CE" w:rsidRPr="0031268F" w:rsidRDefault="004155CE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подпрограмма 7. «Эффективное функционирование финансовых рынков, банковской, страховой деятельности, схем инвестирования и защиты </w:t>
            </w:r>
          </w:p>
          <w:p w:rsidR="004155CE" w:rsidRPr="0031268F" w:rsidRDefault="004155CE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пенсионных накоплений»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  <w:tc>
          <w:tcPr>
            <w:tcW w:w="3345" w:type="dxa"/>
          </w:tcPr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B59" w:rsidRPr="0031268F" w:rsidRDefault="00260C1F" w:rsidP="005649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  <w:tr w:rsidR="00571B59" w:rsidRPr="0031268F" w:rsidTr="00641597">
        <w:trPr>
          <w:jc w:val="center"/>
        </w:trPr>
        <w:tc>
          <w:tcPr>
            <w:tcW w:w="964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6.1.1.1</w:t>
            </w:r>
          </w:p>
        </w:tc>
        <w:tc>
          <w:tcPr>
            <w:tcW w:w="4762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основного мероприятия подпрограммы госпрограммы/мероприятия в рамках ФЦП:</w:t>
            </w: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основное мероприятие 7.3. Регулирование страховой деятельности </w:t>
            </w:r>
          </w:p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(указывается наименование)</w:t>
            </w:r>
          </w:p>
        </w:tc>
        <w:tc>
          <w:tcPr>
            <w:tcW w:w="3345" w:type="dxa"/>
          </w:tcPr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1597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1B59" w:rsidRPr="0031268F" w:rsidRDefault="00260C1F" w:rsidP="0056497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не предусмотрен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9" w:name="P196"/>
      <w:bookmarkEnd w:id="9"/>
      <w:r w:rsidRPr="0031268F">
        <w:rPr>
          <w:rFonts w:ascii="Times New Roman" w:hAnsi="Times New Roman" w:cs="Times New Roman"/>
          <w:color w:val="000000" w:themeColor="text1"/>
        </w:rPr>
        <w:t>&lt;6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У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>казываются все госпрограммы, механизмы которых используются для реализации отраслевого документа стратегического планирования.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 xml:space="preserve">В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случае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, когда госпрограмма полностью направлена на реализацию отраслевого документа стратегического планирования, разбивка на подпрограммы/ФЦП не требуется. При этом в </w:t>
      </w:r>
      <w:hyperlink w:anchor="P175" w:history="1">
        <w:r w:rsidRPr="0031268F">
          <w:rPr>
            <w:rFonts w:ascii="Times New Roman" w:hAnsi="Times New Roman" w:cs="Times New Roman"/>
            <w:color w:val="000000" w:themeColor="text1"/>
          </w:rPr>
          <w:t>столбце 3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указывается общий объем средств федерального бюджета в рамках госпрограммы.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1268F">
        <w:rPr>
          <w:rFonts w:ascii="Times New Roman" w:hAnsi="Times New Roman" w:cs="Times New Roman"/>
          <w:color w:val="000000" w:themeColor="text1"/>
        </w:rPr>
        <w:t xml:space="preserve">В случае, когда на реализацию отраслевого документа стратегического планирования направлены только отдельные подпрограммы/ФЦП или отдельные основные мероприятия госпрограммы/мероприятия ФЦП, в </w:t>
      </w:r>
      <w:hyperlink w:anchor="P175" w:history="1">
        <w:r w:rsidRPr="0031268F">
          <w:rPr>
            <w:rFonts w:ascii="Times New Roman" w:hAnsi="Times New Roman" w:cs="Times New Roman"/>
            <w:color w:val="000000" w:themeColor="text1"/>
          </w:rPr>
          <w:t>столбце 3</w:t>
        </w:r>
      </w:hyperlink>
      <w:r w:rsidRPr="0031268F">
        <w:rPr>
          <w:rFonts w:ascii="Times New Roman" w:hAnsi="Times New Roman" w:cs="Times New Roman"/>
          <w:color w:val="000000" w:themeColor="text1"/>
        </w:rPr>
        <w:t xml:space="preserve"> приводится соответствующий объем бюджетных ассигнований.</w:t>
      </w:r>
      <w:proofErr w:type="gramEnd"/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5092" w:rsidRDefault="00575092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lastRenderedPageBreak/>
        <w:t xml:space="preserve">7. Данные об объемах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привлеченного</w:t>
      </w:r>
      <w:proofErr w:type="gramEnd"/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внебюджетного финансирования, в том числе на принципах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государственно-частного партнерства, в рамках реализации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отраслевого документа стратегического планирования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9"/>
        <w:gridCol w:w="1973"/>
        <w:gridCol w:w="1361"/>
      </w:tblGrid>
      <w:tr w:rsidR="0031268F" w:rsidRPr="0031268F" w:rsidTr="00641597">
        <w:trPr>
          <w:jc w:val="center"/>
        </w:trPr>
        <w:tc>
          <w:tcPr>
            <w:tcW w:w="737" w:type="dxa"/>
          </w:tcPr>
          <w:p w:rsidR="00571B59" w:rsidRPr="0031268F" w:rsidRDefault="00641597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="00571B59" w:rsidRPr="0031268F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989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Наименование направления</w:t>
            </w:r>
          </w:p>
        </w:tc>
        <w:tc>
          <w:tcPr>
            <w:tcW w:w="1973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Объем внебюджетного финансирования</w:t>
            </w:r>
          </w:p>
        </w:tc>
        <w:tc>
          <w:tcPr>
            <w:tcW w:w="1361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Источник информации </w:t>
            </w:r>
            <w:hyperlink w:anchor="P235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&lt;7&gt;</w:t>
              </w:r>
            </w:hyperlink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571B59" w:rsidRPr="0031268F" w:rsidRDefault="00571B59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89" w:type="dxa"/>
          </w:tcPr>
          <w:p w:rsidR="00571B59" w:rsidRPr="0031268F" w:rsidRDefault="00571B59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Внебюджетные средства в рамках государственных программ Российской Федерации</w:t>
            </w:r>
          </w:p>
        </w:tc>
        <w:tc>
          <w:tcPr>
            <w:tcW w:w="1973" w:type="dxa"/>
            <w:vAlign w:val="center"/>
          </w:tcPr>
          <w:p w:rsidR="00571B59" w:rsidRPr="0031268F" w:rsidRDefault="00E876AB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571B59" w:rsidRPr="0031268F" w:rsidRDefault="00E876AB" w:rsidP="00E876A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Внебюджетные средства в рамках механизма государственно-частного партнерства, в том числе в разрезе проектов, реализуемых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  <w:r w:rsidRPr="0031268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7.2.1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Федеральном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7.2.2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Региональном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31268F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7.2.3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Муниципальном </w:t>
            </w:r>
            <w:proofErr w:type="gramStart"/>
            <w:r w:rsidRPr="0031268F">
              <w:rPr>
                <w:rFonts w:ascii="Times New Roman" w:hAnsi="Times New Roman" w:cs="Times New Roman"/>
                <w:color w:val="000000" w:themeColor="text1"/>
              </w:rPr>
              <w:t>уровне</w:t>
            </w:r>
            <w:proofErr w:type="gramEnd"/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E876AB" w:rsidRPr="0031268F" w:rsidTr="00E876AB">
        <w:trPr>
          <w:jc w:val="center"/>
        </w:trPr>
        <w:tc>
          <w:tcPr>
            <w:tcW w:w="737" w:type="dxa"/>
          </w:tcPr>
          <w:p w:rsidR="00E876AB" w:rsidRPr="0031268F" w:rsidRDefault="00E876AB" w:rsidP="00591F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989" w:type="dxa"/>
          </w:tcPr>
          <w:p w:rsidR="00E876AB" w:rsidRPr="0031268F" w:rsidRDefault="00E876AB" w:rsidP="00591FA3">
            <w:pPr>
              <w:pStyle w:val="ConsPlusNormal"/>
              <w:ind w:left="2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 xml:space="preserve">Внебюджетные инвестиции </w:t>
            </w:r>
            <w:hyperlink w:anchor="P236" w:history="1">
              <w:r w:rsidRPr="0031268F">
                <w:rPr>
                  <w:rFonts w:ascii="Times New Roman" w:hAnsi="Times New Roman" w:cs="Times New Roman"/>
                  <w:color w:val="000000" w:themeColor="text1"/>
                </w:rPr>
                <w:t>&lt;8&gt;</w:t>
              </w:r>
            </w:hyperlink>
          </w:p>
        </w:tc>
        <w:tc>
          <w:tcPr>
            <w:tcW w:w="1973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61" w:type="dxa"/>
            <w:vAlign w:val="center"/>
          </w:tcPr>
          <w:p w:rsidR="00E876AB" w:rsidRPr="0031268F" w:rsidRDefault="00E876AB" w:rsidP="00A152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1268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r w:rsidRPr="0031268F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10" w:name="P235"/>
      <w:bookmarkEnd w:id="10"/>
      <w:r w:rsidRPr="0031268F">
        <w:rPr>
          <w:rFonts w:ascii="Times New Roman" w:hAnsi="Times New Roman" w:cs="Times New Roman"/>
          <w:color w:val="000000" w:themeColor="text1"/>
        </w:rPr>
        <w:t xml:space="preserve">&lt;7&gt; В 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качестве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источника информации может быть использована информация официальных статистических ведомств Российской Федерации, ведомственная статистика либо иная статистическая информация с указанием источника информации.</w:t>
      </w:r>
    </w:p>
    <w:p w:rsidR="00571B59" w:rsidRPr="0031268F" w:rsidRDefault="00571B59" w:rsidP="00591FA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</w:rPr>
      </w:pPr>
      <w:bookmarkStart w:id="11" w:name="P236"/>
      <w:bookmarkEnd w:id="11"/>
      <w:r w:rsidRPr="0031268F">
        <w:rPr>
          <w:rFonts w:ascii="Times New Roman" w:hAnsi="Times New Roman" w:cs="Times New Roman"/>
          <w:color w:val="000000" w:themeColor="text1"/>
        </w:rPr>
        <w:t>&lt;8</w:t>
      </w:r>
      <w:proofErr w:type="gramStart"/>
      <w:r w:rsidRPr="0031268F">
        <w:rPr>
          <w:rFonts w:ascii="Times New Roman" w:hAnsi="Times New Roman" w:cs="Times New Roman"/>
          <w:color w:val="000000" w:themeColor="text1"/>
        </w:rPr>
        <w:t>&gt; К</w:t>
      </w:r>
      <w:proofErr w:type="gramEnd"/>
      <w:r w:rsidRPr="0031268F">
        <w:rPr>
          <w:rFonts w:ascii="Times New Roman" w:hAnsi="Times New Roman" w:cs="Times New Roman"/>
          <w:color w:val="000000" w:themeColor="text1"/>
        </w:rPr>
        <w:t xml:space="preserve"> внебюджетным инвестициям относятся: собственные средства, кредиты банков, заемные средства других организаций, иностранные инвестиции, средства внебюджетных фондов, средства организаций и населения, средства вышестоящих организаций, средства от выпуска корпоративных облигаций, средства от эмиссий акций, направленные на развитие соответствующей сферы или отрасли экономики.</w:t>
      </w: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571B59" w:rsidRPr="0031268F" w:rsidRDefault="00571B59" w:rsidP="00591FA3">
      <w:pPr>
        <w:pStyle w:val="ConsPlusNormal"/>
        <w:pBdr>
          <w:top w:val="single" w:sz="6" w:space="0" w:color="auto"/>
        </w:pBdr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864CC" w:rsidRPr="0031268F" w:rsidRDefault="00E864CC" w:rsidP="00591F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sectPr w:rsidR="00E864CC" w:rsidRPr="0031268F" w:rsidSect="0031268F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71" w:rsidRDefault="00D31971" w:rsidP="009117EA">
      <w:pPr>
        <w:spacing w:after="0" w:line="240" w:lineRule="auto"/>
      </w:pPr>
      <w:r>
        <w:separator/>
      </w:r>
    </w:p>
  </w:endnote>
  <w:endnote w:type="continuationSeparator" w:id="0">
    <w:p w:rsidR="00D31971" w:rsidRDefault="00D31971" w:rsidP="0091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71" w:rsidRDefault="00D31971" w:rsidP="009117EA">
      <w:pPr>
        <w:spacing w:after="0" w:line="240" w:lineRule="auto"/>
      </w:pPr>
      <w:r>
        <w:separator/>
      </w:r>
    </w:p>
  </w:footnote>
  <w:footnote w:type="continuationSeparator" w:id="0">
    <w:p w:rsidR="00D31971" w:rsidRDefault="00D31971" w:rsidP="0091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1759555225"/>
      <w:docPartObj>
        <w:docPartGallery w:val="Page Numbers (Top of Page)"/>
        <w:docPartUnique/>
      </w:docPartObj>
    </w:sdtPr>
    <w:sdtEndPr/>
    <w:sdtContent>
      <w:p w:rsidR="0031268F" w:rsidRPr="0031268F" w:rsidRDefault="0031268F">
        <w:pPr>
          <w:pStyle w:val="a8"/>
          <w:jc w:val="center"/>
          <w:rPr>
            <w:rFonts w:ascii="Times New Roman" w:hAnsi="Times New Roman" w:cs="Times New Roman"/>
            <w:sz w:val="16"/>
          </w:rPr>
        </w:pPr>
        <w:r w:rsidRPr="0031268F">
          <w:rPr>
            <w:rFonts w:ascii="Times New Roman" w:hAnsi="Times New Roman" w:cs="Times New Roman"/>
            <w:sz w:val="16"/>
          </w:rPr>
          <w:fldChar w:fldCharType="begin"/>
        </w:r>
        <w:r w:rsidRPr="0031268F">
          <w:rPr>
            <w:rFonts w:ascii="Times New Roman" w:hAnsi="Times New Roman" w:cs="Times New Roman"/>
            <w:sz w:val="16"/>
          </w:rPr>
          <w:instrText>PAGE   \* MERGEFORMAT</w:instrText>
        </w:r>
        <w:r w:rsidRPr="0031268F">
          <w:rPr>
            <w:rFonts w:ascii="Times New Roman" w:hAnsi="Times New Roman" w:cs="Times New Roman"/>
            <w:sz w:val="16"/>
          </w:rPr>
          <w:fldChar w:fldCharType="separate"/>
        </w:r>
        <w:r w:rsidR="00575092">
          <w:rPr>
            <w:rFonts w:ascii="Times New Roman" w:hAnsi="Times New Roman" w:cs="Times New Roman"/>
            <w:noProof/>
            <w:sz w:val="16"/>
          </w:rPr>
          <w:t>8</w:t>
        </w:r>
        <w:r w:rsidRPr="0031268F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31268F" w:rsidRDefault="003126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64"/>
    <w:multiLevelType w:val="hybridMultilevel"/>
    <w:tmpl w:val="B928E328"/>
    <w:lvl w:ilvl="0" w:tplc="345ACAF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65E11"/>
    <w:multiLevelType w:val="hybridMultilevel"/>
    <w:tmpl w:val="F80A262C"/>
    <w:lvl w:ilvl="0" w:tplc="D076E1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59"/>
    <w:rsid w:val="0004313D"/>
    <w:rsid w:val="00050DD3"/>
    <w:rsid w:val="000650E6"/>
    <w:rsid w:val="00071B23"/>
    <w:rsid w:val="00072233"/>
    <w:rsid w:val="000852BC"/>
    <w:rsid w:val="000B32C2"/>
    <w:rsid w:val="000E6A63"/>
    <w:rsid w:val="000F05FA"/>
    <w:rsid w:val="001418FB"/>
    <w:rsid w:val="00145A16"/>
    <w:rsid w:val="0016005F"/>
    <w:rsid w:val="001743A6"/>
    <w:rsid w:val="001753B4"/>
    <w:rsid w:val="00185C75"/>
    <w:rsid w:val="00191CC9"/>
    <w:rsid w:val="001C4D7D"/>
    <w:rsid w:val="001C76D3"/>
    <w:rsid w:val="001D1A45"/>
    <w:rsid w:val="001D2546"/>
    <w:rsid w:val="001E78B3"/>
    <w:rsid w:val="002013A0"/>
    <w:rsid w:val="0021585B"/>
    <w:rsid w:val="00260906"/>
    <w:rsid w:val="00260C1F"/>
    <w:rsid w:val="0026513D"/>
    <w:rsid w:val="002726D3"/>
    <w:rsid w:val="002A7624"/>
    <w:rsid w:val="002D791D"/>
    <w:rsid w:val="002E54C3"/>
    <w:rsid w:val="002E6EB9"/>
    <w:rsid w:val="002E79DC"/>
    <w:rsid w:val="0031268F"/>
    <w:rsid w:val="0031472B"/>
    <w:rsid w:val="00331B8A"/>
    <w:rsid w:val="0033350C"/>
    <w:rsid w:val="003545F1"/>
    <w:rsid w:val="00380FAD"/>
    <w:rsid w:val="00396963"/>
    <w:rsid w:val="003B4EB2"/>
    <w:rsid w:val="003C7B89"/>
    <w:rsid w:val="003D05F9"/>
    <w:rsid w:val="003F2DDD"/>
    <w:rsid w:val="004071CF"/>
    <w:rsid w:val="004155CE"/>
    <w:rsid w:val="00455DF8"/>
    <w:rsid w:val="00457403"/>
    <w:rsid w:val="00467FC9"/>
    <w:rsid w:val="00483B5C"/>
    <w:rsid w:val="00490E1C"/>
    <w:rsid w:val="004C561A"/>
    <w:rsid w:val="004E2113"/>
    <w:rsid w:val="004F79CA"/>
    <w:rsid w:val="005045AB"/>
    <w:rsid w:val="00523269"/>
    <w:rsid w:val="00534617"/>
    <w:rsid w:val="00542345"/>
    <w:rsid w:val="00544067"/>
    <w:rsid w:val="0056497D"/>
    <w:rsid w:val="00571B59"/>
    <w:rsid w:val="00575092"/>
    <w:rsid w:val="00591FA3"/>
    <w:rsid w:val="005D3F5A"/>
    <w:rsid w:val="005E57E1"/>
    <w:rsid w:val="00625FDE"/>
    <w:rsid w:val="00641597"/>
    <w:rsid w:val="00643F54"/>
    <w:rsid w:val="00644933"/>
    <w:rsid w:val="006755B8"/>
    <w:rsid w:val="007316CE"/>
    <w:rsid w:val="00731CC6"/>
    <w:rsid w:val="00743056"/>
    <w:rsid w:val="00744353"/>
    <w:rsid w:val="00772A77"/>
    <w:rsid w:val="00772CD1"/>
    <w:rsid w:val="007F177D"/>
    <w:rsid w:val="00807D76"/>
    <w:rsid w:val="008676AD"/>
    <w:rsid w:val="0087240E"/>
    <w:rsid w:val="00876FC3"/>
    <w:rsid w:val="008B443F"/>
    <w:rsid w:val="008B5519"/>
    <w:rsid w:val="008E030F"/>
    <w:rsid w:val="008F7973"/>
    <w:rsid w:val="00910838"/>
    <w:rsid w:val="009117EA"/>
    <w:rsid w:val="00966001"/>
    <w:rsid w:val="009667F4"/>
    <w:rsid w:val="00971BB9"/>
    <w:rsid w:val="00985E1D"/>
    <w:rsid w:val="00986DD4"/>
    <w:rsid w:val="00992715"/>
    <w:rsid w:val="00996BDD"/>
    <w:rsid w:val="009A4EB0"/>
    <w:rsid w:val="009B2F8B"/>
    <w:rsid w:val="009B5083"/>
    <w:rsid w:val="009B5D7B"/>
    <w:rsid w:val="009C737E"/>
    <w:rsid w:val="009E4BD7"/>
    <w:rsid w:val="00A124B9"/>
    <w:rsid w:val="00A65207"/>
    <w:rsid w:val="00A7028A"/>
    <w:rsid w:val="00AE464A"/>
    <w:rsid w:val="00B00C52"/>
    <w:rsid w:val="00B22B8A"/>
    <w:rsid w:val="00B26A4E"/>
    <w:rsid w:val="00B26BF6"/>
    <w:rsid w:val="00B52E2D"/>
    <w:rsid w:val="00B57C0D"/>
    <w:rsid w:val="00B62271"/>
    <w:rsid w:val="00BC3B18"/>
    <w:rsid w:val="00C36450"/>
    <w:rsid w:val="00C57A3A"/>
    <w:rsid w:val="00C644D9"/>
    <w:rsid w:val="00C974C6"/>
    <w:rsid w:val="00CB564A"/>
    <w:rsid w:val="00CC1F50"/>
    <w:rsid w:val="00CC504A"/>
    <w:rsid w:val="00CC7D37"/>
    <w:rsid w:val="00CE113B"/>
    <w:rsid w:val="00D13E9B"/>
    <w:rsid w:val="00D14B6F"/>
    <w:rsid w:val="00D2531C"/>
    <w:rsid w:val="00D31971"/>
    <w:rsid w:val="00D34CDA"/>
    <w:rsid w:val="00D42F76"/>
    <w:rsid w:val="00D47622"/>
    <w:rsid w:val="00D5035A"/>
    <w:rsid w:val="00D72776"/>
    <w:rsid w:val="00D87009"/>
    <w:rsid w:val="00D87A61"/>
    <w:rsid w:val="00D93537"/>
    <w:rsid w:val="00D972A5"/>
    <w:rsid w:val="00DB495F"/>
    <w:rsid w:val="00DD200D"/>
    <w:rsid w:val="00DE12D7"/>
    <w:rsid w:val="00DF1A49"/>
    <w:rsid w:val="00E137B3"/>
    <w:rsid w:val="00E16E99"/>
    <w:rsid w:val="00E3618E"/>
    <w:rsid w:val="00E4020F"/>
    <w:rsid w:val="00E42504"/>
    <w:rsid w:val="00E52C4F"/>
    <w:rsid w:val="00E845DE"/>
    <w:rsid w:val="00E864CC"/>
    <w:rsid w:val="00E876AB"/>
    <w:rsid w:val="00EC618F"/>
    <w:rsid w:val="00F10430"/>
    <w:rsid w:val="00F1578F"/>
    <w:rsid w:val="00F26C78"/>
    <w:rsid w:val="00F30DEF"/>
    <w:rsid w:val="00F87789"/>
    <w:rsid w:val="00F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1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1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7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68F"/>
  </w:style>
  <w:style w:type="paragraph" w:styleId="aa">
    <w:name w:val="footer"/>
    <w:basedOn w:val="a"/>
    <w:link w:val="ab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F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117E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17E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17E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268F"/>
  </w:style>
  <w:style w:type="paragraph" w:styleId="aa">
    <w:name w:val="footer"/>
    <w:basedOn w:val="a"/>
    <w:link w:val="ab"/>
    <w:uiPriority w:val="99"/>
    <w:unhideWhenUsed/>
    <w:rsid w:val="0031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495E-5B19-4E8D-8CC5-0A94DBB7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ПАШКОВА АЛЕКСАНДРА СЕРГЕЕВНА</cp:lastModifiedBy>
  <cp:revision>22</cp:revision>
  <cp:lastPrinted>2018-05-23T10:38:00Z</cp:lastPrinted>
  <dcterms:created xsi:type="dcterms:W3CDTF">2018-05-16T14:49:00Z</dcterms:created>
  <dcterms:modified xsi:type="dcterms:W3CDTF">2018-05-23T14:30:00Z</dcterms:modified>
</cp:coreProperties>
</file>