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0D8E5" w14:textId="77777777" w:rsidR="00E9626D" w:rsidRPr="00832CE1" w:rsidRDefault="00E9626D" w:rsidP="0083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рекомендации</w:t>
      </w:r>
    </w:p>
    <w:p w14:paraId="64A0A5C4" w14:textId="77777777" w:rsidR="00B74A93" w:rsidRDefault="00B74A93" w:rsidP="0083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 w:rsidR="00E9626D" w:rsidRPr="00832CE1">
        <w:rPr>
          <w:rFonts w:ascii="Times New Roman" w:hAnsi="Times New Roman" w:cs="Times New Roman"/>
          <w:b/>
          <w:sz w:val="28"/>
          <w:szCs w:val="28"/>
          <w:lang w:val="ru-RU"/>
        </w:rPr>
        <w:t>аудит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E9626D" w:rsidRPr="00832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бухгалтерской (финансовой) отчетности </w:t>
      </w:r>
    </w:p>
    <w:p w14:paraId="719D7EC3" w14:textId="55FDF41E" w:rsidR="00E9626D" w:rsidRPr="00832CE1" w:rsidRDefault="00E9626D" w:rsidP="0083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b/>
          <w:sz w:val="28"/>
          <w:szCs w:val="28"/>
          <w:lang w:val="ru-RU"/>
        </w:rPr>
        <w:t>кредитных организаций</w:t>
      </w:r>
      <w:r w:rsidR="00B74A93" w:rsidRPr="00290C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14:paraId="4A36FC49" w14:textId="01321BBE" w:rsidR="00832CE1" w:rsidRPr="005F5D56" w:rsidRDefault="005F5D56" w:rsidP="005F5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val="ru-RU"/>
        </w:rPr>
      </w:pPr>
      <w:proofErr w:type="gramStart"/>
      <w:r w:rsidRPr="005F5D56">
        <w:rPr>
          <w:rFonts w:ascii="Times New Roman" w:hAnsi="Times New Roman" w:cs="Times New Roman"/>
          <w:sz w:val="26"/>
          <w:szCs w:val="28"/>
          <w:lang w:val="ru-RU"/>
        </w:rPr>
        <w:t>(одобрены Рабочим органом Совета по аудиторской деятельности 6 февраля 2018 г., протокол № 76)</w:t>
      </w:r>
      <w:proofErr w:type="gramEnd"/>
    </w:p>
    <w:p w14:paraId="177005F0" w14:textId="77777777" w:rsidR="00036BA9" w:rsidRDefault="00036BA9" w:rsidP="0083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8372DF" w14:textId="77777777" w:rsidR="00B74A93" w:rsidRDefault="00E9626D" w:rsidP="0083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</w:t>
      </w:r>
      <w:r w:rsidR="00B74A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етодические рекомендации разработаны на основе </w:t>
      </w:r>
      <w:r w:rsidR="00B74A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еждународных стандартов аудита (МСА) и </w:t>
      </w:r>
      <w:r w:rsidR="00B74A93">
        <w:rPr>
          <w:rFonts w:ascii="Times New Roman" w:hAnsi="Times New Roman" w:cs="Times New Roman"/>
          <w:sz w:val="28"/>
          <w:szCs w:val="28"/>
          <w:lang w:val="ru-RU"/>
        </w:rPr>
        <w:t xml:space="preserve">содержат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особенности применени</w:t>
      </w:r>
      <w:r w:rsidR="00B74A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отдельных </w:t>
      </w:r>
      <w:r w:rsidR="00B74A93">
        <w:rPr>
          <w:rFonts w:ascii="Times New Roman" w:hAnsi="Times New Roman" w:cs="Times New Roman"/>
          <w:sz w:val="28"/>
          <w:szCs w:val="28"/>
          <w:lang w:val="ru-RU"/>
        </w:rPr>
        <w:t>положений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МСА при аудите </w:t>
      </w:r>
      <w:r w:rsidR="00B74A93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B74A9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</w:t>
      </w:r>
      <w:r w:rsidR="00B74A93">
        <w:rPr>
          <w:rStyle w:val="a7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кредитных организаций. </w:t>
      </w:r>
    </w:p>
    <w:p w14:paraId="4214FA2C" w14:textId="04AEC51E" w:rsidR="00E9626D" w:rsidRPr="00832CE1" w:rsidRDefault="00E9626D" w:rsidP="0083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методические рекомендации не заменяют МСА. Перечень вопросов/процедур, </w:t>
      </w:r>
      <w:r w:rsidR="00B74A93">
        <w:rPr>
          <w:rFonts w:ascii="Times New Roman" w:hAnsi="Times New Roman" w:cs="Times New Roman"/>
          <w:sz w:val="28"/>
          <w:szCs w:val="28"/>
          <w:lang w:val="ru-RU"/>
        </w:rPr>
        <w:t>описанных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 настоящих </w:t>
      </w:r>
      <w:r w:rsidR="00B74A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етодических рекомендациях</w:t>
      </w:r>
      <w:r w:rsidR="00B74A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не является </w:t>
      </w:r>
      <w:r w:rsidR="00B74A93">
        <w:rPr>
          <w:rFonts w:ascii="Times New Roman" w:hAnsi="Times New Roman" w:cs="Times New Roman"/>
          <w:sz w:val="28"/>
          <w:szCs w:val="28"/>
          <w:lang w:val="ru-RU"/>
        </w:rPr>
        <w:t xml:space="preserve">исчерпывающим и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обязательным. Выбор процедур</w:t>
      </w:r>
      <w:r w:rsidR="009C7AD8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, включая оценку рисков существенного искажения 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9C7AD8"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C7AD8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 вследствие недобросовестных действий или ошибок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аудиторской организации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профессионального суждения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. Если аудиторская организация в рамках конкретного аудиторского задания обоснованно решает не выполнять какие-либо процедуры, 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описанные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 настоящих 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етодических рекомендациях, сам по себе 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данный факт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gramStart"/>
      <w:r w:rsidR="009C7AD8">
        <w:rPr>
          <w:rFonts w:ascii="Times New Roman" w:hAnsi="Times New Roman" w:cs="Times New Roman"/>
          <w:sz w:val="28"/>
          <w:szCs w:val="28"/>
          <w:lang w:val="ru-RU"/>
        </w:rPr>
        <w:t xml:space="preserve">может и не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долж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ен</w:t>
      </w:r>
      <w:proofErr w:type="gram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рассматриваться как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недостат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проведенного аудита.</w:t>
      </w:r>
    </w:p>
    <w:p w14:paraId="39CE433A" w14:textId="32CEF5CD" w:rsidR="00E9626D" w:rsidRPr="00832CE1" w:rsidRDefault="00E9626D" w:rsidP="0083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Руководство </w:t>
      </w:r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кредитной организации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несет ответственность за подготовку и достоверное представление 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 в соответствии с требованиями применимой концепции подготовки 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такой</w:t>
      </w:r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, и за систему внутреннего контроля, которую руководство считает необходимой для подготовки 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отчетности, не содержащей существенных искажений вследствие недобросовестных действий или ошибок.</w:t>
      </w:r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ель аудиторской организации состоит в получении разумной, но не абсолютной уверенности в том, что 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бухгалтерская (</w:t>
      </w:r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>финансовая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отчетность не содержит существенных искажений вследствие недобросовестных действий или ошибок, и в составлен</w:t>
      </w:r>
      <w:proofErr w:type="gramStart"/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>диторского заключения, содержащего мнение аудиторской организации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 xml:space="preserve"> о достоверности данной отчетности</w:t>
      </w:r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. В силу неотъемлемых ограничений аудита существует неизбежный риск того, что некоторые существенные искажения 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 не удастся обнаружить, даже если аудит должным образом </w:t>
      </w:r>
      <w:proofErr w:type="gramStart"/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>спланирован и проводится</w:t>
      </w:r>
      <w:proofErr w:type="gramEnd"/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МСА. Аудиторская организация получает понимание </w:t>
      </w:r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системы внутреннего контроля, имеющей значение для аудита, с целью разработки аудиторских процедур, соответствующих обстоятельствам, но не с целью выражения мнения об эффективности системы внутреннего контроля </w:t>
      </w:r>
      <w:proofErr w:type="spellStart"/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E258A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организации.</w:t>
      </w:r>
    </w:p>
    <w:p w14:paraId="38F5C85C" w14:textId="5426A14E" w:rsidR="007E6B52" w:rsidRPr="00832CE1" w:rsidRDefault="00E258A7" w:rsidP="0083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При подготовке </w:t>
      </w:r>
      <w:r w:rsidR="00713459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71345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 руководство кредитной организации несет ответственность за оценку способности кредитной организации продолжать непрерывно свою деятельность, за раскрытие в соответствующих случаях сведений, относящихся к непрерывности деятельности, и за составление отчетности на основе допущения  непрерывности деятельности 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за исключением случае</w:t>
      </w:r>
      <w:bookmarkStart w:id="0" w:name="_GoBack"/>
      <w:bookmarkEnd w:id="0"/>
      <w:r w:rsidRPr="00832CE1">
        <w:rPr>
          <w:rFonts w:ascii="Times New Roman" w:hAnsi="Times New Roman" w:cs="Times New Roman"/>
          <w:sz w:val="28"/>
          <w:szCs w:val="28"/>
          <w:lang w:val="ru-RU"/>
        </w:rPr>
        <w:t>в, когда руководство намеревается ликвидировать кредитную организацию, прекратить ее деятельность или когда у него отсутствует какая-либо иная реальная альтернатива, кроме</w:t>
      </w:r>
      <w:proofErr w:type="gram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ликвидации или прекращения деятельности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В свою очередь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аудиторская организация </w:t>
      </w:r>
      <w:r w:rsidR="007E6B52" w:rsidRPr="00832CE1">
        <w:rPr>
          <w:rFonts w:ascii="Times New Roman" w:hAnsi="Times New Roman" w:cs="Times New Roman"/>
          <w:sz w:val="28"/>
          <w:szCs w:val="28"/>
          <w:lang w:val="ru-RU"/>
        </w:rPr>
        <w:t>дела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7E6B52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вывод о правомерности применения руководством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организации </w:t>
      </w:r>
      <w:r w:rsidR="007E6B52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допущения о непрерывности деятельности, а на основании полученных аудиторских доказательств – вывод о том, имеется ли существенная неопределенность в связи с событиями или условиями, в результате которых могут возникнуть значительные сомнения в способности </w:t>
      </w:r>
      <w:proofErr w:type="spellStart"/>
      <w:r w:rsidR="007E6B52" w:rsidRPr="00832CE1">
        <w:rPr>
          <w:rFonts w:ascii="Times New Roman" w:hAnsi="Times New Roman" w:cs="Times New Roman"/>
          <w:sz w:val="28"/>
          <w:szCs w:val="28"/>
          <w:lang w:val="ru-RU"/>
        </w:rPr>
        <w:t>аудиру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емой</w:t>
      </w:r>
      <w:proofErr w:type="spell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организации </w:t>
      </w:r>
      <w:r w:rsidR="007E6B52" w:rsidRPr="00832CE1">
        <w:rPr>
          <w:rFonts w:ascii="Times New Roman" w:hAnsi="Times New Roman" w:cs="Times New Roman"/>
          <w:sz w:val="28"/>
          <w:szCs w:val="28"/>
          <w:lang w:val="ru-RU"/>
        </w:rPr>
        <w:t>продолжать непрерывно свою деятельность.</w:t>
      </w:r>
      <w:proofErr w:type="gramEnd"/>
    </w:p>
    <w:p w14:paraId="4814456B" w14:textId="41FA9B90" w:rsidR="00E9626D" w:rsidRPr="00832CE1" w:rsidRDefault="00E9626D" w:rsidP="0083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етодические рекомендации 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описывают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особенности аудита 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 кредитной организации на каждой из основных стадий аудиторского задания, а именно: </w:t>
      </w:r>
    </w:p>
    <w:p w14:paraId="4CB7E519" w14:textId="1CD3653F" w:rsidR="00E9626D" w:rsidRPr="00832CE1" w:rsidRDefault="00E9626D" w:rsidP="0083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- получение понимания </w:t>
      </w:r>
      <w:proofErr w:type="spell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2D22">
        <w:rPr>
          <w:rFonts w:ascii="Times New Roman" w:hAnsi="Times New Roman" w:cs="Times New Roman"/>
          <w:sz w:val="28"/>
          <w:szCs w:val="28"/>
          <w:lang w:val="ru-RU"/>
        </w:rPr>
        <w:t xml:space="preserve">кредитной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и ее окружения, включая 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систему внутреннего контроля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5DCD802" w14:textId="7B42AA27" w:rsidR="00E9626D" w:rsidRPr="00832CE1" w:rsidRDefault="00E9626D" w:rsidP="0083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- тестирование средств контроля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4579C18" w14:textId="47869739" w:rsidR="00E9626D" w:rsidRPr="00832CE1" w:rsidRDefault="00E9626D" w:rsidP="0083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- выполнение процедур проверки по существу</w:t>
      </w:r>
      <w:r w:rsidR="009C7AD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0B58945" w14:textId="0992EEFD" w:rsidR="008623CF" w:rsidRDefault="00E9626D" w:rsidP="00862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- выполнение процедур на завершающей стадии выполнения </w:t>
      </w:r>
      <w:r w:rsidR="0067341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аудиторского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задания</w:t>
      </w:r>
      <w:r w:rsidR="0067341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, формирование мнения </w:t>
      </w:r>
      <w:r w:rsidR="0041528A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41528A">
        <w:rPr>
          <w:rFonts w:ascii="Times New Roman" w:hAnsi="Times New Roman" w:cs="Times New Roman"/>
          <w:sz w:val="28"/>
          <w:szCs w:val="28"/>
          <w:lang w:val="ru-RU"/>
        </w:rPr>
        <w:t>достоверности бухгалтерской (</w:t>
      </w:r>
      <w:r w:rsidR="0041528A"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41528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1528A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 </w:t>
      </w:r>
      <w:r w:rsidR="0067341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942D22">
        <w:rPr>
          <w:rFonts w:ascii="Times New Roman" w:hAnsi="Times New Roman" w:cs="Times New Roman"/>
          <w:sz w:val="28"/>
          <w:szCs w:val="28"/>
          <w:lang w:val="ru-RU"/>
        </w:rPr>
        <w:t>аудиторского</w:t>
      </w:r>
      <w:r w:rsidR="0067341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заключения</w:t>
      </w:r>
      <w:r w:rsidR="00C0083C">
        <w:rPr>
          <w:rFonts w:ascii="Times New Roman" w:hAnsi="Times New Roman" w:cs="Times New Roman"/>
          <w:sz w:val="28"/>
          <w:szCs w:val="28"/>
          <w:lang w:val="ru-RU"/>
        </w:rPr>
        <w:t xml:space="preserve"> по ней</w:t>
      </w:r>
      <w:r w:rsidR="00942D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A8D41C" w14:textId="77777777" w:rsidR="008623CF" w:rsidRDefault="008623CF" w:rsidP="00862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CC7355" w14:textId="74DFDA74" w:rsidR="00E9626D" w:rsidRPr="009E43C4" w:rsidRDefault="008623CF" w:rsidP="009E43C4">
      <w:pPr>
        <w:pStyle w:val="1"/>
      </w:pPr>
      <w:r w:rsidRPr="009E43C4">
        <w:t>П</w:t>
      </w:r>
      <w:r w:rsidR="00E9626D" w:rsidRPr="009E43C4">
        <w:t>онимани</w:t>
      </w:r>
      <w:r w:rsidRPr="009E43C4">
        <w:t>е</w:t>
      </w:r>
      <w:r w:rsidR="00E9626D" w:rsidRPr="009E43C4">
        <w:t xml:space="preserve"> </w:t>
      </w:r>
      <w:proofErr w:type="spellStart"/>
      <w:r w:rsidR="00E9626D" w:rsidRPr="009E43C4">
        <w:t>аудируемой</w:t>
      </w:r>
      <w:proofErr w:type="spellEnd"/>
      <w:r w:rsidR="00E9626D" w:rsidRPr="009E43C4">
        <w:t xml:space="preserve"> </w:t>
      </w:r>
      <w:r w:rsidR="00942D22" w:rsidRPr="009E43C4">
        <w:t xml:space="preserve">кредитной </w:t>
      </w:r>
      <w:r w:rsidR="00E9626D" w:rsidRPr="009E43C4">
        <w:t>организации и ее окружения</w:t>
      </w:r>
    </w:p>
    <w:p w14:paraId="62E4F11E" w14:textId="77777777" w:rsidR="008623CF" w:rsidRDefault="008623CF" w:rsidP="00832CE1">
      <w:pPr>
        <w:pStyle w:val="a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7145BE" w14:textId="64E706F2" w:rsidR="00E9626D" w:rsidRDefault="008623CF" w:rsidP="008623CF">
      <w:pPr>
        <w:pStyle w:val="a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чтобы получить понимание </w:t>
      </w:r>
      <w:proofErr w:type="spellStart"/>
      <w:r w:rsidR="009E43C4"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9E43C4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3C4">
        <w:rPr>
          <w:rFonts w:ascii="Times New Roman" w:hAnsi="Times New Roman" w:cs="Times New Roman"/>
          <w:sz w:val="28"/>
          <w:szCs w:val="28"/>
          <w:lang w:val="ru-RU"/>
        </w:rPr>
        <w:t xml:space="preserve">кредитной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и ее окружения, включая </w:t>
      </w:r>
      <w:r w:rsidR="00942D22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="00942D22" w:rsidRPr="00832CE1">
        <w:rPr>
          <w:rFonts w:ascii="Times New Roman" w:hAnsi="Times New Roman" w:cs="Times New Roman"/>
          <w:sz w:val="28"/>
          <w:szCs w:val="28"/>
          <w:lang w:val="ru-RU"/>
        </w:rPr>
        <w:t>систему внутреннего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A40C03" w:rsidRPr="00832CE1">
        <w:rPr>
          <w:rFonts w:ascii="Times New Roman" w:hAnsi="Times New Roman" w:cs="Times New Roman"/>
          <w:sz w:val="28"/>
          <w:szCs w:val="28"/>
          <w:lang w:val="ru-RU"/>
        </w:rPr>
        <w:t>удиторск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A40C0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40C0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целесообразно</w:t>
      </w:r>
      <w:r w:rsidR="00A40C0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выполнить следующие процедуры:</w:t>
      </w:r>
    </w:p>
    <w:p w14:paraId="5479E0A4" w14:textId="15DBC389" w:rsidR="008623CF" w:rsidRDefault="008623CF" w:rsidP="008623CF">
      <w:pPr>
        <w:pStyle w:val="a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получить и проанализировать</w:t>
      </w:r>
      <w:proofErr w:type="gram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акты проверок Банка России, налоговых и иных регулирующих</w:t>
      </w:r>
      <w:r>
        <w:rPr>
          <w:rFonts w:ascii="Times New Roman" w:hAnsi="Times New Roman" w:cs="Times New Roman"/>
          <w:sz w:val="28"/>
          <w:szCs w:val="28"/>
          <w:lang w:val="ru-RU"/>
        </w:rPr>
        <w:t>, контрольных, надзорных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органов, а также выпущенные по результатам проверок предписания;</w:t>
      </w:r>
    </w:p>
    <w:p w14:paraId="02EDCEB1" w14:textId="61EECF78" w:rsidR="008623CF" w:rsidRDefault="008623CF" w:rsidP="008623CF">
      <w:pPr>
        <w:pStyle w:val="a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получить и проанализировать</w:t>
      </w:r>
      <w:proofErr w:type="gram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акты проверок службы внутреннего аудита кредитной организации;</w:t>
      </w:r>
    </w:p>
    <w:p w14:paraId="219A1267" w14:textId="1EBA0A53" w:rsidR="008623CF" w:rsidRDefault="008623CF" w:rsidP="008623CF">
      <w:pPr>
        <w:pStyle w:val="a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получить и проанализировать</w:t>
      </w:r>
      <w:proofErr w:type="gram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структуру группы, в которую входит кредитная организация, а также список связанных сторон;</w:t>
      </w:r>
    </w:p>
    <w:p w14:paraId="622ADFA0" w14:textId="7FCD2DF9" w:rsidR="008623CF" w:rsidRDefault="008623CF" w:rsidP="008623CF">
      <w:pPr>
        <w:pStyle w:val="a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проанализировать структуру бухгалтерского баланса</w:t>
      </w:r>
      <w:r w:rsidR="00942D2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отчета о финансовом положении и отчета о финансовых результатах</w:t>
      </w:r>
      <w:r w:rsidR="00942D2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отчета о прибыли или убытке и прочем совокупном доходе </w:t>
      </w:r>
      <w:proofErr w:type="spellStart"/>
      <w:r w:rsidR="00942D22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942D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кредитной организации. При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этом целесообразно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обратить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особое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внимание на наличие:</w:t>
      </w:r>
    </w:p>
    <w:p w14:paraId="50589A90" w14:textId="7598E0DC" w:rsidR="008623CF" w:rsidRDefault="008623CF" w:rsidP="008623CF">
      <w:pPr>
        <w:pStyle w:val="a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значительных объемов </w:t>
      </w:r>
      <w:r w:rsidR="00F56B46">
        <w:rPr>
          <w:rFonts w:ascii="Times New Roman" w:hAnsi="Times New Roman" w:cs="Times New Roman"/>
          <w:sz w:val="28"/>
          <w:szCs w:val="28"/>
          <w:lang w:val="ru-RU"/>
        </w:rPr>
        <w:t xml:space="preserve">и/или значительного роста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кредитов, выданных физическим лицам и юридическим лицам, не являющимся кредитными организациями;</w:t>
      </w:r>
    </w:p>
    <w:p w14:paraId="53591C9B" w14:textId="377F9EDB" w:rsidR="008623CF" w:rsidRDefault="008623CF" w:rsidP="008623CF">
      <w:pPr>
        <w:pStyle w:val="a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значительных объемов </w:t>
      </w:r>
      <w:r w:rsidR="00F56B46">
        <w:rPr>
          <w:rFonts w:ascii="Times New Roman" w:hAnsi="Times New Roman" w:cs="Times New Roman"/>
          <w:sz w:val="28"/>
          <w:szCs w:val="28"/>
          <w:lang w:val="ru-RU"/>
        </w:rPr>
        <w:t xml:space="preserve">и/или значительного роста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текущих счетов и депозитов физических лиц;</w:t>
      </w:r>
    </w:p>
    <w:p w14:paraId="6AA3EB24" w14:textId="1D3DB957" w:rsidR="008623CF" w:rsidRDefault="008623CF" w:rsidP="008623CF">
      <w:pPr>
        <w:pStyle w:val="a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выпущенных долговых или долевых ценных бумаг, включенных в котировальный список;</w:t>
      </w:r>
    </w:p>
    <w:p w14:paraId="63FBFDC5" w14:textId="725CE434" w:rsidR="008623CF" w:rsidRDefault="008623CF" w:rsidP="008623CF">
      <w:pPr>
        <w:pStyle w:val="a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4.4)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значительных по объему небанковских операций (активов и обязательств и/или доходов и расходов), например, вложений в движимое или недвижимое имущество, полученное в результате взыскания задолженности;</w:t>
      </w:r>
    </w:p>
    <w:p w14:paraId="70ABA3F6" w14:textId="497DCD48" w:rsidR="008623CF" w:rsidRDefault="008623CF" w:rsidP="008623CF">
      <w:pPr>
        <w:pStyle w:val="a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4.5)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значительных по объему инвестиций в </w:t>
      </w:r>
      <w:proofErr w:type="spell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некотируемые</w:t>
      </w:r>
      <w:proofErr w:type="spell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долевые ценные бумаги, включая паи паевых инвестиционных фондов;</w:t>
      </w:r>
    </w:p>
    <w:p w14:paraId="7A392B87" w14:textId="359E2ED2" w:rsidR="008623CF" w:rsidRDefault="008623CF" w:rsidP="008623CF">
      <w:pPr>
        <w:pStyle w:val="a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4.6)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значительных по объему нестандартных и/или </w:t>
      </w:r>
      <w:proofErr w:type="spellStart"/>
      <w:r w:rsidRPr="00832CE1">
        <w:rPr>
          <w:rFonts w:ascii="Times New Roman" w:hAnsi="Times New Roman" w:cs="Times New Roman"/>
          <w:sz w:val="28"/>
          <w:szCs w:val="28"/>
          <w:lang w:val="ru-RU"/>
        </w:rPr>
        <w:t>сложноструктурированных</w:t>
      </w:r>
      <w:proofErr w:type="spell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операций;</w:t>
      </w:r>
    </w:p>
    <w:p w14:paraId="1076FB65" w14:textId="704D322F" w:rsidR="008623CF" w:rsidRDefault="008623CF" w:rsidP="008623CF">
      <w:pPr>
        <w:pStyle w:val="a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4.7)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значительных изменений в структуре активов и обязательств и/или доходов и расходов по сравнению с предыдущим отчетным периодом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76B0936" w14:textId="7D699593" w:rsidR="008623CF" w:rsidRDefault="008623CF" w:rsidP="008623CF">
      <w:pPr>
        <w:pStyle w:val="a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проанализировать значения обязательных нормативов </w:t>
      </w:r>
      <w:proofErr w:type="spellStart"/>
      <w:r w:rsidR="00942D22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942D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кредитной организации в течение отчетного периода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ABC71F" w14:textId="77777777" w:rsidR="008623CF" w:rsidRDefault="008623CF" w:rsidP="008623CF">
      <w:pPr>
        <w:pStyle w:val="a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E2F15E" w14:textId="68F86035" w:rsidR="00E9626D" w:rsidRPr="008623CF" w:rsidRDefault="00E9626D" w:rsidP="00713459">
      <w:pPr>
        <w:pStyle w:val="1"/>
      </w:pPr>
      <w:r w:rsidRPr="008623CF">
        <w:t>Тестирование средств контроля</w:t>
      </w:r>
    </w:p>
    <w:p w14:paraId="1B8FCBEA" w14:textId="77777777" w:rsidR="008623CF" w:rsidRDefault="008623CF" w:rsidP="00832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40E96D" w14:textId="77777777" w:rsidR="00B5442D" w:rsidRDefault="00E9626D" w:rsidP="008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оценки рисков аудиторская </w:t>
      </w:r>
      <w:r w:rsidR="0067341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получает понимание системы внутреннего контроля, имеющей значение для аудита, с целью разработки аудиторских процедур, соответствующих обстоятельствам, но не с целью выражения мнения об эффективности системы внутреннего контроля </w:t>
      </w:r>
      <w:proofErr w:type="spell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организации. МСА не </w:t>
      </w:r>
      <w:r w:rsidR="00B5442D">
        <w:rPr>
          <w:rFonts w:ascii="Times New Roman" w:hAnsi="Times New Roman" w:cs="Times New Roman"/>
          <w:sz w:val="28"/>
          <w:szCs w:val="28"/>
          <w:lang w:val="ru-RU"/>
        </w:rPr>
        <w:t>требуют, чтобы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аудиторск</w:t>
      </w:r>
      <w:r w:rsidR="00B5442D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B5442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проводи</w:t>
      </w:r>
      <w:r w:rsidR="00B5442D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тестирование операционной эффективности средств контроля. Тестирование операционной эффективности средств контроля проводится аудиторской организацией, если</w:t>
      </w:r>
      <w:r w:rsidR="00B5442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0821F83" w14:textId="0D154580" w:rsidR="00B5442D" w:rsidRDefault="003355C0" w:rsidP="008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) оценка ею рисков существенного искажения на уровне предпосылок включает ожидание того, что средства контроля эффективны (т.е. аудиторская организация намерена полагаться на операционную эффективность средств контроля при определении характера, сроков и объема процедур проверки по существу); или </w:t>
      </w:r>
    </w:p>
    <w:p w14:paraId="30526F34" w14:textId="0417FE38" w:rsidR="00E9626D" w:rsidRDefault="003355C0" w:rsidP="008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) одни лишь процедуры проверки по существу не в состоянии обеспечить получение достаточных надлежащих аудиторских доказательств на уровне предпосылок. Тестирование операционной эффективности средств контроля, как 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правило, проводится аудиторской организацией с учетом уровня существенности соответствующих операций, для следующих областей: </w:t>
      </w:r>
    </w:p>
    <w:p w14:paraId="56564995" w14:textId="7E809A78" w:rsidR="00B5442D" w:rsidRDefault="003355C0" w:rsidP="008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5442D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B5442D" w:rsidRPr="00832CE1">
        <w:rPr>
          <w:rFonts w:ascii="Times New Roman" w:hAnsi="Times New Roman" w:cs="Times New Roman"/>
          <w:sz w:val="28"/>
          <w:szCs w:val="28"/>
          <w:lang w:val="ru-RU"/>
        </w:rPr>
        <w:t>кредиты, выданные физическим и юридическим лицам, не являющимся кредитными организациями;</w:t>
      </w:r>
    </w:p>
    <w:p w14:paraId="51CFA173" w14:textId="26B2DF1D" w:rsidR="00B5442D" w:rsidRDefault="003355C0" w:rsidP="008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5442D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B5442D" w:rsidRPr="00832CE1">
        <w:rPr>
          <w:rFonts w:ascii="Times New Roman" w:hAnsi="Times New Roman" w:cs="Times New Roman"/>
          <w:sz w:val="28"/>
          <w:szCs w:val="28"/>
          <w:lang w:val="ru-RU"/>
        </w:rPr>
        <w:t>текущие счета и депозиты физических и юридических лиц, не являющихся кредитными организациями;</w:t>
      </w:r>
    </w:p>
    <w:p w14:paraId="2678E629" w14:textId="37261634" w:rsidR="00B5442D" w:rsidRDefault="003355C0" w:rsidP="008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5442D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B5442D" w:rsidRPr="00832CE1">
        <w:rPr>
          <w:rFonts w:ascii="Times New Roman" w:hAnsi="Times New Roman" w:cs="Times New Roman"/>
          <w:sz w:val="28"/>
          <w:szCs w:val="28"/>
          <w:lang w:val="ru-RU"/>
        </w:rPr>
        <w:t>межбанковские операции по привлечению и размещению денежных средств;</w:t>
      </w:r>
    </w:p>
    <w:p w14:paraId="00C4A9AE" w14:textId="4B2EAB59" w:rsidR="00B5442D" w:rsidRDefault="003355C0" w:rsidP="008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5442D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B5442D" w:rsidRPr="00832CE1">
        <w:rPr>
          <w:rFonts w:ascii="Times New Roman" w:hAnsi="Times New Roman" w:cs="Times New Roman"/>
          <w:sz w:val="28"/>
          <w:szCs w:val="28"/>
          <w:lang w:val="ru-RU"/>
        </w:rPr>
        <w:t>доходы и расходы от операций с ценными бумагами, драгоценными металлами, иностранной валютой;</w:t>
      </w:r>
    </w:p>
    <w:p w14:paraId="57911999" w14:textId="587042BB" w:rsidR="00B5442D" w:rsidRDefault="003355C0" w:rsidP="008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5442D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B5442D" w:rsidRPr="00832CE1">
        <w:rPr>
          <w:rFonts w:ascii="Times New Roman" w:hAnsi="Times New Roman" w:cs="Times New Roman"/>
          <w:sz w:val="28"/>
          <w:szCs w:val="28"/>
          <w:lang w:val="ru-RU"/>
        </w:rPr>
        <w:t>прочие операции кредитных организаций (например, комиссионные доходы и т.п.).</w:t>
      </w:r>
    </w:p>
    <w:p w14:paraId="2571A833" w14:textId="77777777" w:rsidR="00B5442D" w:rsidRDefault="00B5442D" w:rsidP="00463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DF5B087" w14:textId="77777777" w:rsidR="00E9626D" w:rsidRPr="004637C4" w:rsidRDefault="00E9626D" w:rsidP="00713459">
      <w:pPr>
        <w:pStyle w:val="1"/>
      </w:pPr>
      <w:r w:rsidRPr="004637C4">
        <w:t>Выполнение процедур проверки по существу</w:t>
      </w:r>
    </w:p>
    <w:p w14:paraId="4F8FBE5A" w14:textId="77777777" w:rsidR="004637C4" w:rsidRDefault="004637C4" w:rsidP="0083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82374F" w14:textId="406F8CD0" w:rsidR="00E9626D" w:rsidRDefault="00E9626D" w:rsidP="004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Характер, сроки и объем аудиторских процедур определяется с учетом и в ответ на оцененные риски существенного искажения на уровне предпосылок подготовки </w:t>
      </w:r>
      <w:r w:rsidR="00942D22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942D2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отчетности. Как правило, областями наиболее высокого риска в кредитных организациях являются </w:t>
      </w: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proofErr w:type="gramEnd"/>
      <w:r w:rsidRPr="00832C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8865411" w14:textId="5B1822F6" w:rsidR="004637C4" w:rsidRDefault="004637C4" w:rsidP="004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соблюдение обязательных нормативов, установленных Банком России, а также наличие вложений кредитной организации в источники собственных средств (капитала);</w:t>
      </w:r>
    </w:p>
    <w:p w14:paraId="4802249D" w14:textId="00183655" w:rsidR="004637C4" w:rsidRPr="004637C4" w:rsidRDefault="004637C4" w:rsidP="004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4637C4">
        <w:rPr>
          <w:rFonts w:ascii="Times New Roman" w:hAnsi="Times New Roman" w:cs="Times New Roman"/>
          <w:sz w:val="28"/>
          <w:szCs w:val="28"/>
          <w:lang w:val="ru-RU"/>
        </w:rPr>
        <w:t>соблюдение законодательных требований в области противодействия легализации (отмыванию) доходов, полученных преступным путем, и финансированию терроризма (далее – «ПОД/ФТ»);</w:t>
      </w:r>
    </w:p>
    <w:p w14:paraId="15436E6F" w14:textId="411B8CD6" w:rsidR="004637C4" w:rsidRDefault="004637C4" w:rsidP="004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соблюдение требований к оценке активов;</w:t>
      </w:r>
    </w:p>
    <w:p w14:paraId="58F6D032" w14:textId="175B4BA8" w:rsidR="004637C4" w:rsidRDefault="004637C4" w:rsidP="004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применимых нормативных актов в отношении полноты отражения обязательств, резервов – оценочных обязательства </w:t>
      </w:r>
      <w:proofErr w:type="spell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некредитного</w:t>
      </w:r>
      <w:proofErr w:type="spell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характера, условных обязатель</w:t>
      </w: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t>ств кр</w:t>
      </w:r>
      <w:proofErr w:type="gramEnd"/>
      <w:r w:rsidRPr="00832CE1">
        <w:rPr>
          <w:rFonts w:ascii="Times New Roman" w:hAnsi="Times New Roman" w:cs="Times New Roman"/>
          <w:sz w:val="28"/>
          <w:szCs w:val="28"/>
          <w:lang w:val="ru-RU"/>
        </w:rPr>
        <w:t>едитного характера;</w:t>
      </w:r>
    </w:p>
    <w:p w14:paraId="769A342F" w14:textId="1DAF318D" w:rsidR="004637C4" w:rsidRDefault="004637C4" w:rsidP="004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применимых нормативных актов в отношении отражения в бухгалтерском учете и 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 нестандартных, </w:t>
      </w:r>
      <w:proofErr w:type="spellStart"/>
      <w:r w:rsidRPr="00832CE1">
        <w:rPr>
          <w:rFonts w:ascii="Times New Roman" w:hAnsi="Times New Roman" w:cs="Times New Roman"/>
          <w:sz w:val="28"/>
          <w:szCs w:val="28"/>
          <w:lang w:val="ru-RU"/>
        </w:rPr>
        <w:t>сложноструктурированных</w:t>
      </w:r>
      <w:proofErr w:type="spell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операций, а также операций, приводящих к значимому эффекту на финансовый результат кредитной организации;</w:t>
      </w:r>
    </w:p>
    <w:p w14:paraId="43743029" w14:textId="2888D5D1" w:rsidR="004637C4" w:rsidRDefault="004637C4" w:rsidP="004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применение принципа непрерывности деятельности, используемого в бухгалтерском учете, при 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составлении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отчетности, а также наличие существенной неопределенности в связи с событиями или условиями, которые могут вызвать значительные сомнения в способности кредитной организации продолжать непрерывно деятельность;</w:t>
      </w:r>
    </w:p>
    <w:p w14:paraId="0BC372DC" w14:textId="5E46EE7C" w:rsidR="004637C4" w:rsidRDefault="004637C4" w:rsidP="004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 xml:space="preserve">применимых нормативных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актов в отношении полноты раскрытия информации в 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отчетности.</w:t>
      </w:r>
    </w:p>
    <w:p w14:paraId="1D2601AE" w14:textId="0545E35E" w:rsidR="00E9626D" w:rsidRDefault="00E9626D" w:rsidP="004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Примерный перечень аудиторских процедур в соответствующих областях пр</w:t>
      </w:r>
      <w:r w:rsidR="001E7E97">
        <w:rPr>
          <w:rFonts w:ascii="Times New Roman" w:hAnsi="Times New Roman" w:cs="Times New Roman"/>
          <w:sz w:val="28"/>
          <w:szCs w:val="28"/>
          <w:lang w:val="ru-RU"/>
        </w:rPr>
        <w:t>иведен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1E7E9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риложении к настоящ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им Методическим рекомендациям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5173B6" w14:textId="54A5D671" w:rsidR="00FA7EAF" w:rsidRPr="00FA7EAF" w:rsidRDefault="00104FB7" w:rsidP="00FA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83C">
        <w:rPr>
          <w:rFonts w:ascii="Times New Roman" w:hAnsi="Times New Roman" w:cs="Times New Roman"/>
          <w:sz w:val="28"/>
          <w:szCs w:val="28"/>
          <w:lang w:val="ru-RU"/>
        </w:rPr>
        <w:t xml:space="preserve">Аудиторское заключение о годовой бухгалтерской (финансовой) отчетности кредитной организации должно включать результаты проверки аудиторской организацией вопросов, предусмотренных </w:t>
      </w:r>
      <w:r w:rsidR="00FA7EAF" w:rsidRPr="00104FB7">
        <w:rPr>
          <w:rFonts w:ascii="Times New Roman" w:hAnsi="Times New Roman" w:cs="Times New Roman"/>
          <w:sz w:val="28"/>
          <w:szCs w:val="28"/>
          <w:lang w:val="ru-RU"/>
        </w:rPr>
        <w:t>статьей 42 Федерального закона «О банках и банковской деятельности»</w:t>
      </w:r>
      <w:r w:rsidRPr="00C008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A7EAF" w:rsidRPr="00104F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083C">
        <w:rPr>
          <w:rFonts w:ascii="Times New Roman" w:hAnsi="Times New Roman" w:cs="Times New Roman"/>
          <w:sz w:val="28"/>
          <w:szCs w:val="28"/>
          <w:lang w:val="ru-RU"/>
        </w:rPr>
        <w:t xml:space="preserve">Для целей </w:t>
      </w:r>
      <w:r w:rsidR="00C0083C">
        <w:rPr>
          <w:rFonts w:ascii="Times New Roman" w:hAnsi="Times New Roman" w:cs="Times New Roman"/>
          <w:sz w:val="28"/>
          <w:szCs w:val="28"/>
          <w:lang w:val="ru-RU"/>
        </w:rPr>
        <w:t>такой</w:t>
      </w:r>
      <w:r w:rsidR="00C0083C" w:rsidRPr="00C008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083C">
        <w:rPr>
          <w:rFonts w:ascii="Times New Roman" w:hAnsi="Times New Roman" w:cs="Times New Roman"/>
          <w:sz w:val="28"/>
          <w:szCs w:val="28"/>
          <w:lang w:val="ru-RU"/>
        </w:rPr>
        <w:t xml:space="preserve">проверки </w:t>
      </w:r>
      <w:r w:rsidR="00FA7EAF" w:rsidRPr="00104FB7">
        <w:rPr>
          <w:rFonts w:ascii="Times New Roman" w:hAnsi="Times New Roman" w:cs="Times New Roman"/>
          <w:sz w:val="28"/>
          <w:szCs w:val="28"/>
          <w:lang w:val="ru-RU"/>
        </w:rPr>
        <w:t>аудиторская организация пров</w:t>
      </w:r>
      <w:r w:rsidR="00C0083C">
        <w:rPr>
          <w:rFonts w:ascii="Times New Roman" w:hAnsi="Times New Roman" w:cs="Times New Roman"/>
          <w:sz w:val="28"/>
          <w:szCs w:val="28"/>
          <w:lang w:val="ru-RU"/>
        </w:rPr>
        <w:t>одит</w:t>
      </w:r>
      <w:r w:rsidR="00FA7EAF" w:rsidRPr="00104FB7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дополнительные к аудиту процедуры, а также надлежаще документир</w:t>
      </w:r>
      <w:r w:rsidR="00C0083C">
        <w:rPr>
          <w:rFonts w:ascii="Times New Roman" w:hAnsi="Times New Roman" w:cs="Times New Roman"/>
          <w:sz w:val="28"/>
          <w:szCs w:val="28"/>
          <w:lang w:val="ru-RU"/>
        </w:rPr>
        <w:t>ует</w:t>
      </w:r>
      <w:r w:rsidR="00FA7EAF" w:rsidRPr="00104FB7">
        <w:rPr>
          <w:rFonts w:ascii="Times New Roman" w:hAnsi="Times New Roman" w:cs="Times New Roman"/>
          <w:sz w:val="28"/>
          <w:szCs w:val="28"/>
          <w:lang w:val="ru-RU"/>
        </w:rPr>
        <w:t xml:space="preserve"> их.</w:t>
      </w:r>
    </w:p>
    <w:p w14:paraId="2DD0F5B8" w14:textId="77777777" w:rsidR="00FA7EAF" w:rsidRPr="00FA7EAF" w:rsidRDefault="00FA7EAF" w:rsidP="0083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BCAD0D" w14:textId="77F33B7B" w:rsidR="00E9626D" w:rsidRDefault="00E9626D" w:rsidP="00713459">
      <w:pPr>
        <w:pStyle w:val="1"/>
      </w:pPr>
      <w:r w:rsidRPr="00FA7EAF">
        <w:t>Выполнение процедур на завершающей стадии выполнения аудиторского задания, фо</w:t>
      </w:r>
      <w:r w:rsidR="0067341D" w:rsidRPr="00FA7EAF">
        <w:t xml:space="preserve">рмирование мнения </w:t>
      </w:r>
      <w:r w:rsidR="0041528A" w:rsidRPr="00FA7EAF">
        <w:t xml:space="preserve">о </w:t>
      </w:r>
      <w:r w:rsidR="0041528A">
        <w:t>достоверности бухгалтерской (</w:t>
      </w:r>
      <w:r w:rsidR="0041528A" w:rsidRPr="00FA7EAF">
        <w:t>финансовой</w:t>
      </w:r>
      <w:r w:rsidR="0041528A">
        <w:t>)</w:t>
      </w:r>
      <w:r w:rsidR="0041528A" w:rsidRPr="00FA7EAF">
        <w:t xml:space="preserve"> отчетности </w:t>
      </w:r>
      <w:r w:rsidR="0067341D" w:rsidRPr="00FA7EAF">
        <w:t xml:space="preserve">и </w:t>
      </w:r>
      <w:r w:rsidR="008D31DB">
        <w:t xml:space="preserve">аудиторского </w:t>
      </w:r>
      <w:r w:rsidRPr="00FA7EAF">
        <w:t xml:space="preserve">заключения </w:t>
      </w:r>
      <w:r w:rsidR="00C0083C">
        <w:t>о ней</w:t>
      </w:r>
    </w:p>
    <w:p w14:paraId="69B40A0D" w14:textId="77777777" w:rsidR="00FA7EAF" w:rsidRDefault="00FA7EAF" w:rsidP="0066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47D020" w14:textId="02A06BAE" w:rsidR="00E9626D" w:rsidRPr="006613E3" w:rsidRDefault="008D31DB" w:rsidP="00AA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завершающей стадии выполнения аудиторского задания,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мнения </w:t>
      </w:r>
      <w:r w:rsidR="0041528A">
        <w:rPr>
          <w:rFonts w:ascii="Times New Roman" w:hAnsi="Times New Roman" w:cs="Times New Roman"/>
          <w:sz w:val="28"/>
          <w:szCs w:val="28"/>
          <w:lang w:val="ru-RU"/>
        </w:rPr>
        <w:t xml:space="preserve">о достоверности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и аудиторского заключения</w:t>
      </w:r>
      <w:r w:rsidR="00C0083C">
        <w:rPr>
          <w:rFonts w:ascii="Times New Roman" w:hAnsi="Times New Roman" w:cs="Times New Roman"/>
          <w:sz w:val="28"/>
          <w:szCs w:val="28"/>
          <w:lang w:val="ru-RU"/>
        </w:rPr>
        <w:t xml:space="preserve"> о ней</w:t>
      </w:r>
      <w:r w:rsidR="007558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13E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удиторская организация должна оценить, подготовлена ли </w:t>
      </w:r>
      <w:r>
        <w:rPr>
          <w:rFonts w:ascii="Times New Roman" w:hAnsi="Times New Roman" w:cs="Times New Roman"/>
          <w:sz w:val="28"/>
          <w:szCs w:val="28"/>
          <w:lang w:val="ru-RU"/>
        </w:rPr>
        <w:t>бухгалтерская (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>финансовая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отчетность во всех существенных аспектах в соответствии с требованиями применимой концепции подготовки </w:t>
      </w:r>
      <w:r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отчетности. </w:t>
      </w:r>
      <w:r>
        <w:rPr>
          <w:rFonts w:ascii="Times New Roman" w:hAnsi="Times New Roman" w:cs="Times New Roman"/>
          <w:sz w:val="28"/>
          <w:szCs w:val="28"/>
          <w:lang w:val="ru-RU"/>
        </w:rPr>
        <w:t>Оценке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, в частности, </w:t>
      </w:r>
      <w:r>
        <w:rPr>
          <w:rFonts w:ascii="Times New Roman" w:hAnsi="Times New Roman" w:cs="Times New Roman"/>
          <w:sz w:val="28"/>
          <w:szCs w:val="28"/>
          <w:lang w:val="ru-RU"/>
        </w:rPr>
        <w:t>подлежит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B080D9B" w14:textId="6D2C4E9C" w:rsidR="00E9626D" w:rsidRPr="006613E3" w:rsidRDefault="006613E3" w:rsidP="0066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является ли информация, представленная в 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отчетности, уместной, надежной, сопоставимой и понятной. При осуществлении такой оценки уч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итывается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EFEACB4" w14:textId="27805F18" w:rsidR="00E9626D" w:rsidRPr="006613E3" w:rsidRDefault="003355C0" w:rsidP="0066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6613E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включена ли информация, которая должна быть включена, а также то, надлежащим ли образом эта информация классифицирована, </w:t>
      </w:r>
      <w:proofErr w:type="gramStart"/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сгруппирована 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и представлена</w:t>
      </w:r>
      <w:proofErr w:type="gramEnd"/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B34547A" w14:textId="02CCF0C4" w:rsidR="00E9626D" w:rsidRPr="006613E3" w:rsidRDefault="003355C0" w:rsidP="0066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</w:t>
      </w:r>
      <w:r w:rsidR="006613E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искажено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 ли общее представление 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 включением информации, которая является несоответствующей или делает неочевидным надлежащее 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 раскрытых вопросов;</w:t>
      </w:r>
    </w:p>
    <w:p w14:paraId="4199930E" w14:textId="57D0A052" w:rsidR="00E9626D" w:rsidRPr="006613E3" w:rsidRDefault="006613E3" w:rsidP="0066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ли 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бухгалтерская (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>финансовая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отчетность надлежащее раскрытие информации, позвол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 xml:space="preserve">яющее 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>предполагаемым пользователям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 понять влияние существенных операций и событий на информацию, представленную в 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>фин</w:t>
      </w:r>
      <w:r>
        <w:rPr>
          <w:rFonts w:ascii="Times New Roman" w:hAnsi="Times New Roman" w:cs="Times New Roman"/>
          <w:sz w:val="28"/>
          <w:szCs w:val="28"/>
          <w:lang w:val="ru-RU"/>
        </w:rPr>
        <w:t>ансовой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отчетности.</w:t>
      </w:r>
    </w:p>
    <w:p w14:paraId="3BAB458C" w14:textId="48B549AD" w:rsidR="00E9626D" w:rsidRPr="00832CE1" w:rsidRDefault="00E9626D" w:rsidP="0066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При рассмотрении полнот</w:t>
      </w:r>
      <w:r w:rsidR="006613E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раскрытия информации в 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 кредитной организац</w:t>
      </w: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Pr="00832CE1">
        <w:rPr>
          <w:rFonts w:ascii="Times New Roman" w:hAnsi="Times New Roman" w:cs="Times New Roman"/>
          <w:sz w:val="28"/>
          <w:szCs w:val="28"/>
          <w:lang w:val="ru-RU"/>
        </w:rPr>
        <w:t>диторской организации рекомендуется:</w:t>
      </w:r>
    </w:p>
    <w:p w14:paraId="3497CDF2" w14:textId="0B3D48E7" w:rsidR="00E9626D" w:rsidRPr="006613E3" w:rsidRDefault="003355C0" w:rsidP="0066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613E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заполнить проверочный список полноты раскрытия информации в 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 в соответствии с требованиями применимой концепции подготовки 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8D31D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 или выполнить иную аналогичную процедуру; </w:t>
      </w:r>
    </w:p>
    <w:p w14:paraId="3EC49EB2" w14:textId="49227427" w:rsidR="00E9626D" w:rsidRPr="006613E3" w:rsidRDefault="003355C0" w:rsidP="0066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613E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проверить </w:t>
      </w:r>
      <w:r w:rsidR="00950D34">
        <w:rPr>
          <w:rFonts w:ascii="Times New Roman" w:hAnsi="Times New Roman" w:cs="Times New Roman"/>
          <w:sz w:val="28"/>
          <w:szCs w:val="28"/>
          <w:lang w:val="ru-RU"/>
        </w:rPr>
        <w:t>точность</w:t>
      </w:r>
      <w:r w:rsidR="00950D34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числовой и 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поясняющей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в 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отчетности.</w:t>
      </w:r>
    </w:p>
    <w:p w14:paraId="5DBD5CB0" w14:textId="77777777" w:rsidR="00755847" w:rsidRDefault="00E9626D" w:rsidP="0066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аудите 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 кредитной организац</w:t>
      </w: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Pr="00832CE1">
        <w:rPr>
          <w:rFonts w:ascii="Times New Roman" w:hAnsi="Times New Roman" w:cs="Times New Roman"/>
          <w:sz w:val="28"/>
          <w:szCs w:val="28"/>
          <w:lang w:val="ru-RU"/>
        </w:rPr>
        <w:t>диторской организации рекомендуется особое внимание уделить проверке:</w:t>
      </w:r>
    </w:p>
    <w:p w14:paraId="06FE9022" w14:textId="49CEC969" w:rsidR="00C0083C" w:rsidRDefault="003355C0" w:rsidP="0066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0083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C0083C" w:rsidRPr="00CF52FA">
        <w:rPr>
          <w:rFonts w:ascii="Times New Roman" w:hAnsi="Times New Roman" w:cs="Times New Roman"/>
          <w:sz w:val="28"/>
          <w:szCs w:val="28"/>
          <w:lang w:val="ru-RU"/>
        </w:rPr>
        <w:t>полноты и точности раскрытия информации о системе управления рисками и капиталом кредитной организации и банковской группы;</w:t>
      </w:r>
    </w:p>
    <w:p w14:paraId="03FDAA49" w14:textId="1D11961E" w:rsidR="00C0083C" w:rsidRDefault="003355C0" w:rsidP="0066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0083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C0083C" w:rsidRPr="00832CE1">
        <w:rPr>
          <w:rFonts w:ascii="Times New Roman" w:hAnsi="Times New Roman" w:cs="Times New Roman"/>
          <w:sz w:val="28"/>
          <w:szCs w:val="28"/>
          <w:lang w:val="ru-RU"/>
        </w:rPr>
        <w:t>полнот</w:t>
      </w:r>
      <w:r w:rsidR="00C0083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0083C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0083C">
        <w:rPr>
          <w:rFonts w:ascii="Times New Roman" w:hAnsi="Times New Roman" w:cs="Times New Roman"/>
          <w:sz w:val="28"/>
          <w:szCs w:val="28"/>
          <w:lang w:val="ru-RU"/>
        </w:rPr>
        <w:t>точности</w:t>
      </w:r>
      <w:r w:rsidR="00C0083C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раскрытия информации об операциях со связанными сторонами, в том числе полнот</w:t>
      </w:r>
      <w:r w:rsidR="00AA376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0083C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перечня лиц, включенных в состав банковской группы, в которую входит </w:t>
      </w:r>
      <w:proofErr w:type="spellStart"/>
      <w:r w:rsidR="00C0083C" w:rsidRPr="00832CE1">
        <w:rPr>
          <w:rFonts w:ascii="Times New Roman" w:hAnsi="Times New Roman" w:cs="Times New Roman"/>
          <w:sz w:val="28"/>
          <w:szCs w:val="28"/>
          <w:lang w:val="ru-RU"/>
        </w:rPr>
        <w:t>аудируемая</w:t>
      </w:r>
      <w:proofErr w:type="spellEnd"/>
      <w:r w:rsidR="00C0083C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кредитная организация;</w:t>
      </w:r>
    </w:p>
    <w:p w14:paraId="6247F762" w14:textId="46B8AFA0" w:rsidR="00AA3762" w:rsidRDefault="003355C0" w:rsidP="0066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A3762">
        <w:rPr>
          <w:rFonts w:ascii="Times New Roman" w:hAnsi="Times New Roman" w:cs="Times New Roman"/>
          <w:sz w:val="28"/>
          <w:szCs w:val="28"/>
          <w:lang w:val="ru-RU"/>
        </w:rPr>
        <w:t>) достаточности</w:t>
      </w:r>
      <w:r w:rsidR="00AA3762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раскрытой информации в случае, если выявлены определенные события или условия и имеется существенная неопределенность в отношении способности кредитной организации непрерывно продолжать деятельность. Если аудиторская организация приходит к выводу о наличии существенной неопределенности, в аудиторском заключении </w:t>
      </w:r>
      <w:r w:rsidR="00AA3762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</w:t>
      </w:r>
      <w:r w:rsidR="00AA3762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привлечь внимание к соответствующему раскрытию информации в </w:t>
      </w:r>
      <w:r w:rsidR="00AA3762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AA3762"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AA376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A3762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 или, если такое раскрытие информации является ненадлежащим, модифицировать  мнение</w:t>
      </w:r>
      <w:r w:rsidR="00AA3762">
        <w:rPr>
          <w:rFonts w:ascii="Times New Roman" w:hAnsi="Times New Roman" w:cs="Times New Roman"/>
          <w:sz w:val="28"/>
          <w:szCs w:val="28"/>
          <w:lang w:val="ru-RU"/>
        </w:rPr>
        <w:t xml:space="preserve"> о достоверности бухгалтерской (финансовой) отчетности.</w:t>
      </w:r>
    </w:p>
    <w:p w14:paraId="050FFBEE" w14:textId="42A0677F" w:rsidR="00AA3762" w:rsidRDefault="00AA3762" w:rsidP="0032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613E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удиторское заключение о 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6613E3"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613E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 кредитных организаций, ценные бумаги которых допущены к организованным торгам, должно включать описание ключевых вопросов аудита, когда аудиторская организация принимает решение проинформировать о ключевых вопросах аудита в аудиторском заключении. Ключевыми вопросами аудита являются те вопросы, которые согласно профессиональному суждению аудиторской организации являлись наиболее значимыми для аудита 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6613E3"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613E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отчетности. Ключевые вопросы аудита выбираются из числа вопросов, которые были доведены до сведения лиц, отвечающих за корпоративное управление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D676D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3D676D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организации</w:t>
      </w:r>
      <w:r w:rsidR="006613E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613E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Области, требующие значительного внимания аудиторской организации, часто представляют собой 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компоненты</w:t>
      </w:r>
      <w:r w:rsidR="006613E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6613E3"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613E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отчетности, которые связаны со сложностями или требуют применения руководством значимого суждения, а</w:t>
      </w:r>
      <w:r w:rsidR="00F304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13E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следовательно, обычно предполагают использование аудиторской организацией сложных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13E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комплексных</w:t>
      </w:r>
      <w:r w:rsidR="006613E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суждений.</w:t>
      </w:r>
      <w:proofErr w:type="gramEnd"/>
      <w:r w:rsidR="006613E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 свою очередь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13E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это часто влияет на общую стратегию аудита, распределение ресурсов аудиторской организацией и объем работ, выполняемых в отношении таких вопросов в рамках аудита. Это может влиять, например, на уровень участия более опытных сотрудников в аудиторском задании или на привлечение эксперта аудиторской организации или лиц, обладающих знаниями и опытом в особой области бухгалтерского учета или аудита, которые являются сотрудниками аудиторской организации или привлекаются ею для работы в данных областях. В случае выбора какого-либо вопроса в качестве ключевого вопроса аудита аудиторская организация должна убедиться в наличии в 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6613E3"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613E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 соответствующего раскрытия, касающегося данного вопроса. </w:t>
      </w:r>
    </w:p>
    <w:p w14:paraId="681CA981" w14:textId="51409627" w:rsidR="006613E3" w:rsidRDefault="006613E3" w:rsidP="0032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Ключевые вопросы аудита 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 кредитных орган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изаций могут включать, например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D19DC00" w14:textId="0FFEB966" w:rsidR="006613E3" w:rsidRDefault="006613E3" w:rsidP="0032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оценк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величины резервов на возможные потери</w:t>
      </w:r>
      <w:r w:rsidR="00F56B46">
        <w:rPr>
          <w:rFonts w:ascii="Times New Roman" w:hAnsi="Times New Roman" w:cs="Times New Roman"/>
          <w:sz w:val="28"/>
          <w:szCs w:val="28"/>
          <w:lang w:val="ru-RU"/>
        </w:rPr>
        <w:t xml:space="preserve"> по ссудам, ссудной и приравненной к ней задолженности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/резервов под обесценение по кредитам, выданным физическим и юридическим лицам, не являющимся кредитными организациями;</w:t>
      </w:r>
    </w:p>
    <w:p w14:paraId="440A9D1F" w14:textId="3A1B4A1C" w:rsidR="006613E3" w:rsidRDefault="006613E3" w:rsidP="0032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оценк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справедливой стоимости </w:t>
      </w:r>
      <w:proofErr w:type="spell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некотируемых</w:t>
      </w:r>
      <w:proofErr w:type="spell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долевых инструментов;</w:t>
      </w:r>
    </w:p>
    <w:p w14:paraId="70B9B2AE" w14:textId="43F6D5A9" w:rsidR="006613E3" w:rsidRDefault="006613E3" w:rsidP="0032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оценк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прочих активов (например, </w:t>
      </w:r>
      <w:proofErr w:type="spell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гудвила</w:t>
      </w:r>
      <w:proofErr w:type="spellEnd"/>
      <w:r w:rsidRPr="00832CE1">
        <w:rPr>
          <w:rFonts w:ascii="Times New Roman" w:hAnsi="Times New Roman" w:cs="Times New Roman"/>
          <w:sz w:val="28"/>
          <w:szCs w:val="28"/>
          <w:lang w:val="ru-RU"/>
        </w:rPr>
        <w:t>, отложенных налоговых активов);</w:t>
      </w:r>
    </w:p>
    <w:p w14:paraId="572AE671" w14:textId="6F6F84CA" w:rsidR="006613E3" w:rsidRDefault="006613E3" w:rsidP="0032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определение стороны, обладающей конечным контролем, а также перечня связанных с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торон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77B8C50" w14:textId="244635C4" w:rsidR="006613E3" w:rsidRDefault="006613E3" w:rsidP="0032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оценк</w:t>
      </w:r>
      <w:r w:rsidR="003D676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критериев прекращения признания финансовых активов;</w:t>
      </w:r>
    </w:p>
    <w:p w14:paraId="0F5027AC" w14:textId="165E693A" w:rsidR="006613E3" w:rsidRPr="006613E3" w:rsidRDefault="006613E3" w:rsidP="0032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оценк</w:t>
      </w:r>
      <w:r w:rsidR="002704D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критериев наличия контроля или существенного влияния</w:t>
      </w:r>
      <w:r w:rsidR="00AA37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198646" w14:textId="33444005" w:rsidR="00E9626D" w:rsidRPr="006613E3" w:rsidRDefault="00AA3762" w:rsidP="00661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удиторское заключение о </w:t>
      </w:r>
      <w:r w:rsidR="0041528A">
        <w:rPr>
          <w:rFonts w:ascii="Times New Roman" w:hAnsi="Times New Roman" w:cs="Times New Roman"/>
          <w:sz w:val="28"/>
          <w:szCs w:val="28"/>
          <w:lang w:val="ru-RU"/>
        </w:rPr>
        <w:t>годовой б</w:t>
      </w:r>
      <w:r w:rsidR="002704D4">
        <w:rPr>
          <w:rFonts w:ascii="Times New Roman" w:hAnsi="Times New Roman" w:cs="Times New Roman"/>
          <w:sz w:val="28"/>
          <w:szCs w:val="28"/>
          <w:lang w:val="ru-RU"/>
        </w:rPr>
        <w:t>ухгалтерской (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2704D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 должно включать раздел, отражающий результаты процедур, выполненных в рамках исполнения требований статьи 42 Федерального закона </w:t>
      </w:r>
      <w:r w:rsidR="006613E3" w:rsidRPr="00FA7EAF">
        <w:rPr>
          <w:rFonts w:ascii="Times New Roman" w:hAnsi="Times New Roman" w:cs="Times New Roman"/>
          <w:sz w:val="28"/>
          <w:szCs w:val="28"/>
          <w:lang w:val="ru-RU"/>
        </w:rPr>
        <w:t>«О банках и банковской деятельности»</w:t>
      </w:r>
      <w:r w:rsidR="00E9626D" w:rsidRPr="006613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40F370" w14:textId="77777777" w:rsidR="00E9626D" w:rsidRPr="00832CE1" w:rsidRDefault="00E9626D" w:rsidP="00832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1DD9729E" w14:textId="77777777" w:rsidR="006E1E64" w:rsidRDefault="006E1E64" w:rsidP="00070E2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14:paraId="21C7D885" w14:textId="5FEDC557" w:rsidR="00E9626D" w:rsidRPr="00070E22" w:rsidRDefault="00E9626D" w:rsidP="00070E2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070E22">
        <w:rPr>
          <w:rFonts w:ascii="Times New Roman" w:hAnsi="Times New Roman" w:cs="Times New Roman"/>
          <w:sz w:val="28"/>
          <w:szCs w:val="28"/>
          <w:lang w:val="ru-RU"/>
        </w:rPr>
        <w:t>Приложение к методическим рекомендациям</w:t>
      </w:r>
    </w:p>
    <w:p w14:paraId="0ACA2F13" w14:textId="77777777" w:rsidR="00E9626D" w:rsidRDefault="00E9626D" w:rsidP="00832CE1">
      <w:pPr>
        <w:pStyle w:val="a0"/>
        <w:spacing w:after="0" w:line="240" w:lineRule="auto"/>
        <w:ind w:left="1440"/>
        <w:contextualSpacing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9819349" w14:textId="77777777" w:rsidR="006E1E64" w:rsidRDefault="006E1E64" w:rsidP="00832CE1">
      <w:pPr>
        <w:pStyle w:val="a0"/>
        <w:spacing w:after="0" w:line="240" w:lineRule="auto"/>
        <w:ind w:left="1440"/>
        <w:contextualSpacing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BEB3739" w14:textId="77777777" w:rsidR="009815CE" w:rsidRDefault="009815CE" w:rsidP="00320FEF">
      <w:pPr>
        <w:pStyle w:val="1"/>
      </w:pPr>
    </w:p>
    <w:p w14:paraId="612102E4" w14:textId="77777777" w:rsidR="00991736" w:rsidRDefault="00E9626D" w:rsidP="00320FEF">
      <w:pPr>
        <w:pStyle w:val="1"/>
      </w:pPr>
      <w:r w:rsidRPr="00832CE1">
        <w:t>П</w:t>
      </w:r>
      <w:r w:rsidR="00991736">
        <w:t>РИМЕРЫ</w:t>
      </w:r>
      <w:r w:rsidRPr="00832CE1">
        <w:t xml:space="preserve"> </w:t>
      </w:r>
    </w:p>
    <w:p w14:paraId="51882A2A" w14:textId="4A78CC4E" w:rsidR="00964D62" w:rsidRDefault="00E9626D" w:rsidP="00832CE1">
      <w:pPr>
        <w:pStyle w:val="a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аудиторских процедур </w:t>
      </w:r>
    </w:p>
    <w:p w14:paraId="2A23139C" w14:textId="77777777" w:rsidR="00964D62" w:rsidRDefault="00E9626D" w:rsidP="00832CE1">
      <w:pPr>
        <w:pStyle w:val="a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отношении областей наиболее высокого риска </w:t>
      </w:r>
    </w:p>
    <w:p w14:paraId="097CADB1" w14:textId="1EB403B1" w:rsidR="00E9626D" w:rsidRPr="00832CE1" w:rsidRDefault="00E9626D" w:rsidP="00832CE1">
      <w:pPr>
        <w:pStyle w:val="a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b/>
          <w:sz w:val="28"/>
          <w:szCs w:val="28"/>
          <w:lang w:val="ru-RU"/>
        </w:rPr>
        <w:t>в кредитных организациях</w:t>
      </w:r>
    </w:p>
    <w:p w14:paraId="3181874B" w14:textId="77777777" w:rsidR="00964D62" w:rsidRDefault="00964D62" w:rsidP="0096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8CC7CA" w14:textId="77777777" w:rsidR="006E1E64" w:rsidRDefault="006E1E64" w:rsidP="0096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202536" w14:textId="1742A042" w:rsidR="00E9626D" w:rsidRDefault="00E9626D" w:rsidP="0096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пункту А31 МСА 500 «Аудиторские доказательства» надежность информации, используемой в качестве аудиторских доказательств, и, следовательно, самих аудиторских доказательств зависит от ее источника и характера, а также от обстоятельств, при которых она получена, включая при необходимости средства </w:t>
      </w: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ее подготовкой и поддержанием. Аудиторская организация должна выбирать ту форму аудиторских доказательств</w:t>
      </w:r>
      <w:r w:rsidR="00964D6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которая является наиболее приемлемой в сложившихся обстоятельствах</w:t>
      </w:r>
      <w:r w:rsidR="0099173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и отдавать предпочтение наиболее надежным формам аудиторских доказательств.</w:t>
      </w:r>
    </w:p>
    <w:p w14:paraId="7940441A" w14:textId="77777777" w:rsidR="00964D62" w:rsidRDefault="00964D62" w:rsidP="0096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404E26" w14:textId="3F22F7BA" w:rsidR="00E9626D" w:rsidRPr="00320FEF" w:rsidRDefault="00E9626D" w:rsidP="00320FEF">
      <w:pPr>
        <w:pStyle w:val="2"/>
      </w:pPr>
      <w:r w:rsidRPr="00320FEF">
        <w:t>Соблюдение обязательных нормативов, установленных Банком России, а также наличие вложений кредитной организации в источники собственных средств (капитала)</w:t>
      </w:r>
    </w:p>
    <w:p w14:paraId="4102F739" w14:textId="6E396A1F" w:rsidR="00E9626D" w:rsidRPr="00832CE1" w:rsidRDefault="00991736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ровер</w:t>
      </w:r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величины собственных средств (</w:t>
      </w:r>
      <w:r>
        <w:rPr>
          <w:rFonts w:ascii="Times New Roman" w:hAnsi="Times New Roman" w:cs="Times New Roman"/>
          <w:sz w:val="28"/>
          <w:szCs w:val="28"/>
          <w:lang w:val="ru-RU"/>
        </w:rPr>
        <w:t>капитала) кредитной организации.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9D3235E" w14:textId="1CAD991E" w:rsidR="00E9626D" w:rsidRPr="00832CE1" w:rsidRDefault="00991736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яв</w:t>
      </w:r>
      <w:r>
        <w:rPr>
          <w:rFonts w:ascii="Times New Roman" w:hAnsi="Times New Roman" w:cs="Times New Roman"/>
          <w:sz w:val="28"/>
          <w:szCs w:val="28"/>
          <w:lang w:val="ru-RU"/>
        </w:rPr>
        <w:t>ление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организации в источники собственных средств (капитала), экономическое содержание которых не удовлетворяет условиям источников базового капитала, добавочного капитала и (или) дополнительного капитала. Указанные вложения могут быть выявлены аудиторской организацией, в том числе, при </w:t>
      </w:r>
      <w:r w:rsidR="004A61DA" w:rsidRPr="00832CE1">
        <w:rPr>
          <w:rFonts w:ascii="Times New Roman" w:hAnsi="Times New Roman" w:cs="Times New Roman"/>
          <w:sz w:val="28"/>
          <w:szCs w:val="28"/>
          <w:lang w:val="ru-RU"/>
        </w:rPr>
        <w:t>анализе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операций, осуществляемых кредитной организации, а также предлагаемых ею продуктов на стадии получения понимания </w:t>
      </w:r>
      <w:proofErr w:type="spellStart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и ее окружения, включая систему внутреннего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400A8F0" w14:textId="71B3EF3A" w:rsidR="00E9626D" w:rsidRPr="00832CE1" w:rsidRDefault="00991736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ыяв</w:t>
      </w:r>
      <w:r>
        <w:rPr>
          <w:rFonts w:ascii="Times New Roman" w:hAnsi="Times New Roman" w:cs="Times New Roman"/>
          <w:sz w:val="28"/>
          <w:szCs w:val="28"/>
          <w:lang w:val="ru-RU"/>
        </w:rPr>
        <w:t>ление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</w:t>
      </w:r>
      <w:r w:rsidR="00570A59">
        <w:rPr>
          <w:rFonts w:ascii="Times New Roman" w:hAnsi="Times New Roman" w:cs="Times New Roman"/>
          <w:sz w:val="28"/>
          <w:szCs w:val="28"/>
          <w:lang w:val="ru-RU"/>
        </w:rPr>
        <w:t>сторон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</w:t>
      </w:r>
      <w:r w:rsidR="003061E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Для этого с учетом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применимы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Банка 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возможны</w:t>
      </w:r>
      <w:r w:rsidR="00A40C0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аудиторские </w:t>
      </w:r>
      <w:r w:rsidR="00A40C03" w:rsidRPr="00832CE1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485DC638" w14:textId="273C67C5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интервью с лицами, ответственными за составление, ведение и поддержание в </w:t>
      </w:r>
      <w:r w:rsidR="00991736">
        <w:rPr>
          <w:rFonts w:ascii="Times New Roman" w:hAnsi="Times New Roman" w:cs="Times New Roman"/>
          <w:sz w:val="28"/>
          <w:szCs w:val="28"/>
          <w:lang w:val="ru-RU"/>
        </w:rPr>
        <w:t>актуальном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состоянии </w:t>
      </w:r>
      <w:r w:rsidR="00991736">
        <w:rPr>
          <w:rFonts w:ascii="Times New Roman" w:hAnsi="Times New Roman" w:cs="Times New Roman"/>
          <w:sz w:val="28"/>
          <w:szCs w:val="28"/>
          <w:lang w:val="ru-RU"/>
        </w:rPr>
        <w:t>перечня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</w:t>
      </w:r>
      <w:r w:rsidR="009917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A59">
        <w:rPr>
          <w:rFonts w:ascii="Times New Roman" w:hAnsi="Times New Roman" w:cs="Times New Roman"/>
          <w:sz w:val="28"/>
          <w:szCs w:val="28"/>
          <w:lang w:val="ru-RU"/>
        </w:rPr>
        <w:t>сторон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</w:t>
      </w:r>
      <w:r w:rsidR="009917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08A33AD" w14:textId="1C98DB53" w:rsidR="00E9626D" w:rsidRPr="00832CE1" w:rsidRDefault="00991736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анализ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перечня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</w:t>
      </w:r>
      <w:r w:rsidR="00570A59">
        <w:rPr>
          <w:rFonts w:ascii="Times New Roman" w:hAnsi="Times New Roman" w:cs="Times New Roman"/>
          <w:sz w:val="28"/>
          <w:szCs w:val="28"/>
          <w:lang w:val="ru-RU"/>
        </w:rPr>
        <w:t>сторон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, предоставленн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организацией, в том числе </w:t>
      </w:r>
      <w:r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этого перечня 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по сравнению с предыдущ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м отчетн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м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0ED4BD0" w14:textId="493FC2A1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определ</w:t>
      </w:r>
      <w:r w:rsidR="00991736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бенефициарн</w:t>
      </w:r>
      <w:r w:rsidR="00991736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владельц</w:t>
      </w:r>
      <w:r w:rsidR="00991736">
        <w:rPr>
          <w:rFonts w:ascii="Times New Roman" w:hAnsi="Times New Roman" w:cs="Times New Roman"/>
          <w:sz w:val="28"/>
          <w:szCs w:val="28"/>
          <w:lang w:val="ru-RU"/>
        </w:rPr>
        <w:t>ев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контрагентов кредитной организации, объем </w:t>
      </w: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операций</w:t>
      </w:r>
      <w:proofErr w:type="gram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 которыми является существенным для кредитной организации или для самого контрагента; </w:t>
      </w:r>
    </w:p>
    <w:p w14:paraId="0A824DD9" w14:textId="5F4EF71B" w:rsidR="00E9626D" w:rsidRPr="00832CE1" w:rsidRDefault="000042B1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совершаемых кредитной организацией операций (например, уровень процентной ставки по размещенным или привлеченным средствам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наличие или отсутствие обеспечения, вид и стоимость обеспечения);</w:t>
      </w:r>
    </w:p>
    <w:p w14:paraId="43F124CB" w14:textId="4FCCD1B5" w:rsidR="00E9626D" w:rsidRPr="00832CE1" w:rsidRDefault="000042B1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целесообразност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совершаемых операций как для кредитной организации, так и ее контрагент</w:t>
      </w:r>
      <w:proofErr w:type="gramStart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spellStart"/>
      <w:proofErr w:type="gramEnd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51D6AF9" w14:textId="4CCE5C44" w:rsidR="00E9626D" w:rsidRPr="00832CE1" w:rsidRDefault="007105AA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ересч</w:t>
      </w:r>
      <w:r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ключевы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по состоянию на отчетную дату (например, норматив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достаточности капитала, норматив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максимального размера риска на одного заемщика или группу связанных заемщиков).</w:t>
      </w:r>
    </w:p>
    <w:p w14:paraId="249D832A" w14:textId="6CA80C99" w:rsidR="00E9626D" w:rsidRPr="008A123D" w:rsidRDefault="00E9626D" w:rsidP="00320FEF">
      <w:pPr>
        <w:pStyle w:val="2"/>
      </w:pPr>
      <w:r w:rsidRPr="008A123D">
        <w:t>Соблюдение законодатель</w:t>
      </w:r>
      <w:r w:rsidR="003061ED">
        <w:t>ства Российской Федерации</w:t>
      </w:r>
      <w:r w:rsidRPr="008A123D">
        <w:t xml:space="preserve"> в области </w:t>
      </w:r>
      <w:r w:rsidR="003061ED" w:rsidRPr="003061ED">
        <w:t>противодействия легализации (отмыванию) доходов, полученных преступным путем, и финансированию терроризма</w:t>
      </w:r>
      <w:r w:rsidR="003061ED" w:rsidRPr="004637C4">
        <w:t xml:space="preserve"> </w:t>
      </w:r>
      <w:r w:rsidR="003061ED" w:rsidRPr="0053071D">
        <w:t>(далее -</w:t>
      </w:r>
      <w:r w:rsidR="003061ED">
        <w:t xml:space="preserve"> </w:t>
      </w:r>
      <w:r w:rsidRPr="008A123D">
        <w:t>ПОД/ФТ</w:t>
      </w:r>
      <w:r w:rsidR="003061ED">
        <w:t>)</w:t>
      </w:r>
    </w:p>
    <w:p w14:paraId="0987DA93" w14:textId="7767D7EE" w:rsidR="00E9626D" w:rsidRPr="00832CE1" w:rsidRDefault="0053071D" w:rsidP="0053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проверке данного вопроса аудиторская организация выбирает 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>аудиторские процедуры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  <w:lang w:val="ru-RU"/>
        </w:rPr>
        <w:t>уясь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соответствующими 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нормативными правовыми актами, а также </w:t>
      </w:r>
      <w:r>
        <w:rPr>
          <w:rFonts w:ascii="Times New Roman" w:hAnsi="Times New Roman" w:cs="Times New Roman"/>
          <w:sz w:val="28"/>
          <w:szCs w:val="28"/>
          <w:lang w:val="ru-RU"/>
        </w:rPr>
        <w:t>иными документами, изданными уполномоченными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 xml:space="preserve"> органами</w:t>
      </w:r>
      <w:r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случае выявления аудиторской организацией обстоятельств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ПОД/ФТ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, в отношении которых руководством кредитной организаци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не предоставлен</w:t>
      </w:r>
      <w:r>
        <w:rPr>
          <w:rFonts w:ascii="Times New Roman" w:hAnsi="Times New Roman" w:cs="Times New Roman"/>
          <w:sz w:val="28"/>
          <w:szCs w:val="28"/>
          <w:lang w:val="ru-RU"/>
        </w:rPr>
        <w:t>ы надлежащие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достаточны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разъяснени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, выполн</w:t>
      </w:r>
      <w:r>
        <w:rPr>
          <w:rFonts w:ascii="Times New Roman" w:hAnsi="Times New Roman" w:cs="Times New Roman"/>
          <w:sz w:val="28"/>
          <w:szCs w:val="28"/>
          <w:lang w:val="ru-RU"/>
        </w:rPr>
        <w:t>яются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дополнительные аудиторские процедуры</w:t>
      </w:r>
      <w:r>
        <w:rPr>
          <w:rFonts w:ascii="Times New Roman" w:hAnsi="Times New Roman" w:cs="Times New Roman"/>
          <w:sz w:val="28"/>
          <w:szCs w:val="28"/>
          <w:lang w:val="ru-RU"/>
        </w:rPr>
        <w:t>. Среди таких обстоятельств, например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3BD8F9C4" w14:textId="59B417F0" w:rsidR="00E9626D" w:rsidRPr="0053071D" w:rsidRDefault="0053071D" w:rsidP="0053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 xml:space="preserve">большой </w:t>
      </w:r>
      <w:r>
        <w:rPr>
          <w:rFonts w:ascii="Times New Roman" w:hAnsi="Times New Roman" w:cs="Times New Roman"/>
          <w:sz w:val="28"/>
          <w:szCs w:val="28"/>
          <w:lang w:val="ru-RU"/>
        </w:rPr>
        <w:t>объем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 xml:space="preserve"> сомнительных операций,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которых 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>направляе</w:t>
      </w:r>
      <w:r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 xml:space="preserve"> в Федеральную службу по финансовому мониторингу;</w:t>
      </w:r>
    </w:p>
    <w:p w14:paraId="0DF2AF2B" w14:textId="78384F82" w:rsidR="00E9626D" w:rsidRPr="0053071D" w:rsidRDefault="0053071D" w:rsidP="0053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>большое количество регулярно закрывающихся счетов юридических лиц;</w:t>
      </w:r>
    </w:p>
    <w:p w14:paraId="3236CBBB" w14:textId="01042212" w:rsidR="00E9626D" w:rsidRPr="0053071D" w:rsidRDefault="0053071D" w:rsidP="0053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>значительны</w:t>
      </w:r>
      <w:r w:rsidR="00E37F9D" w:rsidRPr="0053071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 xml:space="preserve"> по размеру односторонни</w:t>
      </w:r>
      <w:r w:rsidR="00E37F9D" w:rsidRPr="0053071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 xml:space="preserve"> прибыльны</w:t>
      </w:r>
      <w:r w:rsidR="00E37F9D" w:rsidRPr="0053071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>/убыточны</w:t>
      </w:r>
      <w:r w:rsidR="00E37F9D" w:rsidRPr="0053071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 xml:space="preserve"> операции, например, с производными финансовыми инструментами, ценными бумагами с одним контрагентом (с неизвестн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контрагентом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 xml:space="preserve">; с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контрагентом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 xml:space="preserve"> в иностранной юрисдикции, пред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>ставляющей низкий уровень налогообложения («налоговое убежище»)</w:t>
      </w:r>
      <w:r>
        <w:rPr>
          <w:rFonts w:ascii="Times New Roman" w:hAnsi="Times New Roman" w:cs="Times New Roman"/>
          <w:sz w:val="28"/>
          <w:szCs w:val="28"/>
          <w:lang w:val="ru-RU"/>
        </w:rPr>
        <w:t>; др.</w:t>
      </w:r>
      <w:r w:rsidR="00E9626D" w:rsidRPr="0053071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B3286DE" w14:textId="77777777" w:rsidR="00E9626D" w:rsidRPr="00832CE1" w:rsidRDefault="00E9626D" w:rsidP="00320FEF">
      <w:pPr>
        <w:pStyle w:val="2"/>
      </w:pPr>
      <w:r w:rsidRPr="00832CE1">
        <w:t>Соблюдение требований к оценке активов</w:t>
      </w:r>
    </w:p>
    <w:p w14:paraId="5C6CECDB" w14:textId="1EC0967B" w:rsidR="00E9626D" w:rsidRPr="00832CE1" w:rsidRDefault="00163862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отношении н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остро счета и размещенны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межбанковски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(далее – МБК)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включая начисленные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ним 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проценты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9C77149" w14:textId="7AAF2C87" w:rsidR="00E9626D" w:rsidRPr="00832CE1" w:rsidRDefault="00163862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ыяв</w:t>
      </w:r>
      <w:r>
        <w:rPr>
          <w:rFonts w:ascii="Times New Roman" w:hAnsi="Times New Roman" w:cs="Times New Roman"/>
          <w:sz w:val="28"/>
          <w:szCs w:val="28"/>
          <w:lang w:val="ru-RU"/>
        </w:rPr>
        <w:t>ление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ненадежны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и банк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-нерезидент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(например, на основании рейтинг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, информации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СМИ, страны регистрации, длительности нахождения средств на счетах в банке-нерезиденте, отсутствия экономической целесообразности для размещения сре</w:t>
      </w:r>
      <w:proofErr w:type="gramStart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дств в б</w:t>
      </w:r>
      <w:proofErr w:type="gramEnd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анке-нерезиденте</w:t>
      </w:r>
      <w:r>
        <w:rPr>
          <w:rFonts w:ascii="Times New Roman" w:hAnsi="Times New Roman" w:cs="Times New Roman"/>
          <w:sz w:val="28"/>
          <w:szCs w:val="28"/>
          <w:lang w:val="ru-RU"/>
        </w:rPr>
        <w:t>, др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.). </w:t>
      </w:r>
      <w:proofErr w:type="gramStart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В отношении ненадежных кредитных организаций и банков-нерезидентов 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подтвер</w:t>
      </w:r>
      <w:r>
        <w:rPr>
          <w:rFonts w:ascii="Times New Roman" w:hAnsi="Times New Roman" w:cs="Times New Roman"/>
          <w:sz w:val="28"/>
          <w:szCs w:val="28"/>
          <w:lang w:val="ru-RU"/>
        </w:rPr>
        <w:t>ждается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наличие/отсутствие неучтенных соглашений с контрагентом </w:t>
      </w:r>
      <w:proofErr w:type="spellStart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организации (например, соглашения, по условиям которого контрагент </w:t>
      </w:r>
      <w:proofErr w:type="spellStart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финансирует связанных с </w:t>
      </w:r>
      <w:proofErr w:type="spellStart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организацией лиц за счет средств, размещенных </w:t>
      </w:r>
      <w:proofErr w:type="spellStart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организацией, при</w:t>
      </w:r>
      <w:r w:rsidR="007B5CF5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средства, размещенные </w:t>
      </w:r>
      <w:proofErr w:type="spellStart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организацией</w:t>
      </w:r>
      <w:r w:rsidR="007B5C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обеспечением по обязательствам связанных с кредитной организацией лиц, которых профинансировал контрагент </w:t>
      </w:r>
      <w:proofErr w:type="spellStart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организации);</w:t>
      </w:r>
      <w:proofErr w:type="gramEnd"/>
    </w:p>
    <w:p w14:paraId="5351F4A8" w14:textId="17D69FB8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подтвер</w:t>
      </w:r>
      <w:r w:rsidR="007B5CF5">
        <w:rPr>
          <w:rFonts w:ascii="Times New Roman" w:hAnsi="Times New Roman" w:cs="Times New Roman"/>
          <w:sz w:val="28"/>
          <w:szCs w:val="28"/>
          <w:lang w:val="ru-RU"/>
        </w:rPr>
        <w:t>ждение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остатк</w:t>
      </w:r>
      <w:r w:rsidR="007B5CF5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 кредитных организациях и банках</w:t>
      </w:r>
      <w:r w:rsidR="007B5C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нерезидентах;</w:t>
      </w:r>
    </w:p>
    <w:p w14:paraId="0A23A388" w14:textId="25CA8363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провер</w:t>
      </w:r>
      <w:r w:rsidR="007B5CF5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классификаци</w:t>
      </w:r>
      <w:r w:rsidR="007B5C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ностро счетов и МБК по группам риска, а также величин</w:t>
      </w:r>
      <w:r w:rsidR="007B5CF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созданных резервов на возможные потери</w:t>
      </w:r>
      <w:r w:rsidR="003355C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55847" w:rsidRPr="00832CE1">
        <w:rPr>
          <w:rFonts w:ascii="Times New Roman" w:hAnsi="Times New Roman" w:cs="Times New Roman"/>
          <w:sz w:val="28"/>
          <w:szCs w:val="28"/>
          <w:lang w:val="ru-RU"/>
        </w:rPr>
        <w:t>резервов на возможные потери</w:t>
      </w:r>
      <w:r w:rsidR="00755847">
        <w:rPr>
          <w:rFonts w:ascii="Times New Roman" w:hAnsi="Times New Roman" w:cs="Times New Roman"/>
          <w:sz w:val="28"/>
          <w:szCs w:val="28"/>
          <w:lang w:val="ru-RU"/>
        </w:rPr>
        <w:t xml:space="preserve"> по ссудам, ссудной и приравненной к ней задолженности</w:t>
      </w:r>
      <w:r w:rsidR="003355C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резервов под обесценение</w:t>
      </w:r>
      <w:r w:rsidR="003355C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требованиями применимых нормативных актов Банка России и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требованиями МСФО;</w:t>
      </w:r>
      <w:r w:rsidR="00755847" w:rsidRPr="007558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4454B5C" w14:textId="56C5E8CD" w:rsidR="00E9626D" w:rsidRPr="00832CE1" w:rsidRDefault="007B5CF5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подтверждение наличия/отсутствия обременения по остаткам по ностро счетам и (или) МБК (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в случае наличия сомнений в том, что ностро счет</w:t>
      </w:r>
      <w:r w:rsidR="00EE3218" w:rsidRPr="00832CE1">
        <w:rPr>
          <w:rFonts w:ascii="Times New Roman" w:hAnsi="Times New Roman" w:cs="Times New Roman"/>
          <w:sz w:val="28"/>
          <w:szCs w:val="28"/>
          <w:lang w:val="ru-RU"/>
        </w:rPr>
        <w:t>а и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E3218" w:rsidRPr="00832CE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E3218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МБК являются необременен</w:t>
      </w:r>
      <w:r w:rsidR="00EE217A" w:rsidRPr="00832CE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ыми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68CFAE" w14:textId="60726DDB" w:rsidR="00E9626D" w:rsidRPr="00832CE1" w:rsidRDefault="007B5CF5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отношении к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редит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, выданны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физическим и юридическим лицам, не являющимся кредитными организациями (включая начисленные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ним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проценты) и условны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</w:t>
      </w:r>
      <w:proofErr w:type="gramStart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ств кр</w:t>
      </w:r>
      <w:proofErr w:type="gramEnd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едитного характера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CF41615" w14:textId="6412CF5C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подтвер</w:t>
      </w:r>
      <w:r w:rsidR="007B5CF5">
        <w:rPr>
          <w:rFonts w:ascii="Times New Roman" w:hAnsi="Times New Roman" w:cs="Times New Roman"/>
          <w:sz w:val="28"/>
          <w:szCs w:val="28"/>
          <w:lang w:val="ru-RU"/>
        </w:rPr>
        <w:t>ждение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остатк</w:t>
      </w:r>
      <w:r w:rsidR="007B5CF5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по кредитам и условным обязательства</w:t>
      </w:r>
      <w:r w:rsidR="007B5CF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кредитного характера; </w:t>
      </w:r>
    </w:p>
    <w:p w14:paraId="6B001598" w14:textId="4B95AE5C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выяв</w:t>
      </w:r>
      <w:r w:rsidR="007B5CF5">
        <w:rPr>
          <w:rFonts w:ascii="Times New Roman" w:hAnsi="Times New Roman" w:cs="Times New Roman"/>
          <w:sz w:val="28"/>
          <w:szCs w:val="28"/>
          <w:lang w:val="ru-RU"/>
        </w:rPr>
        <w:t>ление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</w:t>
      </w:r>
      <w:r w:rsidR="007B5CF5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, выданны</w:t>
      </w:r>
      <w:r w:rsidR="007B5CF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5CF5">
        <w:rPr>
          <w:rFonts w:ascii="Times New Roman" w:hAnsi="Times New Roman" w:cs="Times New Roman"/>
          <w:sz w:val="28"/>
          <w:szCs w:val="28"/>
          <w:lang w:val="ru-RU"/>
        </w:rPr>
        <w:t>контрагентам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, не ведущим реальн</w:t>
      </w:r>
      <w:r w:rsidR="007B5CF5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</w:t>
      </w:r>
      <w:r w:rsidR="007B5CF5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F0B87">
        <w:rPr>
          <w:rFonts w:ascii="Times New Roman" w:hAnsi="Times New Roman" w:cs="Times New Roman"/>
          <w:sz w:val="28"/>
          <w:szCs w:val="28"/>
          <w:lang w:val="ru-RU"/>
        </w:rPr>
        <w:t xml:space="preserve">При этом необходимо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руководствоваться признаками, </w:t>
      </w:r>
      <w:r w:rsidR="005F0B87">
        <w:rPr>
          <w:rFonts w:ascii="Times New Roman" w:hAnsi="Times New Roman" w:cs="Times New Roman"/>
          <w:sz w:val="28"/>
          <w:szCs w:val="28"/>
          <w:lang w:val="ru-RU"/>
        </w:rPr>
        <w:t>определенными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</w:t>
      </w:r>
      <w:r w:rsidR="005F0B8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м нормативн</w:t>
      </w:r>
      <w:r w:rsidR="005F0B8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м акт</w:t>
      </w:r>
      <w:r w:rsidR="005F0B87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Банка России;</w:t>
      </w:r>
    </w:p>
    <w:p w14:paraId="40E7C7D8" w14:textId="2D4C3D64" w:rsidR="005F0B87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выяв</w:t>
      </w:r>
      <w:r w:rsidR="005F0B87">
        <w:rPr>
          <w:rFonts w:ascii="Times New Roman" w:hAnsi="Times New Roman" w:cs="Times New Roman"/>
          <w:sz w:val="28"/>
          <w:szCs w:val="28"/>
          <w:lang w:val="ru-RU"/>
        </w:rPr>
        <w:t>ление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F9D" w:rsidRPr="00832CE1">
        <w:rPr>
          <w:rFonts w:ascii="Times New Roman" w:hAnsi="Times New Roman" w:cs="Times New Roman"/>
          <w:sz w:val="28"/>
          <w:szCs w:val="28"/>
          <w:lang w:val="ru-RU"/>
        </w:rPr>
        <w:t>сомнительны</w:t>
      </w:r>
      <w:r w:rsidR="005F0B8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37F9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</w:t>
      </w:r>
      <w:r w:rsidR="005F0B87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37F9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необеспеченны</w:t>
      </w:r>
      <w:r w:rsidR="005F0B8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, не имеющи</w:t>
      </w:r>
      <w:r w:rsidR="005F0B8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четкой цели, предоставленны</w:t>
      </w:r>
      <w:r w:rsidR="005F0B8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лицам, зарегистрированным в «налогов</w:t>
      </w:r>
      <w:r w:rsidR="005F0B87">
        <w:rPr>
          <w:rFonts w:ascii="Times New Roman" w:hAnsi="Times New Roman" w:cs="Times New Roman"/>
          <w:sz w:val="28"/>
          <w:szCs w:val="28"/>
          <w:lang w:val="ru-RU"/>
        </w:rPr>
        <w:t xml:space="preserve">ых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убежищ</w:t>
      </w:r>
      <w:r w:rsidR="005F0B87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F0B87">
        <w:rPr>
          <w:rFonts w:ascii="Times New Roman" w:hAnsi="Times New Roman" w:cs="Times New Roman"/>
          <w:sz w:val="28"/>
          <w:szCs w:val="28"/>
          <w:lang w:val="ru-RU"/>
        </w:rPr>
        <w:t>, др.</w:t>
      </w:r>
      <w:r w:rsidR="00E37F9D" w:rsidRPr="00832CE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5F0B87" w:rsidRPr="00832CE1">
        <w:rPr>
          <w:rFonts w:ascii="Times New Roman" w:hAnsi="Times New Roman" w:cs="Times New Roman"/>
          <w:sz w:val="28"/>
          <w:szCs w:val="28"/>
          <w:lang w:val="ru-RU"/>
        </w:rPr>
        <w:t>В отношении сомнительных кредитов подтвер</w:t>
      </w:r>
      <w:r w:rsidR="005F0B87">
        <w:rPr>
          <w:rFonts w:ascii="Times New Roman" w:hAnsi="Times New Roman" w:cs="Times New Roman"/>
          <w:sz w:val="28"/>
          <w:szCs w:val="28"/>
          <w:lang w:val="ru-RU"/>
        </w:rPr>
        <w:t>ждается</w:t>
      </w:r>
      <w:r w:rsidR="005F0B8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наличие/отсутствие неучтенных соглашений с контрагентом </w:t>
      </w:r>
      <w:proofErr w:type="spellStart"/>
      <w:r w:rsidR="005F0B87"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5F0B8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организации (например, соглашения, по условиям которого контрагент </w:t>
      </w:r>
      <w:proofErr w:type="spellStart"/>
      <w:r w:rsidR="005F0B87"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5F0B8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финансирует связанных с </w:t>
      </w:r>
      <w:proofErr w:type="spellStart"/>
      <w:r w:rsidR="005F0B87"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5F0B8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организацией лиц за счет средств, размещенных </w:t>
      </w:r>
      <w:proofErr w:type="spellStart"/>
      <w:r w:rsidR="005F0B87"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5F0B8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организацией, при</w:t>
      </w:r>
      <w:r w:rsidR="005F0B87">
        <w:rPr>
          <w:rFonts w:ascii="Times New Roman" w:hAnsi="Times New Roman" w:cs="Times New Roman"/>
          <w:sz w:val="28"/>
          <w:szCs w:val="28"/>
          <w:lang w:val="ru-RU"/>
        </w:rPr>
        <w:t>чем</w:t>
      </w:r>
      <w:r w:rsidR="005F0B8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средства, размещенные </w:t>
      </w:r>
      <w:proofErr w:type="spellStart"/>
      <w:r w:rsidR="005F0B87"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5F0B8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организацией</w:t>
      </w:r>
      <w:r w:rsidR="005F0B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F0B8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обеспечением по обязательствам связанных с кредитной организацией лиц, которых профинансировал контрагент </w:t>
      </w:r>
      <w:proofErr w:type="spellStart"/>
      <w:r w:rsidR="005F0B87" w:rsidRPr="00832CE1">
        <w:rPr>
          <w:rFonts w:ascii="Times New Roman" w:hAnsi="Times New Roman" w:cs="Times New Roman"/>
          <w:sz w:val="28"/>
          <w:szCs w:val="28"/>
          <w:lang w:val="ru-RU"/>
        </w:rPr>
        <w:t>аудируемой</w:t>
      </w:r>
      <w:proofErr w:type="spellEnd"/>
      <w:r w:rsidR="005F0B87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организации);</w:t>
      </w:r>
      <w:proofErr w:type="gramEnd"/>
    </w:p>
    <w:p w14:paraId="001038D6" w14:textId="763AC013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провер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классификаци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кредитов и условных обязатель</w:t>
      </w: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t>ств кр</w:t>
      </w:r>
      <w:proofErr w:type="gramEnd"/>
      <w:r w:rsidRPr="00832CE1">
        <w:rPr>
          <w:rFonts w:ascii="Times New Roman" w:hAnsi="Times New Roman" w:cs="Times New Roman"/>
          <w:sz w:val="28"/>
          <w:szCs w:val="28"/>
          <w:lang w:val="ru-RU"/>
        </w:rPr>
        <w:t>едитного характера по группам риска, а также величин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созданных</w:t>
      </w:r>
      <w:r w:rsidR="007558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5847" w:rsidRPr="00832CE1">
        <w:rPr>
          <w:rFonts w:ascii="Times New Roman" w:hAnsi="Times New Roman" w:cs="Times New Roman"/>
          <w:sz w:val="28"/>
          <w:szCs w:val="28"/>
          <w:lang w:val="ru-RU"/>
        </w:rPr>
        <w:t>резервов на возможные потери</w:t>
      </w:r>
      <w:r w:rsidR="003355C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55847" w:rsidRPr="00832CE1">
        <w:rPr>
          <w:rFonts w:ascii="Times New Roman" w:hAnsi="Times New Roman" w:cs="Times New Roman"/>
          <w:sz w:val="28"/>
          <w:szCs w:val="28"/>
          <w:lang w:val="ru-RU"/>
        </w:rPr>
        <w:t>резервов на возможные потери</w:t>
      </w:r>
      <w:r w:rsidR="00755847">
        <w:rPr>
          <w:rFonts w:ascii="Times New Roman" w:hAnsi="Times New Roman" w:cs="Times New Roman"/>
          <w:sz w:val="28"/>
          <w:szCs w:val="28"/>
          <w:lang w:val="ru-RU"/>
        </w:rPr>
        <w:t xml:space="preserve"> по ссудам, ссудной и приравненной к ней задолженности</w:t>
      </w:r>
      <w:r w:rsidR="003355C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резервов под обесценение</w:t>
      </w:r>
      <w:r w:rsidR="003355C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требованиями применимых нормативных 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актов Банка России и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требованиями МСФО; </w:t>
      </w:r>
    </w:p>
    <w:p w14:paraId="09611A13" w14:textId="46E7840D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провер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наличи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и стоимост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обеспечения, а также  соответствия обеспечения, используемого при определении величины </w:t>
      </w:r>
      <w:r w:rsidR="00755847" w:rsidRPr="00832CE1">
        <w:rPr>
          <w:rFonts w:ascii="Times New Roman" w:hAnsi="Times New Roman" w:cs="Times New Roman"/>
          <w:sz w:val="28"/>
          <w:szCs w:val="28"/>
          <w:lang w:val="ru-RU"/>
        </w:rPr>
        <w:t>резервов на возможные потери</w:t>
      </w:r>
      <w:r w:rsidR="003355C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55847" w:rsidRPr="00832CE1">
        <w:rPr>
          <w:rFonts w:ascii="Times New Roman" w:hAnsi="Times New Roman" w:cs="Times New Roman"/>
          <w:sz w:val="28"/>
          <w:szCs w:val="28"/>
          <w:lang w:val="ru-RU"/>
        </w:rPr>
        <w:t>резервов на возможные потери</w:t>
      </w:r>
      <w:r w:rsidR="00755847">
        <w:rPr>
          <w:rFonts w:ascii="Times New Roman" w:hAnsi="Times New Roman" w:cs="Times New Roman"/>
          <w:sz w:val="28"/>
          <w:szCs w:val="28"/>
          <w:lang w:val="ru-RU"/>
        </w:rPr>
        <w:t xml:space="preserve"> по ссудам, ссудной и приравненной к ней задолженности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, требованиям, установленным применимым нормативным актом Банка России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E29" w:rsidRPr="00832CE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BD6E29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6E29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аудита 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бухгалтерской (</w:t>
      </w:r>
      <w:r w:rsidR="00BD6E29" w:rsidRPr="00832CE1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D6E29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отчетности, подготовленной в соответствии с 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российскими правилами бухгалтерского учета</w:t>
      </w:r>
      <w:r w:rsidR="00BD6E29" w:rsidRPr="00832CE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14:paraId="6D320472" w14:textId="555725D5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провер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обоснованност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прекращения признания кредитов, проданных в течение отчетного периода по цессии. Аудиторск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рассм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атривает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необходимость получения подтверждения от контрагента кредитной организации (покупателя) по операции продажи кредитов по цессии отсутствия каких-либо соглашений по обратному выкупу данных кредитов, гарантий в отношении проданных кредитов и т.п., заключенных/выданных кредитной организацией; </w:t>
      </w:r>
    </w:p>
    <w:p w14:paraId="32E18417" w14:textId="13C3C377" w:rsidR="00E9626D" w:rsidRPr="00832CE1" w:rsidRDefault="00BD6E29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дополнительные аудиторские процедуры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 случае, например: </w:t>
      </w:r>
    </w:p>
    <w:p w14:paraId="109545BE" w14:textId="77777777" w:rsidR="00E9626D" w:rsidRPr="00832CE1" w:rsidRDefault="00E9626D" w:rsidP="00964D62">
      <w:pPr>
        <w:pStyle w:val="a0"/>
        <w:numPr>
          <w:ilvl w:val="3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резкого роста депозитов физических лиц, сопровождающегося соответствующим ростом кредитного портфеля по сравнению с соответствующим предыдущим периодом; </w:t>
      </w:r>
    </w:p>
    <w:p w14:paraId="49A14644" w14:textId="77777777" w:rsidR="00E9626D" w:rsidRPr="00832CE1" w:rsidRDefault="00E9626D" w:rsidP="00964D62">
      <w:pPr>
        <w:pStyle w:val="a0"/>
        <w:numPr>
          <w:ilvl w:val="3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наличия необеспеченных кредитов, выданных организациям, осуществляющим торговую деятельность;</w:t>
      </w:r>
    </w:p>
    <w:p w14:paraId="4B117A0A" w14:textId="77777777" w:rsidR="00E9626D" w:rsidRPr="00832CE1" w:rsidRDefault="00E9626D" w:rsidP="00964D62">
      <w:pPr>
        <w:pStyle w:val="a0"/>
        <w:numPr>
          <w:ilvl w:val="3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наличия высокой концентрации кредитного портфеля.</w:t>
      </w:r>
    </w:p>
    <w:p w14:paraId="7883BB94" w14:textId="023F4AE0" w:rsidR="00E9626D" w:rsidRPr="00832CE1" w:rsidRDefault="00BD6E29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отношении ц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бумаг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0C016D2" w14:textId="014437CA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подтвер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ждение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ценных бумаг в депозитариях с указанием ценных бумагах, находящихся в залоге;</w:t>
      </w:r>
    </w:p>
    <w:p w14:paraId="14387273" w14:textId="0D901EFB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выяв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ление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ненадежны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депозитари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ев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и провер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организацией в отношении выявленных ненадежных депозитариев установленных Банком России требований по формированию резервов на возможные потери по операциям с ценными бумагами, права на которые удостоверены 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 xml:space="preserve">такими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депозитариями; </w:t>
      </w:r>
    </w:p>
    <w:p w14:paraId="548B5881" w14:textId="05B1F327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подтвер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ждение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активност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/неактивност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рынка по тем ценным бумагам, по которым справедливая стоимость определяется на основании котировок, но наблюдаются резкие изменения в объеме и/или частоте торгов по состоянию на отчетную дату и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отчетного периода операции с данными ценными бумагами осуществлялись в незначительных объемах и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 незначительной частотой;</w:t>
      </w:r>
      <w:proofErr w:type="gramEnd"/>
    </w:p>
    <w:p w14:paraId="00CF2595" w14:textId="348F76CC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пров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ерка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оценк</w:t>
      </w:r>
      <w:r w:rsidR="00BD6E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некотируемых</w:t>
      </w:r>
      <w:proofErr w:type="spell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ценных бумаг (в части определения справедливой стоимости и</w:t>
      </w:r>
      <w:r w:rsidR="000C3F3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0C3F3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 части определения группы риска и величины </w:t>
      </w:r>
      <w:r w:rsidR="00755847" w:rsidRPr="00832CE1">
        <w:rPr>
          <w:rFonts w:ascii="Times New Roman" w:hAnsi="Times New Roman" w:cs="Times New Roman"/>
          <w:sz w:val="28"/>
          <w:szCs w:val="28"/>
          <w:lang w:val="ru-RU"/>
        </w:rPr>
        <w:t>резервов на возможные потери</w:t>
      </w:r>
      <w:r w:rsidR="003355C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55847" w:rsidRPr="00832CE1">
        <w:rPr>
          <w:rFonts w:ascii="Times New Roman" w:hAnsi="Times New Roman" w:cs="Times New Roman"/>
          <w:sz w:val="28"/>
          <w:szCs w:val="28"/>
          <w:lang w:val="ru-RU"/>
        </w:rPr>
        <w:t>резервов на возможные потери</w:t>
      </w:r>
      <w:r w:rsidR="00755847">
        <w:rPr>
          <w:rFonts w:ascii="Times New Roman" w:hAnsi="Times New Roman" w:cs="Times New Roman"/>
          <w:sz w:val="28"/>
          <w:szCs w:val="28"/>
          <w:lang w:val="ru-RU"/>
        </w:rPr>
        <w:t xml:space="preserve"> по ссудам, ссудной и приравненной к ней задолженности</w:t>
      </w:r>
      <w:r w:rsidR="003355C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резерв</w:t>
      </w:r>
      <w:r w:rsidR="00755847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под обесценение)</w:t>
      </w:r>
      <w:r w:rsidR="003355C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требованиями применимых нормативных актов Банка России и</w:t>
      </w:r>
      <w:r w:rsidR="000C3F3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0C3F3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требован</w:t>
      </w:r>
      <w:r w:rsidR="00E37F9D" w:rsidRPr="00832CE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ями МСФО.</w:t>
      </w:r>
      <w:proofErr w:type="gramEnd"/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 случае привлечения специалиста в области оценки аудиторская организация руководств</w:t>
      </w:r>
      <w:r w:rsidR="000C3F3E">
        <w:rPr>
          <w:rFonts w:ascii="Times New Roman" w:hAnsi="Times New Roman" w:cs="Times New Roman"/>
          <w:sz w:val="28"/>
          <w:szCs w:val="28"/>
          <w:lang w:val="ru-RU"/>
        </w:rPr>
        <w:t>уется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требованиями МСА 620 «Использование работы эксперта аудитора». </w:t>
      </w:r>
    </w:p>
    <w:p w14:paraId="25E17B01" w14:textId="4AF87EBA" w:rsidR="00E9626D" w:rsidRPr="00832CE1" w:rsidRDefault="00624BEB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отношении п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роизводны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F56B46">
        <w:rPr>
          <w:rStyle w:val="a7"/>
          <w:rFonts w:ascii="Times New Roman" w:hAnsi="Times New Roman" w:cs="Times New Roman"/>
          <w:sz w:val="28"/>
          <w:szCs w:val="28"/>
          <w:lang w:val="ru-RU"/>
        </w:rPr>
        <w:footnoteReference w:id="3"/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6389FD8" w14:textId="6A92D901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провер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оценк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производных финансовых инструментов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требованиями применимых нормативных актов Банка России и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требованиями МСФО. 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собое внимание 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 xml:space="preserve">должно быть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удел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ено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оценке сложных 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производных финансовых инструментов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, например, опцион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, кредитно-дефолтны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своп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. В случае привлечения специалиста в области оценки аудиторская организация руководств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уется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требованиями МСА 620.</w:t>
      </w:r>
    </w:p>
    <w:p w14:paraId="5558F593" w14:textId="04E03621" w:rsidR="00E9626D" w:rsidRPr="00832CE1" w:rsidRDefault="00624BEB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отношении о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тложенны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налог</w:t>
      </w:r>
      <w:r>
        <w:rPr>
          <w:rFonts w:ascii="Times New Roman" w:hAnsi="Times New Roman" w:cs="Times New Roman"/>
          <w:sz w:val="28"/>
          <w:szCs w:val="28"/>
          <w:lang w:val="ru-RU"/>
        </w:rPr>
        <w:t>ов:</w:t>
      </w:r>
    </w:p>
    <w:p w14:paraId="50D1F14D" w14:textId="1D153FCB" w:rsidR="00E9626D" w:rsidRPr="00832CE1" w:rsidRDefault="00624BEB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проверка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отложенных налоговых активов и отложенных налоговых обязательств; </w:t>
      </w:r>
    </w:p>
    <w:p w14:paraId="2122FC34" w14:textId="11443BF0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провер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критери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ев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признания </w:t>
      </w:r>
      <w:r w:rsidR="00624BEB" w:rsidRPr="00832CE1">
        <w:rPr>
          <w:rFonts w:ascii="Times New Roman" w:hAnsi="Times New Roman" w:cs="Times New Roman"/>
          <w:sz w:val="28"/>
          <w:szCs w:val="28"/>
          <w:lang w:val="ru-RU"/>
        </w:rPr>
        <w:t>отложенных налоговых активов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321993" w14:textId="3E2E8AA4" w:rsidR="00E9626D" w:rsidRPr="00832CE1" w:rsidRDefault="00624BEB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отношении а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ктив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бухгалтерск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учет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которых установлен Положени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Банка России от 22 декабря 2014 года № 448-П «О порядке бухгалтерского учета основных средств, нематериальных активов, недвижимости, временно не используемой в основной деятельности,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в кредитных организациях»</w:t>
      </w:r>
      <w:r w:rsidR="005739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(далее – Положение № 448-П), и прочи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актив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(например, предоплат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C0F91" w14:textId="00AFF6BB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подтвер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ждение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существовани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активов по состоянию на отчетную дату;</w:t>
      </w:r>
    </w:p>
    <w:p w14:paraId="78BE0E7B" w14:textId="5D64206A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рассмотре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правоустанавливающих документов в отношении активов</w:t>
      </w:r>
      <w:r w:rsidR="00624BEB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r w:rsidR="00624BEB" w:rsidRPr="00832CE1">
        <w:rPr>
          <w:rFonts w:ascii="Times New Roman" w:hAnsi="Times New Roman" w:cs="Times New Roman"/>
          <w:sz w:val="28"/>
          <w:szCs w:val="28"/>
          <w:lang w:val="ru-RU"/>
        </w:rPr>
        <w:t>бухгалтерск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624BEB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учет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24BEB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которых установлен Положени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624BEB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№ 448-П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E3E7899" w14:textId="20DFD89B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провер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величин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переоцененной или справедливой стоимости активов, 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бухгалтерск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учет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которых установлен Положени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№ 448-П, учитываемых по переоцененной или справедливой стоимости, в соответствии с требованиями применимых нормативных актов Банка России и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требованиями МСФО. В случае привлечения специалиста в области оценки аудиторская организация руководств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уется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требованиями МСА 620;</w:t>
      </w:r>
      <w:r w:rsidRPr="00832CE1" w:rsidDel="003F1D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A55F6C" w14:textId="7FBD2B8D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выполн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 xml:space="preserve">аудиторских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процедур в отношении оценки активов, не оцениваемых по справедливой или переоцененной стоимости (включая 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проверку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на обесценение) в соответствии с требованиями применимых нормативных актов Банка России и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требованиями МСФО.</w:t>
      </w:r>
    </w:p>
    <w:p w14:paraId="3C4A83E8" w14:textId="6FAE1E3B" w:rsidR="00E9626D" w:rsidRPr="00832CE1" w:rsidRDefault="00E9626D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В случае если аудиторская организация оценивает риск того, что кредитная организация не отражает факт наличия обременения по активам</w:t>
      </w:r>
      <w:r w:rsidR="0009170B" w:rsidRPr="00832CE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как значимый, 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получить подтверждение наличия или отсутствия обременения по активам кредитной организации.</w:t>
      </w:r>
    </w:p>
    <w:p w14:paraId="11B334AD" w14:textId="4A53C917" w:rsidR="00E9626D" w:rsidRPr="00832CE1" w:rsidRDefault="00E9626D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случае существенных требований к связанным 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 xml:space="preserve">сторонам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кредитной организаци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по состоянию на отчетную дату аудиторск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 xml:space="preserve">ая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рассм</w:t>
      </w:r>
      <w:r w:rsidR="00624BEB">
        <w:rPr>
          <w:rFonts w:ascii="Times New Roman" w:hAnsi="Times New Roman" w:cs="Times New Roman"/>
          <w:sz w:val="28"/>
          <w:szCs w:val="28"/>
          <w:lang w:val="ru-RU"/>
        </w:rPr>
        <w:t>атривает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необходимость выполнения дополнительных процедур, направленных на проверку кредитного качества требований к связанным с</w:t>
      </w:r>
      <w:r w:rsidR="00C50FFD">
        <w:rPr>
          <w:rFonts w:ascii="Times New Roman" w:hAnsi="Times New Roman" w:cs="Times New Roman"/>
          <w:sz w:val="28"/>
          <w:szCs w:val="28"/>
          <w:lang w:val="ru-RU"/>
        </w:rPr>
        <w:t>торонам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</w:t>
      </w:r>
      <w:r w:rsidR="00C50F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2F878B6" w14:textId="6173A815" w:rsidR="00E9626D" w:rsidRPr="00832CE1" w:rsidRDefault="00E9626D" w:rsidP="00EF3845">
      <w:pPr>
        <w:pStyle w:val="2"/>
      </w:pPr>
      <w:r w:rsidRPr="00832CE1">
        <w:t xml:space="preserve">Соблюдение применимых нормативных актов в отношении полноты отражения обязательств, резервов – оценочных обязательств </w:t>
      </w:r>
      <w:proofErr w:type="spellStart"/>
      <w:r w:rsidRPr="00832CE1">
        <w:t>некредитного</w:t>
      </w:r>
      <w:proofErr w:type="spellEnd"/>
      <w:r w:rsidRPr="00832CE1">
        <w:t xml:space="preserve"> характера, условных обязатель</w:t>
      </w:r>
      <w:proofErr w:type="gramStart"/>
      <w:r w:rsidRPr="00832CE1">
        <w:t>ств кр</w:t>
      </w:r>
      <w:proofErr w:type="gramEnd"/>
      <w:r w:rsidRPr="00832CE1">
        <w:t xml:space="preserve">едитного характера </w:t>
      </w:r>
    </w:p>
    <w:p w14:paraId="313BA9DF" w14:textId="56E1D847" w:rsidR="00E9626D" w:rsidRPr="00832CE1" w:rsidRDefault="0009760C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одтвер</w:t>
      </w:r>
      <w:r>
        <w:rPr>
          <w:rFonts w:ascii="Times New Roman" w:hAnsi="Times New Roman" w:cs="Times New Roman"/>
          <w:sz w:val="28"/>
          <w:szCs w:val="28"/>
          <w:lang w:val="ru-RU"/>
        </w:rPr>
        <w:t>ждение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сумм по обязательствам и условным обязательствам кредитного характера кредитной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F09BFD" w14:textId="15F359C6" w:rsidR="00E9626D" w:rsidRPr="00832CE1" w:rsidRDefault="0009760C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ровер</w:t>
      </w:r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полнот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налоговых обязатель</w:t>
      </w:r>
      <w:proofErr w:type="gramStart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ств кр</w:t>
      </w:r>
      <w:proofErr w:type="gramEnd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едитной организации. В случае привлечения специалиста в области налогообложения аудиторская организация руководств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уется 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требованиями МСА 620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9D19CB" w14:textId="384757FE" w:rsidR="00E9626D" w:rsidRPr="00832CE1" w:rsidRDefault="0009760C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проверок регулирующих</w:t>
      </w:r>
      <w:r>
        <w:rPr>
          <w:rFonts w:ascii="Times New Roman" w:hAnsi="Times New Roman" w:cs="Times New Roman"/>
          <w:sz w:val="28"/>
          <w:szCs w:val="28"/>
          <w:lang w:val="ru-RU"/>
        </w:rPr>
        <w:t>, надзорных и контролирующих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органов (Банк России, налоговы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ru-RU"/>
        </w:rPr>
        <w:t>ы, др.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F35544" w14:textId="64D8AEFB" w:rsidR="00E9626D" w:rsidRPr="00832CE1" w:rsidRDefault="0009760C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открыты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судебны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разбирательств, по которым кредитная организация выступает в качестве ответчика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1AE758" w14:textId="0EAD358D" w:rsidR="00E9626D" w:rsidRPr="00832CE1" w:rsidRDefault="0009760C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взаимоувязки</w:t>
      </w:r>
      <w:proofErr w:type="spellEnd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показателей бухгалтерского баланса</w:t>
      </w:r>
      <w:r w:rsidR="0009170B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(включая </w:t>
      </w:r>
      <w:proofErr w:type="spellStart"/>
      <w:r w:rsidR="0009170B" w:rsidRPr="00832CE1">
        <w:rPr>
          <w:rFonts w:ascii="Times New Roman" w:hAnsi="Times New Roman" w:cs="Times New Roman"/>
          <w:sz w:val="28"/>
          <w:szCs w:val="28"/>
          <w:lang w:val="ru-RU"/>
        </w:rPr>
        <w:t>внебалансовые</w:t>
      </w:r>
      <w:proofErr w:type="spellEnd"/>
      <w:r w:rsidR="0009170B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статьи)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170B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отчета о финансовом положении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и отчета о финансовых результатах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170B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отчета о прибыли или убытке и прочем совокупном доходе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2A0C69" w14:textId="719B67A5" w:rsidR="00E9626D" w:rsidRPr="00832CE1" w:rsidRDefault="00E9626D" w:rsidP="00EF3845">
      <w:pPr>
        <w:pStyle w:val="2"/>
      </w:pPr>
      <w:r w:rsidRPr="00832CE1">
        <w:t xml:space="preserve">Соблюдение применимых нормативных актов в отношении отражения в бухгалтерском учете и </w:t>
      </w:r>
      <w:r w:rsidR="00F56B46">
        <w:t>бухгалтерской (</w:t>
      </w:r>
      <w:r w:rsidRPr="00832CE1">
        <w:t>финансовой</w:t>
      </w:r>
      <w:r w:rsidR="00F56B46">
        <w:t>)</w:t>
      </w:r>
      <w:r w:rsidRPr="00832CE1">
        <w:t xml:space="preserve"> отчетности нестандартных, </w:t>
      </w:r>
      <w:proofErr w:type="spellStart"/>
      <w:r w:rsidRPr="00832CE1">
        <w:t>сложноструктурированных</w:t>
      </w:r>
      <w:proofErr w:type="spellEnd"/>
      <w:r w:rsidRPr="00832CE1">
        <w:t xml:space="preserve"> операций, а также операций, приводящих к эффекту</w:t>
      </w:r>
      <w:r w:rsidR="00FF5C88">
        <w:t>, значимому</w:t>
      </w:r>
      <w:r w:rsidRPr="00832CE1">
        <w:t xml:space="preserve"> </w:t>
      </w:r>
      <w:r w:rsidR="00FF5C88">
        <w:t>для</w:t>
      </w:r>
      <w:r w:rsidRPr="00832CE1">
        <w:t xml:space="preserve"> финансов</w:t>
      </w:r>
      <w:r w:rsidR="00FF5C88">
        <w:t>ого</w:t>
      </w:r>
      <w:r w:rsidRPr="00832CE1">
        <w:t xml:space="preserve"> результат</w:t>
      </w:r>
      <w:r w:rsidR="00FF5C88">
        <w:t>а</w:t>
      </w:r>
      <w:r w:rsidRPr="00832CE1">
        <w:t xml:space="preserve"> кредитной организации </w:t>
      </w:r>
    </w:p>
    <w:p w14:paraId="6B2AF248" w14:textId="21176D4D" w:rsidR="00E9626D" w:rsidRPr="00832CE1" w:rsidRDefault="00FF5C88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ыяв</w:t>
      </w:r>
      <w:r>
        <w:rPr>
          <w:rFonts w:ascii="Times New Roman" w:hAnsi="Times New Roman" w:cs="Times New Roman"/>
          <w:sz w:val="28"/>
          <w:szCs w:val="28"/>
          <w:lang w:val="ru-RU"/>
        </w:rPr>
        <w:t>ление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нестандартны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сложноструктурированны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, а также операци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, приводящи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 эффекту</w:t>
      </w:r>
      <w:r>
        <w:rPr>
          <w:rFonts w:ascii="Times New Roman" w:hAnsi="Times New Roman" w:cs="Times New Roman"/>
          <w:sz w:val="28"/>
          <w:szCs w:val="28"/>
          <w:lang w:val="ru-RU"/>
        </w:rPr>
        <w:t>, значимому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организации</w:t>
      </w:r>
      <w:r w:rsidR="0009170B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этого </w:t>
      </w:r>
      <w:r w:rsidR="00A40C03" w:rsidRPr="00832CE1">
        <w:rPr>
          <w:rFonts w:ascii="Times New Roman" w:hAnsi="Times New Roman" w:cs="Times New Roman"/>
          <w:sz w:val="28"/>
          <w:szCs w:val="28"/>
          <w:lang w:val="ru-RU"/>
        </w:rPr>
        <w:t>выполн</w:t>
      </w:r>
      <w:r>
        <w:rPr>
          <w:rFonts w:ascii="Times New Roman" w:hAnsi="Times New Roman" w:cs="Times New Roman"/>
          <w:sz w:val="28"/>
          <w:szCs w:val="28"/>
          <w:lang w:val="ru-RU"/>
        </w:rPr>
        <w:t>яются</w:t>
      </w:r>
      <w:r w:rsidR="00A40C03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процедуры:</w:t>
      </w:r>
    </w:p>
    <w:p w14:paraId="699DA1B3" w14:textId="62DF0A7C" w:rsidR="00E9626D" w:rsidRPr="00832CE1" w:rsidRDefault="00FF5C88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взаимоувязки</w:t>
      </w:r>
      <w:proofErr w:type="spellEnd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показателей бухгалтерского баланса (включая </w:t>
      </w:r>
      <w:proofErr w:type="spellStart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внебалансовые</w:t>
      </w:r>
      <w:proofErr w:type="spellEnd"/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статьи)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170B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отчета о финансовом положении 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и отчета о финансовых результатах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9170B" w:rsidRPr="00832CE1">
        <w:rPr>
          <w:rFonts w:ascii="Times New Roman" w:hAnsi="Times New Roman" w:cs="Times New Roman"/>
          <w:sz w:val="28"/>
          <w:szCs w:val="28"/>
          <w:lang w:val="ru-RU"/>
        </w:rPr>
        <w:t>отчета о прибыли или убытке и прочем совокупном доходе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513F72" w14:textId="6C0CDC13" w:rsidR="00E9626D" w:rsidRPr="00832CE1" w:rsidRDefault="00E9626D" w:rsidP="00964D62">
      <w:pPr>
        <w:pStyle w:val="a0"/>
        <w:numPr>
          <w:ilvl w:val="2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прове</w:t>
      </w:r>
      <w:r w:rsidR="00FF5C88">
        <w:rPr>
          <w:rFonts w:ascii="Times New Roman" w:hAnsi="Times New Roman" w:cs="Times New Roman"/>
          <w:sz w:val="28"/>
          <w:szCs w:val="28"/>
          <w:lang w:val="ru-RU"/>
        </w:rPr>
        <w:t xml:space="preserve">дение </w:t>
      </w: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t>тренд-анализ</w:t>
      </w:r>
      <w:r w:rsidR="00FF5C88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FF5C88">
        <w:rPr>
          <w:rFonts w:ascii="Times New Roman" w:hAnsi="Times New Roman" w:cs="Times New Roman"/>
          <w:sz w:val="28"/>
          <w:szCs w:val="28"/>
          <w:lang w:val="ru-RU"/>
        </w:rPr>
        <w:t xml:space="preserve">, причем особое внимание должно быть уделено 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анализу нестандартных трендов</w:t>
      </w:r>
      <w:r w:rsidR="00FF5C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FBD613" w14:textId="392795FE" w:rsidR="00E9626D" w:rsidRPr="00832CE1" w:rsidRDefault="00FF5C88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олуч</w:t>
      </w:r>
      <w:r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понимани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экономической сути операции (наличие экономической целесообразности для всех сторон операции)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5072B1" w14:textId="194ECF52" w:rsidR="00E9626D" w:rsidRPr="00832CE1" w:rsidRDefault="00FF5C88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первичн</w:t>
      </w:r>
      <w:r>
        <w:rPr>
          <w:rFonts w:ascii="Times New Roman" w:hAnsi="Times New Roman" w:cs="Times New Roman"/>
          <w:sz w:val="28"/>
          <w:szCs w:val="28"/>
          <w:lang w:val="ru-RU"/>
        </w:rPr>
        <w:t>ой документации.</w:t>
      </w:r>
    </w:p>
    <w:p w14:paraId="3B4CB755" w14:textId="6C9427A5" w:rsidR="00E9626D" w:rsidRPr="00832CE1" w:rsidRDefault="00FF5C88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рове</w:t>
      </w:r>
      <w:r>
        <w:rPr>
          <w:rFonts w:ascii="Times New Roman" w:hAnsi="Times New Roman" w:cs="Times New Roman"/>
          <w:sz w:val="28"/>
          <w:szCs w:val="28"/>
          <w:lang w:val="ru-RU"/>
        </w:rPr>
        <w:t>дение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интервью с руководством кредитной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221937" w14:textId="401ED03C" w:rsidR="00E9626D" w:rsidRPr="00832CE1" w:rsidRDefault="00FF5C88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Проверка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корректност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отражения операции в бухгалтерском учете в соответствии с требованиями применимых нормативных актов Банка России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0C03" w:rsidRPr="00832CE1">
        <w:rPr>
          <w:rFonts w:ascii="Times New Roman" w:hAnsi="Times New Roman" w:cs="Times New Roman"/>
          <w:sz w:val="28"/>
          <w:szCs w:val="28"/>
          <w:lang w:val="ru-RU"/>
        </w:rPr>
        <w:t>требованиями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МСФО.</w:t>
      </w:r>
    </w:p>
    <w:p w14:paraId="7C2E0494" w14:textId="47B30EA0" w:rsidR="00E9626D" w:rsidRPr="00832CE1" w:rsidRDefault="00E9626D" w:rsidP="00EF3845">
      <w:pPr>
        <w:pStyle w:val="2"/>
      </w:pPr>
      <w:r w:rsidRPr="00832CE1">
        <w:lastRenderedPageBreak/>
        <w:t xml:space="preserve">Применение принципа непрерывности деятельности при подготовке </w:t>
      </w:r>
      <w:r w:rsidR="00D07CAB">
        <w:t>бухгалтерской (</w:t>
      </w:r>
      <w:r w:rsidRPr="00832CE1">
        <w:t>финансовой</w:t>
      </w:r>
      <w:r w:rsidR="00D07CAB">
        <w:t>)</w:t>
      </w:r>
      <w:r w:rsidRPr="00832CE1">
        <w:t xml:space="preserve"> отчетности, а также наличие существенной неопределенности в связи с событиями или условиями, которые могут вызвать значительные сомнения в способности кредитной организации продолжать непрерывно свою деятельность</w:t>
      </w:r>
    </w:p>
    <w:p w14:paraId="2A8BA2DD" w14:textId="355B0A94" w:rsidR="00E9626D" w:rsidRPr="00832CE1" w:rsidRDefault="00D07CAB" w:rsidP="006E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 быть уделено 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процедурам, направленным на проверку правомерности применения принципа непрерывности деятельности, </w:t>
      </w:r>
      <w:r w:rsidR="00E557A0">
        <w:rPr>
          <w:rFonts w:ascii="Times New Roman" w:hAnsi="Times New Roman" w:cs="Times New Roman"/>
          <w:sz w:val="28"/>
          <w:szCs w:val="28"/>
          <w:lang w:val="ru-RU"/>
        </w:rPr>
        <w:t>в случаях, когда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, например: деятельность кредитной организации убыточна;</w:t>
      </w:r>
      <w:r w:rsidR="003355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в течение отчетного периода кредитной организацией нарушались обязательные нормативы</w:t>
      </w:r>
      <w:r w:rsidR="006E1E6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по результатам проверок кредитной организации регулирующими</w:t>
      </w:r>
      <w:r w:rsidR="00E557A0">
        <w:rPr>
          <w:rFonts w:ascii="Times New Roman" w:hAnsi="Times New Roman" w:cs="Times New Roman"/>
          <w:sz w:val="28"/>
          <w:szCs w:val="28"/>
          <w:lang w:val="ru-RU"/>
        </w:rPr>
        <w:t>, надзорными, контролирующими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органами были выявлены существенные замечания.</w:t>
      </w:r>
      <w:r w:rsidR="006E1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57A0">
        <w:rPr>
          <w:rFonts w:ascii="Times New Roman" w:hAnsi="Times New Roman" w:cs="Times New Roman"/>
          <w:sz w:val="28"/>
          <w:szCs w:val="28"/>
          <w:lang w:val="ru-RU"/>
        </w:rPr>
        <w:t>В этих целях целесообразны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</w:t>
      </w:r>
      <w:r w:rsidR="00E557A0">
        <w:rPr>
          <w:rFonts w:ascii="Times New Roman" w:hAnsi="Times New Roman" w:cs="Times New Roman"/>
          <w:sz w:val="28"/>
          <w:szCs w:val="28"/>
          <w:lang w:val="ru-RU"/>
        </w:rPr>
        <w:t xml:space="preserve">аудиторские </w:t>
      </w:r>
      <w:r w:rsidR="00E9626D" w:rsidRPr="00832CE1">
        <w:rPr>
          <w:rFonts w:ascii="Times New Roman" w:hAnsi="Times New Roman" w:cs="Times New Roman"/>
          <w:sz w:val="28"/>
          <w:szCs w:val="28"/>
          <w:lang w:val="ru-RU"/>
        </w:rPr>
        <w:t>процедуры:</w:t>
      </w:r>
    </w:p>
    <w:p w14:paraId="49F3CD2E" w14:textId="7DBB0077" w:rsidR="00E9626D" w:rsidRPr="00832CE1" w:rsidRDefault="00E9626D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изуч</w:t>
      </w:r>
      <w:r w:rsidR="00E557A0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557A0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акт</w:t>
      </w:r>
      <w:r w:rsidR="00E557A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проверок Банка России, налоговых и иных регулирующих</w:t>
      </w:r>
      <w:r w:rsidR="00E557A0">
        <w:rPr>
          <w:rFonts w:ascii="Times New Roman" w:hAnsi="Times New Roman" w:cs="Times New Roman"/>
          <w:sz w:val="28"/>
          <w:szCs w:val="28"/>
          <w:lang w:val="ru-RU"/>
        </w:rPr>
        <w:t>, надзорных, контролирующих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органов, а также выпущенны</w:t>
      </w:r>
      <w:r w:rsidR="00E557A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проверок </w:t>
      </w:r>
      <w:r w:rsidR="00F56B46" w:rsidRPr="00832CE1">
        <w:rPr>
          <w:rFonts w:ascii="Times New Roman" w:hAnsi="Times New Roman" w:cs="Times New Roman"/>
          <w:sz w:val="28"/>
          <w:szCs w:val="28"/>
          <w:lang w:val="ru-RU"/>
        </w:rPr>
        <w:t>предписани</w:t>
      </w:r>
      <w:r w:rsidR="00F56B4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F56B46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3218" w:rsidRPr="00832CE1">
        <w:rPr>
          <w:rFonts w:ascii="Times New Roman" w:hAnsi="Times New Roman" w:cs="Times New Roman"/>
          <w:sz w:val="28"/>
          <w:szCs w:val="28"/>
          <w:lang w:val="ru-RU"/>
        </w:rPr>
        <w:t>и предприняты</w:t>
      </w:r>
      <w:r w:rsidR="00E557A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E3218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организацией мер</w:t>
      </w:r>
      <w:r w:rsidR="00E557A0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EE3218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в ответ на полученные предписания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14:paraId="29132FD6" w14:textId="4EA70E28" w:rsidR="00E9626D" w:rsidRPr="00832CE1" w:rsidRDefault="00E9626D" w:rsidP="00964D62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2CE1">
        <w:rPr>
          <w:rFonts w:ascii="Times New Roman" w:hAnsi="Times New Roman" w:cs="Times New Roman"/>
          <w:sz w:val="28"/>
          <w:szCs w:val="28"/>
          <w:lang w:val="ru-RU"/>
        </w:rPr>
        <w:t>изуч</w:t>
      </w:r>
      <w:r w:rsidR="00E557A0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557A0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32CE1">
        <w:rPr>
          <w:rFonts w:ascii="Times New Roman" w:hAnsi="Times New Roman" w:cs="Times New Roman"/>
          <w:sz w:val="28"/>
          <w:szCs w:val="28"/>
          <w:lang w:val="ru-RU"/>
        </w:rPr>
        <w:t>акт</w:t>
      </w:r>
      <w:r w:rsidR="00E557A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проверок службы внутреннего аудита кредитной организации</w:t>
      </w:r>
      <w:proofErr w:type="gramEnd"/>
      <w:r w:rsidR="00EE3218" w:rsidRPr="00832CE1">
        <w:rPr>
          <w:rFonts w:ascii="Times New Roman" w:hAnsi="Times New Roman" w:cs="Times New Roman"/>
          <w:sz w:val="28"/>
          <w:szCs w:val="28"/>
          <w:lang w:val="ru-RU"/>
        </w:rPr>
        <w:t xml:space="preserve"> и предпринятые кредитной организацией меры в ответ на полученные замечания</w:t>
      </w:r>
      <w:r w:rsidRPr="00832C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8763478" w14:textId="54AEB0F0" w:rsidR="004F35CF" w:rsidRPr="00E557A0" w:rsidRDefault="00E557A0" w:rsidP="00832CE1">
      <w:pPr>
        <w:pStyle w:val="a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7A0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EE3218" w:rsidRPr="00E557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26D" w:rsidRPr="00E557A0">
        <w:rPr>
          <w:rFonts w:ascii="Times New Roman" w:hAnsi="Times New Roman" w:cs="Times New Roman"/>
          <w:sz w:val="28"/>
          <w:szCs w:val="28"/>
          <w:lang w:val="ru-RU"/>
        </w:rPr>
        <w:t>позици</w:t>
      </w:r>
      <w:r w:rsidRPr="00E557A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9626D" w:rsidRPr="00E557A0">
        <w:rPr>
          <w:rFonts w:ascii="Times New Roman" w:hAnsi="Times New Roman" w:cs="Times New Roman"/>
          <w:sz w:val="28"/>
          <w:szCs w:val="28"/>
          <w:lang w:val="ru-RU"/>
        </w:rPr>
        <w:t xml:space="preserve"> кредитной организации по ликвидности</w:t>
      </w:r>
      <w:r w:rsidRPr="00E557A0">
        <w:rPr>
          <w:rFonts w:ascii="Times New Roman" w:hAnsi="Times New Roman" w:cs="Times New Roman"/>
          <w:sz w:val="28"/>
          <w:szCs w:val="28"/>
          <w:lang w:val="ru-RU"/>
        </w:rPr>
        <w:t>, в частности,</w:t>
      </w:r>
      <w:r w:rsidR="00E9626D" w:rsidRPr="00E557A0">
        <w:rPr>
          <w:rFonts w:ascii="Times New Roman" w:hAnsi="Times New Roman" w:cs="Times New Roman"/>
          <w:sz w:val="28"/>
          <w:szCs w:val="28"/>
          <w:lang w:val="ru-RU"/>
        </w:rPr>
        <w:t xml:space="preserve"> наличи</w:t>
      </w:r>
      <w:r w:rsidRPr="00E557A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E9626D" w:rsidRPr="00E557A0">
        <w:rPr>
          <w:rFonts w:ascii="Times New Roman" w:hAnsi="Times New Roman" w:cs="Times New Roman"/>
          <w:sz w:val="28"/>
          <w:szCs w:val="28"/>
          <w:lang w:val="ru-RU"/>
        </w:rPr>
        <w:t xml:space="preserve"> у кредитной организации запаса ликвидности</w:t>
      </w:r>
      <w:r w:rsidR="00EE3218" w:rsidRPr="00E557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7A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E3218" w:rsidRPr="00E557A0">
        <w:rPr>
          <w:rFonts w:ascii="Times New Roman" w:hAnsi="Times New Roman" w:cs="Times New Roman"/>
          <w:sz w:val="28"/>
          <w:szCs w:val="28"/>
          <w:lang w:val="ru-RU"/>
        </w:rPr>
        <w:t xml:space="preserve">путем проведения интервью с лицами, ответственными за управление риском ликвидности в кредитной организации, анализа договоров открытых кредитных линий и </w:t>
      </w:r>
      <w:proofErr w:type="spellStart"/>
      <w:r w:rsidR="00EE3218" w:rsidRPr="00E557A0">
        <w:rPr>
          <w:rFonts w:ascii="Times New Roman" w:hAnsi="Times New Roman" w:cs="Times New Roman"/>
          <w:sz w:val="28"/>
          <w:szCs w:val="28"/>
          <w:lang w:val="ru-RU"/>
        </w:rPr>
        <w:t>т.п</w:t>
      </w:r>
      <w:proofErr w:type="spellEnd"/>
      <w:r w:rsidRPr="00E557A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9626D" w:rsidRPr="00E557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F35CF" w:rsidRPr="00E557A0" w:rsidSect="00A5003B">
      <w:headerReference w:type="default" r:id="rId9"/>
      <w:footerReference w:type="default" r:id="rId10"/>
      <w:pgSz w:w="12240" w:h="15840"/>
      <w:pgMar w:top="1134" w:right="851" w:bottom="1134" w:left="1134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DFBB83" w15:done="0"/>
  <w15:commentEx w15:paraId="12B2E4F6" w15:done="0"/>
  <w15:commentEx w15:paraId="4EAF7F51" w15:done="0"/>
  <w15:commentEx w15:paraId="29AEDDF4" w15:done="0"/>
  <w15:commentEx w15:paraId="05460A6A" w15:done="0"/>
  <w15:commentEx w15:paraId="6369C309" w15:done="0"/>
  <w15:commentEx w15:paraId="4CF86797" w15:done="0"/>
  <w15:commentEx w15:paraId="0A479D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3738D" w14:textId="77777777" w:rsidR="009D141E" w:rsidRDefault="009D141E" w:rsidP="00E9626D">
      <w:pPr>
        <w:spacing w:after="0" w:line="240" w:lineRule="auto"/>
      </w:pPr>
      <w:r>
        <w:separator/>
      </w:r>
    </w:p>
  </w:endnote>
  <w:endnote w:type="continuationSeparator" w:id="0">
    <w:p w14:paraId="315B0127" w14:textId="77777777" w:rsidR="009D141E" w:rsidRDefault="009D141E" w:rsidP="00E9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F9F09" w14:textId="00D3762D" w:rsidR="00F3041A" w:rsidRDefault="00F3041A">
    <w:pPr>
      <w:pStyle w:val="a8"/>
      <w:jc w:val="right"/>
    </w:pPr>
  </w:p>
  <w:p w14:paraId="5D04DA29" w14:textId="77777777" w:rsidR="00F3041A" w:rsidRDefault="00F304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2BCE0" w14:textId="77777777" w:rsidR="009D141E" w:rsidRDefault="009D141E" w:rsidP="00E9626D">
      <w:pPr>
        <w:spacing w:after="0" w:line="240" w:lineRule="auto"/>
      </w:pPr>
      <w:r>
        <w:separator/>
      </w:r>
    </w:p>
  </w:footnote>
  <w:footnote w:type="continuationSeparator" w:id="0">
    <w:p w14:paraId="151EC5DB" w14:textId="77777777" w:rsidR="009D141E" w:rsidRDefault="009D141E" w:rsidP="00E9626D">
      <w:pPr>
        <w:spacing w:after="0" w:line="240" w:lineRule="auto"/>
      </w:pPr>
      <w:r>
        <w:continuationSeparator/>
      </w:r>
    </w:p>
  </w:footnote>
  <w:footnote w:id="1">
    <w:p w14:paraId="0A8B1338" w14:textId="7A03A500" w:rsidR="00B74A93" w:rsidRPr="00036BA9" w:rsidRDefault="00B74A93" w:rsidP="00B74A93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6826">
        <w:rPr>
          <w:rStyle w:val="a7"/>
          <w:sz w:val="24"/>
          <w:szCs w:val="24"/>
        </w:rPr>
        <w:footnoteRef/>
      </w:r>
      <w:r w:rsidRPr="00036BA9">
        <w:rPr>
          <w:sz w:val="24"/>
          <w:szCs w:val="24"/>
          <w:lang w:val="ru-RU"/>
        </w:rPr>
        <w:t xml:space="preserve"> </w:t>
      </w:r>
      <w:r w:rsidRPr="00036BA9">
        <w:rPr>
          <w:rFonts w:ascii="Times New Roman" w:hAnsi="Times New Roman" w:cs="Times New Roman"/>
          <w:sz w:val="24"/>
          <w:szCs w:val="24"/>
          <w:lang w:val="ru-RU"/>
        </w:rPr>
        <w:t>Настоящи</w:t>
      </w:r>
      <w:r w:rsidR="009C7AD8">
        <w:rPr>
          <w:rFonts w:ascii="Times New Roman" w:hAnsi="Times New Roman" w:cs="Times New Roman"/>
          <w:sz w:val="24"/>
          <w:szCs w:val="24"/>
          <w:lang w:val="ru-RU"/>
        </w:rPr>
        <w:t>е Методические рекомендации</w:t>
      </w:r>
      <w:r w:rsidRPr="00036BA9">
        <w:rPr>
          <w:rFonts w:ascii="Times New Roman" w:hAnsi="Times New Roman" w:cs="Times New Roman"/>
          <w:sz w:val="24"/>
          <w:szCs w:val="24"/>
          <w:lang w:val="ru-RU"/>
        </w:rPr>
        <w:t xml:space="preserve"> подготовлен</w:t>
      </w:r>
      <w:r w:rsidR="009C7AD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36BA9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обобщения практики применения законодательства Российской Федерации об аудиторской деятельности (в том числе практики осуществления внешнего контроля качества работы аудиторских организаций), не является нормативным правовым актом.</w:t>
      </w:r>
    </w:p>
  </w:footnote>
  <w:footnote w:id="2">
    <w:p w14:paraId="0B12FD31" w14:textId="4898C8D6" w:rsidR="00B74A93" w:rsidRPr="00B74A93" w:rsidRDefault="00B74A93" w:rsidP="00B74A93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 w:rsidRPr="00B74A93"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74A93">
        <w:rPr>
          <w:rFonts w:ascii="Times New Roman" w:hAnsi="Times New Roman" w:cs="Times New Roman"/>
          <w:sz w:val="24"/>
          <w:szCs w:val="24"/>
          <w:lang w:val="ru-RU"/>
        </w:rPr>
        <w:t xml:space="preserve">десь и далее бухгалтерская (финансовая) отчетность,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составленная</w:t>
      </w:r>
      <w:r w:rsidRPr="00B74A93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российскими правилами составления бухгалтерской (финансовой) отчетности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74A9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консолидированная финансовая </w:t>
      </w:r>
      <w:r w:rsidRPr="00B74A93">
        <w:rPr>
          <w:rFonts w:ascii="Times New Roman" w:hAnsi="Times New Roman" w:cs="Times New Roman"/>
          <w:sz w:val="24"/>
          <w:szCs w:val="24"/>
          <w:lang w:val="ru-RU"/>
        </w:rPr>
        <w:t xml:space="preserve">отчетность,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составленная</w:t>
      </w:r>
      <w:r w:rsidRPr="00B74A93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74A93">
        <w:rPr>
          <w:rFonts w:ascii="Times New Roman" w:hAnsi="Times New Roman" w:cs="Times New Roman"/>
          <w:sz w:val="24"/>
          <w:szCs w:val="24"/>
          <w:lang w:val="ru-RU"/>
        </w:rPr>
        <w:t>еждународными стандартами финансовой отчетности (МСФО)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3">
    <w:p w14:paraId="3A227897" w14:textId="0499D4CC" w:rsidR="00F56B46" w:rsidRPr="009815CE" w:rsidRDefault="00F56B46" w:rsidP="009815CE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rStyle w:val="a7"/>
        </w:rPr>
        <w:footnoteRef/>
      </w:r>
      <w:r w:rsidRPr="00755847">
        <w:rPr>
          <w:lang w:val="ru-RU"/>
        </w:rPr>
        <w:t xml:space="preserve"> </w:t>
      </w:r>
      <w:r w:rsidRPr="00755847">
        <w:rPr>
          <w:rFonts w:ascii="Times New Roman" w:hAnsi="Times New Roman" w:cs="Times New Roman"/>
          <w:sz w:val="24"/>
          <w:szCs w:val="24"/>
          <w:lang w:val="ru-RU"/>
        </w:rPr>
        <w:t>При проведен</w:t>
      </w:r>
      <w:proofErr w:type="gramStart"/>
      <w:r w:rsidRPr="00755847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755847">
        <w:rPr>
          <w:rFonts w:ascii="Times New Roman" w:hAnsi="Times New Roman" w:cs="Times New Roman"/>
          <w:sz w:val="24"/>
          <w:szCs w:val="24"/>
          <w:lang w:val="ru-RU"/>
        </w:rPr>
        <w:t xml:space="preserve">диторских процедур в отношении </w:t>
      </w:r>
      <w:r w:rsidR="00950D34">
        <w:rPr>
          <w:rFonts w:ascii="Times New Roman" w:hAnsi="Times New Roman" w:cs="Times New Roman"/>
          <w:sz w:val="24"/>
          <w:szCs w:val="24"/>
          <w:lang w:val="ru-RU"/>
        </w:rPr>
        <w:t xml:space="preserve">финансовых инструментов, включая </w:t>
      </w:r>
      <w:r w:rsidRPr="00755847">
        <w:rPr>
          <w:rFonts w:ascii="Times New Roman" w:hAnsi="Times New Roman" w:cs="Times New Roman"/>
          <w:sz w:val="24"/>
          <w:szCs w:val="24"/>
          <w:lang w:val="ru-RU"/>
        </w:rPr>
        <w:t>производны</w:t>
      </w:r>
      <w:r w:rsidR="00950D34">
        <w:rPr>
          <w:rFonts w:ascii="Times New Roman" w:hAnsi="Times New Roman" w:cs="Times New Roman"/>
          <w:sz w:val="24"/>
          <w:szCs w:val="24"/>
          <w:lang w:val="ru-RU"/>
        </w:rPr>
        <w:t>е финансовые инструменты,</w:t>
      </w:r>
      <w:r w:rsidRPr="00755847">
        <w:rPr>
          <w:rFonts w:ascii="Times New Roman" w:hAnsi="Times New Roman" w:cs="Times New Roman"/>
          <w:sz w:val="24"/>
          <w:szCs w:val="24"/>
          <w:lang w:val="ru-RU"/>
        </w:rPr>
        <w:t xml:space="preserve"> аудиторским </w:t>
      </w:r>
      <w:r w:rsidR="00950D34">
        <w:rPr>
          <w:rFonts w:ascii="Times New Roman" w:hAnsi="Times New Roman" w:cs="Times New Roman"/>
          <w:sz w:val="24"/>
          <w:szCs w:val="24"/>
          <w:lang w:val="ru-RU"/>
        </w:rPr>
        <w:t>организациям</w:t>
      </w:r>
      <w:r w:rsidRPr="00755847">
        <w:rPr>
          <w:rFonts w:ascii="Times New Roman" w:hAnsi="Times New Roman" w:cs="Times New Roman"/>
          <w:sz w:val="24"/>
          <w:szCs w:val="24"/>
          <w:lang w:val="ru-RU"/>
        </w:rPr>
        <w:t xml:space="preserve"> рекомендуется руководствоваться </w:t>
      </w:r>
      <w:r w:rsidR="00950D34">
        <w:rPr>
          <w:rFonts w:ascii="Times New Roman" w:hAnsi="Times New Roman" w:cs="Times New Roman"/>
          <w:sz w:val="24"/>
          <w:szCs w:val="24"/>
          <w:lang w:val="ru-RU"/>
        </w:rPr>
        <w:t>Международным</w:t>
      </w:r>
      <w:r w:rsidRPr="009815CE">
        <w:rPr>
          <w:rFonts w:ascii="Times New Roman" w:hAnsi="Times New Roman" w:cs="Times New Roman"/>
          <w:sz w:val="24"/>
          <w:szCs w:val="24"/>
          <w:lang w:val="ru-RU"/>
        </w:rPr>
        <w:t xml:space="preserve"> отчет</w:t>
      </w:r>
      <w:r w:rsidR="00950D34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815CE">
        <w:rPr>
          <w:rFonts w:ascii="Times New Roman" w:hAnsi="Times New Roman" w:cs="Times New Roman"/>
          <w:sz w:val="24"/>
          <w:szCs w:val="24"/>
          <w:lang w:val="ru-RU"/>
        </w:rPr>
        <w:t xml:space="preserve"> о практике аудита (МОПА) 1000 «Особенности аудита финансовых инструментов».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093408"/>
      <w:docPartObj>
        <w:docPartGallery w:val="Page Numbers (Top of Page)"/>
        <w:docPartUnique/>
      </w:docPartObj>
    </w:sdtPr>
    <w:sdtEndPr/>
    <w:sdtContent>
      <w:p w14:paraId="5B8C264D" w14:textId="4863E11C" w:rsidR="00F3041A" w:rsidRDefault="00F3041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D56" w:rsidRPr="005F5D56">
          <w:rPr>
            <w:noProof/>
            <w:lang w:val="ru-RU"/>
          </w:rPr>
          <w:t>2</w:t>
        </w:r>
        <w:r>
          <w:fldChar w:fldCharType="end"/>
        </w:r>
      </w:p>
    </w:sdtContent>
  </w:sdt>
  <w:p w14:paraId="01892871" w14:textId="77777777" w:rsidR="00F3041A" w:rsidRDefault="00F3041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64E"/>
    <w:multiLevelType w:val="hybridMultilevel"/>
    <w:tmpl w:val="35E2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D7BD4"/>
    <w:multiLevelType w:val="hybridMultilevel"/>
    <w:tmpl w:val="35FC5FE6"/>
    <w:lvl w:ilvl="0" w:tplc="7B0CE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B3228"/>
    <w:multiLevelType w:val="hybridMultilevel"/>
    <w:tmpl w:val="B9929724"/>
    <w:lvl w:ilvl="0" w:tplc="45C4C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717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2751D3"/>
    <w:multiLevelType w:val="multilevel"/>
    <w:tmpl w:val="770C61B0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ezhdina, Maya">
    <w15:presenceInfo w15:providerId="None" w15:userId="Nadezhdina, Ma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99"/>
    <w:rsid w:val="000042B1"/>
    <w:rsid w:val="00036BA9"/>
    <w:rsid w:val="00050C21"/>
    <w:rsid w:val="00070E22"/>
    <w:rsid w:val="0009170B"/>
    <w:rsid w:val="0009760C"/>
    <w:rsid w:val="000B2F0A"/>
    <w:rsid w:val="000C3F3E"/>
    <w:rsid w:val="00104FB7"/>
    <w:rsid w:val="00113FAE"/>
    <w:rsid w:val="00163862"/>
    <w:rsid w:val="001E1BF7"/>
    <w:rsid w:val="001E7E97"/>
    <w:rsid w:val="002704D4"/>
    <w:rsid w:val="0027722F"/>
    <w:rsid w:val="002A1C32"/>
    <w:rsid w:val="002D338B"/>
    <w:rsid w:val="00302F99"/>
    <w:rsid w:val="003061ED"/>
    <w:rsid w:val="00320FEF"/>
    <w:rsid w:val="003355C0"/>
    <w:rsid w:val="00360A2E"/>
    <w:rsid w:val="003D676D"/>
    <w:rsid w:val="0041528A"/>
    <w:rsid w:val="00425F1C"/>
    <w:rsid w:val="00451ECE"/>
    <w:rsid w:val="00462C21"/>
    <w:rsid w:val="004637C4"/>
    <w:rsid w:val="004856E5"/>
    <w:rsid w:val="004A61DA"/>
    <w:rsid w:val="004F35CF"/>
    <w:rsid w:val="004F3D98"/>
    <w:rsid w:val="004F530A"/>
    <w:rsid w:val="0052367C"/>
    <w:rsid w:val="0053071D"/>
    <w:rsid w:val="00533E5E"/>
    <w:rsid w:val="0056117E"/>
    <w:rsid w:val="00566268"/>
    <w:rsid w:val="00570A59"/>
    <w:rsid w:val="0057396E"/>
    <w:rsid w:val="005F0B87"/>
    <w:rsid w:val="005F5D56"/>
    <w:rsid w:val="00624BEB"/>
    <w:rsid w:val="006613E3"/>
    <w:rsid w:val="0067341D"/>
    <w:rsid w:val="006E1E64"/>
    <w:rsid w:val="007105AA"/>
    <w:rsid w:val="00713459"/>
    <w:rsid w:val="00724785"/>
    <w:rsid w:val="00755847"/>
    <w:rsid w:val="007647E4"/>
    <w:rsid w:val="007B5CF5"/>
    <w:rsid w:val="007E6B52"/>
    <w:rsid w:val="00832CE1"/>
    <w:rsid w:val="008623CF"/>
    <w:rsid w:val="008A123D"/>
    <w:rsid w:val="008B569B"/>
    <w:rsid w:val="008D31DB"/>
    <w:rsid w:val="008D74D4"/>
    <w:rsid w:val="008E2AD8"/>
    <w:rsid w:val="00942D22"/>
    <w:rsid w:val="00950D34"/>
    <w:rsid w:val="00955D0C"/>
    <w:rsid w:val="00964D62"/>
    <w:rsid w:val="0097702A"/>
    <w:rsid w:val="009815CE"/>
    <w:rsid w:val="00991736"/>
    <w:rsid w:val="009A53AF"/>
    <w:rsid w:val="009C7AD8"/>
    <w:rsid w:val="009D141E"/>
    <w:rsid w:val="009E43C4"/>
    <w:rsid w:val="00A349B5"/>
    <w:rsid w:val="00A34AC2"/>
    <w:rsid w:val="00A40C03"/>
    <w:rsid w:val="00A44D06"/>
    <w:rsid w:val="00A45F50"/>
    <w:rsid w:val="00A5003B"/>
    <w:rsid w:val="00A6523A"/>
    <w:rsid w:val="00A707F5"/>
    <w:rsid w:val="00A726CF"/>
    <w:rsid w:val="00A97E10"/>
    <w:rsid w:val="00AA3762"/>
    <w:rsid w:val="00B21069"/>
    <w:rsid w:val="00B4577C"/>
    <w:rsid w:val="00B5442D"/>
    <w:rsid w:val="00B74A93"/>
    <w:rsid w:val="00B853F4"/>
    <w:rsid w:val="00BD6E29"/>
    <w:rsid w:val="00C0083C"/>
    <w:rsid w:val="00C50FFD"/>
    <w:rsid w:val="00C51949"/>
    <w:rsid w:val="00C763C3"/>
    <w:rsid w:val="00C9050C"/>
    <w:rsid w:val="00D07CAB"/>
    <w:rsid w:val="00D43808"/>
    <w:rsid w:val="00D50D96"/>
    <w:rsid w:val="00D57D7C"/>
    <w:rsid w:val="00D84737"/>
    <w:rsid w:val="00D97F2E"/>
    <w:rsid w:val="00DC0538"/>
    <w:rsid w:val="00E258A7"/>
    <w:rsid w:val="00E36B5F"/>
    <w:rsid w:val="00E37F9D"/>
    <w:rsid w:val="00E557A0"/>
    <w:rsid w:val="00E9626D"/>
    <w:rsid w:val="00EA7304"/>
    <w:rsid w:val="00EB10CB"/>
    <w:rsid w:val="00EE217A"/>
    <w:rsid w:val="00EE3218"/>
    <w:rsid w:val="00EF3845"/>
    <w:rsid w:val="00F172FB"/>
    <w:rsid w:val="00F3041A"/>
    <w:rsid w:val="00F37B1A"/>
    <w:rsid w:val="00F4785B"/>
    <w:rsid w:val="00F56B46"/>
    <w:rsid w:val="00F97699"/>
    <w:rsid w:val="00FA7EAF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3C4"/>
    <w:pPr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heading 2"/>
    <w:basedOn w:val="a0"/>
    <w:next w:val="a"/>
    <w:link w:val="20"/>
    <w:uiPriority w:val="9"/>
    <w:unhideWhenUsed/>
    <w:qFormat/>
    <w:rsid w:val="00320FEF"/>
    <w:pPr>
      <w:numPr>
        <w:numId w:val="4"/>
      </w:numPr>
      <w:spacing w:after="0" w:line="240" w:lineRule="auto"/>
      <w:ind w:left="0" w:firstLine="709"/>
      <w:contextualSpacing w:val="0"/>
      <w:jc w:val="both"/>
      <w:outlineLvl w:val="1"/>
    </w:pPr>
    <w:rPr>
      <w:rFonts w:ascii="Times New Roman" w:hAnsi="Times New Roman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link w:val="a4"/>
    <w:uiPriority w:val="34"/>
    <w:qFormat/>
    <w:rsid w:val="00E9626D"/>
    <w:pPr>
      <w:ind w:left="720"/>
      <w:contextualSpacing/>
    </w:pPr>
  </w:style>
  <w:style w:type="character" w:customStyle="1" w:styleId="a4">
    <w:name w:val="Абзац списка Знак"/>
    <w:basedOn w:val="a1"/>
    <w:link w:val="a0"/>
    <w:uiPriority w:val="34"/>
    <w:rsid w:val="00E9626D"/>
  </w:style>
  <w:style w:type="paragraph" w:styleId="a5">
    <w:name w:val="footnote text"/>
    <w:basedOn w:val="a"/>
    <w:link w:val="a6"/>
    <w:semiHidden/>
    <w:unhideWhenUsed/>
    <w:rsid w:val="00E962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E9626D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E9626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E962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9626D"/>
  </w:style>
  <w:style w:type="character" w:styleId="aa">
    <w:name w:val="annotation reference"/>
    <w:basedOn w:val="a1"/>
    <w:uiPriority w:val="99"/>
    <w:semiHidden/>
    <w:unhideWhenUsed/>
    <w:rsid w:val="00E962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962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9626D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9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E9626D"/>
    <w:rPr>
      <w:rFonts w:ascii="Segoe UI" w:hAnsi="Segoe UI" w:cs="Segoe U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EE217A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EE217A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D5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D50D96"/>
  </w:style>
  <w:style w:type="character" w:customStyle="1" w:styleId="10">
    <w:name w:val="Заголовок 1 Знак"/>
    <w:basedOn w:val="a1"/>
    <w:link w:val="1"/>
    <w:uiPriority w:val="9"/>
    <w:rsid w:val="009E43C4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320FEF"/>
    <w:rPr>
      <w:rFonts w:ascii="Times New Roman" w:hAnsi="Times New Roman" w:cs="Times New Roman"/>
      <w:b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3C4"/>
    <w:pPr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heading 2"/>
    <w:basedOn w:val="a0"/>
    <w:next w:val="a"/>
    <w:link w:val="20"/>
    <w:uiPriority w:val="9"/>
    <w:unhideWhenUsed/>
    <w:qFormat/>
    <w:rsid w:val="00320FEF"/>
    <w:pPr>
      <w:numPr>
        <w:numId w:val="4"/>
      </w:numPr>
      <w:spacing w:after="0" w:line="240" w:lineRule="auto"/>
      <w:ind w:left="0" w:firstLine="709"/>
      <w:contextualSpacing w:val="0"/>
      <w:jc w:val="both"/>
      <w:outlineLvl w:val="1"/>
    </w:pPr>
    <w:rPr>
      <w:rFonts w:ascii="Times New Roman" w:hAnsi="Times New Roman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link w:val="a4"/>
    <w:uiPriority w:val="34"/>
    <w:qFormat/>
    <w:rsid w:val="00E9626D"/>
    <w:pPr>
      <w:ind w:left="720"/>
      <w:contextualSpacing/>
    </w:pPr>
  </w:style>
  <w:style w:type="character" w:customStyle="1" w:styleId="a4">
    <w:name w:val="Абзац списка Знак"/>
    <w:basedOn w:val="a1"/>
    <w:link w:val="a0"/>
    <w:uiPriority w:val="34"/>
    <w:rsid w:val="00E9626D"/>
  </w:style>
  <w:style w:type="paragraph" w:styleId="a5">
    <w:name w:val="footnote text"/>
    <w:basedOn w:val="a"/>
    <w:link w:val="a6"/>
    <w:semiHidden/>
    <w:unhideWhenUsed/>
    <w:rsid w:val="00E962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E9626D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E9626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E9626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9626D"/>
  </w:style>
  <w:style w:type="character" w:styleId="aa">
    <w:name w:val="annotation reference"/>
    <w:basedOn w:val="a1"/>
    <w:uiPriority w:val="99"/>
    <w:semiHidden/>
    <w:unhideWhenUsed/>
    <w:rsid w:val="00E962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962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9626D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9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E9626D"/>
    <w:rPr>
      <w:rFonts w:ascii="Segoe UI" w:hAnsi="Segoe UI" w:cs="Segoe U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EE217A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EE217A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D5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D50D96"/>
  </w:style>
  <w:style w:type="character" w:customStyle="1" w:styleId="10">
    <w:name w:val="Заголовок 1 Знак"/>
    <w:basedOn w:val="a1"/>
    <w:link w:val="1"/>
    <w:uiPriority w:val="9"/>
    <w:rsid w:val="009E43C4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320FEF"/>
    <w:rPr>
      <w:rFonts w:ascii="Times New Roman" w:hAnsi="Times New Roman" w:cs="Times New Roman"/>
      <w:b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BE18-1D40-4AAC-8F27-38C1D7C2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4619</Words>
  <Characters>26332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Chemova, Ekaterina (Popova)</dc:creator>
  <cp:lastModifiedBy>АРВАЧЕВА ТАТЬЯНА АЛЕКСАНДРОВНА</cp:lastModifiedBy>
  <cp:revision>3</cp:revision>
  <dcterms:created xsi:type="dcterms:W3CDTF">2018-02-27T10:29:00Z</dcterms:created>
  <dcterms:modified xsi:type="dcterms:W3CDTF">2018-02-27T11:29:00Z</dcterms:modified>
</cp:coreProperties>
</file>