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8" w:rsidRPr="00211338" w:rsidRDefault="00211338" w:rsidP="00211338">
      <w:pPr>
        <w:tabs>
          <w:tab w:val="right" w:pos="9354"/>
        </w:tabs>
        <w:jc w:val="center"/>
        <w:rPr>
          <w:smallCaps/>
          <w:sz w:val="20"/>
          <w:szCs w:val="20"/>
          <w:lang w:val="ru-RU" w:eastAsia="en-GB"/>
        </w:rPr>
      </w:pPr>
      <w:bookmarkStart w:id="0" w:name="F53063852"/>
      <w:bookmarkStart w:id="1" w:name="_GoBack"/>
      <w:bookmarkEnd w:id="1"/>
      <w:r w:rsidRPr="00211338">
        <w:rPr>
          <w:smallCaps/>
          <w:sz w:val="20"/>
          <w:szCs w:val="20"/>
          <w:lang w:val="ru-RU" w:eastAsia="en-GB"/>
        </w:rPr>
        <w:t>Переводы инвестиционной недвижимости из категории в категорию</w:t>
      </w:r>
    </w:p>
    <w:p w:rsidR="00FA3B4F" w:rsidRPr="0075255F" w:rsidRDefault="00FA3B4F" w:rsidP="00FA3B4F">
      <w:pPr>
        <w:pStyle w:val="IASBTitle"/>
        <w:spacing w:before="240" w:after="0"/>
        <w:rPr>
          <w:lang w:val="ru-RU"/>
        </w:rPr>
      </w:pPr>
    </w:p>
    <w:p w:rsidR="00FA3B4F" w:rsidRPr="00FA3B4F" w:rsidRDefault="00FA3B4F" w:rsidP="00FA3B4F">
      <w:pPr>
        <w:pStyle w:val="IASBTitle"/>
        <w:jc w:val="center"/>
        <w:rPr>
          <w:lang w:val="ru-RU"/>
        </w:rPr>
      </w:pPr>
      <w:r>
        <w:rPr>
          <w:b/>
          <w:lang w:val="ru-RU"/>
        </w:rPr>
        <w:t>Переводы инвестиционной недвижимости</w:t>
      </w:r>
      <w:r w:rsidRPr="006E31BA">
        <w:rPr>
          <w:b/>
          <w:lang w:val="ru-RU"/>
        </w:rPr>
        <w:t xml:space="preserve"> </w:t>
      </w:r>
      <w:r>
        <w:rPr>
          <w:b/>
          <w:lang w:val="ru-RU"/>
        </w:rPr>
        <w:t>из категории в категорию</w:t>
      </w:r>
      <w:r w:rsidRPr="00E410C3">
        <w:rPr>
          <w:b/>
          <w:lang w:val="ru-RU"/>
        </w:rPr>
        <w:br/>
      </w:r>
      <w:r w:rsidRPr="00E410C3">
        <w:rPr>
          <w:lang w:val="ru-RU"/>
        </w:rPr>
        <w:br/>
      </w:r>
      <w:r w:rsidRPr="00FA3B4F">
        <w:rPr>
          <w:lang w:val="ru-RU"/>
        </w:rPr>
        <w:t>(</w:t>
      </w:r>
      <w:r>
        <w:rPr>
          <w:lang w:val="ru-RU"/>
        </w:rPr>
        <w:t>Поправки к МСФО (IAS) </w:t>
      </w:r>
      <w:r w:rsidRPr="00FA3B4F">
        <w:rPr>
          <w:lang w:val="ru-RU"/>
        </w:rPr>
        <w:t>40)</w:t>
      </w:r>
      <w:bookmarkEnd w:id="0"/>
    </w:p>
    <w:p w:rsidR="00FA3B4F" w:rsidRPr="00FA3B4F" w:rsidRDefault="00FA3B4F" w:rsidP="00FA3B4F">
      <w:pPr>
        <w:pStyle w:val="IASBNormal"/>
        <w:rPr>
          <w:lang w:val="ru-RU"/>
        </w:rPr>
      </w:pPr>
    </w:p>
    <w:p w:rsidR="00FA3B4F" w:rsidRPr="00FA3B4F" w:rsidRDefault="00FA3B4F" w:rsidP="00FA3B4F">
      <w:pPr>
        <w:pStyle w:val="IASBSectionTitle2NonInd"/>
        <w:rPr>
          <w:lang w:val="ru-RU"/>
        </w:rPr>
      </w:pPr>
      <w:bookmarkStart w:id="2" w:name="F53063872"/>
      <w:r>
        <w:rPr>
          <w:lang w:val="ru-RU"/>
        </w:rPr>
        <w:t>Поправки к</w:t>
      </w:r>
      <w:r w:rsidRPr="00FA3B4F">
        <w:rPr>
          <w:lang w:val="ru-RU"/>
        </w:rPr>
        <w:br/>
      </w:r>
      <w:r>
        <w:rPr>
          <w:lang w:val="ru-RU"/>
        </w:rPr>
        <w:t>МСФО (IAS) </w:t>
      </w:r>
      <w:r w:rsidRPr="00FA3B4F">
        <w:rPr>
          <w:lang w:val="ru-RU"/>
        </w:rPr>
        <w:t xml:space="preserve">40 </w:t>
      </w:r>
      <w:r w:rsidRPr="00F6178E">
        <w:rPr>
          <w:i/>
          <w:lang w:val="ru-RU"/>
        </w:rPr>
        <w:t>«</w:t>
      </w:r>
      <w:r>
        <w:rPr>
          <w:i/>
          <w:lang w:val="ru-RU"/>
        </w:rPr>
        <w:t>Инвестиционная недвижимость»</w:t>
      </w:r>
      <w:bookmarkEnd w:id="2"/>
    </w:p>
    <w:p w:rsidR="00FA3B4F" w:rsidRPr="00FA3B4F" w:rsidRDefault="00FA3B4F" w:rsidP="00FA3B4F">
      <w:pPr>
        <w:pStyle w:val="IASBNormalnpara"/>
        <w:rPr>
          <w:lang w:val="ru-RU"/>
        </w:rPr>
      </w:pPr>
    </w:p>
    <w:p w:rsidR="009206EE" w:rsidRPr="0096529E" w:rsidRDefault="009206EE" w:rsidP="009206EE">
      <w:pPr>
        <w:pStyle w:val="IASBNormalnpara"/>
        <w:rPr>
          <w:lang w:val="ru-RU"/>
        </w:rPr>
      </w:pPr>
      <w:r>
        <w:rPr>
          <w:lang w:val="ru-RU"/>
        </w:rPr>
        <w:t>Пункт 57 изложить в следующей редакции:</w:t>
      </w:r>
    </w:p>
    <w:p w:rsidR="00FA3B4F" w:rsidRPr="009206EE" w:rsidRDefault="00FA3B4F" w:rsidP="00F91731">
      <w:pPr>
        <w:pStyle w:val="IASBNormalnpara"/>
        <w:tabs>
          <w:tab w:val="left" w:pos="1418"/>
        </w:tabs>
        <w:ind w:left="1276" w:hanging="709"/>
        <w:rPr>
          <w:b/>
          <w:lang w:val="ru-RU"/>
        </w:rPr>
      </w:pPr>
      <w:r w:rsidRPr="00FA3B4F">
        <w:rPr>
          <w:b/>
          <w:lang w:val="ru-RU"/>
        </w:rPr>
        <w:t>57</w:t>
      </w:r>
      <w:r w:rsidRPr="00FA3B4F">
        <w:rPr>
          <w:b/>
          <w:lang w:val="ru-RU"/>
        </w:rPr>
        <w:tab/>
      </w:r>
      <w:bookmarkStart w:id="3" w:name="F53063878"/>
      <w:r w:rsidRPr="009206EE">
        <w:rPr>
          <w:b/>
          <w:lang w:val="ru-RU"/>
        </w:rPr>
        <w:t>Организация может перевести</w:t>
      </w:r>
      <w:r>
        <w:rPr>
          <w:b/>
          <w:lang w:val="ru-RU"/>
        </w:rPr>
        <w:t xml:space="preserve"> </w:t>
      </w:r>
      <w:r w:rsidRPr="00FA3B4F">
        <w:rPr>
          <w:b/>
          <w:lang w:val="ru-RU"/>
        </w:rPr>
        <w:t xml:space="preserve">объект </w:t>
      </w:r>
      <w:r>
        <w:rPr>
          <w:b/>
          <w:lang w:val="ru-RU"/>
        </w:rPr>
        <w:t xml:space="preserve">недвижимости </w:t>
      </w:r>
      <w:r w:rsidRPr="00FA3B4F">
        <w:rPr>
          <w:b/>
          <w:lang w:val="ru-RU"/>
        </w:rPr>
        <w:t xml:space="preserve">в категорию или из категории инвестиционной недвижимости  тогда и только тогда, когда </w:t>
      </w:r>
      <w:r>
        <w:rPr>
          <w:b/>
          <w:lang w:val="ru-RU"/>
        </w:rPr>
        <w:t>имеет место</w:t>
      </w:r>
      <w:r w:rsidRPr="00FA3B4F">
        <w:rPr>
          <w:b/>
          <w:lang w:val="ru-RU"/>
        </w:rPr>
        <w:t xml:space="preserve"> изменение характера </w:t>
      </w:r>
      <w:r w:rsidRPr="009206EE">
        <w:rPr>
          <w:b/>
          <w:lang w:val="ru-RU"/>
        </w:rPr>
        <w:t xml:space="preserve">его </w:t>
      </w:r>
      <w:r w:rsidRPr="00FA3B4F">
        <w:rPr>
          <w:b/>
          <w:lang w:val="ru-RU"/>
        </w:rPr>
        <w:t>использования</w:t>
      </w:r>
      <w:r w:rsidRPr="009206EE">
        <w:rPr>
          <w:b/>
          <w:lang w:val="ru-RU"/>
        </w:rPr>
        <w:t>. Изменение характера использования происходит, когда объект недвижимости начинает или перестает соответствовать определению инвестиционной недвижимости и существуют свидетельства изменения характера его использования. Изменение намерений руководства в отношении использования объекта недвижимости само по себе не свидетельствует об изменении характера его использования. Примерами свидетельств изменения характера использования могут служить следующие:</w:t>
      </w:r>
      <w:bookmarkEnd w:id="3"/>
    </w:p>
    <w:p w:rsidR="00FA3B4F" w:rsidRPr="00FA3B4F" w:rsidRDefault="00FA3B4F" w:rsidP="00A565D2">
      <w:pPr>
        <w:pStyle w:val="IASBNormalnparaL1"/>
        <w:ind w:left="1985" w:hanging="709"/>
        <w:rPr>
          <w:b/>
          <w:lang w:val="ru-RU"/>
        </w:rPr>
      </w:pPr>
      <w:r w:rsidRPr="00FA3B4F">
        <w:rPr>
          <w:b/>
          <w:lang w:val="ru-RU"/>
        </w:rPr>
        <w:t>(</w:t>
      </w:r>
      <w:r w:rsidRPr="00985E79">
        <w:rPr>
          <w:b/>
          <w:lang w:val="en-GB"/>
        </w:rPr>
        <w:t>a</w:t>
      </w:r>
      <w:r w:rsidRPr="00FA3B4F">
        <w:rPr>
          <w:b/>
          <w:lang w:val="ru-RU"/>
        </w:rPr>
        <w:t>)</w:t>
      </w:r>
      <w:r w:rsidRPr="00FA3B4F">
        <w:rPr>
          <w:b/>
          <w:lang w:val="ru-RU"/>
        </w:rPr>
        <w:tab/>
      </w:r>
      <w:bookmarkStart w:id="4" w:name="F53063881"/>
      <w:r w:rsidRPr="00FA3B4F">
        <w:rPr>
          <w:b/>
          <w:lang w:val="ru-RU"/>
        </w:rPr>
        <w:t xml:space="preserve">начало использования недвижимости в качестве недвижимости, занимаемой владельцем, </w:t>
      </w:r>
      <w:r w:rsidRPr="009206EE">
        <w:rPr>
          <w:b/>
          <w:lang w:val="ru-RU"/>
        </w:rPr>
        <w:t>или начало ее развития в целях использования в качестве недвижимости, занимаемой владельцем,</w:t>
      </w:r>
      <w:r w:rsidRPr="00C92CF8">
        <w:rPr>
          <w:b/>
          <w:lang w:val="ru-RU"/>
        </w:rPr>
        <w:t xml:space="preserve"> </w:t>
      </w:r>
      <w:r w:rsidRPr="00FA3B4F">
        <w:rPr>
          <w:b/>
          <w:lang w:val="ru-RU"/>
        </w:rPr>
        <w:t>– для случаев перевода</w:t>
      </w:r>
      <w:r w:rsidRPr="00C92CF8">
        <w:rPr>
          <w:b/>
          <w:lang w:val="ru-RU"/>
        </w:rPr>
        <w:t xml:space="preserve"> объекта</w:t>
      </w:r>
      <w:r w:rsidRPr="00FA3B4F">
        <w:rPr>
          <w:b/>
          <w:lang w:val="ru-RU"/>
        </w:rPr>
        <w:t xml:space="preserve"> из категории инвестиционной недвижимости в категорию недвижимости, занимаемой владельцем; </w:t>
      </w:r>
      <w:bookmarkEnd w:id="4"/>
    </w:p>
    <w:p w:rsidR="00FA3B4F" w:rsidRPr="00FA3B4F" w:rsidRDefault="00FA3B4F" w:rsidP="00A565D2">
      <w:pPr>
        <w:pStyle w:val="IASBNormalnparaL1"/>
        <w:ind w:left="1985" w:hanging="709"/>
        <w:rPr>
          <w:b/>
          <w:lang w:val="ru-RU"/>
        </w:rPr>
      </w:pPr>
      <w:r w:rsidRPr="00FA3B4F">
        <w:rPr>
          <w:b/>
          <w:lang w:val="ru-RU"/>
        </w:rPr>
        <w:t>(</w:t>
      </w:r>
      <w:r w:rsidRPr="00C92CF8">
        <w:rPr>
          <w:b/>
          <w:lang w:val="en-GB"/>
        </w:rPr>
        <w:t>b</w:t>
      </w:r>
      <w:r w:rsidRPr="00FA3B4F">
        <w:rPr>
          <w:b/>
          <w:lang w:val="ru-RU"/>
        </w:rPr>
        <w:t>)</w:t>
      </w:r>
      <w:r w:rsidRPr="00FA3B4F">
        <w:rPr>
          <w:b/>
          <w:lang w:val="ru-RU"/>
        </w:rPr>
        <w:tab/>
        <w:t>начало развития</w:t>
      </w:r>
      <w:r>
        <w:rPr>
          <w:b/>
          <w:lang w:val="ru-RU"/>
        </w:rPr>
        <w:t xml:space="preserve"> недвижимости</w:t>
      </w:r>
      <w:r w:rsidRPr="00FA3B4F">
        <w:rPr>
          <w:b/>
          <w:lang w:val="ru-RU"/>
        </w:rPr>
        <w:t xml:space="preserve"> в целях продажи – для случаев перевода </w:t>
      </w:r>
      <w:r w:rsidRPr="00C92CF8">
        <w:rPr>
          <w:b/>
          <w:lang w:val="ru-RU"/>
        </w:rPr>
        <w:t xml:space="preserve">объекта </w:t>
      </w:r>
      <w:r w:rsidRPr="00FA3B4F">
        <w:rPr>
          <w:b/>
          <w:lang w:val="ru-RU"/>
        </w:rPr>
        <w:t>из категории инвестиционной недвижимости в состав запасов;</w:t>
      </w:r>
    </w:p>
    <w:p w:rsidR="00FA3B4F" w:rsidRPr="00FA3B4F" w:rsidRDefault="00A565D2" w:rsidP="003858DB">
      <w:pPr>
        <w:pStyle w:val="IASBNormalnparaL1"/>
        <w:ind w:left="1985"/>
        <w:rPr>
          <w:b/>
          <w:lang w:val="ru-RU"/>
        </w:rPr>
      </w:pPr>
      <w:r>
        <w:rPr>
          <w:b/>
          <w:lang w:val="ru-RU"/>
        </w:rPr>
        <w:t xml:space="preserve"> </w:t>
      </w:r>
      <w:r w:rsidR="00FA3B4F" w:rsidRPr="00FA3B4F">
        <w:rPr>
          <w:b/>
          <w:lang w:val="ru-RU"/>
        </w:rPr>
        <w:t>(</w:t>
      </w:r>
      <w:r w:rsidR="00FA3B4F" w:rsidRPr="00C92CF8">
        <w:rPr>
          <w:b/>
          <w:lang w:val="en-GB"/>
        </w:rPr>
        <w:t>c</w:t>
      </w:r>
      <w:r w:rsidR="00FA3B4F" w:rsidRPr="00FA3B4F">
        <w:rPr>
          <w:b/>
          <w:lang w:val="ru-RU"/>
        </w:rPr>
        <w:t>)</w:t>
      </w:r>
      <w:r w:rsidR="003858DB">
        <w:rPr>
          <w:b/>
          <w:lang w:val="ru-RU"/>
        </w:rPr>
        <w:t xml:space="preserve">  </w:t>
      </w:r>
      <w:r w:rsidR="00FA3B4F" w:rsidRPr="00FA3B4F">
        <w:rPr>
          <w:b/>
          <w:lang w:val="ru-RU"/>
        </w:rPr>
        <w:tab/>
      </w:r>
      <w:bookmarkStart w:id="5" w:name="F53063885"/>
      <w:r w:rsidR="00FA3B4F" w:rsidRPr="00FA3B4F">
        <w:rPr>
          <w:b/>
          <w:lang w:val="ru-RU"/>
        </w:rPr>
        <w:t xml:space="preserve">завершение использования недвижимости как занимаемой владельцем – для </w:t>
      </w:r>
      <w:r w:rsidR="00FA3B4F" w:rsidRPr="00C92CF8">
        <w:rPr>
          <w:b/>
          <w:lang w:val="ru-RU"/>
        </w:rPr>
        <w:t xml:space="preserve">случаев </w:t>
      </w:r>
      <w:r w:rsidR="00FA3B4F" w:rsidRPr="00FA3B4F">
        <w:rPr>
          <w:b/>
          <w:lang w:val="ru-RU"/>
        </w:rPr>
        <w:t xml:space="preserve">перевода </w:t>
      </w:r>
      <w:r w:rsidR="00FA3B4F" w:rsidRPr="00C92CF8">
        <w:rPr>
          <w:b/>
          <w:lang w:val="ru-RU"/>
        </w:rPr>
        <w:t xml:space="preserve">объекта </w:t>
      </w:r>
      <w:r w:rsidR="00FA3B4F" w:rsidRPr="00FA3B4F">
        <w:rPr>
          <w:b/>
          <w:lang w:val="ru-RU"/>
        </w:rPr>
        <w:t xml:space="preserve">из категории недвижимости, занимаемой владельцем, в категорию инвестиционной недвижимости; </w:t>
      </w:r>
      <w:r w:rsidR="00FA3B4F" w:rsidRPr="009206EE">
        <w:rPr>
          <w:b/>
          <w:lang w:val="ru-RU"/>
        </w:rPr>
        <w:t>и</w:t>
      </w:r>
      <w:r w:rsidR="00FA3B4F" w:rsidRPr="00C92CF8">
        <w:rPr>
          <w:b/>
          <w:lang w:val="ru-RU"/>
        </w:rPr>
        <w:t xml:space="preserve"> </w:t>
      </w:r>
      <w:bookmarkEnd w:id="5"/>
    </w:p>
    <w:p w:rsidR="00FA3B4F" w:rsidRPr="00FA3B4F" w:rsidRDefault="00A565D2" w:rsidP="00F91731">
      <w:pPr>
        <w:pStyle w:val="IASBNormalnparaL1"/>
        <w:ind w:left="1985"/>
        <w:rPr>
          <w:b/>
          <w:lang w:val="ru-RU"/>
        </w:rPr>
      </w:pPr>
      <w:r>
        <w:rPr>
          <w:b/>
          <w:lang w:val="ru-RU"/>
        </w:rPr>
        <w:t xml:space="preserve"> </w:t>
      </w:r>
      <w:r w:rsidR="00FA3B4F" w:rsidRPr="00FA3B4F">
        <w:rPr>
          <w:b/>
          <w:lang w:val="ru-RU"/>
        </w:rPr>
        <w:t>(</w:t>
      </w:r>
      <w:r w:rsidR="00FA3B4F" w:rsidRPr="00C92CF8">
        <w:rPr>
          <w:b/>
          <w:lang w:val="en-GB"/>
        </w:rPr>
        <w:t>d</w:t>
      </w:r>
      <w:r w:rsidR="00FA3B4F" w:rsidRPr="00FA3B4F">
        <w:rPr>
          <w:b/>
          <w:lang w:val="ru-RU"/>
        </w:rPr>
        <w:t>)</w:t>
      </w:r>
      <w:r w:rsidR="00FA3B4F" w:rsidRPr="00FA3B4F">
        <w:rPr>
          <w:b/>
          <w:lang w:val="ru-RU"/>
        </w:rPr>
        <w:tab/>
      </w:r>
      <w:bookmarkStart w:id="6" w:name="F53063887"/>
      <w:r w:rsidR="00FA3B4F" w:rsidRPr="009206EE">
        <w:rPr>
          <w:b/>
          <w:lang w:val="ru-RU"/>
        </w:rPr>
        <w:t>передача</w:t>
      </w:r>
      <w:r w:rsidR="00FA3B4F" w:rsidRPr="00C92CF8">
        <w:rPr>
          <w:b/>
          <w:lang w:val="ru-RU"/>
        </w:rPr>
        <w:t xml:space="preserve"> </w:t>
      </w:r>
      <w:r w:rsidR="00FA3B4F" w:rsidRPr="00FA3B4F">
        <w:rPr>
          <w:b/>
          <w:lang w:val="ru-RU"/>
        </w:rPr>
        <w:t xml:space="preserve">недвижимости </w:t>
      </w:r>
      <w:r w:rsidR="00FA3B4F" w:rsidRPr="00C92CF8">
        <w:rPr>
          <w:b/>
          <w:lang w:val="ru-RU"/>
        </w:rPr>
        <w:t xml:space="preserve">в </w:t>
      </w:r>
      <w:r w:rsidR="00FA3B4F" w:rsidRPr="00FA3B4F">
        <w:rPr>
          <w:b/>
          <w:lang w:val="ru-RU"/>
        </w:rPr>
        <w:t>операционн</w:t>
      </w:r>
      <w:r w:rsidR="00FA3B4F" w:rsidRPr="00C92CF8">
        <w:rPr>
          <w:b/>
          <w:lang w:val="ru-RU"/>
        </w:rPr>
        <w:t>ую</w:t>
      </w:r>
      <w:r w:rsidR="00FA3B4F" w:rsidRPr="00FA3B4F">
        <w:rPr>
          <w:b/>
          <w:lang w:val="ru-RU"/>
        </w:rPr>
        <w:t xml:space="preserve"> </w:t>
      </w:r>
      <w:r w:rsidR="00FA3B4F" w:rsidRPr="009206EE">
        <w:rPr>
          <w:b/>
          <w:lang w:val="ru-RU"/>
        </w:rPr>
        <w:t>аренду</w:t>
      </w:r>
      <w:r w:rsidR="00FA3B4F" w:rsidRPr="00FA3B4F">
        <w:rPr>
          <w:b/>
          <w:lang w:val="ru-RU"/>
        </w:rPr>
        <w:t xml:space="preserve"> другой сторон</w:t>
      </w:r>
      <w:r w:rsidR="00FA3B4F" w:rsidRPr="00C92CF8">
        <w:rPr>
          <w:b/>
          <w:lang w:val="ru-RU"/>
        </w:rPr>
        <w:t>е</w:t>
      </w:r>
      <w:r w:rsidR="00FA3B4F" w:rsidRPr="00FA3B4F">
        <w:rPr>
          <w:b/>
          <w:lang w:val="ru-RU"/>
        </w:rPr>
        <w:t xml:space="preserve"> – для случаев </w:t>
      </w:r>
      <w:r w:rsidR="003858DB">
        <w:rPr>
          <w:b/>
          <w:lang w:val="ru-RU"/>
        </w:rPr>
        <w:t xml:space="preserve"> </w:t>
      </w:r>
      <w:r w:rsidR="00FA3B4F" w:rsidRPr="00FA3B4F">
        <w:rPr>
          <w:b/>
          <w:lang w:val="ru-RU"/>
        </w:rPr>
        <w:t xml:space="preserve">перевода </w:t>
      </w:r>
      <w:r w:rsidR="00FA3B4F" w:rsidRPr="00C92CF8">
        <w:rPr>
          <w:b/>
          <w:lang w:val="ru-RU"/>
        </w:rPr>
        <w:t xml:space="preserve">объекта </w:t>
      </w:r>
      <w:r w:rsidR="00FA3B4F" w:rsidRPr="00FA3B4F">
        <w:rPr>
          <w:b/>
          <w:lang w:val="ru-RU"/>
        </w:rPr>
        <w:t xml:space="preserve">из состава запасов в категорию инвестиционной недвижимости. </w:t>
      </w:r>
      <w:bookmarkEnd w:id="6"/>
    </w:p>
    <w:p w:rsidR="00FA3B4F" w:rsidRDefault="00FA3B4F" w:rsidP="00A565D2">
      <w:pPr>
        <w:pStyle w:val="IASBNormalnparaL1"/>
        <w:ind w:left="1985" w:hanging="709"/>
        <w:rPr>
          <w:lang w:val="ru-RU"/>
        </w:rPr>
      </w:pPr>
      <w:r w:rsidRPr="00FA3B4F">
        <w:rPr>
          <w:b/>
          <w:lang w:val="ru-RU"/>
        </w:rPr>
        <w:t>(</w:t>
      </w:r>
      <w:r w:rsidRPr="00985E79">
        <w:rPr>
          <w:b/>
          <w:lang w:val="en-GB"/>
        </w:rPr>
        <w:t>e</w:t>
      </w:r>
      <w:r w:rsidRPr="00FA3B4F">
        <w:rPr>
          <w:b/>
          <w:lang w:val="ru-RU"/>
        </w:rPr>
        <w:t>)</w:t>
      </w:r>
      <w:r w:rsidRPr="00FA3B4F">
        <w:rPr>
          <w:lang w:val="ru-RU"/>
        </w:rPr>
        <w:tab/>
      </w:r>
      <w:bookmarkStart w:id="7" w:name="F53063889"/>
      <w:r w:rsidRPr="00FA3B4F">
        <w:rPr>
          <w:lang w:val="ru-RU"/>
        </w:rPr>
        <w:t>[</w:t>
      </w:r>
      <w:r>
        <w:rPr>
          <w:lang w:val="ru-RU"/>
        </w:rPr>
        <w:t>удален</w:t>
      </w:r>
      <w:r w:rsidRPr="00FA3B4F">
        <w:rPr>
          <w:lang w:val="ru-RU"/>
        </w:rPr>
        <w:t>]</w:t>
      </w:r>
      <w:bookmarkEnd w:id="7"/>
    </w:p>
    <w:p w:rsidR="00F91731" w:rsidRPr="0096529E" w:rsidRDefault="00F91731" w:rsidP="00F91731">
      <w:pPr>
        <w:pStyle w:val="IASBNormalnpara"/>
        <w:rPr>
          <w:lang w:val="ru-RU"/>
        </w:rPr>
      </w:pPr>
      <w:r>
        <w:rPr>
          <w:lang w:val="ru-RU"/>
        </w:rPr>
        <w:t>Пункт 58 изложить в следующей редакции:</w:t>
      </w:r>
    </w:p>
    <w:p w:rsidR="00FA3B4F" w:rsidRPr="00000523" w:rsidRDefault="00FA3B4F" w:rsidP="00A565D2">
      <w:pPr>
        <w:pStyle w:val="IASBNormalnpara"/>
        <w:ind w:left="1276"/>
        <w:rPr>
          <w:lang w:val="ru-RU"/>
        </w:rPr>
      </w:pPr>
      <w:r w:rsidRPr="00FA3B4F">
        <w:rPr>
          <w:lang w:val="ru-RU"/>
        </w:rPr>
        <w:t>58</w:t>
      </w:r>
      <w:proofErr w:type="gramStart"/>
      <w:r w:rsidRPr="00FA3B4F">
        <w:rPr>
          <w:lang w:val="ru-RU"/>
        </w:rPr>
        <w:tab/>
      </w:r>
      <w:bookmarkStart w:id="8" w:name="F53063890"/>
      <w:r w:rsidRPr="00620DB8">
        <w:rPr>
          <w:lang w:val="ru-RU"/>
        </w:rPr>
        <w:t>Е</w:t>
      </w:r>
      <w:proofErr w:type="gramEnd"/>
      <w:r w:rsidRPr="00620DB8">
        <w:rPr>
          <w:lang w:val="ru-RU"/>
        </w:rPr>
        <w:t xml:space="preserve">сли организация принимает решение о выбытии инвестиционной недвижимости без ее развития, то она продолжает учитывать эту недвижимость как инвестиционную недвижимость до прекращения ее признания (то есть исключения из отчета о финансовом положении) и не </w:t>
      </w:r>
      <w:r w:rsidRPr="00A565D2">
        <w:rPr>
          <w:lang w:val="ru-RU"/>
        </w:rPr>
        <w:t>реклассифицирует</w:t>
      </w:r>
      <w:r w:rsidRPr="00620DB8">
        <w:rPr>
          <w:lang w:val="ru-RU"/>
        </w:rPr>
        <w:t xml:space="preserve"> ее в состав запасов. Также если организация начинает преобразование имеющейся инвестиционной недвижимости для ее дальнейшего использования в качестве инвестиционной недвижимости, то и в течение преобразования эта недвижимость остается в категории инвестиционной недвижимости и не </w:t>
      </w:r>
      <w:r>
        <w:rPr>
          <w:lang w:val="ru-RU"/>
        </w:rPr>
        <w:t>переводится</w:t>
      </w:r>
      <w:r w:rsidRPr="00620DB8">
        <w:rPr>
          <w:lang w:val="ru-RU"/>
        </w:rPr>
        <w:t xml:space="preserve"> в категорию недвижимости, занимаемой владельцем.</w:t>
      </w:r>
      <w:bookmarkEnd w:id="8"/>
    </w:p>
    <w:p w:rsidR="007B2D89" w:rsidRDefault="00A565D2" w:rsidP="007B2D89">
      <w:pPr>
        <w:pStyle w:val="IASBSectionTitle1NonInd"/>
        <w:pBdr>
          <w:bottom w:val="none" w:sz="0" w:space="0" w:color="auto"/>
        </w:pBdr>
        <w:rPr>
          <w:rFonts w:ascii="Times New Roman" w:hAnsi="Times New Roman" w:cs="Times New Roman"/>
          <w:b w:val="0"/>
          <w:sz w:val="19"/>
          <w:szCs w:val="19"/>
          <w:lang w:val="ru-RU"/>
        </w:rPr>
      </w:pPr>
      <w:r w:rsidRPr="009C2B9B">
        <w:rPr>
          <w:rFonts w:ascii="Times New Roman" w:hAnsi="Times New Roman" w:cs="Times New Roman"/>
          <w:b w:val="0"/>
          <w:sz w:val="19"/>
          <w:szCs w:val="19"/>
          <w:lang w:val="ru-RU"/>
        </w:rPr>
        <w:lastRenderedPageBreak/>
        <w:t xml:space="preserve">После пункта </w:t>
      </w:r>
      <w:r>
        <w:rPr>
          <w:rFonts w:ascii="Times New Roman" w:hAnsi="Times New Roman" w:cs="Times New Roman"/>
          <w:b w:val="0"/>
          <w:sz w:val="19"/>
          <w:szCs w:val="19"/>
          <w:lang w:val="ru-RU"/>
        </w:rPr>
        <w:t>84</w:t>
      </w:r>
      <w:r w:rsidR="000352B1">
        <w:rPr>
          <w:rFonts w:ascii="Times New Roman" w:hAnsi="Times New Roman" w:cs="Times New Roman"/>
          <w:b w:val="0"/>
          <w:sz w:val="19"/>
          <w:szCs w:val="19"/>
        </w:rPr>
        <w:t>B</w:t>
      </w:r>
      <w:r w:rsidRPr="009C2B9B">
        <w:rPr>
          <w:rFonts w:ascii="Times New Roman" w:hAnsi="Times New Roman" w:cs="Times New Roman"/>
          <w:b w:val="0"/>
          <w:sz w:val="19"/>
          <w:szCs w:val="19"/>
          <w:lang w:val="ru-RU"/>
        </w:rPr>
        <w:t xml:space="preserve"> включить </w:t>
      </w:r>
      <w:r w:rsidR="007B2D89">
        <w:rPr>
          <w:rFonts w:ascii="Times New Roman" w:hAnsi="Times New Roman" w:cs="Times New Roman"/>
          <w:b w:val="0"/>
          <w:sz w:val="19"/>
          <w:szCs w:val="19"/>
          <w:lang w:val="ru-RU"/>
        </w:rPr>
        <w:t xml:space="preserve">заголовок и </w:t>
      </w:r>
      <w:r w:rsidRPr="009C2B9B">
        <w:rPr>
          <w:rFonts w:ascii="Times New Roman" w:hAnsi="Times New Roman" w:cs="Times New Roman"/>
          <w:b w:val="0"/>
          <w:sz w:val="19"/>
          <w:szCs w:val="19"/>
          <w:lang w:val="ru-RU"/>
        </w:rPr>
        <w:t>пункт</w:t>
      </w:r>
      <w:r>
        <w:rPr>
          <w:rFonts w:ascii="Times New Roman" w:hAnsi="Times New Roman" w:cs="Times New Roman"/>
          <w:b w:val="0"/>
          <w:sz w:val="19"/>
          <w:szCs w:val="19"/>
          <w:lang w:val="ru-RU"/>
        </w:rPr>
        <w:t>ы</w:t>
      </w:r>
      <w:r w:rsidRPr="009C2B9B">
        <w:rPr>
          <w:rFonts w:ascii="Times New Roman" w:hAnsi="Times New Roman" w:cs="Times New Roman"/>
          <w:b w:val="0"/>
          <w:sz w:val="19"/>
          <w:szCs w:val="19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19"/>
          <w:szCs w:val="19"/>
          <w:lang w:val="ru-RU"/>
        </w:rPr>
        <w:t>84С – 84</w:t>
      </w:r>
      <w:r>
        <w:rPr>
          <w:rFonts w:ascii="Times New Roman" w:hAnsi="Times New Roman" w:cs="Times New Roman"/>
          <w:b w:val="0"/>
          <w:sz w:val="19"/>
          <w:szCs w:val="19"/>
        </w:rPr>
        <w:t>E</w:t>
      </w:r>
      <w:r>
        <w:rPr>
          <w:rFonts w:ascii="Times New Roman" w:hAnsi="Times New Roman" w:cs="Times New Roman"/>
          <w:b w:val="0"/>
          <w:sz w:val="19"/>
          <w:szCs w:val="19"/>
          <w:lang w:val="ru-RU"/>
        </w:rPr>
        <w:t xml:space="preserve"> следующего содержания:</w:t>
      </w:r>
    </w:p>
    <w:p w:rsidR="00FA3B4F" w:rsidRPr="00253FCC" w:rsidRDefault="00FA3B4F" w:rsidP="007B2D89">
      <w:pPr>
        <w:pStyle w:val="IASBSectionTitle1NonInd"/>
        <w:pBdr>
          <w:bottom w:val="none" w:sz="0" w:space="0" w:color="auto"/>
        </w:pBdr>
        <w:rPr>
          <w:lang w:val="ru-RU"/>
        </w:rPr>
      </w:pPr>
      <w:r>
        <w:rPr>
          <w:lang w:val="ru-RU"/>
        </w:rPr>
        <w:t>Переводы инвестиционной недвижимости из категории в категорию.</w:t>
      </w:r>
    </w:p>
    <w:p w:rsidR="00FA3B4F" w:rsidRPr="00F148E2" w:rsidRDefault="00FA3B4F" w:rsidP="00FA3B4F">
      <w:pPr>
        <w:pStyle w:val="IASBNormalnpara"/>
        <w:rPr>
          <w:lang w:val="ru-RU"/>
        </w:rPr>
      </w:pPr>
      <w:r w:rsidRPr="00FA3B4F">
        <w:rPr>
          <w:lang w:val="ru-RU"/>
        </w:rPr>
        <w:t>84</w:t>
      </w:r>
      <w:r w:rsidRPr="00985E79">
        <w:rPr>
          <w:lang w:val="en-GB"/>
        </w:rPr>
        <w:t>C</w:t>
      </w:r>
      <w:r w:rsidRPr="00FA3B4F">
        <w:rPr>
          <w:lang w:val="ru-RU"/>
        </w:rPr>
        <w:tab/>
      </w:r>
      <w:bookmarkStart w:id="9" w:name="F53063900"/>
      <w:r>
        <w:rPr>
          <w:lang w:val="ru-RU"/>
        </w:rPr>
        <w:t xml:space="preserve">Документом </w:t>
      </w:r>
      <w:r w:rsidRPr="00253FCC">
        <w:rPr>
          <w:i/>
          <w:lang w:val="ru-RU"/>
        </w:rPr>
        <w:t>«</w:t>
      </w:r>
      <w:r>
        <w:rPr>
          <w:i/>
          <w:lang w:val="ru-RU"/>
        </w:rPr>
        <w:t>Переводы инвестиционной недвижимости из категории в категорию</w:t>
      </w:r>
      <w:r>
        <w:rPr>
          <w:bCs/>
          <w:i/>
          <w:szCs w:val="19"/>
          <w:lang w:val="ru-RU"/>
        </w:rPr>
        <w:t>»</w:t>
      </w:r>
      <w:r w:rsidRPr="00FA3B4F">
        <w:rPr>
          <w:lang w:val="ru-RU"/>
        </w:rPr>
        <w:t xml:space="preserve"> </w:t>
      </w:r>
      <w:r w:rsidRPr="00D233A9">
        <w:rPr>
          <w:lang w:val="ru-RU"/>
        </w:rPr>
        <w:t>(</w:t>
      </w:r>
      <w:r>
        <w:rPr>
          <w:lang w:val="ru-RU"/>
        </w:rPr>
        <w:t>поправки к МСФО (IAS) </w:t>
      </w:r>
      <w:r w:rsidRPr="00D233A9">
        <w:rPr>
          <w:lang w:val="ru-RU"/>
        </w:rPr>
        <w:t xml:space="preserve">40), </w:t>
      </w:r>
      <w:r>
        <w:rPr>
          <w:lang w:val="ru-RU"/>
        </w:rPr>
        <w:t>выпущенным в декабре</w:t>
      </w:r>
      <w:r w:rsidRPr="00D233A9">
        <w:rPr>
          <w:lang w:val="ru-RU"/>
        </w:rPr>
        <w:t xml:space="preserve"> 2016</w:t>
      </w:r>
      <w:r>
        <w:rPr>
          <w:lang w:val="ru-RU"/>
        </w:rPr>
        <w:t xml:space="preserve"> года</w:t>
      </w:r>
      <w:r w:rsidRPr="00D233A9">
        <w:rPr>
          <w:lang w:val="ru-RU"/>
        </w:rPr>
        <w:t xml:space="preserve">, </w:t>
      </w:r>
      <w:r>
        <w:rPr>
          <w:lang w:val="ru-RU"/>
        </w:rPr>
        <w:t>внесены поправки в пункты</w:t>
      </w:r>
      <w:r w:rsidRPr="00D233A9">
        <w:rPr>
          <w:lang w:val="ru-RU"/>
        </w:rPr>
        <w:t xml:space="preserve"> 57–58. </w:t>
      </w:r>
      <w:r>
        <w:rPr>
          <w:lang w:val="ru-RU"/>
        </w:rPr>
        <w:t>Организация</w:t>
      </w:r>
      <w:r w:rsidRPr="00FA3B4F">
        <w:rPr>
          <w:lang w:val="ru-RU"/>
        </w:rPr>
        <w:t xml:space="preserve"> </w:t>
      </w:r>
      <w:r>
        <w:rPr>
          <w:lang w:val="ru-RU"/>
        </w:rPr>
        <w:t>должна</w:t>
      </w:r>
      <w:r w:rsidRPr="00FA3B4F">
        <w:rPr>
          <w:lang w:val="ru-RU"/>
        </w:rPr>
        <w:t xml:space="preserve"> </w:t>
      </w:r>
      <w:r>
        <w:rPr>
          <w:lang w:val="ru-RU"/>
        </w:rPr>
        <w:t>применять</w:t>
      </w:r>
      <w:r w:rsidRPr="00FA3B4F">
        <w:rPr>
          <w:lang w:val="ru-RU"/>
        </w:rPr>
        <w:t xml:space="preserve"> </w:t>
      </w:r>
      <w:r>
        <w:rPr>
          <w:lang w:val="ru-RU"/>
        </w:rPr>
        <w:t>указанные</w:t>
      </w:r>
      <w:r w:rsidRPr="00FA3B4F">
        <w:rPr>
          <w:lang w:val="ru-RU"/>
        </w:rPr>
        <w:t xml:space="preserve"> </w:t>
      </w:r>
      <w:r>
        <w:rPr>
          <w:lang w:val="ru-RU"/>
        </w:rPr>
        <w:t>поправки</w:t>
      </w:r>
      <w:r w:rsidRPr="00FA3B4F">
        <w:rPr>
          <w:lang w:val="ru-RU"/>
        </w:rPr>
        <w:t xml:space="preserve"> </w:t>
      </w:r>
      <w:r>
        <w:rPr>
          <w:lang w:val="ru-RU"/>
        </w:rPr>
        <w:t>в</w:t>
      </w:r>
      <w:r w:rsidRPr="00FA3B4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A3B4F">
        <w:rPr>
          <w:lang w:val="ru-RU"/>
        </w:rPr>
        <w:t xml:space="preserve"> </w:t>
      </w:r>
      <w:r>
        <w:rPr>
          <w:lang w:val="ru-RU"/>
        </w:rPr>
        <w:t>изменений</w:t>
      </w:r>
      <w:r w:rsidRPr="00FA3B4F">
        <w:rPr>
          <w:lang w:val="ru-RU"/>
        </w:rPr>
        <w:t xml:space="preserve"> </w:t>
      </w:r>
      <w:r>
        <w:rPr>
          <w:lang w:val="ru-RU"/>
        </w:rPr>
        <w:t>характера</w:t>
      </w:r>
      <w:r w:rsidRPr="00FA3B4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A3B4F">
        <w:rPr>
          <w:lang w:val="ru-RU"/>
        </w:rPr>
        <w:t xml:space="preserve">, </w:t>
      </w:r>
      <w:r>
        <w:rPr>
          <w:lang w:val="ru-RU"/>
        </w:rPr>
        <w:t>которые</w:t>
      </w:r>
      <w:r w:rsidRPr="00FA3B4F">
        <w:rPr>
          <w:lang w:val="ru-RU"/>
        </w:rPr>
        <w:t xml:space="preserve"> </w:t>
      </w:r>
      <w:r>
        <w:rPr>
          <w:lang w:val="ru-RU"/>
        </w:rPr>
        <w:t>происходят</w:t>
      </w:r>
      <w:r w:rsidRPr="00FA3B4F">
        <w:rPr>
          <w:lang w:val="ru-RU"/>
        </w:rPr>
        <w:t xml:space="preserve"> </w:t>
      </w:r>
      <w:r>
        <w:rPr>
          <w:lang w:val="ru-RU"/>
        </w:rPr>
        <w:t>на</w:t>
      </w:r>
      <w:r w:rsidRPr="00FA3B4F">
        <w:rPr>
          <w:lang w:val="ru-RU"/>
        </w:rPr>
        <w:t xml:space="preserve"> </w:t>
      </w:r>
      <w:r>
        <w:rPr>
          <w:lang w:val="ru-RU"/>
        </w:rPr>
        <w:t>дату</w:t>
      </w:r>
      <w:r w:rsidRPr="00FA3B4F">
        <w:rPr>
          <w:lang w:val="ru-RU"/>
        </w:rPr>
        <w:t xml:space="preserve"> </w:t>
      </w:r>
      <w:r>
        <w:rPr>
          <w:lang w:val="ru-RU"/>
        </w:rPr>
        <w:t>начала</w:t>
      </w:r>
      <w:r w:rsidRPr="00FA3B4F">
        <w:rPr>
          <w:lang w:val="ru-RU"/>
        </w:rPr>
        <w:t xml:space="preserve"> </w:t>
      </w:r>
      <w:r>
        <w:rPr>
          <w:lang w:val="ru-RU"/>
        </w:rPr>
        <w:t>годового</w:t>
      </w:r>
      <w:r w:rsidRPr="00FA3B4F">
        <w:rPr>
          <w:lang w:val="ru-RU"/>
        </w:rPr>
        <w:t xml:space="preserve"> </w:t>
      </w:r>
      <w:r>
        <w:rPr>
          <w:lang w:val="ru-RU"/>
        </w:rPr>
        <w:t>отчетного</w:t>
      </w:r>
      <w:r w:rsidRPr="00FA3B4F">
        <w:rPr>
          <w:lang w:val="ru-RU"/>
        </w:rPr>
        <w:t xml:space="preserve"> </w:t>
      </w:r>
      <w:r>
        <w:rPr>
          <w:lang w:val="ru-RU"/>
        </w:rPr>
        <w:t>периода</w:t>
      </w:r>
      <w:r w:rsidRPr="00FA3B4F">
        <w:rPr>
          <w:lang w:val="ru-RU"/>
        </w:rPr>
        <w:t xml:space="preserve">, </w:t>
      </w:r>
      <w:r>
        <w:rPr>
          <w:lang w:val="ru-RU"/>
        </w:rPr>
        <w:t>в</w:t>
      </w:r>
      <w:r w:rsidRPr="00FA3B4F">
        <w:rPr>
          <w:lang w:val="ru-RU"/>
        </w:rPr>
        <w:t xml:space="preserve"> </w:t>
      </w:r>
      <w:r>
        <w:rPr>
          <w:lang w:val="ru-RU"/>
        </w:rPr>
        <w:t>котором</w:t>
      </w:r>
      <w:r w:rsidRPr="00FA3B4F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A3B4F">
        <w:rPr>
          <w:lang w:val="ru-RU"/>
        </w:rPr>
        <w:t xml:space="preserve"> </w:t>
      </w:r>
      <w:r>
        <w:rPr>
          <w:lang w:val="ru-RU"/>
        </w:rPr>
        <w:t>впервые</w:t>
      </w:r>
      <w:r w:rsidRPr="00FA3B4F">
        <w:rPr>
          <w:lang w:val="ru-RU"/>
        </w:rPr>
        <w:t xml:space="preserve"> </w:t>
      </w:r>
      <w:r>
        <w:rPr>
          <w:lang w:val="ru-RU"/>
        </w:rPr>
        <w:t>применяет</w:t>
      </w:r>
      <w:r w:rsidRPr="00FA3B4F">
        <w:rPr>
          <w:lang w:val="ru-RU"/>
        </w:rPr>
        <w:t xml:space="preserve"> </w:t>
      </w:r>
      <w:r>
        <w:rPr>
          <w:lang w:val="ru-RU"/>
        </w:rPr>
        <w:t>поправки</w:t>
      </w:r>
      <w:r w:rsidRPr="00FA3B4F">
        <w:rPr>
          <w:lang w:val="ru-RU"/>
        </w:rPr>
        <w:t xml:space="preserve"> (</w:t>
      </w:r>
      <w:r>
        <w:rPr>
          <w:lang w:val="ru-RU"/>
        </w:rPr>
        <w:t>дата</w:t>
      </w:r>
      <w:r w:rsidRPr="00FA3B4F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FA3B4F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FA3B4F">
        <w:rPr>
          <w:lang w:val="ru-RU"/>
        </w:rPr>
        <w:t xml:space="preserve">), </w:t>
      </w:r>
      <w:r>
        <w:rPr>
          <w:lang w:val="ru-RU"/>
        </w:rPr>
        <w:t>или</w:t>
      </w:r>
      <w:r w:rsidRPr="00FA3B4F">
        <w:rPr>
          <w:lang w:val="ru-RU"/>
        </w:rPr>
        <w:t xml:space="preserve"> </w:t>
      </w:r>
      <w:r>
        <w:rPr>
          <w:lang w:val="ru-RU"/>
        </w:rPr>
        <w:t>после</w:t>
      </w:r>
      <w:r w:rsidRPr="00FA3B4F">
        <w:rPr>
          <w:lang w:val="ru-RU"/>
        </w:rPr>
        <w:t xml:space="preserve"> </w:t>
      </w:r>
      <w:r>
        <w:rPr>
          <w:lang w:val="ru-RU"/>
        </w:rPr>
        <w:t>этой</w:t>
      </w:r>
      <w:r w:rsidRPr="00FA3B4F">
        <w:rPr>
          <w:lang w:val="ru-RU"/>
        </w:rPr>
        <w:t xml:space="preserve"> </w:t>
      </w:r>
      <w:r>
        <w:rPr>
          <w:lang w:val="ru-RU"/>
        </w:rPr>
        <w:t>даты</w:t>
      </w:r>
      <w:r w:rsidRPr="00FA3B4F">
        <w:rPr>
          <w:lang w:val="ru-RU"/>
        </w:rPr>
        <w:t xml:space="preserve">. </w:t>
      </w:r>
      <w:r>
        <w:rPr>
          <w:lang w:val="ru-RU"/>
        </w:rPr>
        <w:t>На</w:t>
      </w:r>
      <w:r w:rsidRPr="00F148E2">
        <w:rPr>
          <w:lang w:val="ru-RU"/>
        </w:rPr>
        <w:t xml:space="preserve"> </w:t>
      </w:r>
      <w:r>
        <w:rPr>
          <w:lang w:val="ru-RU"/>
        </w:rPr>
        <w:t>дату</w:t>
      </w:r>
      <w:r w:rsidRPr="00F148E2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F148E2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F148E2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148E2">
        <w:rPr>
          <w:lang w:val="ru-RU"/>
        </w:rPr>
        <w:t xml:space="preserve"> </w:t>
      </w:r>
      <w:r>
        <w:rPr>
          <w:lang w:val="ru-RU"/>
        </w:rPr>
        <w:t>должна</w:t>
      </w:r>
      <w:r w:rsidRPr="00F148E2">
        <w:rPr>
          <w:lang w:val="ru-RU"/>
        </w:rPr>
        <w:t xml:space="preserve"> </w:t>
      </w:r>
      <w:r>
        <w:rPr>
          <w:lang w:val="ru-RU"/>
        </w:rPr>
        <w:t>повторно</w:t>
      </w:r>
      <w:r w:rsidRPr="00F148E2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F148E2">
        <w:rPr>
          <w:lang w:val="ru-RU"/>
        </w:rPr>
        <w:t xml:space="preserve"> </w:t>
      </w:r>
      <w:r>
        <w:rPr>
          <w:lang w:val="ru-RU"/>
        </w:rPr>
        <w:t>классификацию недвижимости</w:t>
      </w:r>
      <w:r w:rsidRPr="00F148E2">
        <w:rPr>
          <w:lang w:val="ru-RU"/>
        </w:rPr>
        <w:t xml:space="preserve">, </w:t>
      </w:r>
      <w:r>
        <w:rPr>
          <w:lang w:val="ru-RU"/>
        </w:rPr>
        <w:t>удерживаемой</w:t>
      </w:r>
      <w:r w:rsidRPr="00F148E2">
        <w:rPr>
          <w:lang w:val="ru-RU"/>
        </w:rPr>
        <w:t xml:space="preserve"> </w:t>
      </w:r>
      <w:r>
        <w:rPr>
          <w:lang w:val="ru-RU"/>
        </w:rPr>
        <w:t>на</w:t>
      </w:r>
      <w:r w:rsidRPr="00F148E2">
        <w:rPr>
          <w:lang w:val="ru-RU"/>
        </w:rPr>
        <w:t xml:space="preserve"> </w:t>
      </w:r>
      <w:r>
        <w:rPr>
          <w:lang w:val="ru-RU"/>
        </w:rPr>
        <w:t>эту</w:t>
      </w:r>
      <w:r w:rsidRPr="00F148E2">
        <w:rPr>
          <w:lang w:val="ru-RU"/>
        </w:rPr>
        <w:t xml:space="preserve"> </w:t>
      </w:r>
      <w:r>
        <w:rPr>
          <w:lang w:val="ru-RU"/>
        </w:rPr>
        <w:t>дату</w:t>
      </w:r>
      <w:r w:rsidRPr="00F148E2">
        <w:rPr>
          <w:lang w:val="ru-RU"/>
        </w:rPr>
        <w:t xml:space="preserve">, </w:t>
      </w:r>
      <w:r>
        <w:rPr>
          <w:lang w:val="ru-RU"/>
        </w:rPr>
        <w:t>и</w:t>
      </w:r>
      <w:r w:rsidRPr="00F148E2">
        <w:rPr>
          <w:lang w:val="ru-RU"/>
        </w:rPr>
        <w:t xml:space="preserve">, </w:t>
      </w:r>
      <w:r>
        <w:rPr>
          <w:lang w:val="ru-RU"/>
        </w:rPr>
        <w:t>если</w:t>
      </w:r>
      <w:r w:rsidRPr="00F148E2">
        <w:rPr>
          <w:lang w:val="ru-RU"/>
        </w:rPr>
        <w:t xml:space="preserve"> </w:t>
      </w:r>
      <w:r>
        <w:rPr>
          <w:lang w:val="ru-RU"/>
        </w:rPr>
        <w:t>применимо</w:t>
      </w:r>
      <w:r w:rsidRPr="00F148E2">
        <w:rPr>
          <w:lang w:val="ru-RU"/>
        </w:rPr>
        <w:t xml:space="preserve">, </w:t>
      </w:r>
      <w:r>
        <w:rPr>
          <w:lang w:val="ru-RU"/>
        </w:rPr>
        <w:t>произвести перевод</w:t>
      </w:r>
      <w:r w:rsidRPr="00F148E2">
        <w:rPr>
          <w:lang w:val="ru-RU"/>
        </w:rPr>
        <w:t xml:space="preserve"> </w:t>
      </w:r>
      <w:r>
        <w:rPr>
          <w:lang w:val="ru-RU"/>
        </w:rPr>
        <w:t>недвижимости</w:t>
      </w:r>
      <w:r w:rsidRPr="00F148E2">
        <w:rPr>
          <w:lang w:val="ru-RU"/>
        </w:rPr>
        <w:t xml:space="preserve"> </w:t>
      </w:r>
      <w:r>
        <w:rPr>
          <w:lang w:val="ru-RU"/>
        </w:rPr>
        <w:t>с</w:t>
      </w:r>
      <w:r w:rsidRPr="00F148E2">
        <w:rPr>
          <w:lang w:val="ru-RU"/>
        </w:rPr>
        <w:t xml:space="preserve"> </w:t>
      </w:r>
      <w:r w:rsidRPr="00771194">
        <w:rPr>
          <w:bCs/>
          <w:szCs w:val="19"/>
          <w:lang w:val="ru-RU"/>
        </w:rPr>
        <w:t>учетом положений</w:t>
      </w:r>
      <w:r w:rsidDel="00DC48BE">
        <w:rPr>
          <w:lang w:val="ru-RU"/>
        </w:rPr>
        <w:t xml:space="preserve"> </w:t>
      </w:r>
      <w:r>
        <w:rPr>
          <w:lang w:val="ru-RU"/>
        </w:rPr>
        <w:t>пунктов</w:t>
      </w:r>
      <w:r w:rsidRPr="00F148E2">
        <w:rPr>
          <w:lang w:val="ru-RU"/>
        </w:rPr>
        <w:t xml:space="preserve"> 7–14 </w:t>
      </w:r>
      <w:r>
        <w:rPr>
          <w:lang w:val="ru-RU"/>
        </w:rPr>
        <w:t>для отражения условий, которые существуют на эту дату</w:t>
      </w:r>
      <w:r w:rsidRPr="00F148E2">
        <w:rPr>
          <w:lang w:val="ru-RU"/>
        </w:rPr>
        <w:t>.</w:t>
      </w:r>
      <w:bookmarkEnd w:id="9"/>
    </w:p>
    <w:p w:rsidR="00FA3B4F" w:rsidRPr="00FA3B4F" w:rsidRDefault="00FA3B4F" w:rsidP="00FA3B4F">
      <w:pPr>
        <w:pStyle w:val="IASBNormalnpara"/>
        <w:rPr>
          <w:lang w:val="ru-RU"/>
        </w:rPr>
      </w:pPr>
      <w:r w:rsidRPr="00FA3B4F">
        <w:rPr>
          <w:lang w:val="ru-RU"/>
        </w:rPr>
        <w:t>84</w:t>
      </w:r>
      <w:r w:rsidRPr="00985E79">
        <w:rPr>
          <w:lang w:val="en-GB"/>
        </w:rPr>
        <w:t>D</w:t>
      </w:r>
      <w:proofErr w:type="gramStart"/>
      <w:r w:rsidRPr="00FA3B4F">
        <w:rPr>
          <w:lang w:val="ru-RU"/>
        </w:rPr>
        <w:tab/>
      </w:r>
      <w:bookmarkStart w:id="10" w:name="F53063902"/>
      <w:r>
        <w:rPr>
          <w:lang w:val="ru-RU"/>
        </w:rPr>
        <w:t>Н</w:t>
      </w:r>
      <w:proofErr w:type="gramEnd"/>
      <w:r>
        <w:rPr>
          <w:lang w:val="ru-RU"/>
        </w:rPr>
        <w:t>есмотря на требования пункта</w:t>
      </w:r>
      <w:r w:rsidRPr="00FA3B4F">
        <w:rPr>
          <w:lang w:val="ru-RU"/>
        </w:rPr>
        <w:t xml:space="preserve"> 84</w:t>
      </w:r>
      <w:r w:rsidRPr="00985E79">
        <w:rPr>
          <w:lang w:val="en-GB"/>
        </w:rPr>
        <w:t>C</w:t>
      </w:r>
      <w:r w:rsidRPr="00FA3B4F">
        <w:rPr>
          <w:lang w:val="ru-RU"/>
        </w:rPr>
        <w:t xml:space="preserve">, </w:t>
      </w:r>
      <w:r>
        <w:rPr>
          <w:lang w:val="ru-RU"/>
        </w:rPr>
        <w:t>организации разрешается применять указанные поправки к пунктам</w:t>
      </w:r>
      <w:r w:rsidRPr="00FA3B4F">
        <w:rPr>
          <w:lang w:val="ru-RU"/>
        </w:rPr>
        <w:t xml:space="preserve"> 57–58 </w:t>
      </w:r>
      <w:r>
        <w:rPr>
          <w:lang w:val="ru-RU"/>
        </w:rPr>
        <w:t>ретроспективно в соответствии с МСФО (IAS) 8</w:t>
      </w:r>
      <w:r w:rsidRPr="00FA3B4F">
        <w:rPr>
          <w:lang w:val="ru-RU"/>
        </w:rPr>
        <w:t xml:space="preserve"> </w:t>
      </w:r>
      <w:r>
        <w:rPr>
          <w:lang w:val="ru-RU"/>
        </w:rPr>
        <w:t xml:space="preserve">тогда и только тогда, когда это возможно без оценки прошлых событий с использованием </w:t>
      </w:r>
      <w:r w:rsidRPr="008B3C5A">
        <w:rPr>
          <w:lang w:val="ru-RU"/>
        </w:rPr>
        <w:t xml:space="preserve">более </w:t>
      </w:r>
      <w:r>
        <w:rPr>
          <w:lang w:val="ru-RU"/>
        </w:rPr>
        <w:t>поздней информации</w:t>
      </w:r>
      <w:r w:rsidRPr="00FA3B4F">
        <w:rPr>
          <w:lang w:val="ru-RU"/>
        </w:rPr>
        <w:t>.</w:t>
      </w:r>
      <w:bookmarkEnd w:id="10"/>
    </w:p>
    <w:p w:rsidR="00FA3B4F" w:rsidRPr="00FA3B4F" w:rsidRDefault="00FA3B4F" w:rsidP="00FA3B4F">
      <w:pPr>
        <w:pStyle w:val="IASBNormalnpara"/>
        <w:rPr>
          <w:lang w:val="ru-RU"/>
        </w:rPr>
      </w:pPr>
      <w:r w:rsidRPr="00FA3B4F">
        <w:rPr>
          <w:lang w:val="ru-RU"/>
        </w:rPr>
        <w:t>84</w:t>
      </w:r>
      <w:r w:rsidRPr="00985E79">
        <w:rPr>
          <w:lang w:val="en-GB"/>
        </w:rPr>
        <w:t>E</w:t>
      </w:r>
      <w:proofErr w:type="gramStart"/>
      <w:r w:rsidRPr="00FA3B4F">
        <w:rPr>
          <w:lang w:val="ru-RU"/>
        </w:rPr>
        <w:tab/>
      </w:r>
      <w:bookmarkStart w:id="11" w:name="F53063903"/>
      <w:r>
        <w:rPr>
          <w:lang w:val="ru-RU"/>
        </w:rPr>
        <w:t>Е</w:t>
      </w:r>
      <w:proofErr w:type="gramEnd"/>
      <w:r>
        <w:rPr>
          <w:lang w:val="ru-RU"/>
        </w:rPr>
        <w:t>сли в соответствии с пунктом</w:t>
      </w:r>
      <w:r w:rsidRPr="00FA3B4F">
        <w:rPr>
          <w:lang w:val="ru-RU"/>
        </w:rPr>
        <w:t xml:space="preserve"> 84</w:t>
      </w:r>
      <w:r w:rsidRPr="00985E79">
        <w:rPr>
          <w:lang w:val="en-GB"/>
        </w:rPr>
        <w:t>C</w:t>
      </w:r>
      <w:r>
        <w:rPr>
          <w:lang w:val="ru-RU"/>
        </w:rPr>
        <w:t xml:space="preserve"> организация переводит недвижимость </w:t>
      </w:r>
      <w:r w:rsidRPr="00D233A9">
        <w:rPr>
          <w:lang w:val="ru-RU"/>
        </w:rPr>
        <w:t>между категориями</w:t>
      </w:r>
      <w:r w:rsidRPr="00DC48BE">
        <w:rPr>
          <w:lang w:val="ru-RU"/>
        </w:rPr>
        <w:t xml:space="preserve"> </w:t>
      </w:r>
      <w:r>
        <w:rPr>
          <w:lang w:val="ru-RU"/>
        </w:rPr>
        <w:t>на дату первоначального применения</w:t>
      </w:r>
      <w:r w:rsidRPr="00FA3B4F">
        <w:rPr>
          <w:lang w:val="ru-RU"/>
        </w:rPr>
        <w:t xml:space="preserve">, </w:t>
      </w:r>
      <w:r>
        <w:rPr>
          <w:lang w:val="ru-RU"/>
        </w:rPr>
        <w:t>организация должна</w:t>
      </w:r>
      <w:r w:rsidRPr="00FA3B4F">
        <w:rPr>
          <w:lang w:val="ru-RU"/>
        </w:rPr>
        <w:t>:</w:t>
      </w:r>
      <w:bookmarkEnd w:id="11"/>
    </w:p>
    <w:p w:rsidR="00FA3B4F" w:rsidRPr="00FA3B4F" w:rsidRDefault="00FA3B4F" w:rsidP="00FA3B4F">
      <w:pPr>
        <w:pStyle w:val="IASBNormalnparaL1"/>
        <w:rPr>
          <w:lang w:val="ru-RU"/>
        </w:rPr>
      </w:pPr>
      <w:r w:rsidRPr="00FA3B4F">
        <w:rPr>
          <w:lang w:val="ru-RU"/>
        </w:rPr>
        <w:t>(</w:t>
      </w:r>
      <w:r w:rsidRPr="00985E79">
        <w:rPr>
          <w:lang w:val="en-GB"/>
        </w:rPr>
        <w:t>a</w:t>
      </w:r>
      <w:r w:rsidRPr="00FA3B4F">
        <w:rPr>
          <w:lang w:val="ru-RU"/>
        </w:rPr>
        <w:t>)</w:t>
      </w:r>
      <w:r w:rsidRPr="00FA3B4F">
        <w:rPr>
          <w:lang w:val="ru-RU"/>
        </w:rPr>
        <w:tab/>
      </w:r>
      <w:bookmarkStart w:id="12" w:name="F53063906"/>
      <w:r w:rsidRPr="00D233A9">
        <w:rPr>
          <w:lang w:val="ru-RU"/>
        </w:rPr>
        <w:t>отразить в учете перевод между категориями в соответствии</w:t>
      </w:r>
      <w:r>
        <w:rPr>
          <w:lang w:val="ru-RU"/>
        </w:rPr>
        <w:t xml:space="preserve"> с требованиями пунктов</w:t>
      </w:r>
      <w:r w:rsidRPr="00FA3B4F">
        <w:rPr>
          <w:lang w:val="ru-RU"/>
        </w:rPr>
        <w:t xml:space="preserve"> 59–64. </w:t>
      </w:r>
      <w:r>
        <w:rPr>
          <w:lang w:val="ru-RU"/>
        </w:rPr>
        <w:t>При применении пунктов</w:t>
      </w:r>
      <w:r w:rsidRPr="00FA3B4F">
        <w:rPr>
          <w:lang w:val="ru-RU"/>
        </w:rPr>
        <w:t xml:space="preserve"> 59–64</w:t>
      </w:r>
      <w:r>
        <w:rPr>
          <w:lang w:val="ru-RU"/>
        </w:rPr>
        <w:t xml:space="preserve"> организация должна</w:t>
      </w:r>
      <w:r w:rsidRPr="00FA3B4F">
        <w:rPr>
          <w:lang w:val="ru-RU"/>
        </w:rPr>
        <w:t>:</w:t>
      </w:r>
      <w:bookmarkEnd w:id="12"/>
    </w:p>
    <w:p w:rsidR="00FA3B4F" w:rsidRPr="00FA3B4F" w:rsidRDefault="00FA3B4F" w:rsidP="00FA3B4F">
      <w:pPr>
        <w:pStyle w:val="IASBNormalnparaL2"/>
        <w:rPr>
          <w:lang w:val="ru-RU"/>
        </w:rPr>
      </w:pPr>
      <w:r w:rsidRPr="00FA3B4F">
        <w:rPr>
          <w:lang w:val="ru-RU"/>
        </w:rPr>
        <w:t>(</w:t>
      </w:r>
      <w:proofErr w:type="spellStart"/>
      <w:r w:rsidRPr="00985E79">
        <w:rPr>
          <w:lang w:val="en-GB"/>
        </w:rPr>
        <w:t>i</w:t>
      </w:r>
      <w:proofErr w:type="spellEnd"/>
      <w:r w:rsidRPr="00FA3B4F">
        <w:rPr>
          <w:lang w:val="ru-RU"/>
        </w:rPr>
        <w:t>)</w:t>
      </w:r>
      <w:r w:rsidRPr="00FA3B4F">
        <w:rPr>
          <w:lang w:val="ru-RU"/>
        </w:rPr>
        <w:tab/>
      </w:r>
      <w:bookmarkStart w:id="13" w:name="F53063909"/>
      <w:r w:rsidRPr="00D233A9">
        <w:rPr>
          <w:lang w:val="ru-RU"/>
        </w:rPr>
        <w:t>трактовать</w:t>
      </w:r>
      <w:r w:rsidRPr="005D08FB">
        <w:rPr>
          <w:lang w:val="ru-RU"/>
        </w:rPr>
        <w:t xml:space="preserve"> </w:t>
      </w:r>
      <w:r>
        <w:rPr>
          <w:lang w:val="ru-RU"/>
        </w:rPr>
        <w:t>ссылки на дату изменения характера использования как дату первоначального применения</w:t>
      </w:r>
      <w:r w:rsidRPr="00FA3B4F">
        <w:rPr>
          <w:lang w:val="ru-RU"/>
        </w:rPr>
        <w:t xml:space="preserve">; </w:t>
      </w:r>
      <w:r>
        <w:rPr>
          <w:lang w:val="ru-RU"/>
        </w:rPr>
        <w:t>и</w:t>
      </w:r>
      <w:bookmarkEnd w:id="13"/>
    </w:p>
    <w:p w:rsidR="00FA3B4F" w:rsidRPr="00FA3B4F" w:rsidRDefault="00FA3B4F" w:rsidP="00FA3B4F">
      <w:pPr>
        <w:pStyle w:val="IASBNormalnparaL2"/>
        <w:rPr>
          <w:lang w:val="ru-RU"/>
        </w:rPr>
      </w:pPr>
      <w:r w:rsidRPr="00FA3B4F">
        <w:rPr>
          <w:lang w:val="ru-RU"/>
        </w:rPr>
        <w:t>(</w:t>
      </w:r>
      <w:r w:rsidRPr="00985E79">
        <w:rPr>
          <w:lang w:val="en-GB"/>
        </w:rPr>
        <w:t>ii</w:t>
      </w:r>
      <w:r w:rsidRPr="00FA3B4F">
        <w:rPr>
          <w:lang w:val="ru-RU"/>
        </w:rPr>
        <w:t>)</w:t>
      </w:r>
      <w:r w:rsidRPr="00FA3B4F">
        <w:rPr>
          <w:lang w:val="ru-RU"/>
        </w:rPr>
        <w:tab/>
      </w:r>
      <w:bookmarkStart w:id="14" w:name="F53063911"/>
      <w:r>
        <w:rPr>
          <w:lang w:val="ru-RU"/>
        </w:rPr>
        <w:t xml:space="preserve">признавать сумму, которая в соответствии с пунктами </w:t>
      </w:r>
      <w:r w:rsidRPr="00FA3B4F">
        <w:rPr>
          <w:lang w:val="ru-RU"/>
        </w:rPr>
        <w:t>59–64</w:t>
      </w:r>
      <w:r>
        <w:rPr>
          <w:lang w:val="ru-RU"/>
        </w:rPr>
        <w:t xml:space="preserve"> признавалась бы в составе прибыли или убытка, как корректировку вступительного сальдо нераспределенной прибыли, на дату первоначального применения</w:t>
      </w:r>
      <w:r w:rsidRPr="00FA3B4F">
        <w:rPr>
          <w:lang w:val="ru-RU"/>
        </w:rPr>
        <w:t>.</w:t>
      </w:r>
      <w:bookmarkEnd w:id="14"/>
    </w:p>
    <w:p w:rsidR="00FA3B4F" w:rsidRPr="00912E61" w:rsidRDefault="00FA3B4F" w:rsidP="00FA3B4F">
      <w:pPr>
        <w:pStyle w:val="IASBNormalnparaL1"/>
        <w:rPr>
          <w:lang w:val="ru-RU"/>
        </w:rPr>
      </w:pPr>
      <w:r w:rsidRPr="00FA3B4F">
        <w:rPr>
          <w:lang w:val="ru-RU"/>
        </w:rPr>
        <w:t>(</w:t>
      </w:r>
      <w:r w:rsidRPr="00985E79">
        <w:rPr>
          <w:lang w:val="en-GB"/>
        </w:rPr>
        <w:t>b</w:t>
      </w:r>
      <w:r w:rsidRPr="00FA3B4F">
        <w:rPr>
          <w:lang w:val="ru-RU"/>
        </w:rPr>
        <w:t>)</w:t>
      </w:r>
      <w:r w:rsidRPr="00FA3B4F">
        <w:rPr>
          <w:lang w:val="ru-RU"/>
        </w:rPr>
        <w:tab/>
      </w:r>
      <w:bookmarkStart w:id="15" w:name="F53063913"/>
      <w:r>
        <w:rPr>
          <w:lang w:val="ru-RU"/>
        </w:rPr>
        <w:t xml:space="preserve">раскрыть суммы переводов в категорию или из категории инвестиционной недвижимости в соответствии с пунктом </w:t>
      </w:r>
      <w:r w:rsidRPr="00FA3B4F">
        <w:rPr>
          <w:lang w:val="ru-RU"/>
        </w:rPr>
        <w:t>84</w:t>
      </w:r>
      <w:r w:rsidRPr="00985E79">
        <w:rPr>
          <w:lang w:val="en-GB"/>
        </w:rPr>
        <w:t>C</w:t>
      </w:r>
      <w:r w:rsidRPr="00FA3B4F">
        <w:rPr>
          <w:lang w:val="ru-RU"/>
        </w:rPr>
        <w:t xml:space="preserve">. </w:t>
      </w:r>
      <w:r>
        <w:rPr>
          <w:lang w:val="ru-RU"/>
        </w:rPr>
        <w:t>Организация</w:t>
      </w:r>
      <w:r w:rsidRPr="00912E61">
        <w:rPr>
          <w:lang w:val="ru-RU"/>
        </w:rPr>
        <w:t xml:space="preserve"> </w:t>
      </w:r>
      <w:r>
        <w:rPr>
          <w:lang w:val="ru-RU"/>
        </w:rPr>
        <w:t>должна</w:t>
      </w:r>
      <w:r w:rsidRPr="00912E61">
        <w:rPr>
          <w:lang w:val="ru-RU"/>
        </w:rPr>
        <w:t xml:space="preserve"> </w:t>
      </w:r>
      <w:r>
        <w:rPr>
          <w:lang w:val="ru-RU"/>
        </w:rPr>
        <w:t>раскрыть</w:t>
      </w:r>
      <w:r w:rsidRPr="00912E61">
        <w:rPr>
          <w:lang w:val="ru-RU"/>
        </w:rPr>
        <w:t xml:space="preserve"> </w:t>
      </w:r>
      <w:r>
        <w:rPr>
          <w:lang w:val="ru-RU"/>
        </w:rPr>
        <w:t>такие</w:t>
      </w:r>
      <w:r w:rsidRPr="00912E61">
        <w:rPr>
          <w:lang w:val="ru-RU"/>
        </w:rPr>
        <w:t xml:space="preserve"> </w:t>
      </w:r>
      <w:r>
        <w:rPr>
          <w:lang w:val="ru-RU"/>
        </w:rPr>
        <w:t>суммы переводов между категориями</w:t>
      </w:r>
      <w:r w:rsidRPr="00912E61">
        <w:rPr>
          <w:lang w:val="ru-RU"/>
        </w:rPr>
        <w:t xml:space="preserve"> </w:t>
      </w:r>
      <w:r>
        <w:rPr>
          <w:lang w:val="ru-RU"/>
        </w:rPr>
        <w:t>в</w:t>
      </w:r>
      <w:r w:rsidRPr="00912E61">
        <w:rPr>
          <w:lang w:val="ru-RU"/>
        </w:rPr>
        <w:t xml:space="preserve"> </w:t>
      </w:r>
      <w:r>
        <w:rPr>
          <w:lang w:val="ru-RU"/>
        </w:rPr>
        <w:t>сверке</w:t>
      </w:r>
      <w:r w:rsidRPr="00912E61">
        <w:rPr>
          <w:lang w:val="ru-RU"/>
        </w:rPr>
        <w:t xml:space="preserve"> </w:t>
      </w:r>
      <w:r>
        <w:rPr>
          <w:lang w:val="ru-RU"/>
        </w:rPr>
        <w:t>балансовой</w:t>
      </w:r>
      <w:r w:rsidRPr="00912E61">
        <w:rPr>
          <w:lang w:val="ru-RU"/>
        </w:rPr>
        <w:t xml:space="preserve"> </w:t>
      </w:r>
      <w:r>
        <w:rPr>
          <w:lang w:val="ru-RU"/>
        </w:rPr>
        <w:t>стоимости</w:t>
      </w:r>
      <w:r w:rsidRPr="00912E61">
        <w:rPr>
          <w:lang w:val="ru-RU"/>
        </w:rPr>
        <w:t xml:space="preserve"> </w:t>
      </w:r>
      <w:r>
        <w:rPr>
          <w:lang w:val="ru-RU"/>
        </w:rPr>
        <w:t>инвестиционной</w:t>
      </w:r>
      <w:r w:rsidRPr="00912E61">
        <w:rPr>
          <w:lang w:val="ru-RU"/>
        </w:rPr>
        <w:t xml:space="preserve"> </w:t>
      </w:r>
      <w:r>
        <w:rPr>
          <w:lang w:val="ru-RU"/>
        </w:rPr>
        <w:t>недвижимости</w:t>
      </w:r>
      <w:r w:rsidRPr="00912E61">
        <w:rPr>
          <w:lang w:val="ru-RU"/>
        </w:rPr>
        <w:t xml:space="preserve"> </w:t>
      </w:r>
      <w:r>
        <w:rPr>
          <w:lang w:val="ru-RU"/>
        </w:rPr>
        <w:t>на</w:t>
      </w:r>
      <w:r w:rsidRPr="00912E61">
        <w:rPr>
          <w:lang w:val="ru-RU"/>
        </w:rPr>
        <w:t xml:space="preserve"> </w:t>
      </w:r>
      <w:r>
        <w:rPr>
          <w:lang w:val="ru-RU"/>
        </w:rPr>
        <w:t>начало</w:t>
      </w:r>
      <w:r w:rsidRPr="00912E61">
        <w:rPr>
          <w:lang w:val="ru-RU"/>
        </w:rPr>
        <w:t xml:space="preserve"> </w:t>
      </w:r>
      <w:r>
        <w:rPr>
          <w:lang w:val="ru-RU"/>
        </w:rPr>
        <w:t>и</w:t>
      </w:r>
      <w:r w:rsidRPr="00912E61">
        <w:rPr>
          <w:lang w:val="ru-RU"/>
        </w:rPr>
        <w:t xml:space="preserve"> </w:t>
      </w:r>
      <w:r>
        <w:rPr>
          <w:lang w:val="ru-RU"/>
        </w:rPr>
        <w:t>на</w:t>
      </w:r>
      <w:r w:rsidRPr="00912E61">
        <w:rPr>
          <w:lang w:val="ru-RU"/>
        </w:rPr>
        <w:t xml:space="preserve"> </w:t>
      </w:r>
      <w:r>
        <w:rPr>
          <w:lang w:val="ru-RU"/>
        </w:rPr>
        <w:t>конец</w:t>
      </w:r>
      <w:r w:rsidRPr="00912E61">
        <w:rPr>
          <w:lang w:val="ru-RU"/>
        </w:rPr>
        <w:t xml:space="preserve"> </w:t>
      </w:r>
      <w:r>
        <w:rPr>
          <w:lang w:val="ru-RU"/>
        </w:rPr>
        <w:t>периода</w:t>
      </w:r>
      <w:r w:rsidRPr="00912E61">
        <w:rPr>
          <w:lang w:val="ru-RU"/>
        </w:rPr>
        <w:t xml:space="preserve">, </w:t>
      </w:r>
      <w:r>
        <w:rPr>
          <w:lang w:val="ru-RU"/>
        </w:rPr>
        <w:t>как</w:t>
      </w:r>
      <w:r w:rsidRPr="00912E61">
        <w:rPr>
          <w:lang w:val="ru-RU"/>
        </w:rPr>
        <w:t xml:space="preserve"> </w:t>
      </w:r>
      <w:r>
        <w:rPr>
          <w:lang w:val="ru-RU"/>
        </w:rPr>
        <w:t>того</w:t>
      </w:r>
      <w:r w:rsidRPr="00912E61">
        <w:rPr>
          <w:lang w:val="ru-RU"/>
        </w:rPr>
        <w:t xml:space="preserve"> </w:t>
      </w:r>
      <w:r>
        <w:rPr>
          <w:lang w:val="ru-RU"/>
        </w:rPr>
        <w:t>требуют</w:t>
      </w:r>
      <w:r w:rsidRPr="00912E61">
        <w:rPr>
          <w:lang w:val="ru-RU"/>
        </w:rPr>
        <w:t xml:space="preserve"> </w:t>
      </w:r>
      <w:r>
        <w:rPr>
          <w:lang w:val="ru-RU"/>
        </w:rPr>
        <w:t>пункты</w:t>
      </w:r>
      <w:r w:rsidRPr="00912E61">
        <w:rPr>
          <w:lang w:val="ru-RU"/>
        </w:rPr>
        <w:t xml:space="preserve"> 76 </w:t>
      </w:r>
      <w:r>
        <w:rPr>
          <w:lang w:val="ru-RU"/>
        </w:rPr>
        <w:t>и</w:t>
      </w:r>
      <w:r w:rsidRPr="00912E61">
        <w:rPr>
          <w:lang w:val="ru-RU"/>
        </w:rPr>
        <w:t xml:space="preserve"> 79.</w:t>
      </w:r>
      <w:bookmarkEnd w:id="15"/>
    </w:p>
    <w:p w:rsidR="007B2D89" w:rsidRDefault="007B2D89" w:rsidP="007B2D89">
      <w:pPr>
        <w:pStyle w:val="IASBSectionTitle1NonInd"/>
        <w:pBdr>
          <w:bottom w:val="none" w:sz="0" w:space="0" w:color="auto"/>
        </w:pBdr>
        <w:rPr>
          <w:rFonts w:ascii="Times New Roman" w:hAnsi="Times New Roman" w:cs="Times New Roman"/>
          <w:b w:val="0"/>
          <w:sz w:val="19"/>
          <w:szCs w:val="19"/>
          <w:lang w:val="ru-RU"/>
        </w:rPr>
      </w:pPr>
      <w:r w:rsidRPr="009C2B9B">
        <w:rPr>
          <w:rFonts w:ascii="Times New Roman" w:hAnsi="Times New Roman" w:cs="Times New Roman"/>
          <w:b w:val="0"/>
          <w:sz w:val="19"/>
          <w:szCs w:val="19"/>
          <w:lang w:val="ru-RU"/>
        </w:rPr>
        <w:t xml:space="preserve">После пункта </w:t>
      </w:r>
      <w:r w:rsidR="000352B1">
        <w:rPr>
          <w:rFonts w:ascii="Times New Roman" w:hAnsi="Times New Roman" w:cs="Times New Roman"/>
          <w:b w:val="0"/>
          <w:sz w:val="19"/>
          <w:szCs w:val="19"/>
          <w:lang w:val="ru-RU"/>
        </w:rPr>
        <w:t>85</w:t>
      </w:r>
      <w:r w:rsidR="000352B1">
        <w:rPr>
          <w:rFonts w:ascii="Times New Roman" w:hAnsi="Times New Roman" w:cs="Times New Roman"/>
          <w:b w:val="0"/>
          <w:sz w:val="19"/>
          <w:szCs w:val="19"/>
        </w:rPr>
        <w:t>F</w:t>
      </w:r>
      <w:r w:rsidRPr="009C2B9B">
        <w:rPr>
          <w:rFonts w:ascii="Times New Roman" w:hAnsi="Times New Roman" w:cs="Times New Roman"/>
          <w:b w:val="0"/>
          <w:sz w:val="19"/>
          <w:szCs w:val="19"/>
          <w:lang w:val="ru-RU"/>
        </w:rPr>
        <w:t xml:space="preserve"> включить пункт </w:t>
      </w:r>
      <w:r>
        <w:rPr>
          <w:rFonts w:ascii="Times New Roman" w:hAnsi="Times New Roman" w:cs="Times New Roman"/>
          <w:b w:val="0"/>
          <w:sz w:val="19"/>
          <w:szCs w:val="19"/>
          <w:lang w:val="ru-RU"/>
        </w:rPr>
        <w:t>8</w:t>
      </w:r>
      <w:r w:rsidRPr="007B2D89">
        <w:rPr>
          <w:rFonts w:ascii="Times New Roman" w:hAnsi="Times New Roman" w:cs="Times New Roman"/>
          <w:b w:val="0"/>
          <w:sz w:val="19"/>
          <w:szCs w:val="19"/>
          <w:lang w:val="ru-RU"/>
        </w:rPr>
        <w:t>5</w:t>
      </w:r>
      <w:r>
        <w:rPr>
          <w:rFonts w:ascii="Times New Roman" w:hAnsi="Times New Roman" w:cs="Times New Roman"/>
          <w:b w:val="0"/>
          <w:sz w:val="19"/>
          <w:szCs w:val="19"/>
        </w:rPr>
        <w:t>G</w:t>
      </w:r>
      <w:r>
        <w:rPr>
          <w:rFonts w:ascii="Times New Roman" w:hAnsi="Times New Roman" w:cs="Times New Roman"/>
          <w:b w:val="0"/>
          <w:sz w:val="19"/>
          <w:szCs w:val="19"/>
          <w:lang w:val="ru-RU"/>
        </w:rPr>
        <w:t xml:space="preserve"> следующего содержания:</w:t>
      </w:r>
    </w:p>
    <w:p w:rsidR="00FA3B4F" w:rsidRPr="00912E61" w:rsidRDefault="00FA3B4F" w:rsidP="00FA3B4F">
      <w:pPr>
        <w:pStyle w:val="IASBNormalnpara"/>
        <w:rPr>
          <w:lang w:val="ru-RU"/>
        </w:rPr>
      </w:pPr>
      <w:r w:rsidRPr="00FA3B4F">
        <w:rPr>
          <w:lang w:val="ru-RU"/>
        </w:rPr>
        <w:t>85</w:t>
      </w:r>
      <w:r w:rsidRPr="00985E79">
        <w:rPr>
          <w:lang w:val="en-GB"/>
        </w:rPr>
        <w:t>G</w:t>
      </w:r>
      <w:r w:rsidRPr="00FA3B4F">
        <w:rPr>
          <w:lang w:val="ru-RU"/>
        </w:rPr>
        <w:tab/>
      </w:r>
      <w:bookmarkStart w:id="16" w:name="F53063917"/>
      <w:r>
        <w:rPr>
          <w:lang w:val="ru-RU"/>
        </w:rPr>
        <w:t xml:space="preserve">Документом </w:t>
      </w:r>
      <w:r w:rsidRPr="00253FCC">
        <w:rPr>
          <w:i/>
          <w:lang w:val="ru-RU"/>
        </w:rPr>
        <w:t>«</w:t>
      </w:r>
      <w:r>
        <w:rPr>
          <w:i/>
          <w:lang w:val="ru-RU"/>
        </w:rPr>
        <w:t>Переводы объектов инвестиционной недвижимости из категории в категорию»</w:t>
      </w:r>
      <w:r w:rsidRPr="00FA3B4F">
        <w:rPr>
          <w:lang w:val="ru-RU"/>
        </w:rPr>
        <w:t xml:space="preserve"> </w:t>
      </w:r>
      <w:r w:rsidRPr="00D233A9">
        <w:rPr>
          <w:lang w:val="ru-RU"/>
        </w:rPr>
        <w:t>(</w:t>
      </w:r>
      <w:r>
        <w:rPr>
          <w:lang w:val="ru-RU"/>
        </w:rPr>
        <w:t>поправки к МСФО (IAS) </w:t>
      </w:r>
      <w:r w:rsidRPr="00D233A9">
        <w:rPr>
          <w:lang w:val="ru-RU"/>
        </w:rPr>
        <w:t xml:space="preserve">40), </w:t>
      </w:r>
      <w:r>
        <w:rPr>
          <w:lang w:val="ru-RU"/>
        </w:rPr>
        <w:t>выпущенным в декабре</w:t>
      </w:r>
      <w:r w:rsidRPr="00D233A9">
        <w:rPr>
          <w:lang w:val="ru-RU"/>
        </w:rPr>
        <w:t xml:space="preserve"> 2016</w:t>
      </w:r>
      <w:r>
        <w:rPr>
          <w:lang w:val="ru-RU"/>
        </w:rPr>
        <w:t xml:space="preserve"> года</w:t>
      </w:r>
      <w:r w:rsidRPr="00D233A9">
        <w:rPr>
          <w:lang w:val="ru-RU"/>
        </w:rPr>
        <w:t xml:space="preserve">, </w:t>
      </w:r>
      <w:r>
        <w:rPr>
          <w:lang w:val="ru-RU"/>
        </w:rPr>
        <w:t>внесены поправки в пункты</w:t>
      </w:r>
      <w:r w:rsidRPr="00D233A9">
        <w:rPr>
          <w:lang w:val="ru-RU"/>
        </w:rPr>
        <w:t xml:space="preserve"> 57–58</w:t>
      </w:r>
      <w:r>
        <w:rPr>
          <w:lang w:val="ru-RU"/>
        </w:rPr>
        <w:t xml:space="preserve"> и добавлены пункты </w:t>
      </w:r>
      <w:r w:rsidRPr="00D233A9">
        <w:rPr>
          <w:lang w:val="ru-RU"/>
        </w:rPr>
        <w:t>84</w:t>
      </w:r>
      <w:r w:rsidRPr="00985E79">
        <w:rPr>
          <w:lang w:val="en-GB"/>
        </w:rPr>
        <w:t>C</w:t>
      </w:r>
      <w:r w:rsidRPr="00D233A9">
        <w:rPr>
          <w:lang w:val="ru-RU"/>
        </w:rPr>
        <w:t>–84</w:t>
      </w:r>
      <w:r w:rsidRPr="00985E79">
        <w:rPr>
          <w:lang w:val="en-GB"/>
        </w:rPr>
        <w:t>E</w:t>
      </w:r>
      <w:r w:rsidRPr="00D233A9">
        <w:rPr>
          <w:lang w:val="ru-RU"/>
        </w:rPr>
        <w:t xml:space="preserve">. </w:t>
      </w:r>
      <w:r>
        <w:rPr>
          <w:lang w:val="ru-RU"/>
        </w:rPr>
        <w:t>Организация</w:t>
      </w:r>
      <w:r w:rsidRPr="00912E61">
        <w:rPr>
          <w:lang w:val="ru-RU"/>
        </w:rPr>
        <w:t xml:space="preserve"> </w:t>
      </w:r>
      <w:r>
        <w:rPr>
          <w:lang w:val="ru-RU"/>
        </w:rPr>
        <w:t>должна</w:t>
      </w:r>
      <w:r w:rsidRPr="00912E61">
        <w:rPr>
          <w:lang w:val="ru-RU"/>
        </w:rPr>
        <w:t xml:space="preserve"> </w:t>
      </w:r>
      <w:r>
        <w:rPr>
          <w:lang w:val="ru-RU"/>
        </w:rPr>
        <w:t>применять</w:t>
      </w:r>
      <w:r w:rsidRPr="00912E61">
        <w:rPr>
          <w:lang w:val="ru-RU"/>
        </w:rPr>
        <w:t xml:space="preserve"> </w:t>
      </w:r>
      <w:r>
        <w:rPr>
          <w:lang w:val="ru-RU"/>
        </w:rPr>
        <w:t>указанные</w:t>
      </w:r>
      <w:r w:rsidRPr="00912E61">
        <w:rPr>
          <w:lang w:val="ru-RU"/>
        </w:rPr>
        <w:t xml:space="preserve"> </w:t>
      </w:r>
      <w:r>
        <w:rPr>
          <w:lang w:val="ru-RU"/>
        </w:rPr>
        <w:t>поправки</w:t>
      </w:r>
      <w:r w:rsidRPr="00912E61">
        <w:rPr>
          <w:lang w:val="ru-RU"/>
        </w:rPr>
        <w:t xml:space="preserve"> </w:t>
      </w:r>
      <w:r>
        <w:rPr>
          <w:lang w:val="ru-RU"/>
        </w:rPr>
        <w:t>в</w:t>
      </w:r>
      <w:r w:rsidRPr="00912E6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12E61">
        <w:rPr>
          <w:lang w:val="ru-RU"/>
        </w:rPr>
        <w:t xml:space="preserve"> годовых периодов</w:t>
      </w:r>
      <w:r>
        <w:rPr>
          <w:lang w:val="ru-RU"/>
        </w:rPr>
        <w:t xml:space="preserve">, начинающихся 1 января 2018 года или после этой даты. Допускается досрочное применение. </w:t>
      </w:r>
      <w:r w:rsidRPr="00912E61">
        <w:rPr>
          <w:lang w:val="ru-RU"/>
        </w:rPr>
        <w:t>Если организация применит указанные поправки в отношении более раннего периода, она должна раскрыть этот факт.</w:t>
      </w:r>
      <w:bookmarkEnd w:id="16"/>
    </w:p>
    <w:p w:rsidR="00AB45C4" w:rsidRPr="00FA3B4F" w:rsidRDefault="00AD7133">
      <w:pPr>
        <w:rPr>
          <w:lang w:val="ru-RU"/>
        </w:rPr>
      </w:pPr>
    </w:p>
    <w:sectPr w:rsidR="00AB45C4" w:rsidRPr="00FA3B4F" w:rsidSect="00A56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33" w:rsidRDefault="00AD7133">
      <w:r>
        <w:separator/>
      </w:r>
    </w:p>
  </w:endnote>
  <w:endnote w:type="continuationSeparator" w:id="0">
    <w:p w:rsidR="00AD7133" w:rsidRDefault="00AD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2" w:rsidRDefault="00FA3B4F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  <w:lang w:val="en-GB" w:eastAsia="en-GB"/>
      </w:rPr>
    </w:pPr>
    <w:r>
      <w:rPr>
        <w:sz w:val="17"/>
        <w:lang w:val="en-GB" w:eastAsia="en-GB"/>
      </w:rPr>
      <w:fldChar w:fldCharType="begin"/>
    </w:r>
    <w:r>
      <w:rPr>
        <w:sz w:val="17"/>
        <w:lang w:val="en-GB" w:eastAsia="en-GB"/>
      </w:rPr>
      <w:instrText xml:space="preserve"> PAGE </w:instrText>
    </w:r>
    <w:r>
      <w:rPr>
        <w:sz w:val="17"/>
        <w:lang w:val="en-GB" w:eastAsia="en-GB"/>
      </w:rPr>
      <w:fldChar w:fldCharType="separate"/>
    </w:r>
    <w:r>
      <w:rPr>
        <w:noProof/>
        <w:sz w:val="17"/>
        <w:lang w:val="en-GB" w:eastAsia="en-GB"/>
      </w:rPr>
      <w:t>2</w:t>
    </w:r>
    <w:r>
      <w:rPr>
        <w:sz w:val="17"/>
        <w:lang w:val="en-GB" w:eastAsia="en-GB"/>
      </w:rPr>
      <w:fldChar w:fldCharType="end"/>
    </w:r>
    <w:r>
      <w:rPr>
        <w:sz w:val="17"/>
        <w:lang w:val="en-GB" w:eastAsia="en-GB"/>
      </w:rPr>
      <w:tab/>
    </w:r>
    <w:r>
      <w:rPr>
        <w:sz w:val="17"/>
        <w:vertAlign w:val="superscript"/>
        <w:lang w:val="en-GB" w:eastAsia="en-GB"/>
      </w:rPr>
      <w:t>©</w:t>
    </w:r>
    <w:r>
      <w:rPr>
        <w:sz w:val="17"/>
        <w:lang w:val="en-GB" w:eastAsia="en-GB"/>
      </w:rPr>
      <w:t xml:space="preserve"> IFRS Foundation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8" w:rsidRPr="00211338" w:rsidRDefault="00211338" w:rsidP="00211338">
    <w:pPr>
      <w:tabs>
        <w:tab w:val="center" w:pos="4677"/>
        <w:tab w:val="right" w:pos="9354"/>
      </w:tabs>
      <w:rPr>
        <w:sz w:val="17"/>
        <w:szCs w:val="20"/>
        <w:lang w:eastAsia="en-GB"/>
      </w:rPr>
    </w:pPr>
    <w:r w:rsidRPr="00211338">
      <w:rPr>
        <w:sz w:val="17"/>
        <w:szCs w:val="20"/>
        <w:lang w:eastAsia="en-GB"/>
      </w:rPr>
      <w:fldChar w:fldCharType="begin"/>
    </w:r>
    <w:r w:rsidRPr="00211338">
      <w:rPr>
        <w:sz w:val="17"/>
        <w:szCs w:val="20"/>
        <w:lang w:eastAsia="en-GB"/>
      </w:rPr>
      <w:instrText xml:space="preserve"> PAGE </w:instrText>
    </w:r>
    <w:r w:rsidRPr="00211338">
      <w:rPr>
        <w:sz w:val="17"/>
        <w:szCs w:val="20"/>
        <w:lang w:eastAsia="en-GB"/>
      </w:rPr>
      <w:fldChar w:fldCharType="separate"/>
    </w:r>
    <w:r w:rsidR="006F681B">
      <w:rPr>
        <w:noProof/>
        <w:sz w:val="17"/>
        <w:szCs w:val="20"/>
        <w:lang w:eastAsia="en-GB"/>
      </w:rPr>
      <w:t>2</w:t>
    </w:r>
    <w:r w:rsidRPr="00211338">
      <w:rPr>
        <w:sz w:val="17"/>
        <w:szCs w:val="20"/>
        <w:lang w:eastAsia="en-GB"/>
      </w:rPr>
      <w:fldChar w:fldCharType="end"/>
    </w:r>
    <w:r w:rsidRPr="00211338">
      <w:rPr>
        <w:sz w:val="17"/>
        <w:szCs w:val="20"/>
        <w:lang w:eastAsia="en-GB"/>
      </w:rPr>
      <w:tab/>
    </w:r>
    <w:r w:rsidRPr="00211338">
      <w:rPr>
        <w:sz w:val="17"/>
        <w:szCs w:val="20"/>
        <w:vertAlign w:val="superscript"/>
        <w:lang w:eastAsia="en-GB"/>
      </w:rPr>
      <w:t>©</w:t>
    </w:r>
    <w:r w:rsidRPr="00211338">
      <w:rPr>
        <w:sz w:val="17"/>
        <w:szCs w:val="20"/>
        <w:lang w:eastAsia="en-GB"/>
      </w:rPr>
      <w:t xml:space="preserve"> IFRS Foundation</w:t>
    </w:r>
  </w:p>
  <w:p w:rsidR="00736422" w:rsidRDefault="00AD7133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20"/>
        <w:lang w:val="en-GB" w:eastAsia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8" w:rsidRPr="00211338" w:rsidRDefault="00211338" w:rsidP="00211338">
    <w:pPr>
      <w:tabs>
        <w:tab w:val="center" w:pos="4677"/>
        <w:tab w:val="right" w:pos="9354"/>
      </w:tabs>
      <w:rPr>
        <w:sz w:val="20"/>
        <w:szCs w:val="20"/>
        <w:lang w:eastAsia="en-GB"/>
      </w:rPr>
    </w:pPr>
    <w:r w:rsidRPr="00211338">
      <w:rPr>
        <w:sz w:val="17"/>
        <w:szCs w:val="20"/>
        <w:lang w:eastAsia="en-GB"/>
      </w:rPr>
      <w:tab/>
    </w:r>
    <w:r w:rsidRPr="00211338">
      <w:rPr>
        <w:sz w:val="17"/>
        <w:szCs w:val="20"/>
        <w:vertAlign w:val="superscript"/>
        <w:lang w:eastAsia="en-GB"/>
      </w:rPr>
      <w:t>©</w:t>
    </w:r>
    <w:r w:rsidRPr="00211338">
      <w:rPr>
        <w:sz w:val="17"/>
        <w:szCs w:val="20"/>
        <w:lang w:eastAsia="en-GB"/>
      </w:rPr>
      <w:t xml:space="preserve"> IFRS Foundation</w:t>
    </w:r>
    <w:r w:rsidRPr="00211338">
      <w:rPr>
        <w:sz w:val="17"/>
        <w:szCs w:val="20"/>
        <w:lang w:eastAsia="en-GB"/>
      </w:rPr>
      <w:tab/>
    </w:r>
    <w:r w:rsidRPr="00211338">
      <w:rPr>
        <w:sz w:val="17"/>
        <w:szCs w:val="20"/>
        <w:lang w:eastAsia="en-GB"/>
      </w:rPr>
      <w:fldChar w:fldCharType="begin"/>
    </w:r>
    <w:r w:rsidRPr="00211338">
      <w:rPr>
        <w:sz w:val="17"/>
        <w:szCs w:val="20"/>
        <w:lang w:eastAsia="en-GB"/>
      </w:rPr>
      <w:instrText xml:space="preserve"> PAGE </w:instrText>
    </w:r>
    <w:r w:rsidRPr="00211338">
      <w:rPr>
        <w:sz w:val="17"/>
        <w:szCs w:val="20"/>
        <w:lang w:eastAsia="en-GB"/>
      </w:rPr>
      <w:fldChar w:fldCharType="separate"/>
    </w:r>
    <w:r w:rsidR="006F681B">
      <w:rPr>
        <w:noProof/>
        <w:sz w:val="17"/>
        <w:szCs w:val="20"/>
        <w:lang w:eastAsia="en-GB"/>
      </w:rPr>
      <w:t>1</w:t>
    </w:r>
    <w:r w:rsidRPr="00211338">
      <w:rPr>
        <w:sz w:val="17"/>
        <w:szCs w:val="20"/>
        <w:lang w:eastAsia="en-GB"/>
      </w:rPr>
      <w:fldChar w:fldCharType="end"/>
    </w:r>
  </w:p>
  <w:p w:rsidR="00211338" w:rsidRDefault="00211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33" w:rsidRDefault="00AD7133">
      <w:r>
        <w:separator/>
      </w:r>
    </w:p>
  </w:footnote>
  <w:footnote w:type="continuationSeparator" w:id="0">
    <w:p w:rsidR="00AD7133" w:rsidRDefault="00AD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CB" w:rsidRPr="009223CB" w:rsidRDefault="00FA3B4F" w:rsidP="009223CB">
    <w:pPr>
      <w:pStyle w:val="IASBNormalnparaL1P"/>
      <w:tabs>
        <w:tab w:val="right" w:pos="9354"/>
      </w:tabs>
      <w:spacing w:before="0"/>
      <w:ind w:left="0"/>
      <w:jc w:val="center"/>
      <w:rPr>
        <w:smallCaps/>
        <w:sz w:val="20"/>
        <w:lang w:val="en-GB" w:eastAsia="en-GB"/>
      </w:rPr>
    </w:pPr>
    <w:r>
      <w:rPr>
        <w:smallCaps/>
        <w:sz w:val="20"/>
        <w:lang w:val="en-GB" w:eastAsia="en-GB"/>
      </w:rPr>
      <w:t>Amendments to IAS 40—December 2016</w:t>
    </w:r>
  </w:p>
  <w:p w:rsidR="00736422" w:rsidRDefault="00AD7133">
    <w:pPr>
      <w:pStyle w:val="IASBNormalnparaL1P"/>
      <w:tabs>
        <w:tab w:val="right" w:pos="9354"/>
      </w:tabs>
      <w:spacing w:before="0"/>
      <w:ind w:left="0"/>
      <w:jc w:val="left"/>
      <w:rPr>
        <w:sz w:val="20"/>
        <w:lang w:val="en-GB"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D2" w:rsidRPr="00211338" w:rsidRDefault="00A565D2">
    <w:pPr>
      <w:pStyle w:val="a3"/>
      <w:jc w:val="center"/>
      <w:rPr>
        <w:lang w:val="ru-RU"/>
      </w:rPr>
    </w:pPr>
  </w:p>
  <w:p w:rsidR="00211338" w:rsidRPr="00211338" w:rsidRDefault="00211338" w:rsidP="00211338">
    <w:pPr>
      <w:tabs>
        <w:tab w:val="right" w:pos="9354"/>
      </w:tabs>
      <w:jc w:val="center"/>
      <w:rPr>
        <w:smallCaps/>
        <w:sz w:val="20"/>
        <w:szCs w:val="20"/>
        <w:lang w:eastAsia="en-GB"/>
      </w:rPr>
    </w:pPr>
    <w:r w:rsidRPr="00211338">
      <w:rPr>
        <w:smallCaps/>
        <w:sz w:val="20"/>
        <w:szCs w:val="20"/>
        <w:lang w:eastAsia="en-GB"/>
      </w:rPr>
      <w:t>Amendments to IAS 40—December 2016</w:t>
    </w:r>
  </w:p>
  <w:p w:rsidR="00736422" w:rsidRPr="006E31BA" w:rsidRDefault="00AD7133">
    <w:pPr>
      <w:pStyle w:val="IASBNormalnparaL1P"/>
      <w:tabs>
        <w:tab w:val="right" w:pos="9354"/>
      </w:tabs>
      <w:spacing w:before="0"/>
      <w:ind w:left="0"/>
      <w:jc w:val="left"/>
      <w:rPr>
        <w:sz w:val="20"/>
        <w:lang w:val="ru-RU"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38" w:rsidRDefault="00211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4F"/>
    <w:rsid w:val="000352B1"/>
    <w:rsid w:val="00200C4E"/>
    <w:rsid w:val="00211338"/>
    <w:rsid w:val="002A10C7"/>
    <w:rsid w:val="002D0A48"/>
    <w:rsid w:val="00311805"/>
    <w:rsid w:val="00361A79"/>
    <w:rsid w:val="003858DB"/>
    <w:rsid w:val="0052661A"/>
    <w:rsid w:val="006F681B"/>
    <w:rsid w:val="00737961"/>
    <w:rsid w:val="0075255F"/>
    <w:rsid w:val="007B2D89"/>
    <w:rsid w:val="008473C9"/>
    <w:rsid w:val="009206EE"/>
    <w:rsid w:val="009F398F"/>
    <w:rsid w:val="00A565D2"/>
    <w:rsid w:val="00A93A4F"/>
    <w:rsid w:val="00AD7133"/>
    <w:rsid w:val="00D60F69"/>
    <w:rsid w:val="00D6109B"/>
    <w:rsid w:val="00D96544"/>
    <w:rsid w:val="00F91731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FA3B4F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npara">
    <w:name w:val="IASB Normal npara"/>
    <w:basedOn w:val="IASBNormal"/>
    <w:rsid w:val="00FA3B4F"/>
    <w:pPr>
      <w:tabs>
        <w:tab w:val="clear" w:pos="4253"/>
      </w:tabs>
      <w:spacing w:after="0"/>
      <w:ind w:left="782" w:hanging="782"/>
    </w:pPr>
  </w:style>
  <w:style w:type="paragraph" w:customStyle="1" w:styleId="IASBSectionTitle1NonInd">
    <w:name w:val="IASB Section Title 1 NonInd"/>
    <w:basedOn w:val="a"/>
    <w:rsid w:val="00FA3B4F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a"/>
    <w:rsid w:val="00FA3B4F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rsid w:val="00FA3B4F"/>
    <w:pPr>
      <w:spacing w:before="240"/>
      <w:ind w:left="782"/>
    </w:pPr>
  </w:style>
  <w:style w:type="paragraph" w:customStyle="1" w:styleId="IASBTitle">
    <w:name w:val="IASB Title"/>
    <w:rsid w:val="00FA3B4F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  <w:lang w:val="en-US"/>
    </w:rPr>
  </w:style>
  <w:style w:type="paragraph" w:customStyle="1" w:styleId="IASBNormalnparaL1">
    <w:name w:val="IASB Normal nparaL1"/>
    <w:basedOn w:val="IASBNormalnpara"/>
    <w:rsid w:val="00FA3B4F"/>
    <w:pPr>
      <w:ind w:left="1564"/>
    </w:pPr>
  </w:style>
  <w:style w:type="paragraph" w:customStyle="1" w:styleId="IASBNormalnparaL2">
    <w:name w:val="IASB Normal nparaL2"/>
    <w:basedOn w:val="IASBNormalnparaL1"/>
    <w:rsid w:val="00FA3B4F"/>
    <w:pPr>
      <w:ind w:left="2347"/>
    </w:pPr>
  </w:style>
  <w:style w:type="paragraph" w:customStyle="1" w:styleId="IASBNormalnparaL1P">
    <w:name w:val="IASB Normal nparaL1P"/>
    <w:basedOn w:val="IASBNormalnparaL2"/>
    <w:rsid w:val="00FA3B4F"/>
    <w:pPr>
      <w:ind w:left="1565" w:firstLine="0"/>
    </w:pPr>
  </w:style>
  <w:style w:type="paragraph" w:customStyle="1" w:styleId="IASBNormalnparaL2P">
    <w:name w:val="IASB Normal nparaL2P"/>
    <w:basedOn w:val="IASBNormalnparaL1P"/>
    <w:rsid w:val="00FA3B4F"/>
    <w:pPr>
      <w:ind w:left="2347"/>
    </w:pPr>
  </w:style>
  <w:style w:type="paragraph" w:customStyle="1" w:styleId="IASBTableArial">
    <w:name w:val="IASB Table Arial"/>
    <w:basedOn w:val="a"/>
    <w:rsid w:val="00FA3B4F"/>
    <w:pPr>
      <w:spacing w:before="120"/>
    </w:pPr>
    <w:rPr>
      <w:rFonts w:ascii="Arial" w:hAnsi="Arial"/>
      <w:sz w:val="18"/>
      <w:szCs w:val="20"/>
      <w:lang w:eastAsia="en-GB"/>
    </w:rPr>
  </w:style>
  <w:style w:type="paragraph" w:styleId="a3">
    <w:name w:val="header"/>
    <w:basedOn w:val="a"/>
    <w:link w:val="a4"/>
    <w:uiPriority w:val="99"/>
    <w:unhideWhenUsed/>
    <w:rsid w:val="00752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5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52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5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FA3B4F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npara">
    <w:name w:val="IASB Normal npara"/>
    <w:basedOn w:val="IASBNormal"/>
    <w:rsid w:val="00FA3B4F"/>
    <w:pPr>
      <w:tabs>
        <w:tab w:val="clear" w:pos="4253"/>
      </w:tabs>
      <w:spacing w:after="0"/>
      <w:ind w:left="782" w:hanging="782"/>
    </w:pPr>
  </w:style>
  <w:style w:type="paragraph" w:customStyle="1" w:styleId="IASBSectionTitle1NonInd">
    <w:name w:val="IASB Section Title 1 NonInd"/>
    <w:basedOn w:val="a"/>
    <w:rsid w:val="00FA3B4F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a"/>
    <w:rsid w:val="00FA3B4F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rsid w:val="00FA3B4F"/>
    <w:pPr>
      <w:spacing w:before="240"/>
      <w:ind w:left="782"/>
    </w:pPr>
  </w:style>
  <w:style w:type="paragraph" w:customStyle="1" w:styleId="IASBTitle">
    <w:name w:val="IASB Title"/>
    <w:rsid w:val="00FA3B4F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  <w:lang w:val="en-US"/>
    </w:rPr>
  </w:style>
  <w:style w:type="paragraph" w:customStyle="1" w:styleId="IASBNormalnparaL1">
    <w:name w:val="IASB Normal nparaL1"/>
    <w:basedOn w:val="IASBNormalnpara"/>
    <w:rsid w:val="00FA3B4F"/>
    <w:pPr>
      <w:ind w:left="1564"/>
    </w:pPr>
  </w:style>
  <w:style w:type="paragraph" w:customStyle="1" w:styleId="IASBNormalnparaL2">
    <w:name w:val="IASB Normal nparaL2"/>
    <w:basedOn w:val="IASBNormalnparaL1"/>
    <w:rsid w:val="00FA3B4F"/>
    <w:pPr>
      <w:ind w:left="2347"/>
    </w:pPr>
  </w:style>
  <w:style w:type="paragraph" w:customStyle="1" w:styleId="IASBNormalnparaL1P">
    <w:name w:val="IASB Normal nparaL1P"/>
    <w:basedOn w:val="IASBNormalnparaL2"/>
    <w:rsid w:val="00FA3B4F"/>
    <w:pPr>
      <w:ind w:left="1565" w:firstLine="0"/>
    </w:pPr>
  </w:style>
  <w:style w:type="paragraph" w:customStyle="1" w:styleId="IASBNormalnparaL2P">
    <w:name w:val="IASB Normal nparaL2P"/>
    <w:basedOn w:val="IASBNormalnparaL1P"/>
    <w:rsid w:val="00FA3B4F"/>
    <w:pPr>
      <w:ind w:left="2347"/>
    </w:pPr>
  </w:style>
  <w:style w:type="paragraph" w:customStyle="1" w:styleId="IASBTableArial">
    <w:name w:val="IASB Table Arial"/>
    <w:basedOn w:val="a"/>
    <w:rsid w:val="00FA3B4F"/>
    <w:pPr>
      <w:spacing w:before="120"/>
    </w:pPr>
    <w:rPr>
      <w:rFonts w:ascii="Arial" w:hAnsi="Arial"/>
      <w:sz w:val="18"/>
      <w:szCs w:val="20"/>
      <w:lang w:eastAsia="en-GB"/>
    </w:rPr>
  </w:style>
  <w:style w:type="paragraph" w:styleId="a3">
    <w:name w:val="header"/>
    <w:basedOn w:val="a"/>
    <w:link w:val="a4"/>
    <w:uiPriority w:val="99"/>
    <w:unhideWhenUsed/>
    <w:rsid w:val="00752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5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52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5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2</cp:revision>
  <dcterms:created xsi:type="dcterms:W3CDTF">2017-08-09T07:50:00Z</dcterms:created>
  <dcterms:modified xsi:type="dcterms:W3CDTF">2017-08-09T07:50:00Z</dcterms:modified>
</cp:coreProperties>
</file>