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005" w:rsidRPr="00214D0B" w:rsidRDefault="00864005" w:rsidP="00864005">
      <w:pPr>
        <w:spacing w:line="276" w:lineRule="auto"/>
        <w:ind w:left="6663"/>
        <w:jc w:val="right"/>
        <w:rPr>
          <w:b/>
          <w:sz w:val="28"/>
          <w:szCs w:val="28"/>
        </w:rPr>
      </w:pPr>
      <w:r w:rsidRPr="00214D0B">
        <w:rPr>
          <w:b/>
          <w:sz w:val="28"/>
          <w:szCs w:val="28"/>
        </w:rPr>
        <w:t>Приложение № 2</w:t>
      </w:r>
    </w:p>
    <w:p w:rsidR="00864005" w:rsidRPr="00214D0B" w:rsidRDefault="00864005" w:rsidP="00864005">
      <w:pPr>
        <w:tabs>
          <w:tab w:val="left" w:pos="1134"/>
          <w:tab w:val="left" w:pos="1418"/>
        </w:tabs>
        <w:spacing w:line="276" w:lineRule="auto"/>
        <w:ind w:left="6663"/>
        <w:jc w:val="right"/>
        <w:rPr>
          <w:sz w:val="28"/>
          <w:szCs w:val="28"/>
        </w:rPr>
      </w:pPr>
      <w:r w:rsidRPr="00214D0B">
        <w:rPr>
          <w:sz w:val="28"/>
          <w:szCs w:val="28"/>
        </w:rPr>
        <w:t>к Порядку подготовки ежегодной публичной декларации целей и задач Министерства финансов Российской Федерации и отчетов о ходе ее реализации, утвержденному приказом Министерства финансов Российской Федерации от</w:t>
      </w:r>
      <w:r>
        <w:rPr>
          <w:sz w:val="28"/>
          <w:szCs w:val="28"/>
        </w:rPr>
        <w:t xml:space="preserve"> 24.11.2016 </w:t>
      </w:r>
      <w:r w:rsidRPr="00214D0B">
        <w:rPr>
          <w:sz w:val="28"/>
          <w:szCs w:val="28"/>
        </w:rPr>
        <w:t>№</w:t>
      </w:r>
      <w:r>
        <w:rPr>
          <w:sz w:val="28"/>
          <w:szCs w:val="28"/>
        </w:rPr>
        <w:t xml:space="preserve"> 516</w:t>
      </w:r>
    </w:p>
    <w:p w:rsidR="00864005" w:rsidRPr="00214D0B" w:rsidRDefault="00864005" w:rsidP="00864005">
      <w:pPr>
        <w:jc w:val="right"/>
        <w:rPr>
          <w:b/>
          <w:sz w:val="28"/>
          <w:szCs w:val="28"/>
        </w:rPr>
      </w:pPr>
    </w:p>
    <w:p w:rsidR="00864005" w:rsidRPr="00214D0B" w:rsidRDefault="00864005" w:rsidP="00864005">
      <w:pPr>
        <w:spacing w:line="276" w:lineRule="auto"/>
        <w:jc w:val="center"/>
        <w:rPr>
          <w:b/>
          <w:bCs/>
          <w:sz w:val="28"/>
          <w:szCs w:val="28"/>
        </w:rPr>
      </w:pPr>
    </w:p>
    <w:p w:rsidR="00864005" w:rsidRPr="00214D0B" w:rsidRDefault="00864005" w:rsidP="00864005">
      <w:pPr>
        <w:spacing w:line="276" w:lineRule="auto"/>
        <w:jc w:val="center"/>
        <w:rPr>
          <w:sz w:val="28"/>
          <w:szCs w:val="28"/>
        </w:rPr>
      </w:pPr>
      <w:r w:rsidRPr="00214D0B">
        <w:rPr>
          <w:b/>
          <w:bCs/>
          <w:sz w:val="28"/>
          <w:szCs w:val="28"/>
        </w:rPr>
        <w:t xml:space="preserve">Результаты рассмотрения экспертных предложений </w:t>
      </w:r>
      <w:r w:rsidR="00A56103">
        <w:rPr>
          <w:b/>
          <w:bCs/>
          <w:sz w:val="28"/>
          <w:szCs w:val="28"/>
        </w:rPr>
        <w:t xml:space="preserve">члена Общественного совета при Минфине России </w:t>
      </w:r>
      <w:r w:rsidR="00A56103">
        <w:rPr>
          <w:b/>
          <w:bCs/>
          <w:sz w:val="28"/>
          <w:szCs w:val="28"/>
        </w:rPr>
        <w:br/>
        <w:t xml:space="preserve">А.В. </w:t>
      </w:r>
      <w:proofErr w:type="spellStart"/>
      <w:r w:rsidR="00A56103">
        <w:rPr>
          <w:b/>
          <w:bCs/>
          <w:sz w:val="28"/>
          <w:szCs w:val="28"/>
        </w:rPr>
        <w:t>Мурычева</w:t>
      </w:r>
      <w:proofErr w:type="spellEnd"/>
      <w:r w:rsidRPr="00214D0B">
        <w:rPr>
          <w:b/>
          <w:bCs/>
          <w:sz w:val="28"/>
          <w:szCs w:val="28"/>
        </w:rPr>
        <w:br/>
      </w:r>
      <w:r w:rsidRPr="00214D0B">
        <w:rPr>
          <w:bCs/>
          <w:sz w:val="28"/>
          <w:szCs w:val="28"/>
        </w:rPr>
        <w:t>(</w:t>
      </w:r>
      <w:r w:rsidRPr="00214D0B">
        <w:rPr>
          <w:sz w:val="28"/>
          <w:szCs w:val="28"/>
        </w:rPr>
        <w:t xml:space="preserve">к отчету о ходе реализации </w:t>
      </w:r>
      <w:r w:rsidR="00A56103">
        <w:rPr>
          <w:sz w:val="28"/>
          <w:szCs w:val="28"/>
        </w:rPr>
        <w:t>П</w:t>
      </w:r>
      <w:r w:rsidRPr="00214D0B">
        <w:rPr>
          <w:sz w:val="28"/>
          <w:szCs w:val="28"/>
        </w:rPr>
        <w:t>убличной декларации</w:t>
      </w:r>
      <w:r w:rsidR="00A56103">
        <w:rPr>
          <w:sz w:val="28"/>
          <w:szCs w:val="28"/>
        </w:rPr>
        <w:t xml:space="preserve"> целей и задач</w:t>
      </w:r>
      <w:r w:rsidRPr="00214D0B">
        <w:rPr>
          <w:sz w:val="28"/>
          <w:szCs w:val="28"/>
        </w:rPr>
        <w:t xml:space="preserve"> за первое полугодие</w:t>
      </w:r>
      <w:r w:rsidR="00A56103">
        <w:rPr>
          <w:sz w:val="28"/>
          <w:szCs w:val="28"/>
        </w:rPr>
        <w:t xml:space="preserve"> 2017</w:t>
      </w:r>
      <w:r w:rsidRPr="00214D0B">
        <w:rPr>
          <w:sz w:val="28"/>
          <w:szCs w:val="28"/>
        </w:rPr>
        <w:t xml:space="preserve"> год</w:t>
      </w:r>
      <w:r w:rsidR="00A56103">
        <w:rPr>
          <w:sz w:val="28"/>
          <w:szCs w:val="28"/>
        </w:rPr>
        <w:t>а</w:t>
      </w:r>
      <w:r w:rsidRPr="00214D0B">
        <w:rPr>
          <w:sz w:val="28"/>
          <w:szCs w:val="28"/>
        </w:rPr>
        <w:t xml:space="preserve">) </w:t>
      </w:r>
    </w:p>
    <w:p w:rsidR="00864005" w:rsidRPr="00214D0B" w:rsidRDefault="00864005" w:rsidP="00864005">
      <w:pPr>
        <w:spacing w:line="276" w:lineRule="auto"/>
        <w:jc w:val="center"/>
        <w:rPr>
          <w:sz w:val="28"/>
          <w:szCs w:val="28"/>
        </w:rPr>
      </w:pPr>
    </w:p>
    <w:tbl>
      <w:tblPr>
        <w:tblStyle w:val="a3"/>
        <w:tblW w:w="14742" w:type="dxa"/>
        <w:tblInd w:w="-5" w:type="dxa"/>
        <w:tblLook w:val="04A0" w:firstRow="1" w:lastRow="0" w:firstColumn="1" w:lastColumn="0" w:noHBand="0" w:noVBand="1"/>
      </w:tblPr>
      <w:tblGrid>
        <w:gridCol w:w="993"/>
        <w:gridCol w:w="5670"/>
        <w:gridCol w:w="8079"/>
      </w:tblGrid>
      <w:tr w:rsidR="00864005" w:rsidRPr="00214D0B" w:rsidTr="00B11476">
        <w:tc>
          <w:tcPr>
            <w:tcW w:w="993" w:type="dxa"/>
            <w:vAlign w:val="center"/>
          </w:tcPr>
          <w:p w:rsidR="00864005" w:rsidRPr="00214D0B" w:rsidRDefault="00864005" w:rsidP="00B114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4D0B" w:rsidDel="00AF277F">
              <w:rPr>
                <w:sz w:val="28"/>
                <w:szCs w:val="28"/>
              </w:rPr>
              <w:t xml:space="preserve"> </w:t>
            </w:r>
            <w:r w:rsidRPr="00214D0B">
              <w:rPr>
                <w:b/>
                <w:sz w:val="28"/>
                <w:szCs w:val="28"/>
              </w:rPr>
              <w:t>№</w:t>
            </w:r>
            <w:r w:rsidRPr="00214D0B">
              <w:rPr>
                <w:b/>
                <w:sz w:val="28"/>
                <w:szCs w:val="28"/>
              </w:rPr>
              <w:br/>
            </w:r>
            <w:proofErr w:type="gramStart"/>
            <w:r w:rsidRPr="00214D0B">
              <w:rPr>
                <w:b/>
                <w:sz w:val="28"/>
                <w:szCs w:val="28"/>
              </w:rPr>
              <w:t>п</w:t>
            </w:r>
            <w:proofErr w:type="gramEnd"/>
            <w:r w:rsidRPr="00214D0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  <w:vAlign w:val="center"/>
          </w:tcPr>
          <w:p w:rsidR="00864005" w:rsidRPr="00214D0B" w:rsidRDefault="00864005" w:rsidP="00B114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4D0B">
              <w:rPr>
                <w:b/>
                <w:sz w:val="28"/>
                <w:szCs w:val="28"/>
              </w:rPr>
              <w:t>Экспертное предложение</w:t>
            </w:r>
          </w:p>
        </w:tc>
        <w:tc>
          <w:tcPr>
            <w:tcW w:w="8079" w:type="dxa"/>
            <w:vAlign w:val="center"/>
          </w:tcPr>
          <w:p w:rsidR="00864005" w:rsidRPr="00214D0B" w:rsidRDefault="00864005" w:rsidP="00B114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4D0B">
              <w:rPr>
                <w:b/>
                <w:sz w:val="28"/>
                <w:szCs w:val="28"/>
              </w:rPr>
              <w:t>Позиция Министерства финансов Российской Федерации по экспертному предложению, обоснование позиции</w:t>
            </w:r>
          </w:p>
        </w:tc>
      </w:tr>
      <w:tr w:rsidR="00A16521" w:rsidRPr="00214D0B" w:rsidTr="00855DCA">
        <w:tc>
          <w:tcPr>
            <w:tcW w:w="14742" w:type="dxa"/>
            <w:gridSpan w:val="3"/>
            <w:vAlign w:val="center"/>
          </w:tcPr>
          <w:p w:rsidR="00A16521" w:rsidRPr="003140D4" w:rsidRDefault="00A16521" w:rsidP="00A56103">
            <w:pPr>
              <w:ind w:firstLine="430"/>
              <w:jc w:val="center"/>
              <w:rPr>
                <w:b/>
                <w:sz w:val="28"/>
                <w:szCs w:val="28"/>
              </w:rPr>
            </w:pPr>
            <w:r w:rsidRPr="003140D4">
              <w:rPr>
                <w:b/>
                <w:sz w:val="28"/>
                <w:szCs w:val="28"/>
              </w:rPr>
              <w:t>Положительный</w:t>
            </w:r>
            <w:r w:rsidR="00A56103">
              <w:rPr>
                <w:b/>
                <w:sz w:val="28"/>
                <w:szCs w:val="28"/>
              </w:rPr>
              <w:t xml:space="preserve"> рез</w:t>
            </w:r>
            <w:r w:rsidRPr="003140D4">
              <w:rPr>
                <w:b/>
                <w:sz w:val="28"/>
                <w:szCs w:val="28"/>
              </w:rPr>
              <w:t>ультат</w:t>
            </w:r>
          </w:p>
        </w:tc>
      </w:tr>
      <w:tr w:rsidR="00864005" w:rsidRPr="00214D0B" w:rsidTr="0021719E">
        <w:tc>
          <w:tcPr>
            <w:tcW w:w="993" w:type="dxa"/>
            <w:vAlign w:val="center"/>
          </w:tcPr>
          <w:p w:rsidR="00864005" w:rsidRPr="003140D4" w:rsidRDefault="00B65681" w:rsidP="00B11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64005" w:rsidRPr="003140D4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vAlign w:val="center"/>
          </w:tcPr>
          <w:p w:rsidR="00864005" w:rsidRPr="003140D4" w:rsidRDefault="00864005" w:rsidP="000B6D8A">
            <w:pPr>
              <w:ind w:firstLine="430"/>
              <w:jc w:val="both"/>
              <w:rPr>
                <w:sz w:val="28"/>
                <w:szCs w:val="28"/>
              </w:rPr>
            </w:pPr>
            <w:r w:rsidRPr="003140D4">
              <w:rPr>
                <w:sz w:val="28"/>
                <w:szCs w:val="28"/>
              </w:rPr>
              <w:t>В качестве меры, направленной на решение задачи по устранению структурных ограничений и реализации структурного бюджетного маневра, указана разработка Основных направлений бюджетной, налоговой и таможенно-тарифной политики на 2018 год и на плановый период 2019 и 2020 годов.</w:t>
            </w:r>
          </w:p>
          <w:p w:rsidR="00864005" w:rsidRPr="003140D4" w:rsidRDefault="00864005" w:rsidP="000B6D8A">
            <w:pPr>
              <w:ind w:firstLine="430"/>
              <w:jc w:val="both"/>
              <w:rPr>
                <w:sz w:val="28"/>
                <w:szCs w:val="28"/>
              </w:rPr>
            </w:pPr>
            <w:r w:rsidRPr="003140D4">
              <w:rPr>
                <w:sz w:val="28"/>
                <w:szCs w:val="28"/>
              </w:rPr>
              <w:t xml:space="preserve">Принятие данного документа будет на практике способствовать повышению определенности условий ведения экономической деятельности только в случае соблюдения его положений органами власти, а также учета в нем предложений делового </w:t>
            </w:r>
            <w:r w:rsidRPr="003140D4">
              <w:rPr>
                <w:sz w:val="28"/>
                <w:szCs w:val="28"/>
              </w:rPr>
              <w:lastRenderedPageBreak/>
              <w:t>сообщества (включая меры по стимулированию инвестиционной активности), представленных на Парламентских слушаниях в Государственной Думе ФС РФ.</w:t>
            </w:r>
          </w:p>
        </w:tc>
        <w:tc>
          <w:tcPr>
            <w:tcW w:w="8079" w:type="dxa"/>
          </w:tcPr>
          <w:p w:rsidR="004C6D58" w:rsidRPr="003140D4" w:rsidRDefault="004C6D58" w:rsidP="0021719E">
            <w:pPr>
              <w:ind w:firstLine="430"/>
              <w:jc w:val="both"/>
              <w:rPr>
                <w:sz w:val="28"/>
                <w:szCs w:val="28"/>
              </w:rPr>
            </w:pPr>
            <w:r w:rsidRPr="003140D4">
              <w:rPr>
                <w:sz w:val="28"/>
                <w:szCs w:val="28"/>
              </w:rPr>
              <w:lastRenderedPageBreak/>
              <w:t>Основны</w:t>
            </w:r>
            <w:r w:rsidR="003D4180">
              <w:rPr>
                <w:sz w:val="28"/>
                <w:szCs w:val="28"/>
              </w:rPr>
              <w:t>е</w:t>
            </w:r>
            <w:r w:rsidRPr="003140D4">
              <w:rPr>
                <w:sz w:val="28"/>
                <w:szCs w:val="28"/>
              </w:rPr>
              <w:t xml:space="preserve"> направлени</w:t>
            </w:r>
            <w:r w:rsidR="003D4180">
              <w:rPr>
                <w:sz w:val="28"/>
                <w:szCs w:val="28"/>
              </w:rPr>
              <w:t>я</w:t>
            </w:r>
            <w:r w:rsidRPr="003140D4">
              <w:rPr>
                <w:sz w:val="28"/>
                <w:szCs w:val="28"/>
              </w:rPr>
              <w:t xml:space="preserve"> бюджетной, налоговой и таможенно-тарифной политики на 2018 год и на плановый период 2019 и 2020 годов, несомненно, документ, реализация положений которого является необходимым условием для повышения определенности условий ведения экономической деятельности, устранения структурных ограничений и реализации структурного бюджетного маневра. </w:t>
            </w:r>
          </w:p>
          <w:p w:rsidR="00864005" w:rsidRPr="001041E7" w:rsidRDefault="004C6D58" w:rsidP="0021719E">
            <w:pPr>
              <w:ind w:firstLine="430"/>
              <w:jc w:val="both"/>
              <w:rPr>
                <w:sz w:val="28"/>
                <w:szCs w:val="28"/>
              </w:rPr>
            </w:pPr>
            <w:r w:rsidRPr="003140D4">
              <w:rPr>
                <w:sz w:val="28"/>
                <w:szCs w:val="28"/>
              </w:rPr>
              <w:t xml:space="preserve">В настоящее время осуществляется доработка проекта Основных направлений бюджетной, налоговой и таможенно-тарифной политики на 2018 год и на плановый период 2019 и 2020 годов с учетом предложений, высказанных на Парламентских слушаниях в Государственной Думе Федерального Собрания Российской Федерации, </w:t>
            </w:r>
            <w:r w:rsidRPr="001041E7">
              <w:rPr>
                <w:sz w:val="28"/>
                <w:szCs w:val="28"/>
              </w:rPr>
              <w:t>в том числе предложений научного и делового сообщества.</w:t>
            </w:r>
          </w:p>
          <w:p w:rsidR="00C45EDE" w:rsidRPr="003140D4" w:rsidRDefault="001041E7" w:rsidP="0050061C">
            <w:pPr>
              <w:ind w:firstLine="4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Вышеуказанная информация будет включена </w:t>
            </w:r>
            <w:r w:rsidRPr="001041E7">
              <w:rPr>
                <w:sz w:val="28"/>
                <w:szCs w:val="28"/>
              </w:rPr>
              <w:t xml:space="preserve">в отчет о ходе реализации </w:t>
            </w:r>
            <w:r w:rsidR="0050061C">
              <w:rPr>
                <w:sz w:val="28"/>
                <w:szCs w:val="28"/>
              </w:rPr>
              <w:t>П</w:t>
            </w:r>
            <w:r w:rsidRPr="001041E7">
              <w:rPr>
                <w:sz w:val="28"/>
                <w:szCs w:val="28"/>
              </w:rPr>
              <w:t xml:space="preserve">убличной декларации целей и задач Минфина России за </w:t>
            </w:r>
            <w:r>
              <w:rPr>
                <w:sz w:val="28"/>
                <w:szCs w:val="28"/>
              </w:rPr>
              <w:t>11 месяцев</w:t>
            </w:r>
            <w:r w:rsidRPr="001041E7">
              <w:rPr>
                <w:sz w:val="28"/>
                <w:szCs w:val="28"/>
              </w:rPr>
              <w:t xml:space="preserve"> 2017 г.</w:t>
            </w:r>
          </w:p>
        </w:tc>
      </w:tr>
      <w:tr w:rsidR="00B65681" w:rsidRPr="00214D0B" w:rsidTr="0021719E">
        <w:tc>
          <w:tcPr>
            <w:tcW w:w="993" w:type="dxa"/>
            <w:vAlign w:val="center"/>
          </w:tcPr>
          <w:p w:rsidR="00B65681" w:rsidRPr="003140D4" w:rsidRDefault="00B65681" w:rsidP="000479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3140D4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vAlign w:val="center"/>
          </w:tcPr>
          <w:p w:rsidR="00B65681" w:rsidRPr="003140D4" w:rsidRDefault="00B65681" w:rsidP="000479D4">
            <w:pPr>
              <w:ind w:firstLine="430"/>
              <w:jc w:val="both"/>
              <w:rPr>
                <w:sz w:val="28"/>
                <w:szCs w:val="28"/>
              </w:rPr>
            </w:pPr>
            <w:r w:rsidRPr="003140D4">
              <w:rPr>
                <w:sz w:val="28"/>
                <w:szCs w:val="28"/>
              </w:rPr>
              <w:t>По ряду мер, направленных на реализацию целей и задач Минфина России, представлена неполная информация.</w:t>
            </w:r>
          </w:p>
          <w:p w:rsidR="00B65681" w:rsidRPr="003140D4" w:rsidRDefault="00B65681" w:rsidP="000479D4">
            <w:pPr>
              <w:ind w:firstLine="430"/>
              <w:jc w:val="both"/>
              <w:rPr>
                <w:sz w:val="28"/>
                <w:szCs w:val="28"/>
              </w:rPr>
            </w:pPr>
            <w:r w:rsidRPr="003140D4">
              <w:rPr>
                <w:sz w:val="28"/>
                <w:szCs w:val="28"/>
              </w:rPr>
              <w:t>Например, не указано, какие факторы повлияли на рост поступления страховых взносов - рост базы либо увеличение порогов, в пределах которых используется максимальная ставка, либо повышение качества администрирования. В этой связи невозможно сделать вывод об эффективности реализуемой политики по улучшению администрирования и повышению собираемости страховых взносов.</w:t>
            </w:r>
          </w:p>
          <w:p w:rsidR="00B65681" w:rsidRPr="003140D4" w:rsidRDefault="00B65681" w:rsidP="000479D4">
            <w:pPr>
              <w:ind w:firstLine="430"/>
              <w:jc w:val="both"/>
              <w:rPr>
                <w:sz w:val="28"/>
                <w:szCs w:val="28"/>
              </w:rPr>
            </w:pPr>
            <w:r w:rsidRPr="003140D4">
              <w:rPr>
                <w:sz w:val="28"/>
                <w:szCs w:val="28"/>
              </w:rPr>
              <w:t>Не приведены даже в общих чертах результаты проведенного мониторинга качества финансового менеджмента главных администраторов средств федерального бюджета.</w:t>
            </w:r>
          </w:p>
          <w:p w:rsidR="00B65681" w:rsidRDefault="00B65681" w:rsidP="000479D4">
            <w:pPr>
              <w:ind w:firstLine="430"/>
              <w:jc w:val="both"/>
              <w:rPr>
                <w:sz w:val="28"/>
                <w:szCs w:val="28"/>
              </w:rPr>
            </w:pPr>
          </w:p>
          <w:p w:rsidR="00B65681" w:rsidRDefault="00B65681" w:rsidP="000479D4">
            <w:pPr>
              <w:ind w:firstLine="430"/>
              <w:jc w:val="both"/>
              <w:rPr>
                <w:sz w:val="28"/>
                <w:szCs w:val="28"/>
              </w:rPr>
            </w:pPr>
          </w:p>
          <w:p w:rsidR="00B65681" w:rsidRDefault="00B65681" w:rsidP="000479D4">
            <w:pPr>
              <w:ind w:firstLine="430"/>
              <w:jc w:val="both"/>
              <w:rPr>
                <w:sz w:val="28"/>
                <w:szCs w:val="28"/>
              </w:rPr>
            </w:pPr>
          </w:p>
          <w:p w:rsidR="00B65681" w:rsidRDefault="00B65681" w:rsidP="000479D4">
            <w:pPr>
              <w:ind w:firstLine="430"/>
              <w:jc w:val="both"/>
              <w:rPr>
                <w:sz w:val="28"/>
                <w:szCs w:val="28"/>
              </w:rPr>
            </w:pPr>
          </w:p>
          <w:p w:rsidR="00B65681" w:rsidRDefault="00B65681" w:rsidP="000479D4">
            <w:pPr>
              <w:ind w:firstLine="430"/>
              <w:jc w:val="both"/>
              <w:rPr>
                <w:sz w:val="28"/>
                <w:szCs w:val="28"/>
              </w:rPr>
            </w:pPr>
          </w:p>
          <w:p w:rsidR="00B65681" w:rsidRDefault="00B65681" w:rsidP="000479D4">
            <w:pPr>
              <w:ind w:firstLine="430"/>
              <w:jc w:val="both"/>
              <w:rPr>
                <w:sz w:val="28"/>
                <w:szCs w:val="28"/>
              </w:rPr>
            </w:pPr>
          </w:p>
          <w:p w:rsidR="00B65681" w:rsidRDefault="00B65681" w:rsidP="000479D4">
            <w:pPr>
              <w:ind w:firstLine="430"/>
              <w:jc w:val="both"/>
              <w:rPr>
                <w:sz w:val="28"/>
                <w:szCs w:val="28"/>
              </w:rPr>
            </w:pPr>
          </w:p>
          <w:p w:rsidR="00B65681" w:rsidRDefault="00B65681" w:rsidP="000479D4">
            <w:pPr>
              <w:ind w:firstLine="430"/>
              <w:jc w:val="both"/>
              <w:rPr>
                <w:sz w:val="28"/>
                <w:szCs w:val="28"/>
              </w:rPr>
            </w:pPr>
          </w:p>
          <w:p w:rsidR="00B65681" w:rsidRDefault="00B65681" w:rsidP="000479D4">
            <w:pPr>
              <w:ind w:firstLine="430"/>
              <w:jc w:val="both"/>
              <w:rPr>
                <w:sz w:val="28"/>
                <w:szCs w:val="28"/>
              </w:rPr>
            </w:pPr>
          </w:p>
          <w:p w:rsidR="00B65681" w:rsidRDefault="00B65681" w:rsidP="000479D4">
            <w:pPr>
              <w:ind w:firstLine="430"/>
              <w:jc w:val="both"/>
              <w:rPr>
                <w:sz w:val="28"/>
                <w:szCs w:val="28"/>
              </w:rPr>
            </w:pPr>
          </w:p>
          <w:p w:rsidR="00B65681" w:rsidRDefault="00B65681" w:rsidP="000479D4">
            <w:pPr>
              <w:ind w:firstLine="430"/>
              <w:jc w:val="both"/>
              <w:rPr>
                <w:sz w:val="28"/>
                <w:szCs w:val="28"/>
              </w:rPr>
            </w:pPr>
          </w:p>
          <w:p w:rsidR="00B65681" w:rsidRDefault="00B65681" w:rsidP="000479D4">
            <w:pPr>
              <w:ind w:firstLine="430"/>
              <w:jc w:val="both"/>
              <w:rPr>
                <w:sz w:val="28"/>
                <w:szCs w:val="28"/>
              </w:rPr>
            </w:pPr>
          </w:p>
          <w:p w:rsidR="0092232F" w:rsidRDefault="0092232F" w:rsidP="000479D4">
            <w:pPr>
              <w:ind w:firstLine="430"/>
              <w:jc w:val="both"/>
              <w:rPr>
                <w:sz w:val="28"/>
                <w:szCs w:val="28"/>
              </w:rPr>
            </w:pPr>
          </w:p>
          <w:p w:rsidR="001041E7" w:rsidRDefault="001041E7" w:rsidP="000479D4">
            <w:pPr>
              <w:ind w:firstLine="430"/>
              <w:jc w:val="both"/>
              <w:rPr>
                <w:sz w:val="28"/>
                <w:szCs w:val="28"/>
              </w:rPr>
            </w:pPr>
          </w:p>
          <w:p w:rsidR="001041E7" w:rsidRDefault="001041E7" w:rsidP="000479D4">
            <w:pPr>
              <w:ind w:firstLine="430"/>
              <w:jc w:val="both"/>
              <w:rPr>
                <w:sz w:val="28"/>
                <w:szCs w:val="28"/>
              </w:rPr>
            </w:pPr>
          </w:p>
          <w:p w:rsidR="00B65681" w:rsidRPr="003140D4" w:rsidRDefault="00B65681" w:rsidP="000479D4">
            <w:pPr>
              <w:ind w:firstLine="430"/>
              <w:jc w:val="both"/>
              <w:rPr>
                <w:sz w:val="28"/>
                <w:szCs w:val="28"/>
              </w:rPr>
            </w:pPr>
            <w:r w:rsidRPr="003140D4">
              <w:rPr>
                <w:sz w:val="28"/>
                <w:szCs w:val="28"/>
              </w:rPr>
              <w:t>В части сопряжения информационных систем ФНС и ФТС не указано, какие меры предприняты Минфином России в первом полугодии 2017 г., помимо углубления взаимодействия между ФТС России и ФНС России при проведении оперативно-контрольных мероприятий и планирования соответствующей совместной деятельности.</w:t>
            </w:r>
          </w:p>
        </w:tc>
        <w:tc>
          <w:tcPr>
            <w:tcW w:w="8079" w:type="dxa"/>
          </w:tcPr>
          <w:p w:rsidR="00B65681" w:rsidRPr="003140D4" w:rsidRDefault="00B65681" w:rsidP="000479D4">
            <w:pPr>
              <w:widowControl/>
              <w:ind w:firstLine="431"/>
              <w:jc w:val="both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proofErr w:type="gramStart"/>
            <w:r w:rsidRPr="003140D4">
              <w:rPr>
                <w:rFonts w:eastAsiaTheme="minorHAnsi"/>
                <w:color w:val="auto"/>
                <w:sz w:val="28"/>
                <w:szCs w:val="28"/>
                <w:lang w:eastAsia="en-US"/>
              </w:rPr>
              <w:lastRenderedPageBreak/>
              <w:t xml:space="preserve">В целях совершенствования порядка исчисления и уплаты (перечисления) страховых взносов в государственные внебюджетные фонды, укрепления платежной дисциплины при осуществлении расчетов с названными фондами с 1 января </w:t>
            </w:r>
            <w:r w:rsidR="00450FDA">
              <w:rPr>
                <w:rFonts w:eastAsiaTheme="minorHAnsi"/>
                <w:color w:val="auto"/>
                <w:sz w:val="28"/>
                <w:szCs w:val="28"/>
                <w:lang w:eastAsia="en-US"/>
              </w:rPr>
              <w:br/>
            </w:r>
            <w:r w:rsidRPr="003140D4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2017 года полномочия по администрированию страховых взносов переданы от ПФР и ФСС России в налоговые органы, и все положения, касающиеся порядка исчисления и уплаты страховых взносов включены в главу 34 «Страховые взносы» Налогового кодекса</w:t>
            </w:r>
            <w:proofErr w:type="gramEnd"/>
            <w:r w:rsidRPr="003140D4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Российской Федерации.</w:t>
            </w:r>
          </w:p>
          <w:p w:rsidR="00B65681" w:rsidRPr="003140D4" w:rsidRDefault="00B65681" w:rsidP="000479D4">
            <w:pPr>
              <w:widowControl/>
              <w:ind w:firstLine="431"/>
              <w:jc w:val="both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proofErr w:type="gramStart"/>
            <w:r w:rsidRPr="003140D4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По оперативным данным ФНС России поступления страховых взносов, администрируемых ФНС России, в январе-июле 2017 года составили 3 179,5 млрд. рублей, что на 7,5% или на 220,9 млрд. рублей больше аналогичного периода прошлого года, в том числе в июле 2017 года – 495,1 млрд. рублей, что на 8,6% или 39,0 млрд. рублей больше</w:t>
            </w:r>
            <w:r w:rsidR="0079000E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, чем в </w:t>
            </w:r>
            <w:r w:rsidRPr="003140D4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июл</w:t>
            </w:r>
            <w:r w:rsidR="0079000E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е</w:t>
            </w:r>
            <w:r w:rsidRPr="003140D4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2016 года.</w:t>
            </w:r>
            <w:proofErr w:type="gramEnd"/>
          </w:p>
          <w:p w:rsidR="00B65681" w:rsidRPr="003140D4" w:rsidRDefault="00B65681" w:rsidP="000479D4">
            <w:pPr>
              <w:widowControl/>
              <w:ind w:firstLine="431"/>
              <w:jc w:val="both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3140D4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При сохранении ранее установленного порядка исчисления страховых взносов (определение объекта обложения страховыми взносами), а также размеров тарифов страховых взносов рост их поступлений обусловлен совершенствованием системы администрирования страховых взносов налоговыми органами.</w:t>
            </w:r>
          </w:p>
          <w:p w:rsidR="00B65681" w:rsidRPr="003140D4" w:rsidRDefault="00B65681" w:rsidP="000479D4">
            <w:pPr>
              <w:widowControl/>
              <w:ind w:firstLine="431"/>
              <w:jc w:val="both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proofErr w:type="gramStart"/>
            <w:r w:rsidRPr="003140D4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Так, в частности, в соответствии с законодательством о налогах и сборах налоговые органы в отличие от органов государственных внебюджетных фондов обладают более широкими полномочиями по взысканию задолженности по </w:t>
            </w:r>
            <w:r w:rsidRPr="003140D4">
              <w:rPr>
                <w:rFonts w:eastAsiaTheme="minorHAnsi"/>
                <w:color w:val="auto"/>
                <w:sz w:val="28"/>
                <w:szCs w:val="28"/>
                <w:lang w:eastAsia="en-US"/>
              </w:rPr>
              <w:lastRenderedPageBreak/>
              <w:t>страховым взносам (например, досудебный порядок рассмотрения споров и применение таких обеспечительных мер, как арест счета), в том числе возникшей до 1 января 2017 года.</w:t>
            </w:r>
            <w:proofErr w:type="gramEnd"/>
          </w:p>
          <w:p w:rsidR="00B65681" w:rsidRDefault="00B65681" w:rsidP="000479D4">
            <w:pPr>
              <w:widowControl/>
              <w:ind w:firstLine="431"/>
              <w:jc w:val="both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3140D4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Кроме того, передача функций администрирования страховых взносов позволяет осуществлять проверки и доначисления в рамках </w:t>
            </w: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одного контрольного мероприятия.</w:t>
            </w:r>
          </w:p>
          <w:p w:rsidR="0092232F" w:rsidRPr="001041E7" w:rsidRDefault="0050061C" w:rsidP="000479D4">
            <w:pPr>
              <w:widowControl/>
              <w:ind w:firstLine="431"/>
              <w:jc w:val="both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Вышеуказанная</w:t>
            </w:r>
            <w:r w:rsidR="0092232F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информация </w:t>
            </w:r>
            <w:r w:rsidR="001041E7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включена в отчет о ходе реализации </w:t>
            </w: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П</w:t>
            </w:r>
            <w:r w:rsidR="001041E7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убличной декларации целей и задач Минфина России за </w:t>
            </w:r>
            <w:r w:rsidR="001041E7">
              <w:rPr>
                <w:rFonts w:eastAsiaTheme="minorHAnsi"/>
                <w:color w:val="auto"/>
                <w:sz w:val="28"/>
                <w:szCs w:val="28"/>
                <w:lang w:val="en-US" w:eastAsia="en-US"/>
              </w:rPr>
              <w:t>I</w:t>
            </w:r>
            <w:r w:rsidR="001041E7" w:rsidRPr="001041E7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</w:t>
            </w:r>
            <w:r w:rsidR="001041E7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полугодие 2017 г.</w:t>
            </w:r>
          </w:p>
          <w:p w:rsidR="00B46AB7" w:rsidRDefault="00B46AB7" w:rsidP="000479D4">
            <w:pPr>
              <w:widowControl/>
              <w:ind w:firstLine="431"/>
              <w:jc w:val="both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</w:p>
          <w:p w:rsidR="00B65681" w:rsidRPr="003140D4" w:rsidRDefault="00B65681" w:rsidP="000479D4">
            <w:pPr>
              <w:widowControl/>
              <w:ind w:firstLine="431"/>
              <w:jc w:val="both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3140D4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В настоящее время данный вопрос реализуется в рамках исполнения Плана мероприятий по созданию единого механизма администрирования налоговых и таможенных платежей, утвержденного приказом Минфина России от 27 января 2016 г. № 27 «О формировании Рабочей группы по созданию единого механизма администрирования налоговых и таможенных платежей»</w:t>
            </w:r>
            <w:r w:rsidR="0079000E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(далее – План)</w:t>
            </w:r>
            <w:r w:rsidRPr="003140D4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.</w:t>
            </w:r>
          </w:p>
          <w:p w:rsidR="00B65681" w:rsidRPr="0018097D" w:rsidRDefault="00B65681" w:rsidP="000479D4">
            <w:pPr>
              <w:ind w:firstLine="431"/>
              <w:jc w:val="both"/>
              <w:rPr>
                <w:sz w:val="28"/>
                <w:szCs w:val="28"/>
              </w:rPr>
            </w:pPr>
            <w:r w:rsidRPr="0018097D">
              <w:rPr>
                <w:sz w:val="28"/>
                <w:szCs w:val="28"/>
              </w:rPr>
              <w:t xml:space="preserve">В рамках исполнения Плана заключен государственный контракт № 01-01-06/21-77 от 25 апреля 2016 г. по теме «Разработка проекта единого механизма таможенного и налогового администрирования, а также валютного контроля, основанного на создании и применении интегрированных информационно-телекоммуникационных технологий федеральных органов исполнительной власти, подведомственных Министерству финансов Российской Федерации» (далее – Контракт). </w:t>
            </w:r>
          </w:p>
          <w:p w:rsidR="00B65681" w:rsidRPr="0018097D" w:rsidRDefault="00B65681" w:rsidP="000479D4">
            <w:pPr>
              <w:ind w:firstLine="431"/>
              <w:jc w:val="both"/>
              <w:rPr>
                <w:sz w:val="28"/>
                <w:szCs w:val="28"/>
              </w:rPr>
            </w:pPr>
            <w:proofErr w:type="gramStart"/>
            <w:r w:rsidRPr="0018097D">
              <w:rPr>
                <w:sz w:val="28"/>
                <w:szCs w:val="28"/>
              </w:rPr>
              <w:t xml:space="preserve">По результатам исполнения Контракта подготовлены проект технического задания на модернизацию технологического обеспечения, а также информационных систем ФТС России и </w:t>
            </w:r>
            <w:r w:rsidRPr="0018097D">
              <w:rPr>
                <w:sz w:val="28"/>
                <w:szCs w:val="28"/>
              </w:rPr>
              <w:lastRenderedPageBreak/>
              <w:t>ФНС России и их информационное взаимодействие в рамках первого этапа (разработка нормативной и технической документации, а также реализация в информационно-программных средствах ФНС России и ФТС России программно-технических решений, обеспечивающих поддержку сквозных процессов налогового и таможенного администрирования, а также валютного контроля и</w:t>
            </w:r>
            <w:proofErr w:type="gramEnd"/>
            <w:r w:rsidRPr="0018097D">
              <w:rPr>
                <w:sz w:val="28"/>
                <w:szCs w:val="28"/>
              </w:rPr>
              <w:t xml:space="preserve"> взаимодействие между ФТС России и ФНС России), проект технического задания на создание информационной «Национальной системы </w:t>
            </w:r>
            <w:proofErr w:type="spellStart"/>
            <w:r w:rsidRPr="0018097D">
              <w:rPr>
                <w:sz w:val="28"/>
                <w:szCs w:val="28"/>
              </w:rPr>
              <w:t>прослеживаемости</w:t>
            </w:r>
            <w:proofErr w:type="spellEnd"/>
            <w:r w:rsidRPr="0018097D">
              <w:rPr>
                <w:sz w:val="28"/>
                <w:szCs w:val="28"/>
              </w:rPr>
              <w:t xml:space="preserve"> оборота товаров в Российской Федерации» (второй этап) и финансово-экономические обоснования к указанным техническим заданиям. </w:t>
            </w:r>
          </w:p>
          <w:p w:rsidR="00B65681" w:rsidRDefault="00B65681" w:rsidP="00B65681">
            <w:pPr>
              <w:ind w:firstLine="431"/>
              <w:jc w:val="both"/>
              <w:rPr>
                <w:sz w:val="28"/>
                <w:szCs w:val="28"/>
              </w:rPr>
            </w:pPr>
            <w:r w:rsidRPr="0018097D">
              <w:rPr>
                <w:sz w:val="28"/>
                <w:szCs w:val="28"/>
              </w:rPr>
              <w:t>Начало реализации мероприятий технических заданий первого и второго этапов предполагается в 2018 году.</w:t>
            </w:r>
          </w:p>
          <w:p w:rsidR="001041E7" w:rsidRPr="003140D4" w:rsidRDefault="0050061C" w:rsidP="0050061C">
            <w:pPr>
              <w:ind w:firstLine="4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Вышеуказанная и</w:t>
            </w:r>
            <w:r w:rsidR="001041E7" w:rsidRPr="001041E7">
              <w:rPr>
                <w:sz w:val="28"/>
                <w:szCs w:val="28"/>
              </w:rPr>
              <w:t>нформация включена в отчет о ходе реализации публичной декларации целей и задач Минфина России за I полугодие 2017 г.</w:t>
            </w:r>
          </w:p>
        </w:tc>
      </w:tr>
      <w:tr w:rsidR="00B65681" w:rsidRPr="00214D0B" w:rsidTr="00887D5F">
        <w:tc>
          <w:tcPr>
            <w:tcW w:w="14742" w:type="dxa"/>
            <w:gridSpan w:val="3"/>
            <w:vAlign w:val="center"/>
          </w:tcPr>
          <w:p w:rsidR="00B65681" w:rsidRPr="003140D4" w:rsidRDefault="00B65681" w:rsidP="00B65681">
            <w:pPr>
              <w:ind w:firstLine="430"/>
              <w:jc w:val="center"/>
              <w:rPr>
                <w:sz w:val="28"/>
                <w:szCs w:val="28"/>
              </w:rPr>
            </w:pPr>
            <w:r w:rsidRPr="00B65681">
              <w:rPr>
                <w:b/>
                <w:sz w:val="28"/>
                <w:szCs w:val="28"/>
              </w:rPr>
              <w:lastRenderedPageBreak/>
              <w:t>Отрицательный результат</w:t>
            </w:r>
          </w:p>
        </w:tc>
      </w:tr>
      <w:tr w:rsidR="00B65681" w:rsidRPr="00214D0B" w:rsidTr="00BB6BD4">
        <w:tc>
          <w:tcPr>
            <w:tcW w:w="993" w:type="dxa"/>
            <w:vAlign w:val="center"/>
          </w:tcPr>
          <w:p w:rsidR="00B65681" w:rsidRPr="003140D4" w:rsidRDefault="00B65681" w:rsidP="000479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40D4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  <w:vAlign w:val="center"/>
          </w:tcPr>
          <w:p w:rsidR="00B65681" w:rsidRPr="003140D4" w:rsidRDefault="00B65681" w:rsidP="000479D4">
            <w:pPr>
              <w:ind w:firstLine="430"/>
              <w:jc w:val="both"/>
              <w:rPr>
                <w:sz w:val="28"/>
                <w:szCs w:val="28"/>
              </w:rPr>
            </w:pPr>
            <w:r w:rsidRPr="003140D4">
              <w:rPr>
                <w:sz w:val="28"/>
                <w:szCs w:val="28"/>
              </w:rPr>
              <w:t>В качестве одной из задач в рамках достижения Цели 1 по обеспечению долгосрочной устойчивости и структурной трансформации экономики поставлены задачи по формированию и соблюдению новой конструкции «бюджетных правил».</w:t>
            </w:r>
          </w:p>
          <w:p w:rsidR="00B65681" w:rsidRPr="003140D4" w:rsidRDefault="00B65681" w:rsidP="000479D4">
            <w:pPr>
              <w:ind w:firstLine="430"/>
              <w:jc w:val="both"/>
              <w:rPr>
                <w:sz w:val="28"/>
                <w:szCs w:val="28"/>
              </w:rPr>
            </w:pPr>
            <w:proofErr w:type="gramStart"/>
            <w:r w:rsidRPr="003140D4">
              <w:rPr>
                <w:sz w:val="28"/>
                <w:szCs w:val="28"/>
              </w:rPr>
              <w:t xml:space="preserve">На наш взгляд, выполнение данных задач может оказывать лишь косвенное влияние на структурную трансформацию экономики посредством снижения зависимости курса рубля от динамики нефтяных цен, снижения </w:t>
            </w:r>
            <w:r w:rsidRPr="003140D4">
              <w:rPr>
                <w:sz w:val="28"/>
                <w:szCs w:val="28"/>
              </w:rPr>
              <w:lastRenderedPageBreak/>
              <w:t>волатильности потребительских цен и инфляционных ожиданий, однако почти не сказывается на снижении оценки рисков инвестиций в российские активы, и не влияет на отраслевую структуру российской экономики.</w:t>
            </w:r>
            <w:proofErr w:type="gramEnd"/>
          </w:p>
        </w:tc>
        <w:tc>
          <w:tcPr>
            <w:tcW w:w="8079" w:type="dxa"/>
            <w:vAlign w:val="center"/>
          </w:tcPr>
          <w:p w:rsidR="003D4180" w:rsidRPr="003D4180" w:rsidRDefault="003D4180" w:rsidP="003D4180">
            <w:pPr>
              <w:ind w:firstLine="430"/>
              <w:jc w:val="both"/>
              <w:rPr>
                <w:sz w:val="28"/>
                <w:szCs w:val="28"/>
              </w:rPr>
            </w:pPr>
            <w:r w:rsidRPr="003D4180">
              <w:rPr>
                <w:sz w:val="28"/>
                <w:szCs w:val="28"/>
              </w:rPr>
              <w:lastRenderedPageBreak/>
              <w:t>Одним из сдерживающих факторов для инвестиционной активности является неопределенность будущих экономических условий, а основным источником этой неопределенности – колебания внешнеэкономической конъюнктуры, влияющие на внутренние экономические условия, прежде всего через зависимость курса рубля от динамики нефтяных цен.</w:t>
            </w:r>
          </w:p>
          <w:p w:rsidR="003D4180" w:rsidRPr="003D4180" w:rsidRDefault="003D4180" w:rsidP="003D4180">
            <w:pPr>
              <w:ind w:firstLine="430"/>
              <w:jc w:val="both"/>
              <w:rPr>
                <w:sz w:val="28"/>
                <w:szCs w:val="28"/>
              </w:rPr>
            </w:pPr>
            <w:r w:rsidRPr="003D4180">
              <w:rPr>
                <w:sz w:val="28"/>
                <w:szCs w:val="28"/>
              </w:rPr>
              <w:t xml:space="preserve">Эта зависимость влечет за собой волатильность потребительских цен и инфляционных ожиданий (и, как следствие, потребительского спроса и уровня процентных ставок), волатильность доходов бюджета (что для экономических агентов при прочих равных означает </w:t>
            </w:r>
            <w:r w:rsidRPr="003D4180">
              <w:rPr>
                <w:sz w:val="28"/>
                <w:szCs w:val="28"/>
              </w:rPr>
              <w:lastRenderedPageBreak/>
              <w:t xml:space="preserve">неопределенность относительно будущих расходов бюджета, относительно будущих налоговых условий). </w:t>
            </w:r>
          </w:p>
          <w:p w:rsidR="003D4180" w:rsidRPr="003D4180" w:rsidRDefault="003D4180" w:rsidP="003D4180">
            <w:pPr>
              <w:ind w:firstLine="430"/>
              <w:jc w:val="both"/>
              <w:rPr>
                <w:sz w:val="28"/>
                <w:szCs w:val="28"/>
              </w:rPr>
            </w:pPr>
            <w:r w:rsidRPr="003D4180">
              <w:rPr>
                <w:sz w:val="28"/>
                <w:szCs w:val="28"/>
              </w:rPr>
              <w:t xml:space="preserve">Модифицированное «бюджетное правило» (особенно в сочетании с политикой инфляционного </w:t>
            </w:r>
            <w:proofErr w:type="spellStart"/>
            <w:r w:rsidRPr="003D4180">
              <w:rPr>
                <w:sz w:val="28"/>
                <w:szCs w:val="28"/>
              </w:rPr>
              <w:t>таргетирования</w:t>
            </w:r>
            <w:proofErr w:type="spellEnd"/>
            <w:r w:rsidRPr="003D4180">
              <w:rPr>
                <w:sz w:val="28"/>
                <w:szCs w:val="28"/>
              </w:rPr>
              <w:t xml:space="preserve"> и свободно плавающего валютного курса, проводимой Банком России) не только способствует снижению волатильности курса рубля и стабилизации за счет этого инфляции (что само по себе не мало). Переход к бюджетной политике на основе «</w:t>
            </w:r>
            <w:r>
              <w:rPr>
                <w:sz w:val="28"/>
                <w:szCs w:val="28"/>
              </w:rPr>
              <w:t xml:space="preserve">бюджетных </w:t>
            </w:r>
            <w:r w:rsidRPr="003D4180">
              <w:rPr>
                <w:sz w:val="28"/>
                <w:szCs w:val="28"/>
              </w:rPr>
              <w:t>правил» означает и стабильный, понятный для экономических агентов подход к определению объема расходов бюджета – предсказуемость и стабильность налогового режима, уверенность в устойчивости государственных финансов. Все это способствует снижению уровня инфляции и долгосрочных процентных ставок и росту инвестиционной активности.</w:t>
            </w:r>
          </w:p>
          <w:p w:rsidR="003D4180" w:rsidRPr="003D4180" w:rsidRDefault="003D4180" w:rsidP="003D4180">
            <w:pPr>
              <w:ind w:firstLine="430"/>
              <w:jc w:val="both"/>
              <w:rPr>
                <w:sz w:val="28"/>
                <w:szCs w:val="28"/>
              </w:rPr>
            </w:pPr>
            <w:r w:rsidRPr="003D4180">
              <w:rPr>
                <w:sz w:val="28"/>
                <w:szCs w:val="28"/>
              </w:rPr>
              <w:t xml:space="preserve">В свою очередь, более благоприятные условия для инвестирования будут способствовать ускоренному развитию более инвестиционно-емких отраслей, что будет способствовать позитивным изменениям в отраслевой структуре экономики – росту высокотехнологичных, высокопроизводительных производств. </w:t>
            </w:r>
          </w:p>
          <w:p w:rsidR="003D4180" w:rsidRPr="003D4180" w:rsidRDefault="003D4180" w:rsidP="003D4180">
            <w:pPr>
              <w:ind w:firstLine="430"/>
              <w:jc w:val="both"/>
              <w:rPr>
                <w:sz w:val="28"/>
                <w:szCs w:val="28"/>
              </w:rPr>
            </w:pPr>
            <w:r w:rsidRPr="003D4180">
              <w:rPr>
                <w:sz w:val="28"/>
                <w:szCs w:val="28"/>
              </w:rPr>
              <w:t>Международные рейтинговые агентства и международные инвесторы положительно оценивают переход к модифицированной версии «бюджетных правил». Агентство S&amp;P в марте 2017 г. поставило суверенный рейтинг России на пересмотр с позитивным прогнозом. Премии за риск инвестирования в российские активы (ставка CDS) снизились до минимальных с 2013 года уровней, растет приток средств нерезидентов на российский финансовый рынок.</w:t>
            </w:r>
          </w:p>
          <w:p w:rsidR="00B65681" w:rsidRPr="003140D4" w:rsidRDefault="00B65681" w:rsidP="000479D4">
            <w:pPr>
              <w:ind w:firstLine="431"/>
              <w:jc w:val="both"/>
              <w:rPr>
                <w:sz w:val="28"/>
                <w:szCs w:val="28"/>
              </w:rPr>
            </w:pPr>
          </w:p>
        </w:tc>
      </w:tr>
      <w:tr w:rsidR="00B65681" w:rsidRPr="00214D0B" w:rsidTr="00F23DFF">
        <w:tc>
          <w:tcPr>
            <w:tcW w:w="993" w:type="dxa"/>
          </w:tcPr>
          <w:p w:rsidR="00B65681" w:rsidRPr="003140D4" w:rsidRDefault="001041E7" w:rsidP="00B11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B65681" w:rsidRPr="003140D4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B65681" w:rsidRPr="003140D4" w:rsidRDefault="00B65681" w:rsidP="000B6D8A">
            <w:pPr>
              <w:ind w:firstLine="430"/>
              <w:jc w:val="both"/>
              <w:rPr>
                <w:sz w:val="28"/>
                <w:szCs w:val="28"/>
              </w:rPr>
            </w:pPr>
            <w:r w:rsidRPr="003140D4">
              <w:rPr>
                <w:sz w:val="28"/>
                <w:szCs w:val="28"/>
              </w:rPr>
              <w:t>В рамках реализации Цели 2 «Улучшение качества администрирования доходов бюджетной системы и условий ведения бизнеса» в части предоставления налоговых льгот приводятся в основном меры по анализу и упорядочению действующей нормативной правовой базы, регулирующей представление налоговых и неналоговых льгот, однако для улучшения условий работы бизнеса этого явно недостаточно. Необходимы активные действия по повышению эффективности стимулирующей функции налоговой системы.</w:t>
            </w:r>
          </w:p>
        </w:tc>
        <w:tc>
          <w:tcPr>
            <w:tcW w:w="8079" w:type="dxa"/>
          </w:tcPr>
          <w:p w:rsidR="00B65681" w:rsidRPr="003140D4" w:rsidRDefault="00B65681" w:rsidP="003140D4">
            <w:pPr>
              <w:widowControl/>
              <w:ind w:firstLine="431"/>
              <w:jc w:val="both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З</w:t>
            </w:r>
            <w:r w:rsidRPr="003140D4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аконодательство Российской Федерации о налогах и сборах содержит достаточное количество стимулирующих механизмов для отраслей экономики, видов деятельности хозяйствующих субъектов, категорий налогоплательщиков.</w:t>
            </w:r>
          </w:p>
          <w:p w:rsidR="00B65681" w:rsidRDefault="00B65681" w:rsidP="003140D4">
            <w:pPr>
              <w:ind w:firstLine="431"/>
              <w:jc w:val="both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3140D4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При этом в настоящее время в рамках ряда поручений Президента Российской Федерации и Правительства Российской Федерации проводится работа по оптимизации действующих  налоговых льгот и преференций по итогам оценки их эффективности и востребованности.</w:t>
            </w:r>
          </w:p>
          <w:p w:rsidR="00B65681" w:rsidRDefault="00B65681" w:rsidP="003140D4">
            <w:pPr>
              <w:ind w:firstLine="431"/>
              <w:jc w:val="both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</w:p>
          <w:p w:rsidR="00B65681" w:rsidRPr="003140D4" w:rsidRDefault="00B65681" w:rsidP="003140D4">
            <w:pPr>
              <w:ind w:firstLine="431"/>
              <w:jc w:val="both"/>
              <w:rPr>
                <w:sz w:val="28"/>
                <w:szCs w:val="28"/>
              </w:rPr>
            </w:pPr>
          </w:p>
        </w:tc>
      </w:tr>
      <w:tr w:rsidR="00B65681" w:rsidRPr="00214D0B" w:rsidTr="000B6D8A">
        <w:tc>
          <w:tcPr>
            <w:tcW w:w="993" w:type="dxa"/>
            <w:vAlign w:val="center"/>
          </w:tcPr>
          <w:p w:rsidR="00B65681" w:rsidRPr="003140D4" w:rsidRDefault="001041E7" w:rsidP="00B11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65681" w:rsidRPr="003140D4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vAlign w:val="center"/>
          </w:tcPr>
          <w:p w:rsidR="00B65681" w:rsidRPr="003140D4" w:rsidRDefault="00B65681" w:rsidP="00673901">
            <w:pPr>
              <w:ind w:firstLine="430"/>
              <w:jc w:val="both"/>
              <w:rPr>
                <w:sz w:val="28"/>
                <w:szCs w:val="28"/>
              </w:rPr>
            </w:pPr>
            <w:r w:rsidRPr="003140D4">
              <w:rPr>
                <w:sz w:val="28"/>
                <w:szCs w:val="28"/>
              </w:rPr>
              <w:t>Цель 6 «Формирование долгосрочных финансовых ресурсов для экономического роста» содержит только 3 задачи, затрагивающие лишь узкий спектр вопросов обеспечения российской экономики «длинными деньгами»:</w:t>
            </w:r>
          </w:p>
          <w:p w:rsidR="00B65681" w:rsidRPr="003140D4" w:rsidRDefault="00B65681" w:rsidP="00673901">
            <w:pPr>
              <w:ind w:firstLine="430"/>
              <w:jc w:val="both"/>
              <w:rPr>
                <w:sz w:val="28"/>
                <w:szCs w:val="28"/>
              </w:rPr>
            </w:pPr>
            <w:r w:rsidRPr="003140D4">
              <w:rPr>
                <w:sz w:val="28"/>
                <w:szCs w:val="28"/>
              </w:rPr>
              <w:tab/>
              <w:t>Повышение надежности и эффективности размещения пенсионных накоплений, средств НПФ, страховых компаний, компаний с государственным участием, государственных фондов и инвесторов на рынке ценных бумаг</w:t>
            </w:r>
            <w:r>
              <w:rPr>
                <w:sz w:val="28"/>
                <w:szCs w:val="28"/>
              </w:rPr>
              <w:t>;</w:t>
            </w:r>
          </w:p>
          <w:p w:rsidR="00B65681" w:rsidRPr="003140D4" w:rsidRDefault="00B65681" w:rsidP="00864005">
            <w:pPr>
              <w:spacing w:line="276" w:lineRule="auto"/>
              <w:ind w:firstLine="430"/>
              <w:jc w:val="both"/>
              <w:rPr>
                <w:sz w:val="28"/>
                <w:szCs w:val="28"/>
              </w:rPr>
            </w:pPr>
          </w:p>
          <w:p w:rsidR="00B65681" w:rsidRPr="003140D4" w:rsidRDefault="00B65681" w:rsidP="00864005">
            <w:pPr>
              <w:spacing w:line="276" w:lineRule="auto"/>
              <w:ind w:firstLine="430"/>
              <w:jc w:val="both"/>
              <w:rPr>
                <w:sz w:val="28"/>
                <w:szCs w:val="28"/>
              </w:rPr>
            </w:pPr>
          </w:p>
          <w:p w:rsidR="00B65681" w:rsidRPr="003140D4" w:rsidRDefault="00B65681" w:rsidP="00864005">
            <w:pPr>
              <w:spacing w:line="276" w:lineRule="auto"/>
              <w:ind w:firstLine="430"/>
              <w:jc w:val="both"/>
              <w:rPr>
                <w:sz w:val="28"/>
                <w:szCs w:val="28"/>
              </w:rPr>
            </w:pPr>
          </w:p>
          <w:p w:rsidR="00B65681" w:rsidRPr="003140D4" w:rsidRDefault="00B65681" w:rsidP="00864005">
            <w:pPr>
              <w:spacing w:line="276" w:lineRule="auto"/>
              <w:ind w:firstLine="430"/>
              <w:jc w:val="both"/>
              <w:rPr>
                <w:sz w:val="28"/>
                <w:szCs w:val="28"/>
              </w:rPr>
            </w:pPr>
          </w:p>
          <w:p w:rsidR="00B65681" w:rsidRPr="003140D4" w:rsidRDefault="00B65681" w:rsidP="00864005">
            <w:pPr>
              <w:spacing w:line="276" w:lineRule="auto"/>
              <w:ind w:firstLine="430"/>
              <w:jc w:val="both"/>
              <w:rPr>
                <w:sz w:val="28"/>
                <w:szCs w:val="28"/>
              </w:rPr>
            </w:pPr>
          </w:p>
          <w:p w:rsidR="00B65681" w:rsidRPr="003140D4" w:rsidRDefault="00B65681" w:rsidP="00864005">
            <w:pPr>
              <w:spacing w:line="276" w:lineRule="auto"/>
              <w:ind w:firstLine="430"/>
              <w:jc w:val="both"/>
              <w:rPr>
                <w:sz w:val="28"/>
                <w:szCs w:val="28"/>
              </w:rPr>
            </w:pPr>
          </w:p>
          <w:p w:rsidR="00B65681" w:rsidRPr="003140D4" w:rsidRDefault="00B65681" w:rsidP="00864005">
            <w:pPr>
              <w:spacing w:line="276" w:lineRule="auto"/>
              <w:ind w:firstLine="430"/>
              <w:jc w:val="both"/>
              <w:rPr>
                <w:sz w:val="28"/>
                <w:szCs w:val="28"/>
              </w:rPr>
            </w:pPr>
          </w:p>
          <w:p w:rsidR="00B65681" w:rsidRPr="003140D4" w:rsidRDefault="00B65681" w:rsidP="00864005">
            <w:pPr>
              <w:spacing w:line="276" w:lineRule="auto"/>
              <w:ind w:firstLine="430"/>
              <w:jc w:val="both"/>
              <w:rPr>
                <w:sz w:val="28"/>
                <w:szCs w:val="28"/>
              </w:rPr>
            </w:pPr>
          </w:p>
          <w:p w:rsidR="00B65681" w:rsidRPr="003140D4" w:rsidRDefault="00B65681" w:rsidP="00864005">
            <w:pPr>
              <w:spacing w:line="276" w:lineRule="auto"/>
              <w:ind w:firstLine="430"/>
              <w:jc w:val="both"/>
              <w:rPr>
                <w:sz w:val="28"/>
                <w:szCs w:val="28"/>
              </w:rPr>
            </w:pPr>
          </w:p>
          <w:p w:rsidR="00B65681" w:rsidRPr="003140D4" w:rsidRDefault="00B65681" w:rsidP="00864005">
            <w:pPr>
              <w:spacing w:line="276" w:lineRule="auto"/>
              <w:ind w:firstLine="430"/>
              <w:jc w:val="both"/>
              <w:rPr>
                <w:sz w:val="28"/>
                <w:szCs w:val="28"/>
              </w:rPr>
            </w:pPr>
          </w:p>
          <w:p w:rsidR="00B65681" w:rsidRPr="003140D4" w:rsidRDefault="00B65681" w:rsidP="00864005">
            <w:pPr>
              <w:spacing w:line="276" w:lineRule="auto"/>
              <w:ind w:firstLine="430"/>
              <w:jc w:val="both"/>
              <w:rPr>
                <w:sz w:val="28"/>
                <w:szCs w:val="28"/>
              </w:rPr>
            </w:pPr>
          </w:p>
          <w:p w:rsidR="00B65681" w:rsidRPr="003140D4" w:rsidRDefault="00B65681" w:rsidP="00864005">
            <w:pPr>
              <w:spacing w:line="276" w:lineRule="auto"/>
              <w:ind w:firstLine="430"/>
              <w:jc w:val="both"/>
              <w:rPr>
                <w:sz w:val="28"/>
                <w:szCs w:val="28"/>
              </w:rPr>
            </w:pPr>
          </w:p>
          <w:p w:rsidR="00B65681" w:rsidRPr="003140D4" w:rsidRDefault="00B65681" w:rsidP="00864005">
            <w:pPr>
              <w:spacing w:line="276" w:lineRule="auto"/>
              <w:ind w:firstLine="430"/>
              <w:jc w:val="both"/>
              <w:rPr>
                <w:sz w:val="28"/>
                <w:szCs w:val="28"/>
              </w:rPr>
            </w:pPr>
          </w:p>
          <w:p w:rsidR="00B65681" w:rsidRPr="003140D4" w:rsidRDefault="00B65681" w:rsidP="00864005">
            <w:pPr>
              <w:spacing w:line="276" w:lineRule="auto"/>
              <w:ind w:firstLine="430"/>
              <w:jc w:val="both"/>
              <w:rPr>
                <w:sz w:val="28"/>
                <w:szCs w:val="28"/>
              </w:rPr>
            </w:pPr>
          </w:p>
          <w:p w:rsidR="00B65681" w:rsidRPr="003140D4" w:rsidRDefault="00B65681" w:rsidP="00864005">
            <w:pPr>
              <w:spacing w:line="276" w:lineRule="auto"/>
              <w:ind w:firstLine="430"/>
              <w:jc w:val="both"/>
              <w:rPr>
                <w:sz w:val="28"/>
                <w:szCs w:val="28"/>
              </w:rPr>
            </w:pPr>
          </w:p>
          <w:p w:rsidR="00B65681" w:rsidRPr="003140D4" w:rsidRDefault="00B65681" w:rsidP="00864005">
            <w:pPr>
              <w:spacing w:line="276" w:lineRule="auto"/>
              <w:ind w:firstLine="430"/>
              <w:jc w:val="both"/>
              <w:rPr>
                <w:sz w:val="28"/>
                <w:szCs w:val="28"/>
              </w:rPr>
            </w:pPr>
          </w:p>
          <w:p w:rsidR="00B65681" w:rsidRPr="003140D4" w:rsidRDefault="00B65681" w:rsidP="00864005">
            <w:pPr>
              <w:spacing w:line="276" w:lineRule="auto"/>
              <w:ind w:firstLine="430"/>
              <w:jc w:val="both"/>
              <w:rPr>
                <w:sz w:val="28"/>
                <w:szCs w:val="28"/>
              </w:rPr>
            </w:pPr>
          </w:p>
          <w:p w:rsidR="00B65681" w:rsidRPr="003140D4" w:rsidRDefault="00B65681" w:rsidP="00864005">
            <w:pPr>
              <w:spacing w:line="276" w:lineRule="auto"/>
              <w:ind w:firstLine="430"/>
              <w:jc w:val="both"/>
              <w:rPr>
                <w:sz w:val="28"/>
                <w:szCs w:val="28"/>
              </w:rPr>
            </w:pPr>
          </w:p>
          <w:p w:rsidR="00B65681" w:rsidRPr="003140D4" w:rsidRDefault="00B65681" w:rsidP="00864005">
            <w:pPr>
              <w:spacing w:line="276" w:lineRule="auto"/>
              <w:ind w:firstLine="430"/>
              <w:jc w:val="both"/>
              <w:rPr>
                <w:sz w:val="28"/>
                <w:szCs w:val="28"/>
              </w:rPr>
            </w:pPr>
          </w:p>
          <w:p w:rsidR="00B65681" w:rsidRPr="003140D4" w:rsidRDefault="00B65681" w:rsidP="00864005">
            <w:pPr>
              <w:spacing w:line="276" w:lineRule="auto"/>
              <w:ind w:firstLine="430"/>
              <w:jc w:val="both"/>
              <w:rPr>
                <w:sz w:val="28"/>
                <w:szCs w:val="28"/>
              </w:rPr>
            </w:pPr>
          </w:p>
          <w:p w:rsidR="00B65681" w:rsidRPr="003140D4" w:rsidRDefault="00B65681" w:rsidP="00864005">
            <w:pPr>
              <w:spacing w:line="276" w:lineRule="auto"/>
              <w:ind w:firstLine="430"/>
              <w:jc w:val="both"/>
              <w:rPr>
                <w:sz w:val="28"/>
                <w:szCs w:val="28"/>
              </w:rPr>
            </w:pPr>
          </w:p>
          <w:p w:rsidR="00B65681" w:rsidRPr="003140D4" w:rsidRDefault="00B65681" w:rsidP="00864005">
            <w:pPr>
              <w:spacing w:line="276" w:lineRule="auto"/>
              <w:ind w:firstLine="430"/>
              <w:jc w:val="both"/>
              <w:rPr>
                <w:sz w:val="28"/>
                <w:szCs w:val="28"/>
              </w:rPr>
            </w:pPr>
          </w:p>
          <w:p w:rsidR="00B65681" w:rsidRPr="003140D4" w:rsidRDefault="00B65681" w:rsidP="00864005">
            <w:pPr>
              <w:spacing w:line="276" w:lineRule="auto"/>
              <w:ind w:firstLine="430"/>
              <w:jc w:val="both"/>
              <w:rPr>
                <w:sz w:val="28"/>
                <w:szCs w:val="28"/>
              </w:rPr>
            </w:pPr>
          </w:p>
          <w:p w:rsidR="00B65681" w:rsidRPr="003140D4" w:rsidRDefault="00B65681" w:rsidP="00864005">
            <w:pPr>
              <w:spacing w:line="276" w:lineRule="auto"/>
              <w:ind w:firstLine="430"/>
              <w:jc w:val="both"/>
              <w:rPr>
                <w:sz w:val="28"/>
                <w:szCs w:val="28"/>
              </w:rPr>
            </w:pPr>
          </w:p>
          <w:p w:rsidR="00B65681" w:rsidRPr="003140D4" w:rsidRDefault="00B65681" w:rsidP="00864005">
            <w:pPr>
              <w:spacing w:line="276" w:lineRule="auto"/>
              <w:ind w:firstLine="430"/>
              <w:jc w:val="both"/>
              <w:rPr>
                <w:sz w:val="28"/>
                <w:szCs w:val="28"/>
              </w:rPr>
            </w:pPr>
          </w:p>
          <w:p w:rsidR="00B65681" w:rsidRPr="003140D4" w:rsidRDefault="00B65681" w:rsidP="00864005">
            <w:pPr>
              <w:spacing w:line="276" w:lineRule="auto"/>
              <w:ind w:firstLine="430"/>
              <w:jc w:val="both"/>
              <w:rPr>
                <w:sz w:val="28"/>
                <w:szCs w:val="28"/>
              </w:rPr>
            </w:pPr>
          </w:p>
          <w:p w:rsidR="00B65681" w:rsidRPr="003140D4" w:rsidRDefault="00B65681" w:rsidP="00864005">
            <w:pPr>
              <w:spacing w:line="276" w:lineRule="auto"/>
              <w:ind w:firstLine="430"/>
              <w:jc w:val="both"/>
              <w:rPr>
                <w:sz w:val="28"/>
                <w:szCs w:val="28"/>
              </w:rPr>
            </w:pPr>
          </w:p>
          <w:p w:rsidR="00B65681" w:rsidRPr="003140D4" w:rsidRDefault="00B65681" w:rsidP="00864005">
            <w:pPr>
              <w:spacing w:line="276" w:lineRule="auto"/>
              <w:ind w:firstLine="430"/>
              <w:jc w:val="both"/>
              <w:rPr>
                <w:sz w:val="28"/>
                <w:szCs w:val="28"/>
              </w:rPr>
            </w:pPr>
          </w:p>
          <w:p w:rsidR="00B65681" w:rsidRPr="003140D4" w:rsidRDefault="00B65681" w:rsidP="00864005">
            <w:pPr>
              <w:spacing w:line="276" w:lineRule="auto"/>
              <w:ind w:firstLine="430"/>
              <w:jc w:val="both"/>
              <w:rPr>
                <w:sz w:val="28"/>
                <w:szCs w:val="28"/>
              </w:rPr>
            </w:pPr>
          </w:p>
          <w:p w:rsidR="00B65681" w:rsidRPr="003140D4" w:rsidRDefault="00B65681" w:rsidP="00864005">
            <w:pPr>
              <w:spacing w:line="276" w:lineRule="auto"/>
              <w:ind w:firstLine="430"/>
              <w:jc w:val="both"/>
              <w:rPr>
                <w:sz w:val="28"/>
                <w:szCs w:val="28"/>
              </w:rPr>
            </w:pPr>
          </w:p>
          <w:p w:rsidR="00B65681" w:rsidRPr="003140D4" w:rsidRDefault="00B65681" w:rsidP="00864005">
            <w:pPr>
              <w:spacing w:line="276" w:lineRule="auto"/>
              <w:ind w:firstLine="430"/>
              <w:jc w:val="both"/>
              <w:rPr>
                <w:sz w:val="28"/>
                <w:szCs w:val="28"/>
              </w:rPr>
            </w:pPr>
          </w:p>
          <w:p w:rsidR="00B65681" w:rsidRPr="003140D4" w:rsidRDefault="00B65681" w:rsidP="00864005">
            <w:pPr>
              <w:spacing w:line="276" w:lineRule="auto"/>
              <w:ind w:firstLine="430"/>
              <w:jc w:val="both"/>
              <w:rPr>
                <w:sz w:val="28"/>
                <w:szCs w:val="28"/>
              </w:rPr>
            </w:pPr>
          </w:p>
          <w:p w:rsidR="00B65681" w:rsidRPr="003140D4" w:rsidRDefault="00B65681" w:rsidP="00864005">
            <w:pPr>
              <w:spacing w:line="276" w:lineRule="auto"/>
              <w:ind w:firstLine="430"/>
              <w:jc w:val="both"/>
              <w:rPr>
                <w:sz w:val="28"/>
                <w:szCs w:val="28"/>
              </w:rPr>
            </w:pPr>
          </w:p>
          <w:p w:rsidR="00B65681" w:rsidRPr="003140D4" w:rsidRDefault="00B65681" w:rsidP="00864005">
            <w:pPr>
              <w:spacing w:line="276" w:lineRule="auto"/>
              <w:ind w:firstLine="430"/>
              <w:jc w:val="both"/>
              <w:rPr>
                <w:sz w:val="28"/>
                <w:szCs w:val="28"/>
              </w:rPr>
            </w:pPr>
          </w:p>
          <w:p w:rsidR="00B65681" w:rsidRPr="003140D4" w:rsidRDefault="00B65681" w:rsidP="00864005">
            <w:pPr>
              <w:spacing w:line="276" w:lineRule="auto"/>
              <w:ind w:firstLine="430"/>
              <w:jc w:val="both"/>
              <w:rPr>
                <w:sz w:val="28"/>
                <w:szCs w:val="28"/>
              </w:rPr>
            </w:pPr>
          </w:p>
          <w:p w:rsidR="00B65681" w:rsidRPr="003140D4" w:rsidRDefault="00B65681" w:rsidP="00864005">
            <w:pPr>
              <w:spacing w:line="276" w:lineRule="auto"/>
              <w:ind w:firstLine="430"/>
              <w:jc w:val="both"/>
              <w:rPr>
                <w:sz w:val="28"/>
                <w:szCs w:val="28"/>
              </w:rPr>
            </w:pPr>
          </w:p>
          <w:p w:rsidR="00B65681" w:rsidRPr="003140D4" w:rsidRDefault="00B65681" w:rsidP="00864005">
            <w:pPr>
              <w:spacing w:line="276" w:lineRule="auto"/>
              <w:ind w:firstLine="430"/>
              <w:jc w:val="both"/>
              <w:rPr>
                <w:sz w:val="28"/>
                <w:szCs w:val="28"/>
              </w:rPr>
            </w:pPr>
          </w:p>
          <w:p w:rsidR="00B65681" w:rsidRPr="003140D4" w:rsidRDefault="00B65681" w:rsidP="00864005">
            <w:pPr>
              <w:spacing w:line="276" w:lineRule="auto"/>
              <w:ind w:firstLine="430"/>
              <w:jc w:val="both"/>
              <w:rPr>
                <w:sz w:val="28"/>
                <w:szCs w:val="28"/>
              </w:rPr>
            </w:pPr>
          </w:p>
          <w:p w:rsidR="00B65681" w:rsidRPr="003140D4" w:rsidRDefault="00B65681" w:rsidP="00864005">
            <w:pPr>
              <w:spacing w:line="276" w:lineRule="auto"/>
              <w:ind w:firstLine="430"/>
              <w:jc w:val="both"/>
              <w:rPr>
                <w:sz w:val="28"/>
                <w:szCs w:val="28"/>
              </w:rPr>
            </w:pPr>
          </w:p>
          <w:p w:rsidR="00B65681" w:rsidRPr="003140D4" w:rsidRDefault="00B65681" w:rsidP="00864005">
            <w:pPr>
              <w:spacing w:line="276" w:lineRule="auto"/>
              <w:ind w:firstLine="430"/>
              <w:jc w:val="both"/>
              <w:rPr>
                <w:sz w:val="28"/>
                <w:szCs w:val="28"/>
              </w:rPr>
            </w:pPr>
          </w:p>
          <w:p w:rsidR="00B65681" w:rsidRPr="003140D4" w:rsidRDefault="00B65681" w:rsidP="00864005">
            <w:pPr>
              <w:spacing w:line="276" w:lineRule="auto"/>
              <w:ind w:firstLine="430"/>
              <w:jc w:val="both"/>
              <w:rPr>
                <w:sz w:val="28"/>
                <w:szCs w:val="28"/>
              </w:rPr>
            </w:pPr>
          </w:p>
          <w:p w:rsidR="00B65681" w:rsidRPr="003140D4" w:rsidRDefault="00B65681" w:rsidP="00864005">
            <w:pPr>
              <w:spacing w:line="276" w:lineRule="auto"/>
              <w:ind w:firstLine="430"/>
              <w:jc w:val="both"/>
              <w:rPr>
                <w:sz w:val="28"/>
                <w:szCs w:val="28"/>
              </w:rPr>
            </w:pPr>
          </w:p>
          <w:p w:rsidR="00B65681" w:rsidRPr="003140D4" w:rsidRDefault="00B65681" w:rsidP="00864005">
            <w:pPr>
              <w:spacing w:line="276" w:lineRule="auto"/>
              <w:ind w:firstLine="430"/>
              <w:jc w:val="both"/>
              <w:rPr>
                <w:sz w:val="28"/>
                <w:szCs w:val="28"/>
              </w:rPr>
            </w:pPr>
          </w:p>
          <w:p w:rsidR="00B65681" w:rsidRPr="003140D4" w:rsidRDefault="00B65681" w:rsidP="00864005">
            <w:pPr>
              <w:spacing w:line="276" w:lineRule="auto"/>
              <w:ind w:firstLine="430"/>
              <w:jc w:val="both"/>
              <w:rPr>
                <w:sz w:val="28"/>
                <w:szCs w:val="28"/>
              </w:rPr>
            </w:pPr>
          </w:p>
          <w:p w:rsidR="00B65681" w:rsidRPr="003140D4" w:rsidRDefault="00B65681" w:rsidP="00864005">
            <w:pPr>
              <w:spacing w:line="276" w:lineRule="auto"/>
              <w:ind w:firstLine="430"/>
              <w:jc w:val="both"/>
              <w:rPr>
                <w:sz w:val="28"/>
                <w:szCs w:val="28"/>
              </w:rPr>
            </w:pPr>
          </w:p>
          <w:p w:rsidR="00B65681" w:rsidRPr="003140D4" w:rsidRDefault="00B65681" w:rsidP="00864005">
            <w:pPr>
              <w:spacing w:line="276" w:lineRule="auto"/>
              <w:ind w:firstLine="430"/>
              <w:jc w:val="both"/>
              <w:rPr>
                <w:sz w:val="28"/>
                <w:szCs w:val="28"/>
              </w:rPr>
            </w:pPr>
          </w:p>
          <w:p w:rsidR="00B65681" w:rsidRPr="003140D4" w:rsidRDefault="00B65681" w:rsidP="00864005">
            <w:pPr>
              <w:spacing w:line="276" w:lineRule="auto"/>
              <w:ind w:firstLine="430"/>
              <w:jc w:val="both"/>
              <w:rPr>
                <w:sz w:val="28"/>
                <w:szCs w:val="28"/>
              </w:rPr>
            </w:pPr>
          </w:p>
          <w:p w:rsidR="00B65681" w:rsidRPr="003140D4" w:rsidRDefault="00B65681" w:rsidP="00864005">
            <w:pPr>
              <w:spacing w:line="276" w:lineRule="auto"/>
              <w:ind w:firstLine="430"/>
              <w:jc w:val="both"/>
              <w:rPr>
                <w:sz w:val="28"/>
                <w:szCs w:val="28"/>
              </w:rPr>
            </w:pPr>
          </w:p>
          <w:p w:rsidR="00B65681" w:rsidRPr="003140D4" w:rsidRDefault="00B65681" w:rsidP="00864005">
            <w:pPr>
              <w:spacing w:line="276" w:lineRule="auto"/>
              <w:ind w:firstLine="430"/>
              <w:jc w:val="both"/>
              <w:rPr>
                <w:sz w:val="28"/>
                <w:szCs w:val="28"/>
              </w:rPr>
            </w:pPr>
          </w:p>
          <w:p w:rsidR="00B65681" w:rsidRPr="003140D4" w:rsidRDefault="00B65681" w:rsidP="00864005">
            <w:pPr>
              <w:spacing w:line="276" w:lineRule="auto"/>
              <w:ind w:firstLine="430"/>
              <w:jc w:val="both"/>
              <w:rPr>
                <w:sz w:val="28"/>
                <w:szCs w:val="28"/>
              </w:rPr>
            </w:pPr>
          </w:p>
          <w:p w:rsidR="00B65681" w:rsidRPr="003140D4" w:rsidRDefault="00B65681" w:rsidP="00864005">
            <w:pPr>
              <w:spacing w:line="276" w:lineRule="auto"/>
              <w:ind w:firstLine="430"/>
              <w:jc w:val="both"/>
              <w:rPr>
                <w:sz w:val="28"/>
                <w:szCs w:val="28"/>
              </w:rPr>
            </w:pPr>
          </w:p>
          <w:p w:rsidR="00B65681" w:rsidRPr="003140D4" w:rsidRDefault="00B65681" w:rsidP="00864005">
            <w:pPr>
              <w:spacing w:line="276" w:lineRule="auto"/>
              <w:ind w:firstLine="430"/>
              <w:jc w:val="both"/>
              <w:rPr>
                <w:sz w:val="28"/>
                <w:szCs w:val="28"/>
              </w:rPr>
            </w:pPr>
          </w:p>
          <w:p w:rsidR="00B65681" w:rsidRDefault="00B65681" w:rsidP="00AC12AD">
            <w:pPr>
              <w:ind w:firstLine="430"/>
              <w:jc w:val="both"/>
              <w:rPr>
                <w:sz w:val="28"/>
                <w:szCs w:val="28"/>
              </w:rPr>
            </w:pPr>
          </w:p>
          <w:p w:rsidR="00B65681" w:rsidRDefault="00B65681" w:rsidP="00AC12AD">
            <w:pPr>
              <w:ind w:firstLine="430"/>
              <w:jc w:val="both"/>
              <w:rPr>
                <w:sz w:val="28"/>
                <w:szCs w:val="28"/>
              </w:rPr>
            </w:pPr>
          </w:p>
          <w:p w:rsidR="00B65681" w:rsidRDefault="00B65681" w:rsidP="00AC12AD">
            <w:pPr>
              <w:ind w:firstLine="430"/>
              <w:jc w:val="both"/>
              <w:rPr>
                <w:sz w:val="28"/>
                <w:szCs w:val="28"/>
              </w:rPr>
            </w:pPr>
          </w:p>
          <w:p w:rsidR="00B65681" w:rsidRDefault="00B65681" w:rsidP="00AC12AD">
            <w:pPr>
              <w:ind w:firstLine="430"/>
              <w:jc w:val="both"/>
              <w:rPr>
                <w:sz w:val="28"/>
                <w:szCs w:val="28"/>
              </w:rPr>
            </w:pPr>
          </w:p>
          <w:p w:rsidR="00B65681" w:rsidRDefault="00B65681" w:rsidP="00AC12AD">
            <w:pPr>
              <w:ind w:firstLine="430"/>
              <w:jc w:val="both"/>
              <w:rPr>
                <w:sz w:val="28"/>
                <w:szCs w:val="28"/>
              </w:rPr>
            </w:pPr>
          </w:p>
          <w:p w:rsidR="00B65681" w:rsidRDefault="00B65681" w:rsidP="00AC12AD">
            <w:pPr>
              <w:ind w:firstLine="430"/>
              <w:jc w:val="both"/>
              <w:rPr>
                <w:sz w:val="28"/>
                <w:szCs w:val="28"/>
              </w:rPr>
            </w:pPr>
          </w:p>
          <w:p w:rsidR="00B65681" w:rsidRDefault="00B65681" w:rsidP="00AC12AD">
            <w:pPr>
              <w:ind w:firstLine="430"/>
              <w:jc w:val="both"/>
              <w:rPr>
                <w:sz w:val="28"/>
                <w:szCs w:val="28"/>
              </w:rPr>
            </w:pPr>
          </w:p>
          <w:p w:rsidR="001E7B6A" w:rsidRDefault="001E7B6A" w:rsidP="00AC12AD">
            <w:pPr>
              <w:ind w:firstLine="430"/>
              <w:jc w:val="both"/>
              <w:rPr>
                <w:sz w:val="28"/>
                <w:szCs w:val="28"/>
              </w:rPr>
            </w:pPr>
          </w:p>
          <w:p w:rsidR="001E7B6A" w:rsidRDefault="001E7B6A" w:rsidP="00AC12AD">
            <w:pPr>
              <w:ind w:firstLine="430"/>
              <w:jc w:val="both"/>
              <w:rPr>
                <w:sz w:val="28"/>
                <w:szCs w:val="28"/>
              </w:rPr>
            </w:pPr>
          </w:p>
          <w:p w:rsidR="00B65681" w:rsidRPr="003140D4" w:rsidRDefault="00B65681" w:rsidP="00AC12AD">
            <w:pPr>
              <w:ind w:firstLine="430"/>
              <w:jc w:val="both"/>
              <w:rPr>
                <w:sz w:val="28"/>
                <w:szCs w:val="28"/>
              </w:rPr>
            </w:pPr>
            <w:r w:rsidRPr="003140D4">
              <w:rPr>
                <w:sz w:val="28"/>
                <w:szCs w:val="28"/>
              </w:rPr>
              <w:t>•</w:t>
            </w:r>
            <w:r w:rsidRPr="003140D4">
              <w:rPr>
                <w:sz w:val="28"/>
                <w:szCs w:val="28"/>
              </w:rPr>
              <w:tab/>
              <w:t xml:space="preserve">Обеспечение </w:t>
            </w:r>
            <w:proofErr w:type="gramStart"/>
            <w:r w:rsidRPr="003140D4">
              <w:rPr>
                <w:sz w:val="28"/>
                <w:szCs w:val="28"/>
              </w:rPr>
              <w:t>устойчивости системы обязательного страхования гражданской ответственности владельцев транспортных средств</w:t>
            </w:r>
            <w:proofErr w:type="gramEnd"/>
            <w:r w:rsidRPr="003140D4">
              <w:rPr>
                <w:sz w:val="28"/>
                <w:szCs w:val="28"/>
              </w:rPr>
              <w:t xml:space="preserve"> и дополнительной защиты прав граждан</w:t>
            </w:r>
            <w:r>
              <w:rPr>
                <w:sz w:val="28"/>
                <w:szCs w:val="28"/>
              </w:rPr>
              <w:t>;</w:t>
            </w:r>
          </w:p>
          <w:p w:rsidR="00B65681" w:rsidRPr="003140D4" w:rsidRDefault="00B65681" w:rsidP="00AC12AD">
            <w:pPr>
              <w:ind w:firstLine="430"/>
              <w:jc w:val="both"/>
              <w:rPr>
                <w:sz w:val="28"/>
                <w:szCs w:val="28"/>
              </w:rPr>
            </w:pPr>
          </w:p>
          <w:p w:rsidR="00B65681" w:rsidRPr="003140D4" w:rsidRDefault="00B65681" w:rsidP="00AC12AD">
            <w:pPr>
              <w:ind w:firstLine="430"/>
              <w:jc w:val="both"/>
              <w:rPr>
                <w:sz w:val="28"/>
                <w:szCs w:val="28"/>
              </w:rPr>
            </w:pPr>
          </w:p>
          <w:p w:rsidR="00B65681" w:rsidRDefault="00B65681" w:rsidP="00AC12AD">
            <w:pPr>
              <w:ind w:firstLine="430"/>
              <w:jc w:val="both"/>
              <w:rPr>
                <w:sz w:val="28"/>
                <w:szCs w:val="28"/>
              </w:rPr>
            </w:pPr>
          </w:p>
          <w:p w:rsidR="00B65681" w:rsidRDefault="00B65681" w:rsidP="00AC12AD">
            <w:pPr>
              <w:ind w:firstLine="430"/>
              <w:jc w:val="both"/>
              <w:rPr>
                <w:sz w:val="28"/>
                <w:szCs w:val="28"/>
              </w:rPr>
            </w:pPr>
          </w:p>
          <w:p w:rsidR="00B65681" w:rsidRDefault="00B65681" w:rsidP="00AC12AD">
            <w:pPr>
              <w:ind w:firstLine="430"/>
              <w:jc w:val="both"/>
              <w:rPr>
                <w:sz w:val="28"/>
                <w:szCs w:val="28"/>
              </w:rPr>
            </w:pPr>
          </w:p>
          <w:p w:rsidR="00B65681" w:rsidRDefault="00B65681" w:rsidP="00AC12AD">
            <w:pPr>
              <w:ind w:firstLine="430"/>
              <w:jc w:val="both"/>
              <w:rPr>
                <w:sz w:val="28"/>
                <w:szCs w:val="28"/>
              </w:rPr>
            </w:pPr>
          </w:p>
          <w:p w:rsidR="00B65681" w:rsidRDefault="00B65681" w:rsidP="00AC12AD">
            <w:pPr>
              <w:ind w:firstLine="430"/>
              <w:jc w:val="both"/>
              <w:rPr>
                <w:sz w:val="28"/>
                <w:szCs w:val="28"/>
              </w:rPr>
            </w:pPr>
          </w:p>
          <w:p w:rsidR="00B65681" w:rsidRPr="003140D4" w:rsidRDefault="00B65681" w:rsidP="00AC12AD">
            <w:pPr>
              <w:ind w:firstLine="430"/>
              <w:jc w:val="both"/>
              <w:rPr>
                <w:sz w:val="28"/>
                <w:szCs w:val="28"/>
              </w:rPr>
            </w:pPr>
            <w:r w:rsidRPr="003140D4">
              <w:rPr>
                <w:sz w:val="28"/>
                <w:szCs w:val="28"/>
              </w:rPr>
              <w:t>•</w:t>
            </w:r>
            <w:r w:rsidRPr="003140D4">
              <w:rPr>
                <w:sz w:val="28"/>
                <w:szCs w:val="28"/>
              </w:rPr>
              <w:tab/>
              <w:t>Совершенствование процедуры и сокращение сроков эмиссии ценных бумаг, введение института бессрочных облигаций</w:t>
            </w:r>
            <w:r>
              <w:rPr>
                <w:sz w:val="28"/>
                <w:szCs w:val="28"/>
              </w:rPr>
              <w:t>;</w:t>
            </w:r>
          </w:p>
          <w:p w:rsidR="00B65681" w:rsidRPr="003140D4" w:rsidRDefault="00B65681" w:rsidP="00AC12AD">
            <w:pPr>
              <w:ind w:firstLine="430"/>
              <w:jc w:val="both"/>
              <w:rPr>
                <w:sz w:val="28"/>
                <w:szCs w:val="28"/>
              </w:rPr>
            </w:pPr>
          </w:p>
          <w:p w:rsidR="00B65681" w:rsidRPr="003140D4" w:rsidRDefault="00B65681" w:rsidP="00AC12AD">
            <w:pPr>
              <w:ind w:firstLine="430"/>
              <w:jc w:val="both"/>
              <w:rPr>
                <w:sz w:val="28"/>
                <w:szCs w:val="28"/>
              </w:rPr>
            </w:pPr>
          </w:p>
          <w:p w:rsidR="00B65681" w:rsidRPr="003140D4" w:rsidRDefault="00B65681" w:rsidP="00864005">
            <w:pPr>
              <w:spacing w:line="276" w:lineRule="auto"/>
              <w:ind w:firstLine="430"/>
              <w:jc w:val="both"/>
              <w:rPr>
                <w:sz w:val="28"/>
                <w:szCs w:val="28"/>
              </w:rPr>
            </w:pPr>
          </w:p>
          <w:p w:rsidR="00B65681" w:rsidRPr="003140D4" w:rsidRDefault="00B65681" w:rsidP="00864005">
            <w:pPr>
              <w:spacing w:line="276" w:lineRule="auto"/>
              <w:ind w:firstLine="430"/>
              <w:jc w:val="both"/>
              <w:rPr>
                <w:sz w:val="28"/>
                <w:szCs w:val="28"/>
              </w:rPr>
            </w:pPr>
          </w:p>
          <w:p w:rsidR="00B65681" w:rsidRPr="003140D4" w:rsidRDefault="00B65681" w:rsidP="00864005">
            <w:pPr>
              <w:spacing w:line="276" w:lineRule="auto"/>
              <w:ind w:firstLine="430"/>
              <w:jc w:val="both"/>
              <w:rPr>
                <w:sz w:val="28"/>
                <w:szCs w:val="28"/>
              </w:rPr>
            </w:pPr>
          </w:p>
          <w:p w:rsidR="00B65681" w:rsidRPr="003140D4" w:rsidRDefault="00B65681" w:rsidP="00864005">
            <w:pPr>
              <w:spacing w:line="276" w:lineRule="auto"/>
              <w:ind w:firstLine="430"/>
              <w:jc w:val="both"/>
              <w:rPr>
                <w:sz w:val="28"/>
                <w:szCs w:val="28"/>
              </w:rPr>
            </w:pPr>
          </w:p>
          <w:p w:rsidR="00B65681" w:rsidRPr="003140D4" w:rsidRDefault="00B65681" w:rsidP="00864005">
            <w:pPr>
              <w:spacing w:line="276" w:lineRule="auto"/>
              <w:ind w:firstLine="430"/>
              <w:jc w:val="both"/>
              <w:rPr>
                <w:sz w:val="28"/>
                <w:szCs w:val="28"/>
              </w:rPr>
            </w:pPr>
          </w:p>
          <w:p w:rsidR="00B65681" w:rsidRPr="003140D4" w:rsidRDefault="00B65681" w:rsidP="00864005">
            <w:pPr>
              <w:spacing w:line="276" w:lineRule="auto"/>
              <w:ind w:firstLine="430"/>
              <w:jc w:val="both"/>
              <w:rPr>
                <w:sz w:val="28"/>
                <w:szCs w:val="28"/>
              </w:rPr>
            </w:pPr>
          </w:p>
          <w:p w:rsidR="00B65681" w:rsidRPr="003140D4" w:rsidRDefault="00B65681" w:rsidP="00864005">
            <w:pPr>
              <w:spacing w:line="276" w:lineRule="auto"/>
              <w:ind w:firstLine="430"/>
              <w:jc w:val="both"/>
              <w:rPr>
                <w:sz w:val="28"/>
                <w:szCs w:val="28"/>
              </w:rPr>
            </w:pPr>
          </w:p>
          <w:p w:rsidR="00B65681" w:rsidRPr="003140D4" w:rsidRDefault="00B65681" w:rsidP="00864005">
            <w:pPr>
              <w:spacing w:line="276" w:lineRule="auto"/>
              <w:ind w:firstLine="430"/>
              <w:jc w:val="both"/>
              <w:rPr>
                <w:sz w:val="28"/>
                <w:szCs w:val="28"/>
              </w:rPr>
            </w:pPr>
          </w:p>
          <w:p w:rsidR="00B65681" w:rsidRPr="003140D4" w:rsidRDefault="00B65681" w:rsidP="00864005">
            <w:pPr>
              <w:spacing w:line="276" w:lineRule="auto"/>
              <w:ind w:firstLine="430"/>
              <w:jc w:val="both"/>
              <w:rPr>
                <w:sz w:val="28"/>
                <w:szCs w:val="28"/>
              </w:rPr>
            </w:pPr>
          </w:p>
          <w:p w:rsidR="00B65681" w:rsidRPr="003140D4" w:rsidRDefault="00B65681" w:rsidP="00864005">
            <w:pPr>
              <w:spacing w:line="276" w:lineRule="auto"/>
              <w:ind w:firstLine="430"/>
              <w:jc w:val="both"/>
              <w:rPr>
                <w:sz w:val="28"/>
                <w:szCs w:val="28"/>
              </w:rPr>
            </w:pPr>
          </w:p>
          <w:p w:rsidR="00B65681" w:rsidRPr="003140D4" w:rsidRDefault="00B65681" w:rsidP="00864005">
            <w:pPr>
              <w:spacing w:line="276" w:lineRule="auto"/>
              <w:ind w:firstLine="430"/>
              <w:jc w:val="both"/>
              <w:rPr>
                <w:sz w:val="28"/>
                <w:szCs w:val="28"/>
              </w:rPr>
            </w:pPr>
          </w:p>
          <w:p w:rsidR="00B65681" w:rsidRPr="003140D4" w:rsidRDefault="00B65681" w:rsidP="00864005">
            <w:pPr>
              <w:spacing w:line="276" w:lineRule="auto"/>
              <w:ind w:firstLine="430"/>
              <w:jc w:val="both"/>
              <w:rPr>
                <w:sz w:val="28"/>
                <w:szCs w:val="28"/>
              </w:rPr>
            </w:pPr>
          </w:p>
          <w:p w:rsidR="00B65681" w:rsidRPr="003140D4" w:rsidRDefault="00B65681" w:rsidP="00864005">
            <w:pPr>
              <w:spacing w:line="276" w:lineRule="auto"/>
              <w:ind w:firstLine="430"/>
              <w:jc w:val="both"/>
              <w:rPr>
                <w:sz w:val="28"/>
                <w:szCs w:val="28"/>
              </w:rPr>
            </w:pPr>
          </w:p>
          <w:p w:rsidR="00B65681" w:rsidRPr="003140D4" w:rsidRDefault="00B65681" w:rsidP="00864005">
            <w:pPr>
              <w:spacing w:line="276" w:lineRule="auto"/>
              <w:ind w:firstLine="430"/>
              <w:jc w:val="both"/>
              <w:rPr>
                <w:sz w:val="28"/>
                <w:szCs w:val="28"/>
              </w:rPr>
            </w:pPr>
          </w:p>
          <w:p w:rsidR="00B65681" w:rsidRPr="003140D4" w:rsidRDefault="00B65681" w:rsidP="00864005">
            <w:pPr>
              <w:spacing w:line="276" w:lineRule="auto"/>
              <w:ind w:firstLine="430"/>
              <w:jc w:val="both"/>
              <w:rPr>
                <w:sz w:val="28"/>
                <w:szCs w:val="28"/>
              </w:rPr>
            </w:pPr>
          </w:p>
          <w:p w:rsidR="00B65681" w:rsidRPr="003140D4" w:rsidRDefault="00B65681" w:rsidP="00864005">
            <w:pPr>
              <w:spacing w:line="276" w:lineRule="auto"/>
              <w:ind w:firstLine="430"/>
              <w:jc w:val="both"/>
              <w:rPr>
                <w:sz w:val="28"/>
                <w:szCs w:val="28"/>
              </w:rPr>
            </w:pPr>
          </w:p>
          <w:p w:rsidR="00B65681" w:rsidRPr="003140D4" w:rsidRDefault="00B65681" w:rsidP="00864005">
            <w:pPr>
              <w:spacing w:line="276" w:lineRule="auto"/>
              <w:ind w:firstLine="430"/>
              <w:jc w:val="both"/>
              <w:rPr>
                <w:sz w:val="28"/>
                <w:szCs w:val="28"/>
              </w:rPr>
            </w:pPr>
          </w:p>
          <w:p w:rsidR="00B65681" w:rsidRPr="003140D4" w:rsidRDefault="00B65681" w:rsidP="00864005">
            <w:pPr>
              <w:spacing w:line="276" w:lineRule="auto"/>
              <w:ind w:firstLine="430"/>
              <w:jc w:val="both"/>
              <w:rPr>
                <w:sz w:val="28"/>
                <w:szCs w:val="28"/>
              </w:rPr>
            </w:pPr>
          </w:p>
          <w:p w:rsidR="00B65681" w:rsidRPr="003140D4" w:rsidRDefault="00B65681" w:rsidP="00864005">
            <w:pPr>
              <w:spacing w:line="276" w:lineRule="auto"/>
              <w:ind w:firstLine="430"/>
              <w:jc w:val="both"/>
              <w:rPr>
                <w:sz w:val="28"/>
                <w:szCs w:val="28"/>
              </w:rPr>
            </w:pPr>
          </w:p>
          <w:p w:rsidR="00B65681" w:rsidRPr="003140D4" w:rsidRDefault="00B65681" w:rsidP="00864005">
            <w:pPr>
              <w:spacing w:line="276" w:lineRule="auto"/>
              <w:ind w:firstLine="430"/>
              <w:jc w:val="both"/>
              <w:rPr>
                <w:sz w:val="28"/>
                <w:szCs w:val="28"/>
              </w:rPr>
            </w:pPr>
          </w:p>
          <w:p w:rsidR="00B65681" w:rsidRPr="003140D4" w:rsidRDefault="00B65681" w:rsidP="00864005">
            <w:pPr>
              <w:spacing w:line="276" w:lineRule="auto"/>
              <w:ind w:firstLine="430"/>
              <w:jc w:val="both"/>
              <w:rPr>
                <w:sz w:val="28"/>
                <w:szCs w:val="28"/>
              </w:rPr>
            </w:pPr>
          </w:p>
          <w:p w:rsidR="00B65681" w:rsidRPr="003140D4" w:rsidRDefault="00B65681" w:rsidP="00864005">
            <w:pPr>
              <w:spacing w:line="276" w:lineRule="auto"/>
              <w:ind w:firstLine="430"/>
              <w:jc w:val="both"/>
              <w:rPr>
                <w:sz w:val="28"/>
                <w:szCs w:val="28"/>
              </w:rPr>
            </w:pPr>
          </w:p>
          <w:p w:rsidR="00B65681" w:rsidRPr="003140D4" w:rsidRDefault="00B65681" w:rsidP="00864005">
            <w:pPr>
              <w:spacing w:line="276" w:lineRule="auto"/>
              <w:ind w:firstLine="430"/>
              <w:jc w:val="both"/>
              <w:rPr>
                <w:sz w:val="28"/>
                <w:szCs w:val="28"/>
              </w:rPr>
            </w:pPr>
          </w:p>
          <w:p w:rsidR="00B65681" w:rsidRPr="003140D4" w:rsidRDefault="00B65681" w:rsidP="00864005">
            <w:pPr>
              <w:spacing w:line="276" w:lineRule="auto"/>
              <w:ind w:firstLine="430"/>
              <w:jc w:val="both"/>
              <w:rPr>
                <w:sz w:val="28"/>
                <w:szCs w:val="28"/>
              </w:rPr>
            </w:pPr>
          </w:p>
          <w:p w:rsidR="00B65681" w:rsidRPr="003140D4" w:rsidRDefault="00B65681" w:rsidP="00864005">
            <w:pPr>
              <w:spacing w:line="276" w:lineRule="auto"/>
              <w:ind w:firstLine="430"/>
              <w:jc w:val="both"/>
              <w:rPr>
                <w:sz w:val="28"/>
                <w:szCs w:val="28"/>
              </w:rPr>
            </w:pPr>
          </w:p>
          <w:p w:rsidR="00B65681" w:rsidRDefault="00B65681" w:rsidP="000B6D8A">
            <w:pPr>
              <w:ind w:firstLine="430"/>
              <w:jc w:val="both"/>
              <w:rPr>
                <w:sz w:val="28"/>
                <w:szCs w:val="28"/>
              </w:rPr>
            </w:pPr>
          </w:p>
          <w:p w:rsidR="00B65681" w:rsidRPr="003140D4" w:rsidRDefault="00B65681" w:rsidP="000B6D8A">
            <w:pPr>
              <w:ind w:firstLine="430"/>
              <w:jc w:val="both"/>
              <w:rPr>
                <w:sz w:val="28"/>
                <w:szCs w:val="28"/>
              </w:rPr>
            </w:pPr>
            <w:r w:rsidRPr="003140D4">
              <w:rPr>
                <w:sz w:val="28"/>
                <w:szCs w:val="28"/>
              </w:rPr>
              <w:lastRenderedPageBreak/>
              <w:t>Необходимо оценить влияние мер, реализованных в рамках вышеуказанных задач, на стоимость и доступность долгосрочных заемных сре</w:t>
            </w:r>
            <w:proofErr w:type="gramStart"/>
            <w:r w:rsidRPr="003140D4">
              <w:rPr>
                <w:sz w:val="28"/>
                <w:szCs w:val="28"/>
              </w:rPr>
              <w:t>дств дл</w:t>
            </w:r>
            <w:proofErr w:type="gramEnd"/>
            <w:r w:rsidRPr="003140D4">
              <w:rPr>
                <w:sz w:val="28"/>
                <w:szCs w:val="28"/>
              </w:rPr>
              <w:t>я российского бизнеса.</w:t>
            </w:r>
          </w:p>
          <w:p w:rsidR="00B65681" w:rsidRPr="003140D4" w:rsidRDefault="00B65681" w:rsidP="000B6D8A">
            <w:pPr>
              <w:ind w:firstLine="430"/>
              <w:jc w:val="both"/>
              <w:rPr>
                <w:sz w:val="28"/>
                <w:szCs w:val="28"/>
              </w:rPr>
            </w:pPr>
            <w:r w:rsidRPr="003140D4">
              <w:rPr>
                <w:sz w:val="28"/>
                <w:szCs w:val="28"/>
              </w:rPr>
              <w:t xml:space="preserve">В данном разделе целесообразно было бы также привести сведения о </w:t>
            </w:r>
            <w:proofErr w:type="spellStart"/>
            <w:r w:rsidRPr="003140D4">
              <w:rPr>
                <w:sz w:val="28"/>
                <w:szCs w:val="28"/>
              </w:rPr>
              <w:t>докапитализации</w:t>
            </w:r>
            <w:proofErr w:type="spellEnd"/>
            <w:r w:rsidRPr="003140D4">
              <w:rPr>
                <w:sz w:val="28"/>
                <w:szCs w:val="28"/>
              </w:rPr>
              <w:t xml:space="preserve"> институтов развития и эффективности их работы.</w:t>
            </w:r>
          </w:p>
        </w:tc>
        <w:tc>
          <w:tcPr>
            <w:tcW w:w="8079" w:type="dxa"/>
          </w:tcPr>
          <w:p w:rsidR="00B65681" w:rsidRDefault="00B65681" w:rsidP="000B6D8A">
            <w:pPr>
              <w:ind w:firstLine="430"/>
              <w:jc w:val="both"/>
              <w:rPr>
                <w:sz w:val="28"/>
                <w:szCs w:val="28"/>
              </w:rPr>
            </w:pPr>
          </w:p>
          <w:p w:rsidR="00B65681" w:rsidRDefault="00B65681" w:rsidP="000B6D8A">
            <w:pPr>
              <w:ind w:firstLine="430"/>
              <w:jc w:val="both"/>
              <w:rPr>
                <w:sz w:val="28"/>
                <w:szCs w:val="28"/>
              </w:rPr>
            </w:pPr>
          </w:p>
          <w:p w:rsidR="00B65681" w:rsidRDefault="00B65681" w:rsidP="000B6D8A">
            <w:pPr>
              <w:ind w:firstLine="430"/>
              <w:jc w:val="both"/>
              <w:rPr>
                <w:sz w:val="28"/>
                <w:szCs w:val="28"/>
              </w:rPr>
            </w:pPr>
          </w:p>
          <w:p w:rsidR="00B65681" w:rsidRDefault="00B65681" w:rsidP="000B6D8A">
            <w:pPr>
              <w:ind w:firstLine="430"/>
              <w:jc w:val="both"/>
              <w:rPr>
                <w:sz w:val="28"/>
                <w:szCs w:val="28"/>
              </w:rPr>
            </w:pPr>
          </w:p>
          <w:p w:rsidR="001E7B6A" w:rsidRDefault="001E7B6A" w:rsidP="000B6D8A">
            <w:pPr>
              <w:ind w:firstLine="430"/>
              <w:jc w:val="both"/>
              <w:rPr>
                <w:sz w:val="28"/>
                <w:szCs w:val="28"/>
              </w:rPr>
            </w:pPr>
          </w:p>
          <w:p w:rsidR="001E7B6A" w:rsidRDefault="001E7B6A" w:rsidP="000B6D8A">
            <w:pPr>
              <w:ind w:firstLine="430"/>
              <w:jc w:val="both"/>
              <w:rPr>
                <w:sz w:val="28"/>
                <w:szCs w:val="28"/>
              </w:rPr>
            </w:pPr>
          </w:p>
          <w:p w:rsidR="00B65681" w:rsidRPr="003140D4" w:rsidRDefault="00B65681" w:rsidP="000B6D8A">
            <w:pPr>
              <w:ind w:firstLine="430"/>
              <w:jc w:val="both"/>
              <w:rPr>
                <w:sz w:val="28"/>
                <w:szCs w:val="28"/>
              </w:rPr>
            </w:pPr>
            <w:r w:rsidRPr="003140D4">
              <w:rPr>
                <w:sz w:val="28"/>
                <w:szCs w:val="28"/>
              </w:rPr>
              <w:t>В части повышения надежности и эффективности размещения средств пенсионных накоплений застрахованных лиц, в том числе застрахованных лиц, страховщиками которых являются негосударственные пенсионные фонды (далее – НПФ).</w:t>
            </w:r>
          </w:p>
          <w:p w:rsidR="00B65681" w:rsidRPr="003140D4" w:rsidRDefault="00B65681" w:rsidP="000B6D8A">
            <w:pPr>
              <w:ind w:firstLine="430"/>
              <w:jc w:val="both"/>
              <w:rPr>
                <w:sz w:val="28"/>
                <w:szCs w:val="28"/>
              </w:rPr>
            </w:pPr>
            <w:r w:rsidRPr="003140D4">
              <w:rPr>
                <w:sz w:val="28"/>
                <w:szCs w:val="28"/>
              </w:rPr>
              <w:t xml:space="preserve">Поскольку основной целью формирования пенсионных накоплений является обеспечение устойчивого финансирования пенсионных выплат, то указанные средства целесообразно размещать в качественные и ликвидные активы, имеющие определенную историю обращения на фондовом рынке. Кроме того, в повышении уровня пенсионного обеспечения </w:t>
            </w:r>
            <w:r w:rsidRPr="003140D4">
              <w:rPr>
                <w:sz w:val="28"/>
                <w:szCs w:val="28"/>
              </w:rPr>
              <w:lastRenderedPageBreak/>
              <w:t>заинтересованы застрахованные лица.</w:t>
            </w:r>
          </w:p>
          <w:p w:rsidR="00B65681" w:rsidRPr="003140D4" w:rsidRDefault="00B65681" w:rsidP="000B6D8A">
            <w:pPr>
              <w:ind w:firstLine="430"/>
              <w:jc w:val="both"/>
              <w:rPr>
                <w:sz w:val="28"/>
                <w:szCs w:val="28"/>
              </w:rPr>
            </w:pPr>
            <w:r w:rsidRPr="003140D4">
              <w:rPr>
                <w:sz w:val="28"/>
                <w:szCs w:val="28"/>
              </w:rPr>
              <w:t>В этой связи доступность долгосрочных заемных средств пенсионных накоплений для российского бизнеса не может быть обеспечена за счет снижения их стоимости либо снижения требований к активам, в которые размещаются средства пенсионных накоплений.</w:t>
            </w:r>
          </w:p>
          <w:p w:rsidR="00B65681" w:rsidRPr="003140D4" w:rsidRDefault="00B65681" w:rsidP="000B6D8A">
            <w:pPr>
              <w:ind w:firstLine="430"/>
              <w:jc w:val="both"/>
              <w:rPr>
                <w:sz w:val="28"/>
                <w:szCs w:val="28"/>
              </w:rPr>
            </w:pPr>
            <w:r w:rsidRPr="003140D4">
              <w:rPr>
                <w:sz w:val="28"/>
                <w:szCs w:val="28"/>
              </w:rPr>
              <w:t>При этом в 2015 году в Федеральный закон от 7 мая 1998 г. № 75-ФЗ «О негосударственных пенсионных фондах» были внесены изменения, расширившие перечень активов (объектов инвестирования) пенсионных накоплений (включены субординированные облигации и субординированные депозиты).</w:t>
            </w:r>
          </w:p>
          <w:p w:rsidR="00B65681" w:rsidRPr="003140D4" w:rsidRDefault="00B65681" w:rsidP="000B6D8A">
            <w:pPr>
              <w:ind w:firstLine="430"/>
              <w:jc w:val="both"/>
              <w:rPr>
                <w:sz w:val="28"/>
                <w:szCs w:val="28"/>
              </w:rPr>
            </w:pPr>
            <w:r w:rsidRPr="003140D4">
              <w:rPr>
                <w:sz w:val="28"/>
                <w:szCs w:val="28"/>
              </w:rPr>
              <w:t>Вместе с тем большой объем средств пенсионных накоплений и возможность их долгосрочного размещения позволяют российскому бизнесу активно привлекать средства пенсионных накоплений. В частности, согласно информации Банка России и Пенсионного фонда Российской Федерации объем инвестируемых средств пенсионных накоплений на 31 декабря 2016 года составил 4 116,5 млрд. рублей, что на 9,1% превышает объем инвестируемых средств на 31 декабря 2015 года (3 773,7 млрд. рублей).</w:t>
            </w:r>
          </w:p>
          <w:p w:rsidR="00B65681" w:rsidRPr="003140D4" w:rsidRDefault="00B65681" w:rsidP="000B6D8A">
            <w:pPr>
              <w:ind w:firstLine="430"/>
              <w:jc w:val="both"/>
              <w:rPr>
                <w:sz w:val="28"/>
                <w:szCs w:val="28"/>
              </w:rPr>
            </w:pPr>
            <w:proofErr w:type="gramStart"/>
            <w:r w:rsidRPr="003140D4">
              <w:rPr>
                <w:sz w:val="28"/>
                <w:szCs w:val="28"/>
              </w:rPr>
              <w:t>Также необходимо отметить, что в соответствии со статьей 76.1 Федерального закона от 10 июля 2002 г. № 86-ФЗ</w:t>
            </w:r>
            <w:r w:rsidRPr="003140D4">
              <w:rPr>
                <w:sz w:val="28"/>
                <w:szCs w:val="28"/>
              </w:rPr>
              <w:br/>
              <w:t>«О Центральном банке Российской Федерации (Банке России)» Банк России осуществляет полномочия по регулированию деятельности НПФ и управляющих компаний в области негосударственного пенсионного обеспечения и обязательного пенсионного страхования, а также полномочия по установлению правил размещения средств пенсионных резервов и дополнительных ограничений на инвестирование средств</w:t>
            </w:r>
            <w:proofErr w:type="gramEnd"/>
            <w:r w:rsidRPr="003140D4">
              <w:rPr>
                <w:sz w:val="28"/>
                <w:szCs w:val="28"/>
              </w:rPr>
              <w:t xml:space="preserve"> </w:t>
            </w:r>
            <w:r w:rsidRPr="003140D4">
              <w:rPr>
                <w:sz w:val="28"/>
                <w:szCs w:val="28"/>
              </w:rPr>
              <w:lastRenderedPageBreak/>
              <w:t>пенсионных накоплений, находящихся в НПФ.</w:t>
            </w:r>
          </w:p>
          <w:p w:rsidR="00B65681" w:rsidRPr="003140D4" w:rsidRDefault="00B65681" w:rsidP="000B6D8A">
            <w:pPr>
              <w:ind w:firstLine="430"/>
              <w:jc w:val="both"/>
              <w:rPr>
                <w:sz w:val="28"/>
                <w:szCs w:val="28"/>
              </w:rPr>
            </w:pPr>
            <w:r w:rsidRPr="003140D4">
              <w:rPr>
                <w:sz w:val="28"/>
                <w:szCs w:val="28"/>
              </w:rPr>
              <w:t>В 2017 году Банком России принято Положение от 1 марта 2017 г. № 580-П</w:t>
            </w:r>
            <w:r w:rsidRPr="003140D4">
              <w:rPr>
                <w:rStyle w:val="a6"/>
                <w:sz w:val="28"/>
                <w:szCs w:val="28"/>
              </w:rPr>
              <w:footnoteReference w:id="1"/>
            </w:r>
            <w:r w:rsidRPr="003140D4">
              <w:rPr>
                <w:sz w:val="28"/>
                <w:szCs w:val="28"/>
              </w:rPr>
              <w:t>. Согласно пункту 1.4.6 указанного Положения стоимость облигаций и акций кредитных организаций, размер банковских депозитов в совокупности будут снижаться до 30% стоимости инвестиционного портфеля к 1 января 2019 года.</w:t>
            </w:r>
          </w:p>
          <w:p w:rsidR="00B65681" w:rsidRPr="003140D4" w:rsidRDefault="00B65681" w:rsidP="000B6D8A">
            <w:pPr>
              <w:ind w:firstLine="430"/>
              <w:jc w:val="both"/>
              <w:rPr>
                <w:sz w:val="28"/>
                <w:szCs w:val="28"/>
              </w:rPr>
            </w:pPr>
            <w:r w:rsidRPr="003140D4">
              <w:rPr>
                <w:sz w:val="28"/>
                <w:szCs w:val="28"/>
              </w:rPr>
              <w:t>Данное ограничение будет способствовать перераспределению инвестирования средств пенсионных накоплений застрахованных лиц, страховщиками которых являются НПФ, в пользу ценных бумаг предприятий и компаний реального сектора экономики.</w:t>
            </w:r>
          </w:p>
          <w:p w:rsidR="00B65681" w:rsidRPr="003140D4" w:rsidRDefault="00B65681" w:rsidP="000B6D8A">
            <w:pPr>
              <w:ind w:firstLine="430"/>
              <w:jc w:val="both"/>
              <w:rPr>
                <w:sz w:val="28"/>
                <w:szCs w:val="28"/>
              </w:rPr>
            </w:pPr>
            <w:proofErr w:type="gramStart"/>
            <w:r w:rsidRPr="003140D4">
              <w:rPr>
                <w:sz w:val="28"/>
                <w:szCs w:val="28"/>
              </w:rPr>
              <w:t>Также Минфином России реализованы меры по унификации требований при размещении государственных средств, а также приведению нормативных правовых актов Российской Федерации в соответствие с Федеральным законом от 13 июля 2015 г. № 222-ФЗ «О деятельности кредитных рейтинговых агентств в Российской Федерации, о внесении изменения в статью 76.1 Федерального закона «О Центральном банке Российской Федерации (Банке России)» и признании утратившими силу отдельных положений</w:t>
            </w:r>
            <w:proofErr w:type="gramEnd"/>
            <w:r w:rsidRPr="003140D4">
              <w:rPr>
                <w:sz w:val="28"/>
                <w:szCs w:val="28"/>
              </w:rPr>
              <w:t xml:space="preserve"> законодательных актов Российской Федерации».</w:t>
            </w:r>
          </w:p>
          <w:p w:rsidR="00B65681" w:rsidRPr="003140D4" w:rsidRDefault="00B65681" w:rsidP="000B6D8A">
            <w:pPr>
              <w:ind w:firstLine="430"/>
              <w:jc w:val="both"/>
              <w:rPr>
                <w:sz w:val="28"/>
                <w:szCs w:val="28"/>
              </w:rPr>
            </w:pPr>
            <w:proofErr w:type="gramStart"/>
            <w:r w:rsidRPr="003140D4">
              <w:rPr>
                <w:sz w:val="28"/>
                <w:szCs w:val="28"/>
              </w:rPr>
              <w:t xml:space="preserve">В рамках данной работы приняты постановления Правительства Российской Федерации от 12 июля 2017 г. № 824 «Об изменении и признании утратившими силу некоторых актов </w:t>
            </w:r>
            <w:r w:rsidRPr="003140D4">
              <w:rPr>
                <w:sz w:val="28"/>
                <w:szCs w:val="28"/>
              </w:rPr>
              <w:lastRenderedPageBreak/>
              <w:t>Правительства Российской Федерации» и от 12 июля 2017 г.</w:t>
            </w:r>
            <w:r w:rsidRPr="003140D4">
              <w:rPr>
                <w:sz w:val="28"/>
                <w:szCs w:val="28"/>
              </w:rPr>
              <w:br/>
              <w:t>№ 825 «О внесении изменений в некоторые акты Правительства Российской Федерации», обеспечивающие использование кредитных рейтингов как ключевого фактора оценки заемщика при размещении средств пенсионных накоплений в ценные бумаги и</w:t>
            </w:r>
            <w:proofErr w:type="gramEnd"/>
            <w:r w:rsidRPr="003140D4">
              <w:rPr>
                <w:sz w:val="28"/>
                <w:szCs w:val="28"/>
              </w:rPr>
              <w:t xml:space="preserve"> на депозитах в кредитных организациях.</w:t>
            </w:r>
          </w:p>
          <w:p w:rsidR="00B65681" w:rsidRPr="003140D4" w:rsidRDefault="00B65681" w:rsidP="000B6D8A">
            <w:pPr>
              <w:ind w:firstLine="430"/>
              <w:jc w:val="both"/>
              <w:rPr>
                <w:sz w:val="28"/>
                <w:szCs w:val="28"/>
              </w:rPr>
            </w:pPr>
            <w:r w:rsidRPr="003140D4">
              <w:rPr>
                <w:sz w:val="28"/>
                <w:szCs w:val="28"/>
              </w:rPr>
              <w:t xml:space="preserve">В силу развития в настоящее время рейтинговой отрасли применение инструмента </w:t>
            </w:r>
            <w:proofErr w:type="spellStart"/>
            <w:r w:rsidRPr="003140D4">
              <w:rPr>
                <w:sz w:val="28"/>
                <w:szCs w:val="28"/>
              </w:rPr>
              <w:t>рейтингования</w:t>
            </w:r>
            <w:proofErr w:type="spellEnd"/>
            <w:r w:rsidRPr="003140D4">
              <w:rPr>
                <w:sz w:val="28"/>
                <w:szCs w:val="28"/>
              </w:rPr>
              <w:t xml:space="preserve"> должно обеспечить размещение средств пенсионных накоплений в ценные бумаги надежных эмитентов, на депозитах и счетах надежных кредитных организаций.</w:t>
            </w:r>
          </w:p>
          <w:p w:rsidR="0050061C" w:rsidRDefault="0050061C" w:rsidP="000B6D8A">
            <w:pPr>
              <w:ind w:firstLine="430"/>
              <w:jc w:val="both"/>
              <w:rPr>
                <w:sz w:val="28"/>
                <w:szCs w:val="28"/>
              </w:rPr>
            </w:pPr>
          </w:p>
          <w:p w:rsidR="001E7B6A" w:rsidRPr="001E7B6A" w:rsidRDefault="001E7B6A" w:rsidP="000B6D8A">
            <w:pPr>
              <w:ind w:firstLine="430"/>
              <w:jc w:val="both"/>
              <w:rPr>
                <w:sz w:val="6"/>
                <w:szCs w:val="28"/>
              </w:rPr>
            </w:pPr>
          </w:p>
          <w:p w:rsidR="00B65681" w:rsidRPr="003140D4" w:rsidRDefault="00B65681" w:rsidP="000B6D8A">
            <w:pPr>
              <w:ind w:firstLine="43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140D4">
              <w:rPr>
                <w:sz w:val="28"/>
                <w:szCs w:val="28"/>
              </w:rPr>
              <w:t xml:space="preserve">Обязательное страхование гражданской ответственности владельцев транспортных средств как наиболее массовый вид страхования формирует </w:t>
            </w:r>
            <w:r w:rsidRPr="003140D4">
              <w:rPr>
                <w:color w:val="000000" w:themeColor="text1"/>
                <w:sz w:val="28"/>
                <w:szCs w:val="28"/>
              </w:rPr>
              <w:t xml:space="preserve">отношение потребителей страховых услуг не только к данному виду страхования, но и к сфере страхования в целом. При этом страхование является одним из </w:t>
            </w:r>
            <w:r w:rsidRPr="003140D4">
              <w:rPr>
                <w:rStyle w:val="a7"/>
                <w:bCs/>
                <w:color w:val="000000" w:themeColor="text1"/>
                <w:sz w:val="28"/>
                <w:szCs w:val="28"/>
                <w:shd w:val="clear" w:color="auto" w:fill="FFFFFF"/>
              </w:rPr>
              <w:t>инструментов привлечения</w:t>
            </w:r>
            <w:r w:rsidRPr="003140D4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3140D4">
              <w:rPr>
                <w:color w:val="000000" w:themeColor="text1"/>
                <w:sz w:val="28"/>
                <w:szCs w:val="28"/>
                <w:shd w:val="clear" w:color="auto" w:fill="FFFFFF"/>
              </w:rPr>
              <w:t>в экономику страны</w:t>
            </w:r>
            <w:r w:rsidRPr="003140D4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 xml:space="preserve"> «</w:t>
            </w:r>
            <w:r w:rsidRPr="003140D4">
              <w:rPr>
                <w:color w:val="000000" w:themeColor="text1"/>
                <w:sz w:val="28"/>
                <w:szCs w:val="28"/>
                <w:shd w:val="clear" w:color="auto" w:fill="FFFFFF"/>
              </w:rPr>
              <w:t>длинных» денег (в</w:t>
            </w:r>
            <w:bookmarkStart w:id="0" w:name="_GoBack"/>
            <w:bookmarkEnd w:id="0"/>
            <w:r w:rsidRPr="003140D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частности, страхование жизни). Соответственно, обеспечение </w:t>
            </w:r>
            <w:proofErr w:type="gramStart"/>
            <w:r w:rsidRPr="003140D4">
              <w:rPr>
                <w:color w:val="000000" w:themeColor="text1"/>
                <w:sz w:val="28"/>
                <w:szCs w:val="28"/>
                <w:shd w:val="clear" w:color="auto" w:fill="FFFFFF"/>
              </w:rPr>
              <w:t>стабильности системы о</w:t>
            </w:r>
            <w:r w:rsidRPr="003140D4">
              <w:rPr>
                <w:sz w:val="28"/>
                <w:szCs w:val="28"/>
              </w:rPr>
              <w:t>бязательного страхования гражданской ответственности владельцев транспортных средств</w:t>
            </w:r>
            <w:proofErr w:type="gramEnd"/>
            <w:r w:rsidRPr="003140D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является необходимым условием устойчивого развития страховой деятельности в Российской Федерации.</w:t>
            </w:r>
          </w:p>
          <w:p w:rsidR="00B65681" w:rsidRPr="003140D4" w:rsidRDefault="00B65681" w:rsidP="000B6D8A">
            <w:pPr>
              <w:ind w:firstLine="43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B65681" w:rsidRPr="003140D4" w:rsidRDefault="00B65681" w:rsidP="000B6D8A">
            <w:pPr>
              <w:ind w:firstLine="430"/>
              <w:jc w:val="both"/>
              <w:rPr>
                <w:sz w:val="28"/>
                <w:szCs w:val="28"/>
              </w:rPr>
            </w:pPr>
            <w:r w:rsidRPr="003140D4">
              <w:rPr>
                <w:sz w:val="28"/>
                <w:szCs w:val="28"/>
              </w:rPr>
              <w:t xml:space="preserve">В Правительство Российской Федерации внесен проект федерального закона «О внесении изменений в Федеральный закон «О рынке ценных бумаг» и отдельные законодательные акты Российской Федерации в части совершенствования правового регулирования осуществления эмиссии ценных </w:t>
            </w:r>
            <w:r w:rsidRPr="003140D4">
              <w:rPr>
                <w:sz w:val="28"/>
                <w:szCs w:val="28"/>
              </w:rPr>
              <w:lastRenderedPageBreak/>
              <w:t>бумаг», которым предусматривается:</w:t>
            </w:r>
          </w:p>
          <w:p w:rsidR="00B65681" w:rsidRPr="003140D4" w:rsidRDefault="00B65681" w:rsidP="000B6D8A">
            <w:pPr>
              <w:ind w:firstLine="430"/>
              <w:jc w:val="both"/>
              <w:rPr>
                <w:sz w:val="28"/>
                <w:szCs w:val="28"/>
              </w:rPr>
            </w:pPr>
            <w:r w:rsidRPr="003140D4">
              <w:rPr>
                <w:sz w:val="28"/>
                <w:szCs w:val="28"/>
              </w:rPr>
              <w:t>- сокращение сроков проведения внутрикорпоративных процедур, необходимых для выпуска облигаций;</w:t>
            </w:r>
          </w:p>
          <w:p w:rsidR="00B65681" w:rsidRPr="003140D4" w:rsidRDefault="00B65681" w:rsidP="000B6D8A">
            <w:pPr>
              <w:ind w:firstLine="430"/>
              <w:jc w:val="both"/>
              <w:rPr>
                <w:sz w:val="28"/>
                <w:szCs w:val="28"/>
              </w:rPr>
            </w:pPr>
            <w:r w:rsidRPr="003140D4">
              <w:rPr>
                <w:sz w:val="28"/>
                <w:szCs w:val="28"/>
              </w:rPr>
              <w:t>- возможность упрощенной процедуры эмиссии (в рамках программы облигаций) для любых облигаций, не конвертируемых в акции;</w:t>
            </w:r>
          </w:p>
          <w:p w:rsidR="00B65681" w:rsidRPr="003140D4" w:rsidRDefault="00B65681" w:rsidP="000B6D8A">
            <w:pPr>
              <w:ind w:firstLine="430"/>
              <w:jc w:val="both"/>
              <w:rPr>
                <w:sz w:val="28"/>
                <w:szCs w:val="28"/>
              </w:rPr>
            </w:pPr>
            <w:r w:rsidRPr="003140D4">
              <w:rPr>
                <w:sz w:val="28"/>
                <w:szCs w:val="28"/>
              </w:rPr>
              <w:t>- освобождение эмитентов от обязанности предоставления уведомления об итогах выпуска (дополнительного выпуска) ценных бумаг и возможность предоставления документов, удостоверяющих права по ценным бумагам, в Банк России или регистрирующую организацию в электронной форме;</w:t>
            </w:r>
          </w:p>
          <w:p w:rsidR="00B65681" w:rsidRPr="003140D4" w:rsidRDefault="00B65681" w:rsidP="000B6D8A">
            <w:pPr>
              <w:ind w:firstLine="430"/>
              <w:jc w:val="both"/>
              <w:rPr>
                <w:sz w:val="28"/>
                <w:szCs w:val="28"/>
              </w:rPr>
            </w:pPr>
            <w:r w:rsidRPr="003140D4">
              <w:rPr>
                <w:sz w:val="28"/>
                <w:szCs w:val="28"/>
              </w:rPr>
              <w:t>- оптимизация требований к раскрытию информации эмитентами ценных бумаг, новые правила регистрации выпусков акций при учреждении акционерного общества, составление кратких проспектов эмиссии ценных бумаг;</w:t>
            </w:r>
          </w:p>
          <w:p w:rsidR="00B65681" w:rsidRPr="003140D4" w:rsidRDefault="00B65681" w:rsidP="000B6D8A">
            <w:pPr>
              <w:ind w:firstLine="430"/>
              <w:jc w:val="both"/>
              <w:rPr>
                <w:sz w:val="28"/>
                <w:szCs w:val="28"/>
              </w:rPr>
            </w:pPr>
            <w:r w:rsidRPr="003140D4">
              <w:rPr>
                <w:sz w:val="28"/>
                <w:szCs w:val="28"/>
              </w:rPr>
              <w:t>- возможность выпуска облигаций без определения в документе, закрепляющем права по таким облигациям, срока их погашения.</w:t>
            </w:r>
          </w:p>
          <w:p w:rsidR="00B65681" w:rsidRPr="003140D4" w:rsidRDefault="00B65681" w:rsidP="000B6D8A">
            <w:pPr>
              <w:ind w:firstLine="430"/>
              <w:jc w:val="both"/>
              <w:rPr>
                <w:sz w:val="28"/>
                <w:szCs w:val="28"/>
              </w:rPr>
            </w:pPr>
            <w:r w:rsidRPr="003140D4">
              <w:rPr>
                <w:sz w:val="28"/>
                <w:szCs w:val="28"/>
              </w:rPr>
              <w:t>Принятие проекта федерального закона снизит затраты эмитентов ценных бумаг, связанные с процедурой эмиссии ценных бумаг и раскрытием информации о ценных бумагах. Кроме того, возможность выпуска облигаций без срока погашения позволит эмитентам не учитывать их в составе долговой нагрузки. Отсутствие обязательств по возврату тела долга, а также выплаты купона, является двумя необходимыми условиями для признания аудиторами этого вида бумаг в качестве гибридных инструментов и включения их в состав добавочного капитала по МСФО.</w:t>
            </w:r>
          </w:p>
          <w:p w:rsidR="00B65681" w:rsidRDefault="00B65681" w:rsidP="000B6D8A">
            <w:pPr>
              <w:ind w:firstLine="430"/>
              <w:jc w:val="both"/>
              <w:rPr>
                <w:sz w:val="28"/>
                <w:szCs w:val="28"/>
              </w:rPr>
            </w:pPr>
          </w:p>
          <w:p w:rsidR="0050061C" w:rsidRPr="00B46AB7" w:rsidRDefault="0050061C" w:rsidP="000B6D8A">
            <w:pPr>
              <w:ind w:firstLine="430"/>
              <w:jc w:val="both"/>
              <w:rPr>
                <w:sz w:val="6"/>
                <w:szCs w:val="28"/>
              </w:rPr>
            </w:pPr>
          </w:p>
          <w:p w:rsidR="00B65681" w:rsidRPr="003140D4" w:rsidRDefault="00B65681" w:rsidP="00AA3B97">
            <w:pPr>
              <w:ind w:firstLine="430"/>
              <w:jc w:val="both"/>
              <w:rPr>
                <w:sz w:val="28"/>
                <w:szCs w:val="28"/>
              </w:rPr>
            </w:pPr>
            <w:proofErr w:type="gramStart"/>
            <w:r w:rsidRPr="003140D4">
              <w:rPr>
                <w:sz w:val="28"/>
                <w:szCs w:val="28"/>
              </w:rPr>
              <w:lastRenderedPageBreak/>
              <w:t xml:space="preserve">В отношении цели 6 «Формирование долгосрочных финансовых ресурсов для экономического роста» </w:t>
            </w:r>
            <w:r>
              <w:rPr>
                <w:sz w:val="28"/>
                <w:szCs w:val="28"/>
              </w:rPr>
              <w:t xml:space="preserve">Министерство </w:t>
            </w:r>
            <w:r w:rsidRPr="003140D4">
              <w:rPr>
                <w:sz w:val="28"/>
                <w:szCs w:val="28"/>
              </w:rPr>
              <w:t>отмечае</w:t>
            </w:r>
            <w:r>
              <w:rPr>
                <w:sz w:val="28"/>
                <w:szCs w:val="28"/>
              </w:rPr>
              <w:t>т</w:t>
            </w:r>
            <w:r w:rsidRPr="003140D4">
              <w:rPr>
                <w:sz w:val="28"/>
                <w:szCs w:val="28"/>
              </w:rPr>
              <w:t>, что все задачи, обозначенные в рамках указанной цели, в том числе задачи по обеспечению надёжности финансовой системы</w:t>
            </w:r>
            <w:r>
              <w:rPr>
                <w:sz w:val="28"/>
                <w:szCs w:val="28"/>
              </w:rPr>
              <w:t xml:space="preserve"> </w:t>
            </w:r>
            <w:r w:rsidRPr="003140D4">
              <w:rPr>
                <w:sz w:val="28"/>
                <w:szCs w:val="28"/>
              </w:rPr>
              <w:t>и повышению доверия к банковской системе, созданию экономических и организационных условий, способствующих увеличению пенсионных накоплений граждан за счет взносов</w:t>
            </w:r>
            <w:r>
              <w:rPr>
                <w:sz w:val="28"/>
                <w:szCs w:val="28"/>
              </w:rPr>
              <w:t xml:space="preserve"> </w:t>
            </w:r>
            <w:r w:rsidRPr="003140D4">
              <w:rPr>
                <w:sz w:val="28"/>
                <w:szCs w:val="28"/>
              </w:rPr>
              <w:t>из собственных средств, направлены на снижение стоимости</w:t>
            </w:r>
            <w:r>
              <w:rPr>
                <w:sz w:val="28"/>
                <w:szCs w:val="28"/>
              </w:rPr>
              <w:t xml:space="preserve"> </w:t>
            </w:r>
            <w:r w:rsidRPr="003140D4">
              <w:rPr>
                <w:sz w:val="28"/>
                <w:szCs w:val="28"/>
              </w:rPr>
              <w:t>и повышение доступности заёмных</w:t>
            </w:r>
            <w:proofErr w:type="gramEnd"/>
            <w:r w:rsidRPr="003140D4">
              <w:rPr>
                <w:sz w:val="28"/>
                <w:szCs w:val="28"/>
              </w:rPr>
              <w:t xml:space="preserve"> сре</w:t>
            </w:r>
            <w:proofErr w:type="gramStart"/>
            <w:r w:rsidRPr="003140D4">
              <w:rPr>
                <w:sz w:val="28"/>
                <w:szCs w:val="28"/>
              </w:rPr>
              <w:t>дств дл</w:t>
            </w:r>
            <w:proofErr w:type="gramEnd"/>
            <w:r w:rsidRPr="003140D4">
              <w:rPr>
                <w:sz w:val="28"/>
                <w:szCs w:val="28"/>
              </w:rPr>
              <w:t>я российского бизнеса.</w:t>
            </w:r>
          </w:p>
          <w:p w:rsidR="00B65681" w:rsidRPr="003140D4" w:rsidRDefault="00B65681" w:rsidP="00AA3B97">
            <w:pPr>
              <w:ind w:firstLine="430"/>
              <w:jc w:val="both"/>
              <w:rPr>
                <w:sz w:val="28"/>
                <w:szCs w:val="28"/>
              </w:rPr>
            </w:pPr>
            <w:r w:rsidRPr="003140D4">
              <w:rPr>
                <w:sz w:val="28"/>
                <w:szCs w:val="28"/>
              </w:rPr>
              <w:t>Также считаем необходимым отметить, что, по мнению</w:t>
            </w:r>
            <w:r>
              <w:rPr>
                <w:sz w:val="28"/>
                <w:szCs w:val="28"/>
              </w:rPr>
              <w:t xml:space="preserve"> Министерства</w:t>
            </w:r>
            <w:r w:rsidRPr="003140D4">
              <w:rPr>
                <w:sz w:val="28"/>
                <w:szCs w:val="28"/>
              </w:rPr>
              <w:t xml:space="preserve">, указание сведений о </w:t>
            </w:r>
            <w:proofErr w:type="spellStart"/>
            <w:r w:rsidRPr="003140D4">
              <w:rPr>
                <w:sz w:val="28"/>
                <w:szCs w:val="28"/>
              </w:rPr>
              <w:t>докапитализации</w:t>
            </w:r>
            <w:proofErr w:type="spellEnd"/>
            <w:r w:rsidRPr="003140D4">
              <w:rPr>
                <w:sz w:val="28"/>
                <w:szCs w:val="28"/>
              </w:rPr>
              <w:t xml:space="preserve"> институтов развития в рамках цели 6 «Формирование долгосрочных финансовых ресурсов для экономического роста»  нецелесообразно.</w:t>
            </w:r>
          </w:p>
          <w:p w:rsidR="00B65681" w:rsidRPr="003140D4" w:rsidRDefault="00B65681" w:rsidP="00F761F2">
            <w:pPr>
              <w:widowControl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proofErr w:type="gramStart"/>
            <w:r w:rsidRPr="003140D4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Вопросы </w:t>
            </w:r>
            <w:proofErr w:type="spellStart"/>
            <w:r w:rsidRPr="003140D4">
              <w:rPr>
                <w:sz w:val="28"/>
                <w:szCs w:val="28"/>
              </w:rPr>
              <w:t>докапитализации</w:t>
            </w:r>
            <w:proofErr w:type="spellEnd"/>
            <w:r w:rsidRPr="003140D4">
              <w:rPr>
                <w:sz w:val="28"/>
                <w:szCs w:val="28"/>
              </w:rPr>
              <w:t xml:space="preserve"> институтов развития</w:t>
            </w:r>
            <w:r w:rsidRPr="003140D4">
              <w:rPr>
                <w:sz w:val="28"/>
                <w:szCs w:val="28"/>
              </w:rPr>
              <w:br/>
              <w:t>и эффективности их работы, по мнению</w:t>
            </w:r>
            <w:r>
              <w:rPr>
                <w:sz w:val="28"/>
                <w:szCs w:val="28"/>
              </w:rPr>
              <w:t xml:space="preserve"> Министерства</w:t>
            </w:r>
            <w:r w:rsidRPr="003140D4">
              <w:rPr>
                <w:sz w:val="28"/>
                <w:szCs w:val="28"/>
              </w:rPr>
              <w:t>,</w:t>
            </w:r>
            <w:r w:rsidRPr="003140D4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должны рассматриваться в рамках деклараций целей </w:t>
            </w: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и задач </w:t>
            </w:r>
            <w:r w:rsidRPr="003140D4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Минэкономразвития России (инвестиционный фонд Российской Федерации, особые экономические зоны и др.), Минстроя России </w:t>
            </w:r>
            <w:r w:rsidRPr="003140D4">
              <w:rPr>
                <w:sz w:val="28"/>
                <w:szCs w:val="28"/>
              </w:rPr>
              <w:t>(е</w:t>
            </w:r>
            <w:r w:rsidRPr="003140D4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диный институт развития в жилищной сфере), </w:t>
            </w:r>
            <w:proofErr w:type="spellStart"/>
            <w:r w:rsidRPr="003140D4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Минвостокразвития</w:t>
            </w:r>
            <w:proofErr w:type="spellEnd"/>
            <w:r w:rsidRPr="003140D4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России </w:t>
            </w:r>
            <w:r w:rsidRPr="003140D4">
              <w:rPr>
                <w:sz w:val="28"/>
                <w:szCs w:val="28"/>
              </w:rPr>
              <w:t>(институты развития Дальнего Востока) и других федераль</w:t>
            </w:r>
            <w:r w:rsidRPr="003140D4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ных органов исполнительной власти в пределах их компетенции.</w:t>
            </w:r>
            <w:proofErr w:type="gramEnd"/>
          </w:p>
        </w:tc>
      </w:tr>
    </w:tbl>
    <w:p w:rsidR="00155621" w:rsidRDefault="00155621"/>
    <w:sectPr w:rsidR="00155621" w:rsidSect="00A1652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D3A" w:rsidRDefault="00626D3A" w:rsidP="00E9246E">
      <w:r>
        <w:separator/>
      </w:r>
    </w:p>
  </w:endnote>
  <w:endnote w:type="continuationSeparator" w:id="0">
    <w:p w:rsidR="00626D3A" w:rsidRDefault="00626D3A" w:rsidP="00E9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D3A" w:rsidRDefault="00626D3A" w:rsidP="00E9246E">
      <w:r>
        <w:separator/>
      </w:r>
    </w:p>
  </w:footnote>
  <w:footnote w:type="continuationSeparator" w:id="0">
    <w:p w:rsidR="00626D3A" w:rsidRDefault="00626D3A" w:rsidP="00E9246E">
      <w:r>
        <w:continuationSeparator/>
      </w:r>
    </w:p>
  </w:footnote>
  <w:footnote w:id="1">
    <w:p w:rsidR="00B65681" w:rsidRDefault="00B65681" w:rsidP="00E9246E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 xml:space="preserve">Положение об установлении дополнительных ограничений на инвестирование средств пенсионных накоплений негосударственного пенсионного фонда, осуществляющего обязательное пенсионное страхование, случаев, когда управляющая компания, действуя в качестве доверительного управляющего средствами пенсионных накоплений, вправе заключать договоры </w:t>
      </w:r>
      <w:proofErr w:type="spellStart"/>
      <w:r>
        <w:t>репо</w:t>
      </w:r>
      <w:proofErr w:type="spellEnd"/>
      <w:r>
        <w:t>, требований, направленных на ограничение рисков, при условии соблюдения которых такая управляющая компания вправе заключать договоры, являющиеся производными финансовыми инструментами, дополнительных требований к кредитным организациям, в которых размещаются</w:t>
      </w:r>
      <w:proofErr w:type="gramEnd"/>
      <w:r>
        <w:t xml:space="preserve"> средства пенсионных накоплений и накопления для жилищного обеспечения военнослужащих, а также дополнительного требования, которое управляющая компания обязана соблюдать в период действия договора доверительного управления средствами пенсионных накоплений для финансирования накопительной пенсии.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05"/>
    <w:rsid w:val="00087953"/>
    <w:rsid w:val="000B635B"/>
    <w:rsid w:val="000B6D8A"/>
    <w:rsid w:val="001041E7"/>
    <w:rsid w:val="00113C7E"/>
    <w:rsid w:val="00115824"/>
    <w:rsid w:val="00140AFA"/>
    <w:rsid w:val="00155621"/>
    <w:rsid w:val="00162090"/>
    <w:rsid w:val="0018097D"/>
    <w:rsid w:val="001E3EE9"/>
    <w:rsid w:val="001E7B6A"/>
    <w:rsid w:val="0021719E"/>
    <w:rsid w:val="0024308D"/>
    <w:rsid w:val="00286781"/>
    <w:rsid w:val="002F460C"/>
    <w:rsid w:val="003140D4"/>
    <w:rsid w:val="00315AD3"/>
    <w:rsid w:val="0031703B"/>
    <w:rsid w:val="003B47A1"/>
    <w:rsid w:val="003D4180"/>
    <w:rsid w:val="00450FDA"/>
    <w:rsid w:val="004602B8"/>
    <w:rsid w:val="0046094D"/>
    <w:rsid w:val="00461985"/>
    <w:rsid w:val="004C6D58"/>
    <w:rsid w:val="0050061C"/>
    <w:rsid w:val="00506F71"/>
    <w:rsid w:val="0052553F"/>
    <w:rsid w:val="00547061"/>
    <w:rsid w:val="005863A5"/>
    <w:rsid w:val="005974F6"/>
    <w:rsid w:val="00626D3A"/>
    <w:rsid w:val="00654663"/>
    <w:rsid w:val="00673901"/>
    <w:rsid w:val="006D5B8E"/>
    <w:rsid w:val="007315E2"/>
    <w:rsid w:val="0079000E"/>
    <w:rsid w:val="007C05BD"/>
    <w:rsid w:val="007E256F"/>
    <w:rsid w:val="007F07DC"/>
    <w:rsid w:val="00864005"/>
    <w:rsid w:val="00865D22"/>
    <w:rsid w:val="008776FA"/>
    <w:rsid w:val="008D3A26"/>
    <w:rsid w:val="008E5A3D"/>
    <w:rsid w:val="009053EF"/>
    <w:rsid w:val="0092232F"/>
    <w:rsid w:val="00930FFB"/>
    <w:rsid w:val="009428B1"/>
    <w:rsid w:val="009F5FEF"/>
    <w:rsid w:val="00A16521"/>
    <w:rsid w:val="00A34E01"/>
    <w:rsid w:val="00A56103"/>
    <w:rsid w:val="00A85682"/>
    <w:rsid w:val="00A902B6"/>
    <w:rsid w:val="00AA3B97"/>
    <w:rsid w:val="00AC12AD"/>
    <w:rsid w:val="00AC1BCD"/>
    <w:rsid w:val="00AC36AA"/>
    <w:rsid w:val="00AC387D"/>
    <w:rsid w:val="00B30688"/>
    <w:rsid w:val="00B36739"/>
    <w:rsid w:val="00B46AB7"/>
    <w:rsid w:val="00B63FEE"/>
    <w:rsid w:val="00B65681"/>
    <w:rsid w:val="00B93441"/>
    <w:rsid w:val="00BF0714"/>
    <w:rsid w:val="00C25C2A"/>
    <w:rsid w:val="00C45EDE"/>
    <w:rsid w:val="00CA041B"/>
    <w:rsid w:val="00CC55E0"/>
    <w:rsid w:val="00D83FFB"/>
    <w:rsid w:val="00E00358"/>
    <w:rsid w:val="00E6419F"/>
    <w:rsid w:val="00E9246E"/>
    <w:rsid w:val="00EC1437"/>
    <w:rsid w:val="00F23DFF"/>
    <w:rsid w:val="00F25434"/>
    <w:rsid w:val="00F26218"/>
    <w:rsid w:val="00F374F1"/>
    <w:rsid w:val="00F60882"/>
    <w:rsid w:val="00F761F2"/>
    <w:rsid w:val="00FB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0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2">
    <w:name w:val="Char Style 12"/>
    <w:basedOn w:val="a0"/>
    <w:link w:val="Style2"/>
    <w:uiPriority w:val="99"/>
    <w:locked/>
    <w:rsid w:val="00864005"/>
    <w:rPr>
      <w:rFonts w:cs="Times New Roman"/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864005"/>
    <w:pPr>
      <w:shd w:val="clear" w:color="auto" w:fill="FFFFFF"/>
      <w:spacing w:before="900" w:line="322" w:lineRule="exact"/>
      <w:jc w:val="both"/>
    </w:pPr>
    <w:rPr>
      <w:rFonts w:asciiTheme="minorHAnsi" w:eastAsiaTheme="minorHAnsi" w:hAnsiTheme="minorHAnsi"/>
      <w:color w:val="auto"/>
      <w:sz w:val="26"/>
      <w:szCs w:val="26"/>
      <w:lang w:eastAsia="en-US"/>
    </w:rPr>
  </w:style>
  <w:style w:type="table" w:styleId="a3">
    <w:name w:val="Table Grid"/>
    <w:basedOn w:val="a1"/>
    <w:uiPriority w:val="59"/>
    <w:rsid w:val="00864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9246E"/>
    <w:pPr>
      <w:widowControl/>
    </w:pPr>
    <w:rPr>
      <w:rFonts w:eastAsiaTheme="minorHAnsi" w:cstheme="minorBidi"/>
      <w:color w:val="auto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E9246E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9246E"/>
    <w:rPr>
      <w:vertAlign w:val="superscript"/>
    </w:rPr>
  </w:style>
  <w:style w:type="character" w:styleId="a7">
    <w:name w:val="Emphasis"/>
    <w:basedOn w:val="a0"/>
    <w:uiPriority w:val="20"/>
    <w:qFormat/>
    <w:rsid w:val="00E9246E"/>
    <w:rPr>
      <w:i/>
      <w:iCs/>
    </w:rPr>
  </w:style>
  <w:style w:type="character" w:customStyle="1" w:styleId="apple-converted-space">
    <w:name w:val="apple-converted-space"/>
    <w:basedOn w:val="a0"/>
    <w:rsid w:val="00E9246E"/>
  </w:style>
  <w:style w:type="paragraph" w:styleId="a8">
    <w:name w:val="Balloon Text"/>
    <w:basedOn w:val="a"/>
    <w:link w:val="a9"/>
    <w:uiPriority w:val="99"/>
    <w:semiHidden/>
    <w:unhideWhenUsed/>
    <w:rsid w:val="003B47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47A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0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2">
    <w:name w:val="Char Style 12"/>
    <w:basedOn w:val="a0"/>
    <w:link w:val="Style2"/>
    <w:uiPriority w:val="99"/>
    <w:locked/>
    <w:rsid w:val="00864005"/>
    <w:rPr>
      <w:rFonts w:cs="Times New Roman"/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864005"/>
    <w:pPr>
      <w:shd w:val="clear" w:color="auto" w:fill="FFFFFF"/>
      <w:spacing w:before="900" w:line="322" w:lineRule="exact"/>
      <w:jc w:val="both"/>
    </w:pPr>
    <w:rPr>
      <w:rFonts w:asciiTheme="minorHAnsi" w:eastAsiaTheme="minorHAnsi" w:hAnsiTheme="minorHAnsi"/>
      <w:color w:val="auto"/>
      <w:sz w:val="26"/>
      <w:szCs w:val="26"/>
      <w:lang w:eastAsia="en-US"/>
    </w:rPr>
  </w:style>
  <w:style w:type="table" w:styleId="a3">
    <w:name w:val="Table Grid"/>
    <w:basedOn w:val="a1"/>
    <w:uiPriority w:val="59"/>
    <w:rsid w:val="00864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9246E"/>
    <w:pPr>
      <w:widowControl/>
    </w:pPr>
    <w:rPr>
      <w:rFonts w:eastAsiaTheme="minorHAnsi" w:cstheme="minorBidi"/>
      <w:color w:val="auto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E9246E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9246E"/>
    <w:rPr>
      <w:vertAlign w:val="superscript"/>
    </w:rPr>
  </w:style>
  <w:style w:type="character" w:styleId="a7">
    <w:name w:val="Emphasis"/>
    <w:basedOn w:val="a0"/>
    <w:uiPriority w:val="20"/>
    <w:qFormat/>
    <w:rsid w:val="00E9246E"/>
    <w:rPr>
      <w:i/>
      <w:iCs/>
    </w:rPr>
  </w:style>
  <w:style w:type="character" w:customStyle="1" w:styleId="apple-converted-space">
    <w:name w:val="apple-converted-space"/>
    <w:basedOn w:val="a0"/>
    <w:rsid w:val="00E9246E"/>
  </w:style>
  <w:style w:type="paragraph" w:styleId="a8">
    <w:name w:val="Balloon Text"/>
    <w:basedOn w:val="a"/>
    <w:link w:val="a9"/>
    <w:uiPriority w:val="99"/>
    <w:semiHidden/>
    <w:unhideWhenUsed/>
    <w:rsid w:val="003B47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47A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11</Pages>
  <Words>2788</Words>
  <Characters>15894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КОСТЮКОВА НАТАЛЬЯ НИКОЛАЕВНА</dc:creator>
  <cp:lastModifiedBy>КОСТЮКОВА НАТАЛЬЯ НИКОЛАЕВНА</cp:lastModifiedBy>
  <cp:revision>6</cp:revision>
  <cp:lastPrinted>2017-09-05T12:49:00Z</cp:lastPrinted>
  <dcterms:created xsi:type="dcterms:W3CDTF">2017-09-01T14:01:00Z</dcterms:created>
  <dcterms:modified xsi:type="dcterms:W3CDTF">2017-09-05T12:56:00Z</dcterms:modified>
</cp:coreProperties>
</file>