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F4" w:rsidRDefault="005A73D1" w:rsidP="004A0DE0">
      <w:pPr>
        <w:spacing w:line="312" w:lineRule="auto"/>
        <w:jc w:val="center"/>
        <w:rPr>
          <w:b/>
          <w:sz w:val="32"/>
        </w:rPr>
      </w:pPr>
      <w:bookmarkStart w:id="0" w:name="_GoBack"/>
      <w:bookmarkEnd w:id="0"/>
      <w:r w:rsidRPr="00796973">
        <w:rPr>
          <w:b/>
          <w:sz w:val="32"/>
        </w:rPr>
        <w:t>Методика оценки эффективности налоговых льгот</w:t>
      </w:r>
      <w:r w:rsidR="00CC11F4">
        <w:rPr>
          <w:b/>
          <w:sz w:val="32"/>
        </w:rPr>
        <w:t xml:space="preserve"> </w:t>
      </w:r>
    </w:p>
    <w:p w:rsidR="005A73D1" w:rsidRPr="00A051E8" w:rsidRDefault="005A73D1" w:rsidP="004A0DE0">
      <w:pPr>
        <w:spacing w:line="312" w:lineRule="auto"/>
      </w:pPr>
    </w:p>
    <w:p w:rsidR="00796973" w:rsidRDefault="00796973" w:rsidP="004A0DE0">
      <w:pPr>
        <w:spacing w:line="312" w:lineRule="auto"/>
        <w:jc w:val="center"/>
      </w:pPr>
      <w:r>
        <w:t>I. Общие положения</w:t>
      </w:r>
    </w:p>
    <w:p w:rsidR="00796973" w:rsidRDefault="00796973" w:rsidP="004A0DE0">
      <w:pPr>
        <w:spacing w:line="312" w:lineRule="auto"/>
      </w:pPr>
    </w:p>
    <w:p w:rsidR="00EC39A4" w:rsidRDefault="00796973" w:rsidP="004A0DE0">
      <w:pPr>
        <w:spacing w:line="312" w:lineRule="auto"/>
        <w:ind w:firstLine="709"/>
      </w:pPr>
      <w:r>
        <w:t>1.1.</w:t>
      </w:r>
      <w:r w:rsidR="00A226ED">
        <w:rPr>
          <w:lang w:val="en-US"/>
        </w:rPr>
        <w:t> </w:t>
      </w:r>
      <w:r>
        <w:t xml:space="preserve">Настоящая </w:t>
      </w:r>
      <w:r w:rsidR="00EC39A4">
        <w:t>м</w:t>
      </w:r>
      <w:r>
        <w:t xml:space="preserve">етодика </w:t>
      </w:r>
      <w:r w:rsidR="00EC39A4">
        <w:t>определяет порядок оценки эффективности налоговых льгот</w:t>
      </w:r>
      <w:r w:rsidR="00CC11F4">
        <w:t xml:space="preserve">, в том числе </w:t>
      </w:r>
      <w:r w:rsidR="00926E4C">
        <w:t>пониженных ставок налогов</w:t>
      </w:r>
      <w:r w:rsidR="00EC39A4">
        <w:t>, установленных законами субъектов Российской Федерации и нормативными правовыми актами представительных органов муниципальных образований (далее –</w:t>
      </w:r>
      <w:r w:rsidR="00EB4385">
        <w:t xml:space="preserve"> </w:t>
      </w:r>
      <w:r w:rsidR="0070615F">
        <w:t xml:space="preserve">методика, </w:t>
      </w:r>
      <w:r w:rsidR="00EC39A4">
        <w:t>налоговые льготы).</w:t>
      </w:r>
    </w:p>
    <w:p w:rsidR="0068481F" w:rsidRDefault="0068481F" w:rsidP="0068481F">
      <w:pPr>
        <w:spacing w:line="312" w:lineRule="auto"/>
        <w:ind w:firstLine="709"/>
      </w:pPr>
      <w:r>
        <w:t>1.2. Методика разработана в соответствии с подходами, применяемыми при определении налогового потенциал</w:t>
      </w:r>
      <w:r w:rsidR="00A30414">
        <w:t>а</w:t>
      </w:r>
      <w:r>
        <w:t xml:space="preserve"> субъектов Российской Федерации и расчетного объема расходных обязательств субъекта Российской Федерации и муниципальных образований, утвержденными постановлением Правительства Российской Федерации от 22 ноября 2004 г. № 670 «О распределении дотаций на выравнивание бюджетной обеспеченности субъектов Российской Федерации».</w:t>
      </w:r>
    </w:p>
    <w:p w:rsidR="00CE64C5" w:rsidRDefault="00A226ED" w:rsidP="004A0DE0">
      <w:pPr>
        <w:spacing w:line="312" w:lineRule="auto"/>
        <w:ind w:firstLine="709"/>
      </w:pPr>
      <w:r>
        <w:t>1.</w:t>
      </w:r>
      <w:r w:rsidR="0068481F">
        <w:t>3</w:t>
      </w:r>
      <w:r>
        <w:t>.</w:t>
      </w:r>
      <w:r>
        <w:rPr>
          <w:lang w:val="en-US"/>
        </w:rPr>
        <w:t> </w:t>
      </w:r>
      <w:proofErr w:type="gramStart"/>
      <w:r w:rsidR="00CE64C5">
        <w:t>Оценка эффективности налоговых льгот в соответствии с настоящей методикой осуществляется в целях повышения прозрачности бюджетной и налоговой политики,</w:t>
      </w:r>
      <w:r w:rsidR="00F165C4">
        <w:t xml:space="preserve"> </w:t>
      </w:r>
      <w:r w:rsidR="00F165C4" w:rsidRPr="00F165C4">
        <w:t>повышени</w:t>
      </w:r>
      <w:r w:rsidR="00F165C4">
        <w:t>я</w:t>
      </w:r>
      <w:r w:rsidR="00F165C4" w:rsidRPr="00F165C4">
        <w:t xml:space="preserve"> эффективности мер социально-экономической политики субъектов </w:t>
      </w:r>
      <w:r w:rsidR="00F165C4">
        <w:t>Российской Федерации</w:t>
      </w:r>
      <w:r w:rsidR="00F165C4" w:rsidRPr="00F165C4">
        <w:t xml:space="preserve"> на основе информированного выбора оптимального способа достижения целей</w:t>
      </w:r>
      <w:r w:rsidR="006F2F38">
        <w:t xml:space="preserve">, </w:t>
      </w:r>
      <w:r w:rsidR="00926F0D">
        <w:t>учета</w:t>
      </w:r>
      <w:r w:rsidR="006F2F38">
        <w:t xml:space="preserve"> результатов оценки </w:t>
      </w:r>
      <w:r w:rsidR="00926F0D">
        <w:t>при предоставлении межбюджетных трансфертов из федерального бюджета бюджетам субъектов Российской Федерации</w:t>
      </w:r>
      <w:r w:rsidR="006F2F38">
        <w:t>, при заключении</w:t>
      </w:r>
      <w:r w:rsidR="00926F0D">
        <w:t xml:space="preserve"> </w:t>
      </w:r>
      <w:r w:rsidR="00926F0D" w:rsidRPr="00926F0D">
        <w:t>соглашени</w:t>
      </w:r>
      <w:r w:rsidR="00926F0D">
        <w:t>й</w:t>
      </w:r>
      <w:r w:rsidR="00926F0D" w:rsidRPr="00926F0D">
        <w:t xml:space="preserve"> о предоставлении дотации на выравнивание бюджетной обеспеченности субъектов Российской</w:t>
      </w:r>
      <w:proofErr w:type="gramEnd"/>
      <w:r w:rsidR="00926F0D" w:rsidRPr="00926F0D">
        <w:t xml:space="preserve"> Федерации из федерального бюджета бюджету субъекта Российской Федерации</w:t>
      </w:r>
      <w:r w:rsidR="00926F0D">
        <w:t>, а также</w:t>
      </w:r>
      <w:r w:rsidR="00F165C4">
        <w:t xml:space="preserve"> повышения </w:t>
      </w:r>
      <w:proofErr w:type="gramStart"/>
      <w:r w:rsidR="00F165C4">
        <w:t>качества прогнозирования доходов бюджетов бюджетной системы</w:t>
      </w:r>
      <w:proofErr w:type="gramEnd"/>
      <w:r w:rsidR="00F165C4">
        <w:t>.</w:t>
      </w:r>
    </w:p>
    <w:p w:rsidR="0000326E" w:rsidRPr="00D76D5C" w:rsidRDefault="00EC39A4" w:rsidP="004A0DE0">
      <w:pPr>
        <w:spacing w:line="312" w:lineRule="auto"/>
        <w:ind w:firstLine="709"/>
      </w:pPr>
      <w:r>
        <w:t>1.</w:t>
      </w:r>
      <w:r w:rsidR="00856416">
        <w:t>4</w:t>
      </w:r>
      <w:r>
        <w:t xml:space="preserve">. Оценка эффективности налоговых льгот осуществляется </w:t>
      </w:r>
      <w:r w:rsidR="00EB4385">
        <w:t>субъектами Российской Федерации</w:t>
      </w:r>
      <w:r w:rsidR="003B16D8">
        <w:t>,</w:t>
      </w:r>
      <w:r w:rsidR="00926F0D">
        <w:t xml:space="preserve"> в том числе на основании информации, предоставляемой Федеральной налоговой службой.</w:t>
      </w:r>
      <w:r w:rsidR="00926F0D" w:rsidDel="00926F0D">
        <w:t xml:space="preserve"> </w:t>
      </w:r>
    </w:p>
    <w:p w:rsidR="0068481F" w:rsidRDefault="0068481F" w:rsidP="004A0DE0">
      <w:pPr>
        <w:spacing w:line="312" w:lineRule="auto"/>
        <w:ind w:firstLine="709"/>
      </w:pPr>
      <w:r>
        <w:t>1.</w:t>
      </w:r>
      <w:r w:rsidR="00856416">
        <w:t>5</w:t>
      </w:r>
      <w:r>
        <w:t xml:space="preserve">. Результаты оценки эффективности налоговых льгот предоставляются в Министерство финансов Российской Федерации </w:t>
      </w:r>
      <w:r w:rsidRPr="0068481F">
        <w:t>уполномоченными органами исполнительной власти субъектов Российской Федерации</w:t>
      </w:r>
      <w:r>
        <w:t xml:space="preserve"> </w:t>
      </w:r>
      <w:r w:rsidR="00C91CD7">
        <w:t xml:space="preserve">не позднее 1 июня </w:t>
      </w:r>
      <w:r w:rsidR="00C91CD7">
        <w:lastRenderedPageBreak/>
        <w:t xml:space="preserve">текущего финансового года </w:t>
      </w:r>
      <w:r>
        <w:t>в порядке, установленном Министерством финансов Российской Федерации</w:t>
      </w:r>
      <w:r w:rsidR="00FF6B4C">
        <w:t>.</w:t>
      </w:r>
    </w:p>
    <w:p w:rsidR="00C91CD7" w:rsidRDefault="00C91CD7" w:rsidP="00674FDC">
      <w:pPr>
        <w:spacing w:line="312" w:lineRule="auto"/>
        <w:ind w:firstLine="709"/>
      </w:pPr>
      <w:r>
        <w:t>1.</w:t>
      </w:r>
      <w:r w:rsidR="00856416">
        <w:t>6</w:t>
      </w:r>
      <w:r>
        <w:t>. </w:t>
      </w:r>
      <w:proofErr w:type="gramStart"/>
      <w:r>
        <w:t xml:space="preserve">Министерство финансов Российской Федерации в целях формирования единых подходов к оценке эффективности налоговых льгот осуществляет проверку информации, предоставляемой субъектами Российской Федерации, и размещает ее </w:t>
      </w:r>
      <w:r w:rsidRPr="00C91CD7">
        <w:t>на официальном</w:t>
      </w:r>
      <w:r w:rsidR="00A30414">
        <w:t xml:space="preserve"> сайте</w:t>
      </w:r>
      <w:r w:rsidRPr="00C91CD7">
        <w:t xml:space="preserve"> Министерства финансов Российской Федерации</w:t>
      </w:r>
      <w:r>
        <w:t xml:space="preserve"> в сети «Интернет» не позднее 1 августа текущего финансового года в целях</w:t>
      </w:r>
      <w:r w:rsidR="00674FDC">
        <w:t xml:space="preserve"> сверки исходных данных для проведения расчетов распределения межбюджетных трансфертов на очередной финансовый год и плановый период (далее</w:t>
      </w:r>
      <w:proofErr w:type="gramEnd"/>
      <w:r w:rsidR="00674FDC">
        <w:t xml:space="preserve"> – исходные данные).</w:t>
      </w:r>
    </w:p>
    <w:p w:rsidR="00674FDC" w:rsidRDefault="00674FDC" w:rsidP="00C91CD7">
      <w:pPr>
        <w:spacing w:line="312" w:lineRule="auto"/>
        <w:ind w:firstLine="709"/>
      </w:pPr>
      <w:r>
        <w:t>1.</w:t>
      </w:r>
      <w:r w:rsidR="00856416">
        <w:t>7</w:t>
      </w:r>
      <w:r>
        <w:t>. В случае не представления в срок до 20 августа текущего финансового года в Министерство финансов Российской Федерации замечаний к исходным данным или представления замечаний после 20 августа текущего финансового года, исходные данные считаются согласованными.</w:t>
      </w:r>
    </w:p>
    <w:p w:rsidR="00C91CD7" w:rsidRDefault="00674FDC" w:rsidP="005A6B4C">
      <w:pPr>
        <w:spacing w:line="312" w:lineRule="auto"/>
        <w:ind w:firstLine="709"/>
      </w:pPr>
      <w:r>
        <w:t>1</w:t>
      </w:r>
      <w:r w:rsidR="00C91CD7">
        <w:t>.</w:t>
      </w:r>
      <w:r w:rsidR="00856416">
        <w:t>8</w:t>
      </w:r>
      <w:r w:rsidR="00C91CD7">
        <w:t>. </w:t>
      </w:r>
      <w:proofErr w:type="gramStart"/>
      <w:r w:rsidR="00C91CD7">
        <w:t>Результаты оценки эффективности налоговых льгот применяются при распределении дотаций на выравнивание бюджетной обеспеченности субъектов Российской Федерации в соответствии с постановлением Правительства Российской Федерации от 22 ноября 2004 г. № 670 «О распределении дотаций на выравнивание бюджетной обеспеченности субъектов Российской Федерации»</w:t>
      </w:r>
      <w:r w:rsidR="005A6B4C">
        <w:t xml:space="preserve"> и заключении соглашений </w:t>
      </w:r>
      <w:r w:rsidR="005A6B4C" w:rsidRPr="005A6B4C">
        <w:t>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</w:t>
      </w:r>
      <w:r w:rsidR="005A6B4C">
        <w:t xml:space="preserve"> в</w:t>
      </w:r>
      <w:proofErr w:type="gramEnd"/>
      <w:r w:rsidR="005A6B4C">
        <w:t xml:space="preserve"> </w:t>
      </w:r>
      <w:proofErr w:type="gramStart"/>
      <w:r w:rsidR="005A6B4C">
        <w:t>соответствии с постановлением Правительства Российской Федерации от 27 декабря 2016 г. № 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соглашений».</w:t>
      </w:r>
      <w:proofErr w:type="gramEnd"/>
    </w:p>
    <w:p w:rsidR="0051641E" w:rsidRDefault="0051641E" w:rsidP="00C91CD7">
      <w:pPr>
        <w:spacing w:line="312" w:lineRule="auto"/>
        <w:ind w:firstLine="709"/>
      </w:pPr>
    </w:p>
    <w:p w:rsidR="00CC11F4" w:rsidRDefault="00CC11F4" w:rsidP="004A0DE0">
      <w:pPr>
        <w:spacing w:line="312" w:lineRule="auto"/>
        <w:jc w:val="center"/>
      </w:pPr>
      <w:r>
        <w:rPr>
          <w:lang w:val="en-US"/>
        </w:rPr>
        <w:t>I</w:t>
      </w:r>
      <w:r>
        <w:t xml:space="preserve">I. </w:t>
      </w:r>
      <w:r w:rsidR="00164AD5">
        <w:t>Принципы</w:t>
      </w:r>
      <w:r w:rsidRPr="00CC11F4">
        <w:t xml:space="preserve"> проведения оценки эффективности налогов</w:t>
      </w:r>
      <w:r>
        <w:t>ых</w:t>
      </w:r>
      <w:r w:rsidRPr="00CC11F4">
        <w:t xml:space="preserve"> льгот</w:t>
      </w:r>
    </w:p>
    <w:p w:rsidR="00CC11F4" w:rsidRDefault="00CC11F4" w:rsidP="004A0DE0">
      <w:pPr>
        <w:spacing w:line="312" w:lineRule="auto"/>
        <w:jc w:val="center"/>
      </w:pPr>
    </w:p>
    <w:p w:rsidR="00CC11F4" w:rsidRDefault="00CC11F4" w:rsidP="004A0DE0">
      <w:pPr>
        <w:spacing w:line="312" w:lineRule="auto"/>
        <w:ind w:firstLine="709"/>
      </w:pPr>
      <w:r>
        <w:t>2.</w:t>
      </w:r>
      <w:r w:rsidR="006F2F38">
        <w:t>1</w:t>
      </w:r>
      <w:r>
        <w:t>. </w:t>
      </w:r>
      <w:proofErr w:type="gramStart"/>
      <w:r>
        <w:t xml:space="preserve">Для целей оценки эффективности налоговых льгот </w:t>
      </w:r>
      <w:r w:rsidR="00A30414">
        <w:t xml:space="preserve">формируется </w:t>
      </w:r>
      <w:r>
        <w:t>сводная информация в разрезе субъектов Российской Федерации и</w:t>
      </w:r>
      <w:r w:rsidR="00164AD5">
        <w:t xml:space="preserve"> видов </w:t>
      </w:r>
      <w:r w:rsidR="00164AD5">
        <w:lastRenderedPageBreak/>
        <w:t>(направлений) налоговых льгот</w:t>
      </w:r>
      <w:r>
        <w:t>, включающ</w:t>
      </w:r>
      <w:r w:rsidR="0006492A">
        <w:t>ая з</w:t>
      </w:r>
      <w:r w:rsidR="0006492A" w:rsidRPr="0006492A">
        <w:t>аконодательный источник</w:t>
      </w:r>
      <w:r w:rsidR="0006492A">
        <w:t>, х</w:t>
      </w:r>
      <w:r w:rsidR="0006492A" w:rsidRPr="0006492A">
        <w:t>арактеристик</w:t>
      </w:r>
      <w:r w:rsidR="0006492A">
        <w:t>и</w:t>
      </w:r>
      <w:r w:rsidR="0006492A" w:rsidRPr="0006492A">
        <w:t xml:space="preserve"> налоговой льготы</w:t>
      </w:r>
      <w:r w:rsidR="0006492A">
        <w:t xml:space="preserve"> (</w:t>
      </w:r>
      <w:r w:rsidR="0006492A" w:rsidRPr="0006492A">
        <w:t xml:space="preserve">категория </w:t>
      </w:r>
      <w:proofErr w:type="spellStart"/>
      <w:r w:rsidR="0006492A" w:rsidRPr="0006492A">
        <w:t>льготополучателей</w:t>
      </w:r>
      <w:proofErr w:type="spellEnd"/>
      <w:r w:rsidR="0006492A">
        <w:t>,</w:t>
      </w:r>
      <w:r w:rsidR="0006492A" w:rsidRPr="0006492A">
        <w:t xml:space="preserve"> тип льготы</w:t>
      </w:r>
      <w:r w:rsidR="0006492A">
        <w:t>,</w:t>
      </w:r>
      <w:r w:rsidR="0006492A" w:rsidRPr="0006492A">
        <w:t xml:space="preserve"> условия предоставления льготы</w:t>
      </w:r>
      <w:r w:rsidR="0006492A">
        <w:t>,</w:t>
      </w:r>
      <w:r w:rsidR="0006492A" w:rsidRPr="0006492A">
        <w:t xml:space="preserve"> срок действия льготы</w:t>
      </w:r>
      <w:r w:rsidR="0006492A">
        <w:t>, целевая категория налоговой льготы, категории налогоплательщиков, которым предоставляется льгота и др.), о</w:t>
      </w:r>
      <w:r w:rsidR="0006492A" w:rsidRPr="0006492A">
        <w:t>ценк</w:t>
      </w:r>
      <w:r w:rsidR="0006492A">
        <w:t>у</w:t>
      </w:r>
      <w:r w:rsidR="0006492A" w:rsidRPr="0006492A">
        <w:t xml:space="preserve"> объема налоговой льготы</w:t>
      </w:r>
      <w:r w:rsidR="0006492A">
        <w:t>, расчетные показатели для оценки эффективности налоговой льготы</w:t>
      </w:r>
      <w:r w:rsidR="00F043B2">
        <w:t xml:space="preserve"> в порядке, установленном</w:t>
      </w:r>
      <w:proofErr w:type="gramEnd"/>
      <w:r w:rsidR="00F043B2">
        <w:t xml:space="preserve"> Министерством финансов Российской Федерации</w:t>
      </w:r>
      <w:r w:rsidR="0006492A">
        <w:t>.</w:t>
      </w:r>
    </w:p>
    <w:p w:rsidR="0006492A" w:rsidRDefault="00BF6A7C" w:rsidP="004A0DE0">
      <w:pPr>
        <w:spacing w:line="312" w:lineRule="auto"/>
        <w:ind w:firstLine="709"/>
      </w:pPr>
      <w:r>
        <w:t>2.</w:t>
      </w:r>
      <w:r w:rsidR="006F2F38">
        <w:t>2</w:t>
      </w:r>
      <w:r w:rsidR="0006492A">
        <w:t>. Налоговые льготы разделяются на 3 типа в зависимости от целевой составляющей:</w:t>
      </w:r>
    </w:p>
    <w:p w:rsidR="00513796" w:rsidRDefault="00F043B2" w:rsidP="004A0DE0">
      <w:pPr>
        <w:spacing w:line="312" w:lineRule="auto"/>
        <w:ind w:firstLine="709"/>
      </w:pPr>
      <w:r>
        <w:t>1</w:t>
      </w:r>
      <w:r w:rsidR="00513796">
        <w:t>) социальная – поддержка отдельных категорий граждан;</w:t>
      </w:r>
    </w:p>
    <w:p w:rsidR="00513796" w:rsidRDefault="00F043B2" w:rsidP="004A0DE0">
      <w:pPr>
        <w:spacing w:line="312" w:lineRule="auto"/>
        <w:ind w:firstLine="709"/>
      </w:pPr>
      <w:r>
        <w:t>2</w:t>
      </w:r>
      <w:r w:rsidR="00513796">
        <w:t>) </w:t>
      </w:r>
      <w:proofErr w:type="gramStart"/>
      <w:r w:rsidR="00513796">
        <w:t>финансовая</w:t>
      </w:r>
      <w:proofErr w:type="gramEnd"/>
      <w:r w:rsidR="00513796">
        <w:t xml:space="preserve"> – </w:t>
      </w:r>
      <w:r w:rsidR="00513796" w:rsidRPr="00513796">
        <w:t>устранение/уменьшение встречных финансовых потоков</w:t>
      </w:r>
      <w:r>
        <w:t>;</w:t>
      </w:r>
    </w:p>
    <w:p w:rsidR="00F043B2" w:rsidRDefault="00F043B2" w:rsidP="00F043B2">
      <w:pPr>
        <w:spacing w:line="312" w:lineRule="auto"/>
        <w:ind w:firstLine="709"/>
      </w:pPr>
      <w:r>
        <w:t>3) </w:t>
      </w:r>
      <w:proofErr w:type="gramStart"/>
      <w:r>
        <w:t>стимулирующая</w:t>
      </w:r>
      <w:proofErr w:type="gramEnd"/>
      <w:r>
        <w:t xml:space="preserve"> – </w:t>
      </w:r>
      <w:r w:rsidRPr="00F043B2">
        <w:t>привлечение инвестиций и расширение экономического потенциала</w:t>
      </w:r>
      <w:r>
        <w:t>.</w:t>
      </w:r>
    </w:p>
    <w:p w:rsidR="00AE1BDF" w:rsidRDefault="00BF6A7C" w:rsidP="004A0DE0">
      <w:pPr>
        <w:spacing w:line="312" w:lineRule="auto"/>
        <w:ind w:firstLine="709"/>
      </w:pPr>
      <w:r>
        <w:t>2.</w:t>
      </w:r>
      <w:r w:rsidR="006F2F38">
        <w:t>3</w:t>
      </w:r>
      <w:r w:rsidR="00513796">
        <w:t>. Оценка эффективности</w:t>
      </w:r>
      <w:r w:rsidR="00AE1BDF">
        <w:t xml:space="preserve"> налоговых льгот</w:t>
      </w:r>
      <w:r w:rsidR="00513796">
        <w:t xml:space="preserve"> проводится </w:t>
      </w:r>
      <w:r w:rsidR="00AE1BDF">
        <w:t xml:space="preserve">отдельно по каждому </w:t>
      </w:r>
      <w:r w:rsidR="00164AD5">
        <w:t>виду (</w:t>
      </w:r>
      <w:r w:rsidR="00AE1BDF">
        <w:t>направлению</w:t>
      </w:r>
      <w:r w:rsidR="00164AD5">
        <w:t>)</w:t>
      </w:r>
      <w:r w:rsidR="00AE1BDF">
        <w:t xml:space="preserve"> налоговых льгот</w:t>
      </w:r>
      <w:r w:rsidR="00164AD5">
        <w:t>.</w:t>
      </w:r>
    </w:p>
    <w:p w:rsidR="00164AD5" w:rsidRDefault="00164AD5" w:rsidP="004A0DE0">
      <w:pPr>
        <w:spacing w:line="312" w:lineRule="auto"/>
        <w:ind w:firstLine="709"/>
      </w:pPr>
    </w:p>
    <w:p w:rsidR="00F043B2" w:rsidRDefault="00F043B2" w:rsidP="00F043B2">
      <w:pPr>
        <w:spacing w:line="312" w:lineRule="auto"/>
        <w:jc w:val="center"/>
      </w:pPr>
      <w:r>
        <w:rPr>
          <w:lang w:val="en-US"/>
        </w:rPr>
        <w:t>III</w:t>
      </w:r>
      <w:r>
        <w:t xml:space="preserve">. </w:t>
      </w:r>
      <w:r w:rsidRPr="00CC11F4">
        <w:t>Порядок оценки эффективности</w:t>
      </w:r>
      <w:r>
        <w:t xml:space="preserve"> социальных и финансовых</w:t>
      </w:r>
      <w:r w:rsidRPr="00CC11F4">
        <w:t xml:space="preserve"> налогов</w:t>
      </w:r>
      <w:r>
        <w:t>ых</w:t>
      </w:r>
      <w:r w:rsidRPr="00CC11F4">
        <w:t xml:space="preserve"> льгот</w:t>
      </w:r>
    </w:p>
    <w:p w:rsidR="00F043B2" w:rsidRDefault="00F043B2" w:rsidP="00F043B2">
      <w:pPr>
        <w:spacing w:line="312" w:lineRule="auto"/>
      </w:pPr>
    </w:p>
    <w:p w:rsidR="00F043B2" w:rsidRDefault="00856416" w:rsidP="00F043B2">
      <w:pPr>
        <w:spacing w:line="312" w:lineRule="auto"/>
        <w:ind w:firstLine="709"/>
      </w:pPr>
      <w:r>
        <w:t>3</w:t>
      </w:r>
      <w:r w:rsidR="00F043B2">
        <w:t>.1. </w:t>
      </w:r>
      <w:proofErr w:type="gramStart"/>
      <w:r w:rsidR="00F043B2">
        <w:t xml:space="preserve">Социальные и финансовые налоговые льготы подлежат распределению по группам полномочий </w:t>
      </w:r>
      <w:r w:rsidR="00F043B2" w:rsidRPr="0093201F">
        <w:t xml:space="preserve">органов государственной власти субъектов Российской Федерации и </w:t>
      </w:r>
      <w:r w:rsidR="00F043B2">
        <w:t xml:space="preserve">органов местного самоуправления согласно Правилам определения расчетного объема расходных обязательств субъекта Российской Федерации и муниципальных образований, </w:t>
      </w:r>
      <w:r w:rsidR="00F043B2">
        <w:rPr>
          <w:rFonts w:eastAsia="Times New Roman"/>
        </w:rPr>
        <w:t xml:space="preserve">в соответствии с Методикой </w:t>
      </w:r>
      <w:r w:rsidR="00F043B2" w:rsidRPr="00D36300">
        <w:rPr>
          <w:rFonts w:eastAsia="Times New Roman"/>
        </w:rPr>
        <w:t>распределения дотаций на выравнивание</w:t>
      </w:r>
      <w:r w:rsidR="00F043B2">
        <w:rPr>
          <w:rFonts w:eastAsia="Times New Roman"/>
        </w:rPr>
        <w:t xml:space="preserve"> </w:t>
      </w:r>
      <w:r w:rsidR="00F043B2" w:rsidRPr="00D36300">
        <w:rPr>
          <w:rFonts w:eastAsia="Times New Roman"/>
        </w:rPr>
        <w:t xml:space="preserve">бюджетной обеспеченности субъектов </w:t>
      </w:r>
      <w:r w:rsidR="00F043B2">
        <w:rPr>
          <w:rFonts w:eastAsia="Times New Roman"/>
        </w:rPr>
        <w:t>Р</w:t>
      </w:r>
      <w:r w:rsidR="00F043B2" w:rsidRPr="00D36300">
        <w:rPr>
          <w:rFonts w:eastAsia="Times New Roman"/>
        </w:rPr>
        <w:t xml:space="preserve">оссийской </w:t>
      </w:r>
      <w:r w:rsidR="00F043B2">
        <w:rPr>
          <w:rFonts w:eastAsia="Times New Roman"/>
        </w:rPr>
        <w:t>Ф</w:t>
      </w:r>
      <w:r w:rsidR="00F043B2" w:rsidRPr="00D36300">
        <w:rPr>
          <w:rFonts w:eastAsia="Times New Roman"/>
        </w:rPr>
        <w:t>едерации</w:t>
      </w:r>
      <w:r w:rsidR="00F043B2">
        <w:rPr>
          <w:rFonts w:eastAsia="Times New Roman"/>
        </w:rPr>
        <w:t xml:space="preserve">, утвержденной постановлением </w:t>
      </w:r>
      <w:r w:rsidR="00F043B2">
        <w:t>Правительства Российской Федерации от 22 ноября 2004 г. № 670 (далее – модельный бюджет</w:t>
      </w:r>
      <w:proofErr w:type="gramEnd"/>
      <w:r w:rsidR="00F043B2">
        <w:t xml:space="preserve"> региона).</w:t>
      </w:r>
    </w:p>
    <w:p w:rsidR="00F043B2" w:rsidRDefault="00856416" w:rsidP="00F043B2">
      <w:pPr>
        <w:spacing w:line="312" w:lineRule="auto"/>
        <w:ind w:firstLine="709"/>
      </w:pPr>
      <w:r>
        <w:t>3</w:t>
      </w:r>
      <w:r w:rsidR="00F043B2">
        <w:t xml:space="preserve">.2. Распределение социальных и финансовых налоговых льгот по группам полномочий производится одновременно с представлением в Министерство финансов Российской Федерации </w:t>
      </w:r>
      <w:r w:rsidR="00F043B2" w:rsidRPr="0093201F">
        <w:t>данных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="00F043B2">
        <w:t>.</w:t>
      </w:r>
    </w:p>
    <w:p w:rsidR="00F043B2" w:rsidRDefault="00856416" w:rsidP="00F043B2">
      <w:pPr>
        <w:spacing w:line="312" w:lineRule="auto"/>
        <w:ind w:firstLine="709"/>
      </w:pPr>
      <w:r>
        <w:t>3</w:t>
      </w:r>
      <w:r w:rsidR="00F043B2">
        <w:t xml:space="preserve">.3. Оценка эффективности социальных и финансовых налоговых льгот определяется в рамках формирования модельного бюджета региона и </w:t>
      </w:r>
      <w:r w:rsidR="00F043B2">
        <w:lastRenderedPageBreak/>
        <w:t>определения р</w:t>
      </w:r>
      <w:r w:rsidR="00F043B2" w:rsidRPr="00D21621">
        <w:t>асчетн</w:t>
      </w:r>
      <w:r w:rsidR="00F043B2">
        <w:t>ого</w:t>
      </w:r>
      <w:r w:rsidR="00F043B2" w:rsidRPr="00D21621">
        <w:t xml:space="preserve"> объем</w:t>
      </w:r>
      <w:r w:rsidR="00F043B2">
        <w:t>а</w:t>
      </w:r>
      <w:r w:rsidR="00F043B2" w:rsidRPr="00D21621">
        <w:t xml:space="preserve"> расходных обязательств субъекта Российской Федерации в отношении групп полномочий субъекта Российской Федерации</w:t>
      </w:r>
      <w:r w:rsidR="00F043B2">
        <w:t>.</w:t>
      </w:r>
    </w:p>
    <w:p w:rsidR="00F043B2" w:rsidRDefault="00856416" w:rsidP="00F043B2">
      <w:pPr>
        <w:spacing w:line="312" w:lineRule="auto"/>
        <w:ind w:firstLine="709"/>
      </w:pPr>
      <w:r>
        <w:t>3</w:t>
      </w:r>
      <w:r w:rsidR="00F043B2">
        <w:t>.4. В целях обеспечения сопоставимости расходных обязательств субъекта Российской Федерации и муниципальных образований и равных подходов к определению модельного бюджета расходы модельного бюджета региона по каждой группе полномочий подлежат увеличению на объем социальных и финансовых налоговых льгот по соответствующей группе полномочий.</w:t>
      </w:r>
    </w:p>
    <w:p w:rsidR="00F043B2" w:rsidRDefault="00F043B2" w:rsidP="004A0DE0">
      <w:pPr>
        <w:spacing w:line="312" w:lineRule="auto"/>
        <w:jc w:val="center"/>
      </w:pPr>
    </w:p>
    <w:p w:rsidR="00164AD5" w:rsidRDefault="00EC673C" w:rsidP="004A0DE0">
      <w:pPr>
        <w:spacing w:line="312" w:lineRule="auto"/>
        <w:jc w:val="center"/>
      </w:pPr>
      <w:r>
        <w:rPr>
          <w:lang w:val="en-US"/>
        </w:rPr>
        <w:t>IV</w:t>
      </w:r>
      <w:r w:rsidR="00164AD5">
        <w:t xml:space="preserve">. </w:t>
      </w:r>
      <w:r w:rsidR="00164AD5" w:rsidRPr="00CC11F4">
        <w:t>Порядок оценки эффективности</w:t>
      </w:r>
      <w:r w:rsidR="00164AD5">
        <w:t xml:space="preserve"> стимулирующих</w:t>
      </w:r>
      <w:r w:rsidR="00164AD5" w:rsidRPr="00CC11F4">
        <w:t xml:space="preserve"> налогов</w:t>
      </w:r>
      <w:r w:rsidR="00164AD5">
        <w:t>ых</w:t>
      </w:r>
      <w:r w:rsidR="00164AD5" w:rsidRPr="00CC11F4">
        <w:t xml:space="preserve"> льгот</w:t>
      </w:r>
    </w:p>
    <w:p w:rsidR="00164AD5" w:rsidRDefault="00164AD5" w:rsidP="004A0DE0">
      <w:pPr>
        <w:spacing w:line="312" w:lineRule="auto"/>
        <w:ind w:firstLine="709"/>
      </w:pPr>
    </w:p>
    <w:p w:rsidR="009E3181" w:rsidRDefault="00856416" w:rsidP="004A0DE0">
      <w:pPr>
        <w:spacing w:line="312" w:lineRule="auto"/>
        <w:ind w:firstLine="709"/>
      </w:pPr>
      <w:r>
        <w:t>4</w:t>
      </w:r>
      <w:r w:rsidR="00A45C74">
        <w:t>.1</w:t>
      </w:r>
      <w:r w:rsidR="007062B6">
        <w:t>.</w:t>
      </w:r>
      <w:r w:rsidR="00A45C74">
        <w:t> </w:t>
      </w:r>
      <w:r w:rsidR="009E3181">
        <w:t>Оценка эффективности (совокупный бюджетный эффект)</w:t>
      </w:r>
      <w:r w:rsidR="00A45C74">
        <w:t xml:space="preserve"> по стимулирующим налоговым льготам</w:t>
      </w:r>
      <w:r w:rsidR="007062B6">
        <w:t xml:space="preserve"> </w:t>
      </w:r>
      <w:r w:rsidR="009159B9">
        <w:t>производится с периода действия налоговой льготы или за 5 отчетных лет, в случае если налоговая льгота действует более 5 лет на момент проведения оценки эффективности,</w:t>
      </w:r>
      <w:r w:rsidR="009159B9" w:rsidDel="009159B9">
        <w:t xml:space="preserve"> </w:t>
      </w:r>
      <w:r w:rsidR="007062B6">
        <w:t>и</w:t>
      </w:r>
      <w:r w:rsidR="00A45C74">
        <w:t xml:space="preserve"> определяется</w:t>
      </w:r>
      <w:r w:rsidR="009E3181">
        <w:t xml:space="preserve"> по следующей формуле:</w:t>
      </w:r>
    </w:p>
    <w:p w:rsidR="009721F1" w:rsidRDefault="009721F1" w:rsidP="004A0DE0">
      <w:pPr>
        <w:spacing w:line="312" w:lineRule="auto"/>
        <w:ind w:firstLine="709"/>
      </w:pPr>
    </w:p>
    <w:p w:rsidR="009E3181" w:rsidRPr="00036F72" w:rsidRDefault="006F6B97" w:rsidP="004A0DE0">
      <w:pPr>
        <w:spacing w:line="312" w:lineRule="auto"/>
        <w:ind w:firstLine="540"/>
        <w:jc w:val="center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40"/>
            <w:lang w:val="en-US"/>
          </w:rPr>
          <m:t>E</m:t>
        </m:r>
        <m:r>
          <m:rPr>
            <m:sty m:val="p"/>
          </m:rPr>
          <w:rPr>
            <w:rFonts w:ascii="Cambria Math" w:eastAsia="Cambria Math" w:hAnsi="Cambria Math" w:cs="Cambria Math"/>
            <w:sz w:val="40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40"/>
              </w:rPr>
            </m:ctrlPr>
          </m:naryPr>
          <m:sub>
            <m:argPr>
              <m:argSz m:val="-2"/>
            </m:argPr>
            <m:r>
              <m:rPr>
                <m:sty m:val="p"/>
              </m:rPr>
              <w:rPr>
                <w:rFonts w:ascii="Cambria Math" w:eastAsia="Cambria Math" w:hAnsi="Cambria Math" w:cs="Cambria Math"/>
                <w:sz w:val="4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40"/>
              </w:rPr>
              <m:t>=1</m:t>
            </m:r>
          </m:sub>
          <m:sup>
            <m:argPr>
              <m:argSz m:val="-2"/>
            </m:argPr>
            <m:r>
              <m:rPr>
                <m:sty m:val="p"/>
              </m:rPr>
              <w:rPr>
                <w:rFonts w:ascii="Cambria Math" w:hAnsi="Cambria Math"/>
                <w:sz w:val="40"/>
              </w:rPr>
              <m:t>5</m:t>
            </m:r>
          </m:sup>
          <m:e>
            <m:f>
              <m:fPr>
                <m:ctrlPr>
                  <w:rPr>
                    <w:rFonts w:ascii="Cambria Math" w:hAnsi="Cambria Math"/>
                    <w:sz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0i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sz w:val="4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lang w:val="en-US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4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</w:rPr>
                      <m:t>(1+r)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i</m:t>
                    </m:r>
                  </m:sup>
                </m:sSup>
              </m:den>
            </m:f>
          </m:e>
        </m:nary>
      </m:oMath>
      <w:r w:rsidR="009E3181" w:rsidRPr="009E3181">
        <w:rPr>
          <w:sz w:val="24"/>
        </w:rPr>
        <w:fldChar w:fldCharType="begin"/>
      </w:r>
      <w:r w:rsidR="009E3181" w:rsidRPr="009E3181">
        <w:rPr>
          <w:sz w:val="24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lang w:val="en-US"/>
                      </w:rPr>
                      <m:t>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lang w:val="en-US"/>
                      </w:rPr>
                      <m:t>i</m:t>
                    </m:r>
                  </m:sup>
                </m:sSup>
              </m:den>
            </m:f>
          </m:e>
        </m:nary>
      </m:oMath>
      <w:r w:rsidR="009E3181" w:rsidRPr="009E3181">
        <w:rPr>
          <w:sz w:val="24"/>
        </w:rPr>
        <w:instrText xml:space="preserve"> </w:instrText>
      </w:r>
      <w:r w:rsidR="009E3181" w:rsidRPr="009E3181">
        <w:rPr>
          <w:sz w:val="24"/>
        </w:rPr>
        <w:fldChar w:fldCharType="end"/>
      </w:r>
      <w:r w:rsidR="00A45C74">
        <w:t>,</w:t>
      </w:r>
      <w:r w:rsidR="009E3181">
        <w:rPr>
          <w:sz w:val="24"/>
        </w:rPr>
        <w:t xml:space="preserve"> </w:t>
      </w:r>
      <w:r w:rsidR="009E3181" w:rsidRPr="00A45C74">
        <w:t>где:</w:t>
      </w:r>
    </w:p>
    <w:p w:rsidR="009E3181" w:rsidRPr="00C358B8" w:rsidRDefault="009E3181" w:rsidP="004A0DE0">
      <w:pPr>
        <w:spacing w:line="312" w:lineRule="auto"/>
        <w:ind w:firstLine="540"/>
        <w:jc w:val="center"/>
        <w:rPr>
          <w:sz w:val="24"/>
        </w:rPr>
      </w:pPr>
    </w:p>
    <w:p w:rsidR="009E3181" w:rsidRDefault="00F06173" w:rsidP="004A0DE0">
      <w:pPr>
        <w:spacing w:line="312" w:lineRule="auto"/>
        <w:ind w:firstLine="709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E3181" w:rsidRPr="009E3181">
        <w:rPr>
          <w:rFonts w:eastAsia="Times New Roman"/>
          <w:lang w:val="en-US"/>
        </w:rPr>
        <w:t> </w:t>
      </w:r>
      <w:r w:rsidR="009E3181" w:rsidRPr="009E3181">
        <w:rPr>
          <w:rFonts w:eastAsia="Times New Roman"/>
        </w:rPr>
        <w:t>–</w:t>
      </w:r>
      <w:r w:rsidR="009E3181" w:rsidRPr="009E3181">
        <w:rPr>
          <w:rFonts w:eastAsia="Times New Roman"/>
          <w:lang w:val="en-US"/>
        </w:rPr>
        <w:t> </w:t>
      </w:r>
      <w:r w:rsidR="009E3181" w:rsidRPr="009E3181">
        <w:rPr>
          <w:rFonts w:eastAsia="Times New Roman"/>
        </w:rPr>
        <w:t>объем налоговых поступлений в бюджет субъекта</w:t>
      </w:r>
      <w:r w:rsidR="00A45C74">
        <w:rPr>
          <w:rFonts w:eastAsia="Times New Roman"/>
        </w:rPr>
        <w:t xml:space="preserve"> Российской Федерации</w:t>
      </w:r>
      <w:r w:rsidR="009E3181" w:rsidRPr="009E3181">
        <w:rPr>
          <w:rFonts w:eastAsia="Times New Roman"/>
        </w:rPr>
        <w:t xml:space="preserve"> </w:t>
      </w:r>
      <w:r w:rsidR="00A45C74">
        <w:rPr>
          <w:rFonts w:eastAsia="Times New Roman"/>
        </w:rPr>
        <w:t>от налогоплательщиков-</w:t>
      </w:r>
      <w:r w:rsidR="009E3181" w:rsidRPr="009E3181">
        <w:rPr>
          <w:rFonts w:eastAsia="Times New Roman"/>
        </w:rPr>
        <w:t xml:space="preserve">получателей льготы в </w:t>
      </w:r>
      <w:proofErr w:type="spellStart"/>
      <w:r w:rsidR="00A45C74">
        <w:rPr>
          <w:rFonts w:eastAsia="Times New Roman"/>
          <w:lang w:val="en-US"/>
        </w:rPr>
        <w:t>i</w:t>
      </w:r>
      <w:proofErr w:type="spellEnd"/>
      <w:r w:rsidR="00A45C74" w:rsidRPr="00A45C74">
        <w:rPr>
          <w:rFonts w:eastAsia="Times New Roman"/>
        </w:rPr>
        <w:t>-</w:t>
      </w:r>
      <w:r w:rsidR="00A45C74">
        <w:rPr>
          <w:rFonts w:eastAsia="Times New Roman"/>
        </w:rPr>
        <w:t>ом</w:t>
      </w:r>
      <w:r w:rsidR="00D255F4">
        <w:rPr>
          <w:rFonts w:eastAsia="Times New Roman"/>
        </w:rPr>
        <w:t xml:space="preserve"> году.</w:t>
      </w:r>
    </w:p>
    <w:p w:rsidR="009159B9" w:rsidRDefault="00D255F4" w:rsidP="009159B9">
      <w:pPr>
        <w:spacing w:line="312" w:lineRule="auto"/>
        <w:ind w:firstLine="709"/>
        <w:rPr>
          <w:rFonts w:eastAsia="Times New Roman"/>
        </w:rPr>
      </w:pPr>
      <w:r w:rsidRPr="00D42282">
        <w:rPr>
          <w:rFonts w:eastAsia="Times New Roman"/>
        </w:rPr>
        <w:t>При опре</w:t>
      </w:r>
      <w:r>
        <w:rPr>
          <w:rFonts w:eastAsia="Times New Roman"/>
        </w:rPr>
        <w:t>делении</w:t>
      </w:r>
      <w:r w:rsidRPr="00D42282">
        <w:rPr>
          <w:rFonts w:eastAsia="Times New Roman"/>
        </w:rPr>
        <w:t> объем</w:t>
      </w:r>
      <w:r>
        <w:rPr>
          <w:rFonts w:eastAsia="Times New Roman"/>
        </w:rPr>
        <w:t>а</w:t>
      </w:r>
      <w:r w:rsidRPr="00D42282">
        <w:rPr>
          <w:rFonts w:eastAsia="Times New Roman"/>
        </w:rPr>
        <w:t xml:space="preserve"> налоговых поступлений в бюджет субъекта </w:t>
      </w:r>
      <w:r>
        <w:rPr>
          <w:rFonts w:eastAsia="Times New Roman"/>
        </w:rPr>
        <w:t>Российской Федерации</w:t>
      </w:r>
      <w:r w:rsidRPr="00D42282">
        <w:rPr>
          <w:rFonts w:eastAsia="Times New Roman"/>
        </w:rPr>
        <w:t xml:space="preserve"> от налогоплательщиков, получателей</w:t>
      </w:r>
      <w:r>
        <w:rPr>
          <w:rFonts w:eastAsia="Times New Roman"/>
        </w:rPr>
        <w:t xml:space="preserve"> налоговой</w:t>
      </w:r>
      <w:r w:rsidRPr="00D42282">
        <w:rPr>
          <w:rFonts w:eastAsia="Times New Roman"/>
        </w:rPr>
        <w:t xml:space="preserve"> льготы</w:t>
      </w:r>
      <w:r>
        <w:rPr>
          <w:rFonts w:eastAsia="Times New Roman"/>
        </w:rPr>
        <w:t xml:space="preserve"> </w:t>
      </w:r>
      <w:r w:rsidRPr="00D42282">
        <w:rPr>
          <w:rFonts w:eastAsia="Times New Roman"/>
        </w:rPr>
        <w:t>учитываются поступления по налогу на прибыль</w:t>
      </w:r>
      <w:r>
        <w:rPr>
          <w:rFonts w:eastAsia="Times New Roman"/>
        </w:rPr>
        <w:t xml:space="preserve"> организаций</w:t>
      </w:r>
      <w:r w:rsidRPr="00D42282">
        <w:rPr>
          <w:rFonts w:eastAsia="Times New Roman"/>
        </w:rPr>
        <w:t>,</w:t>
      </w:r>
      <w:r>
        <w:rPr>
          <w:rFonts w:eastAsia="Times New Roman"/>
        </w:rPr>
        <w:t xml:space="preserve"> налогу на доходы физических лиц,</w:t>
      </w:r>
      <w:r w:rsidRPr="00D42282">
        <w:rPr>
          <w:rFonts w:eastAsia="Times New Roman"/>
        </w:rPr>
        <w:t xml:space="preserve"> налогу на имущество </w:t>
      </w:r>
      <w:r>
        <w:rPr>
          <w:rFonts w:eastAsia="Times New Roman"/>
        </w:rPr>
        <w:t>организаций</w:t>
      </w:r>
      <w:r w:rsidRPr="00D42282">
        <w:rPr>
          <w:rFonts w:eastAsia="Times New Roman"/>
        </w:rPr>
        <w:t xml:space="preserve">, транспортному </w:t>
      </w:r>
      <w:r>
        <w:rPr>
          <w:rFonts w:eastAsia="Times New Roman"/>
        </w:rPr>
        <w:t>налогу</w:t>
      </w:r>
      <w:r w:rsidR="00EC673C">
        <w:rPr>
          <w:rFonts w:eastAsia="Times New Roman"/>
        </w:rPr>
        <w:t>, специальным налоговым режимам (за исключением системы налогообложения при выполнении соглашений о разделе продукции)</w:t>
      </w:r>
      <w:r>
        <w:rPr>
          <w:rFonts w:eastAsia="Times New Roman"/>
        </w:rPr>
        <w:t xml:space="preserve"> и </w:t>
      </w:r>
      <w:r w:rsidR="00EC673C">
        <w:rPr>
          <w:rFonts w:eastAsia="Times New Roman"/>
        </w:rPr>
        <w:t>земельному налогу</w:t>
      </w:r>
      <w:r>
        <w:rPr>
          <w:rFonts w:eastAsia="Times New Roman"/>
        </w:rPr>
        <w:t>.</w:t>
      </w:r>
      <w:r w:rsidR="00762716">
        <w:rPr>
          <w:rFonts w:eastAsia="Times New Roman"/>
        </w:rPr>
        <w:t xml:space="preserve"> </w:t>
      </w:r>
    </w:p>
    <w:p w:rsidR="00D255F4" w:rsidRPr="00B809D1" w:rsidRDefault="009159B9" w:rsidP="004A0DE0">
      <w:pPr>
        <w:spacing w:line="312" w:lineRule="auto"/>
        <w:ind w:firstLine="709"/>
        <w:rPr>
          <w:szCs w:val="24"/>
        </w:rPr>
      </w:pPr>
      <w:r>
        <w:t>В случае</w:t>
      </w:r>
      <w:proofErr w:type="gramStart"/>
      <w:r>
        <w:t>,</w:t>
      </w:r>
      <w:proofErr w:type="gramEnd"/>
      <w:r>
        <w:t xml:space="preserve"> если налоговая льгота действует менее 5 лет на момент проведения оценки эффективности, </w:t>
      </w:r>
      <w:r w:rsidRPr="009159B9">
        <w:t>объем налоговых поступлений в бюджет субъекта Российской Федерации от налогоплательщиков-получателей льготы</w:t>
      </w:r>
      <w:r>
        <w:t xml:space="preserve"> в текущем году, очередном году и (или) плановом периоде </w:t>
      </w:r>
      <w:r w:rsidR="00E10C8F">
        <w:t>прогнозируется</w:t>
      </w:r>
      <w:r>
        <w:t xml:space="preserve"> по данным субъектов Российской Федерации. </w:t>
      </w:r>
    </w:p>
    <w:p w:rsidR="00D255F4" w:rsidRDefault="00F06173" w:rsidP="00D255F4">
      <w:pPr>
        <w:spacing w:line="312" w:lineRule="auto"/>
        <w:ind w:firstLine="709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9E3181" w:rsidRPr="009E3181">
        <w:rPr>
          <w:rFonts w:eastAsia="Times New Roman"/>
        </w:rPr>
        <w:t xml:space="preserve"> – </w:t>
      </w:r>
      <w:r w:rsidR="00D76D5C">
        <w:rPr>
          <w:rFonts w:eastAsia="Times New Roman"/>
        </w:rPr>
        <w:t xml:space="preserve">расчетный </w:t>
      </w:r>
      <w:r w:rsidR="00A45C74" w:rsidRPr="00A45C74">
        <w:rPr>
          <w:rFonts w:eastAsia="Times New Roman"/>
        </w:rPr>
        <w:t>объем</w:t>
      </w:r>
      <w:r w:rsidR="00A45C74">
        <w:rPr>
          <w:rFonts w:eastAsia="Times New Roman"/>
        </w:rPr>
        <w:t xml:space="preserve"> базовых</w:t>
      </w:r>
      <w:r w:rsidR="00A45C74" w:rsidRPr="00A45C74">
        <w:rPr>
          <w:rFonts w:eastAsia="Times New Roman"/>
        </w:rPr>
        <w:t xml:space="preserve"> налоговых поступлений в бюджет субъекта Российской </w:t>
      </w:r>
      <w:r w:rsidR="00A45C74">
        <w:rPr>
          <w:rFonts w:eastAsia="Times New Roman"/>
        </w:rPr>
        <w:t>Федерации от налогоплательщиков-</w:t>
      </w:r>
      <w:r w:rsidR="00A45C74" w:rsidRPr="00A45C74">
        <w:rPr>
          <w:rFonts w:eastAsia="Times New Roman"/>
        </w:rPr>
        <w:t>получателей льготы</w:t>
      </w:r>
      <w:r w:rsidR="00D76D5C">
        <w:rPr>
          <w:rFonts w:eastAsia="Times New Roman"/>
        </w:rPr>
        <w:t xml:space="preserve"> в году, предшествующем </w:t>
      </w:r>
      <w:proofErr w:type="spellStart"/>
      <w:r w:rsidR="00D76D5C">
        <w:rPr>
          <w:rFonts w:eastAsia="Times New Roman"/>
          <w:lang w:val="en-US"/>
        </w:rPr>
        <w:t>i</w:t>
      </w:r>
      <w:proofErr w:type="spellEnd"/>
      <w:r w:rsidR="00D76D5C" w:rsidRPr="0000326E">
        <w:rPr>
          <w:rFonts w:eastAsia="Times New Roman"/>
        </w:rPr>
        <w:t>-</w:t>
      </w:r>
      <w:r w:rsidR="00D76D5C">
        <w:rPr>
          <w:rFonts w:eastAsia="Times New Roman"/>
        </w:rPr>
        <w:t>ому году</w:t>
      </w:r>
      <w:r w:rsidR="00D255F4">
        <w:rPr>
          <w:rFonts w:eastAsia="Times New Roman"/>
        </w:rPr>
        <w:t>.</w:t>
      </w:r>
      <w:r w:rsidR="00D255F4" w:rsidRPr="00D255F4">
        <w:rPr>
          <w:rFonts w:eastAsia="Times New Roman"/>
        </w:rPr>
        <w:t xml:space="preserve"> </w:t>
      </w:r>
    </w:p>
    <w:p w:rsidR="00D255F4" w:rsidRDefault="00D255F4" w:rsidP="00D255F4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>Под базовым</w:t>
      </w:r>
      <w:r w:rsidR="0000326E">
        <w:rPr>
          <w:rFonts w:eastAsia="Times New Roman"/>
        </w:rPr>
        <w:t>и налоговыми поступлениями</w:t>
      </w:r>
      <w:r>
        <w:rPr>
          <w:rFonts w:eastAsia="Times New Roman"/>
        </w:rPr>
        <w:t xml:space="preserve"> для целей настоящей методики </w:t>
      </w:r>
      <w:r w:rsidR="0000326E">
        <w:rPr>
          <w:rFonts w:eastAsia="Times New Roman"/>
        </w:rPr>
        <w:t>понимаются</w:t>
      </w:r>
      <w:r w:rsidR="00D25318">
        <w:rPr>
          <w:rFonts w:eastAsia="Times New Roman"/>
        </w:rPr>
        <w:t xml:space="preserve"> </w:t>
      </w:r>
      <w:r w:rsidR="0000326E">
        <w:rPr>
          <w:rFonts w:eastAsia="Times New Roman"/>
        </w:rPr>
        <w:t xml:space="preserve">налоговые поступления от налогоплательщиков получателей льготы в году, предшествующем </w:t>
      </w:r>
      <w:r w:rsidR="00D76D5C">
        <w:rPr>
          <w:rFonts w:eastAsia="Times New Roman"/>
        </w:rPr>
        <w:t>году применения льготы.</w:t>
      </w:r>
    </w:p>
    <w:p w:rsidR="00D255F4" w:rsidRDefault="00F06173" w:rsidP="00D255F4">
      <w:pPr>
        <w:spacing w:line="312" w:lineRule="auto"/>
        <w:ind w:firstLine="709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9E3181" w:rsidRPr="009E3181">
        <w:rPr>
          <w:rFonts w:eastAsia="Times New Roman"/>
        </w:rPr>
        <w:t xml:space="preserve"> – номинальный темп прироста </w:t>
      </w:r>
      <w:r w:rsidR="00A45C74">
        <w:rPr>
          <w:rFonts w:eastAsia="Times New Roman"/>
        </w:rPr>
        <w:t xml:space="preserve">налоговых доходов субъектов Российской Федерации в </w:t>
      </w:r>
      <w:proofErr w:type="spellStart"/>
      <w:r w:rsidR="00A45C74">
        <w:rPr>
          <w:rFonts w:eastAsia="Times New Roman"/>
          <w:lang w:val="en-US"/>
        </w:rPr>
        <w:t>i</w:t>
      </w:r>
      <w:proofErr w:type="spellEnd"/>
      <w:r w:rsidR="00A45C74" w:rsidRPr="00A45C74">
        <w:rPr>
          <w:rFonts w:eastAsia="Times New Roman"/>
        </w:rPr>
        <w:t>-</w:t>
      </w:r>
      <w:r w:rsidR="00A45C74">
        <w:rPr>
          <w:rFonts w:eastAsia="Times New Roman"/>
        </w:rPr>
        <w:t>ом</w:t>
      </w:r>
      <w:r w:rsidR="00A45C74" w:rsidRPr="009E3181">
        <w:rPr>
          <w:rFonts w:eastAsia="Times New Roman"/>
        </w:rPr>
        <w:t xml:space="preserve"> году</w:t>
      </w:r>
      <w:r w:rsidR="004A0DE0">
        <w:rPr>
          <w:rFonts w:eastAsia="Times New Roman"/>
        </w:rPr>
        <w:t xml:space="preserve"> по отношению к базовому </w:t>
      </w:r>
      <w:r w:rsidR="00A30414">
        <w:rPr>
          <w:rFonts w:eastAsia="Times New Roman"/>
        </w:rPr>
        <w:t>году</w:t>
      </w:r>
      <w:r w:rsidR="00D255F4">
        <w:rPr>
          <w:rFonts w:eastAsia="Times New Roman"/>
        </w:rPr>
        <w:t>.</w:t>
      </w:r>
    </w:p>
    <w:p w:rsidR="00D255F4" w:rsidRDefault="00D255F4" w:rsidP="00D255F4">
      <w:pPr>
        <w:spacing w:line="312" w:lineRule="auto"/>
        <w:ind w:firstLine="709"/>
        <w:rPr>
          <w:rFonts w:eastAsia="Times New Roman"/>
        </w:rPr>
      </w:pPr>
      <w:proofErr w:type="gramStart"/>
      <w:r w:rsidRPr="00D42282">
        <w:rPr>
          <w:rFonts w:eastAsia="Times New Roman"/>
        </w:rPr>
        <w:t>При опре</w:t>
      </w:r>
      <w:r>
        <w:rPr>
          <w:rFonts w:eastAsia="Times New Roman"/>
        </w:rPr>
        <w:t>делении</w:t>
      </w:r>
      <w:r w:rsidRPr="00D42282">
        <w:rPr>
          <w:rFonts w:eastAsia="Times New Roman"/>
        </w:rPr>
        <w:t> </w:t>
      </w:r>
      <w:r>
        <w:rPr>
          <w:rFonts w:eastAsia="Times New Roman"/>
        </w:rPr>
        <w:t xml:space="preserve">номинального </w:t>
      </w:r>
      <w:r w:rsidRPr="009E3181">
        <w:rPr>
          <w:rFonts w:eastAsia="Times New Roman"/>
        </w:rPr>
        <w:t>темп</w:t>
      </w:r>
      <w:r>
        <w:rPr>
          <w:rFonts w:eastAsia="Times New Roman"/>
        </w:rPr>
        <w:t>а</w:t>
      </w:r>
      <w:r w:rsidRPr="009E3181">
        <w:rPr>
          <w:rFonts w:eastAsia="Times New Roman"/>
        </w:rPr>
        <w:t xml:space="preserve"> прироста </w:t>
      </w:r>
      <w:r>
        <w:rPr>
          <w:rFonts w:eastAsia="Times New Roman"/>
        </w:rPr>
        <w:t xml:space="preserve">налоговых доходов субъектов Российской Федерации </w:t>
      </w:r>
      <w:r w:rsidRPr="00D42282">
        <w:rPr>
          <w:rFonts w:eastAsia="Times New Roman"/>
        </w:rPr>
        <w:t>учитываются поступления по налогу на прибыль</w:t>
      </w:r>
      <w:r>
        <w:rPr>
          <w:rFonts w:eastAsia="Times New Roman"/>
        </w:rPr>
        <w:t xml:space="preserve"> организаций</w:t>
      </w:r>
      <w:r w:rsidRPr="00D42282">
        <w:rPr>
          <w:rFonts w:eastAsia="Times New Roman"/>
        </w:rPr>
        <w:t>,</w:t>
      </w:r>
      <w:r>
        <w:rPr>
          <w:rFonts w:eastAsia="Times New Roman"/>
        </w:rPr>
        <w:t xml:space="preserve"> налогу на доходы физических лиц,</w:t>
      </w:r>
      <w:r w:rsidRPr="00D42282">
        <w:rPr>
          <w:rFonts w:eastAsia="Times New Roman"/>
        </w:rPr>
        <w:t xml:space="preserve"> налогу на имущество </w:t>
      </w:r>
      <w:r>
        <w:rPr>
          <w:rFonts w:eastAsia="Times New Roman"/>
        </w:rPr>
        <w:t>организаций</w:t>
      </w:r>
      <w:r w:rsidRPr="00D42282">
        <w:rPr>
          <w:rFonts w:eastAsia="Times New Roman"/>
        </w:rPr>
        <w:t xml:space="preserve">, транспортному </w:t>
      </w:r>
      <w:r>
        <w:rPr>
          <w:rFonts w:eastAsia="Times New Roman"/>
        </w:rPr>
        <w:t>налогу</w:t>
      </w:r>
      <w:r w:rsidR="00410823">
        <w:rPr>
          <w:rFonts w:eastAsia="Times New Roman"/>
        </w:rPr>
        <w:t>, специальным налоговым режимам (за исключением системы налогообложения при выполнении соглашений о разделе продукции) и земельному налогу</w:t>
      </w:r>
      <w:r>
        <w:rPr>
          <w:rFonts w:eastAsia="Times New Roman"/>
        </w:rPr>
        <w:t xml:space="preserve"> без учета </w:t>
      </w:r>
      <w:r w:rsidRPr="00D42282">
        <w:rPr>
          <w:rFonts w:eastAsia="Times New Roman"/>
        </w:rPr>
        <w:t>поступлени</w:t>
      </w:r>
      <w:r>
        <w:rPr>
          <w:rFonts w:eastAsia="Times New Roman"/>
        </w:rPr>
        <w:t>й</w:t>
      </w:r>
      <w:r w:rsidRPr="00D42282">
        <w:rPr>
          <w:rFonts w:eastAsia="Times New Roman"/>
        </w:rPr>
        <w:t xml:space="preserve"> по следующим видам экономической деятельности: </w:t>
      </w:r>
      <w:r w:rsidR="00A30414" w:rsidRPr="00765ABC">
        <w:rPr>
          <w:rFonts w:eastAsia="Times New Roman"/>
        </w:rPr>
        <w:t>добыч</w:t>
      </w:r>
      <w:r w:rsidR="00A30414">
        <w:rPr>
          <w:rFonts w:eastAsia="Times New Roman"/>
        </w:rPr>
        <w:t>а</w:t>
      </w:r>
      <w:r w:rsidR="00A30414" w:rsidRPr="00765ABC">
        <w:rPr>
          <w:rFonts w:eastAsia="Times New Roman"/>
        </w:rPr>
        <w:t xml:space="preserve"> </w:t>
      </w:r>
      <w:r w:rsidRPr="00765ABC">
        <w:rPr>
          <w:rFonts w:eastAsia="Times New Roman"/>
        </w:rPr>
        <w:t>нефти и газа, производств</w:t>
      </w:r>
      <w:r>
        <w:rPr>
          <w:rFonts w:eastAsia="Times New Roman"/>
        </w:rPr>
        <w:t>о</w:t>
      </w:r>
      <w:r w:rsidRPr="00765ABC">
        <w:rPr>
          <w:rFonts w:eastAsia="Times New Roman"/>
        </w:rPr>
        <w:t xml:space="preserve"> нефтепродуктов, добыч</w:t>
      </w:r>
      <w:r>
        <w:rPr>
          <w:rFonts w:eastAsia="Times New Roman"/>
        </w:rPr>
        <w:t>а</w:t>
      </w:r>
      <w:r w:rsidRPr="00765ABC">
        <w:rPr>
          <w:rFonts w:eastAsia="Times New Roman"/>
        </w:rPr>
        <w:t xml:space="preserve"> металлических</w:t>
      </w:r>
      <w:proofErr w:type="gramEnd"/>
      <w:r w:rsidRPr="00765ABC">
        <w:rPr>
          <w:rFonts w:eastAsia="Times New Roman"/>
        </w:rPr>
        <w:t xml:space="preserve"> руд, металлургическо</w:t>
      </w:r>
      <w:r>
        <w:rPr>
          <w:rFonts w:eastAsia="Times New Roman"/>
        </w:rPr>
        <w:t>е</w:t>
      </w:r>
      <w:r w:rsidRPr="00765ABC">
        <w:rPr>
          <w:rFonts w:eastAsia="Times New Roman"/>
        </w:rPr>
        <w:t xml:space="preserve"> производств</w:t>
      </w:r>
      <w:r>
        <w:rPr>
          <w:rFonts w:eastAsia="Times New Roman"/>
        </w:rPr>
        <w:t>о</w:t>
      </w:r>
      <w:r w:rsidRPr="00765ABC">
        <w:rPr>
          <w:rFonts w:eastAsia="Times New Roman"/>
        </w:rPr>
        <w:t xml:space="preserve"> и производств</w:t>
      </w:r>
      <w:r>
        <w:rPr>
          <w:rFonts w:eastAsia="Times New Roman"/>
        </w:rPr>
        <w:t>о</w:t>
      </w:r>
      <w:r w:rsidRPr="00765ABC">
        <w:rPr>
          <w:rFonts w:eastAsia="Times New Roman"/>
        </w:rPr>
        <w:t xml:space="preserve"> готовых металлических изделий</w:t>
      </w:r>
      <w:r>
        <w:rPr>
          <w:rFonts w:eastAsia="Times New Roman"/>
        </w:rPr>
        <w:t>,</w:t>
      </w:r>
      <w:r w:rsidRPr="00765ABC">
        <w:rPr>
          <w:rFonts w:eastAsia="Times New Roman"/>
        </w:rPr>
        <w:t xml:space="preserve"> </w:t>
      </w:r>
      <w:r>
        <w:rPr>
          <w:rFonts w:eastAsia="Times New Roman"/>
        </w:rPr>
        <w:t>финансовая</w:t>
      </w:r>
      <w:r w:rsidRPr="00765ABC">
        <w:rPr>
          <w:rFonts w:eastAsia="Times New Roman"/>
        </w:rPr>
        <w:t xml:space="preserve"> деятельност</w:t>
      </w:r>
      <w:r>
        <w:rPr>
          <w:rFonts w:eastAsia="Times New Roman"/>
        </w:rPr>
        <w:t>ь</w:t>
      </w:r>
      <w:r w:rsidRPr="00765ABC">
        <w:rPr>
          <w:rFonts w:eastAsia="Times New Roman"/>
        </w:rPr>
        <w:t>)</w:t>
      </w:r>
      <w:r>
        <w:rPr>
          <w:rFonts w:eastAsia="Times New Roman"/>
        </w:rPr>
        <w:t>.</w:t>
      </w:r>
      <w:r w:rsidR="00410823" w:rsidRPr="00410823">
        <w:rPr>
          <w:rFonts w:eastAsia="Times New Roman"/>
        </w:rPr>
        <w:t xml:space="preserve"> </w:t>
      </w:r>
      <w:r w:rsidR="00410823" w:rsidRPr="00D42282">
        <w:rPr>
          <w:rFonts w:eastAsia="Times New Roman"/>
        </w:rPr>
        <w:t>При опре</w:t>
      </w:r>
      <w:r w:rsidR="00410823">
        <w:rPr>
          <w:rFonts w:eastAsia="Times New Roman"/>
        </w:rPr>
        <w:t>делении</w:t>
      </w:r>
      <w:r w:rsidR="00410823" w:rsidRPr="00D42282">
        <w:rPr>
          <w:rFonts w:eastAsia="Times New Roman"/>
        </w:rPr>
        <w:t> </w:t>
      </w:r>
      <w:r w:rsidR="00410823">
        <w:rPr>
          <w:rFonts w:eastAsia="Times New Roman"/>
        </w:rPr>
        <w:t xml:space="preserve">номинального </w:t>
      </w:r>
      <w:r w:rsidR="00410823" w:rsidRPr="009E3181">
        <w:rPr>
          <w:rFonts w:eastAsia="Times New Roman"/>
        </w:rPr>
        <w:t>темп</w:t>
      </w:r>
      <w:r w:rsidR="00410823">
        <w:rPr>
          <w:rFonts w:eastAsia="Times New Roman"/>
        </w:rPr>
        <w:t>а</w:t>
      </w:r>
      <w:r w:rsidR="00410823" w:rsidRPr="009E3181">
        <w:rPr>
          <w:rFonts w:eastAsia="Times New Roman"/>
        </w:rPr>
        <w:t xml:space="preserve"> прироста </w:t>
      </w:r>
      <w:r w:rsidR="00410823">
        <w:rPr>
          <w:rFonts w:eastAsia="Times New Roman"/>
        </w:rPr>
        <w:t>налоговых доходов субъектов Российской Федерации не учитываются 5</w:t>
      </w:r>
      <w:r w:rsidR="00410823" w:rsidRPr="00D42282">
        <w:rPr>
          <w:rFonts w:eastAsia="Times New Roman"/>
        </w:rPr>
        <w:t xml:space="preserve"> </w:t>
      </w:r>
      <w:r w:rsidR="00410823">
        <w:rPr>
          <w:rFonts w:eastAsia="Times New Roman"/>
        </w:rPr>
        <w:t>максимальных и минимальных значений по субъектам Российской Федерации.</w:t>
      </w:r>
    </w:p>
    <w:p w:rsidR="009159B9" w:rsidRPr="00D25318" w:rsidRDefault="009159B9" w:rsidP="00D255F4">
      <w:pPr>
        <w:spacing w:line="312" w:lineRule="auto"/>
        <w:ind w:firstLine="709"/>
        <w:rPr>
          <w:rFonts w:eastAsia="Times New Roman"/>
        </w:rPr>
      </w:pPr>
      <w:r>
        <w:t>Номинальный темп прироста</w:t>
      </w:r>
      <w:r w:rsidRPr="009159B9">
        <w:rPr>
          <w:rFonts w:eastAsia="Times New Roman"/>
        </w:rPr>
        <w:t xml:space="preserve"> </w:t>
      </w:r>
      <w:r>
        <w:rPr>
          <w:rFonts w:eastAsia="Times New Roman"/>
        </w:rPr>
        <w:t>налоговых доходов субъектов Российской Федерации в текущем году, очередном году и плановом периоде определяется Министерством финансов Российской Федерации</w:t>
      </w:r>
      <w:r w:rsidR="00D25318">
        <w:rPr>
          <w:rFonts w:eastAsia="Times New Roman"/>
        </w:rPr>
        <w:t xml:space="preserve"> исходя из</w:t>
      </w:r>
      <w:r w:rsidR="00D67F98">
        <w:rPr>
          <w:rFonts w:eastAsia="Times New Roman"/>
        </w:rPr>
        <w:t xml:space="preserve"> целевого уровня инфляции (4%) и</w:t>
      </w:r>
      <w:r w:rsidR="00D25318">
        <w:rPr>
          <w:rFonts w:eastAsia="Times New Roman"/>
        </w:rPr>
        <w:t xml:space="preserve"> </w:t>
      </w:r>
      <w:r w:rsidR="00D67F98">
        <w:rPr>
          <w:rFonts w:eastAsia="Times New Roman"/>
        </w:rPr>
        <w:t>реального</w:t>
      </w:r>
      <w:r w:rsidR="00D25318">
        <w:rPr>
          <w:rFonts w:eastAsia="Times New Roman"/>
        </w:rPr>
        <w:t xml:space="preserve">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период.</w:t>
      </w:r>
    </w:p>
    <w:p w:rsidR="00410823" w:rsidRDefault="005028F4" w:rsidP="00765ABC">
      <w:pPr>
        <w:spacing w:line="312" w:lineRule="auto"/>
        <w:ind w:firstLine="709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r</m:t>
        </m:r>
        <m:r>
          <m:rPr>
            <m:sty m:val="p"/>
          </m:rPr>
          <w:rPr>
            <w:rFonts w:ascii="Cambria Math" w:eastAsia="Times New Roman" w:hAnsi="Cambria Math"/>
            <w:lang w:val="en-US"/>
          </w:rPr>
          <m:t> </m:t>
        </m:r>
      </m:oMath>
      <w:r w:rsidR="009E3181" w:rsidRPr="009E3181">
        <w:rPr>
          <w:rFonts w:eastAsia="Times New Roman"/>
        </w:rPr>
        <w:t xml:space="preserve">– </w:t>
      </w:r>
      <w:r w:rsidR="00410823">
        <w:rPr>
          <w:rFonts w:eastAsia="Times New Roman"/>
        </w:rPr>
        <w:t xml:space="preserve">расчетная </w:t>
      </w:r>
      <w:r w:rsidR="009E3181" w:rsidRPr="009E3181">
        <w:rPr>
          <w:rFonts w:eastAsia="Times New Roman"/>
        </w:rPr>
        <w:t>стоимость</w:t>
      </w:r>
      <w:r w:rsidR="00A45C74">
        <w:rPr>
          <w:rFonts w:eastAsia="Times New Roman"/>
        </w:rPr>
        <w:t xml:space="preserve"> среднесрочных</w:t>
      </w:r>
      <w:r w:rsidR="009E3181" w:rsidRPr="009E3181">
        <w:rPr>
          <w:rFonts w:eastAsia="Times New Roman"/>
        </w:rPr>
        <w:t xml:space="preserve"> рыночных заимствований субъекта</w:t>
      </w:r>
      <w:r w:rsidR="00A45C74">
        <w:rPr>
          <w:rFonts w:eastAsia="Times New Roman"/>
        </w:rPr>
        <w:t xml:space="preserve"> Российской Федерации.</w:t>
      </w:r>
      <w:r w:rsidR="00856416">
        <w:rPr>
          <w:rFonts w:eastAsia="Times New Roman"/>
        </w:rPr>
        <w:t>4</w:t>
      </w:r>
      <w:r w:rsidR="00410823">
        <w:rPr>
          <w:rFonts w:eastAsia="Times New Roman"/>
        </w:rPr>
        <w:t>.2. Р</w:t>
      </w:r>
      <w:r w:rsidR="00410823" w:rsidRPr="00410823">
        <w:rPr>
          <w:rFonts w:eastAsia="Times New Roman"/>
        </w:rPr>
        <w:t>асчетная стоимость среднесрочных рыночных заимствований субъекта Российской Федерации</w:t>
      </w:r>
      <w:r w:rsidR="00410823">
        <w:rPr>
          <w:rFonts w:eastAsia="Times New Roman"/>
        </w:rPr>
        <w:t xml:space="preserve"> определяется по следующей формуле</w:t>
      </w:r>
      <w:r w:rsidR="006F6B97">
        <w:rPr>
          <w:rFonts w:eastAsia="Times New Roman"/>
        </w:rPr>
        <w:t>:</w:t>
      </w:r>
    </w:p>
    <w:p w:rsidR="006F6B97" w:rsidRPr="006F6B97" w:rsidRDefault="006F6B97" w:rsidP="006F6B97">
      <w:pPr>
        <w:spacing w:line="312" w:lineRule="auto"/>
        <w:ind w:firstLine="709"/>
        <w:jc w:val="center"/>
        <w:rPr>
          <w:rFonts w:eastAsia="Times New Roman"/>
        </w:rPr>
      </w:pPr>
      <m:oMath>
        <m:r>
          <m:rPr>
            <m:sty m:val="p"/>
          </m:rPr>
          <w:rPr>
            <w:rFonts w:ascii="Cambria Math" w:eastAsia="Cambria Math" w:hAnsi="Cambria Math" w:cs="Cambria Math"/>
            <w:sz w:val="36"/>
            <w:lang w:val="en-US"/>
          </w:rPr>
          <m:t>r</m:t>
        </m:r>
        <m:r>
          <m:rPr>
            <m:sty m:val="p"/>
          </m:rPr>
          <w:rPr>
            <w:rFonts w:ascii="Cambria Math" w:eastAsia="Cambria Math" w:hAnsi="Cambria Math" w:cs="Cambria Math"/>
            <w:sz w:val="36"/>
          </w:rPr>
          <m:t xml:space="preserve">=i+p+c </m:t>
        </m:r>
      </m:oMath>
      <w:r w:rsidRPr="00C074C3">
        <w:rPr>
          <w:rFonts w:eastAsia="Times New Roman"/>
        </w:rPr>
        <w:t>,</w:t>
      </w:r>
      <w:r w:rsidR="00C074C3">
        <w:rPr>
          <w:rFonts w:eastAsia="Times New Roman"/>
        </w:rPr>
        <w:t xml:space="preserve"> </w:t>
      </w:r>
      <w:r w:rsidRPr="00C074C3">
        <w:rPr>
          <w:rFonts w:eastAsia="Times New Roman"/>
        </w:rPr>
        <w:t>где:</w:t>
      </w:r>
    </w:p>
    <w:p w:rsidR="006F6B97" w:rsidRDefault="006F6B97" w:rsidP="004A0DE0">
      <w:pPr>
        <w:spacing w:line="312" w:lineRule="auto"/>
        <w:ind w:firstLine="709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i</m:t>
        </m:r>
      </m:oMath>
      <w:r w:rsidRPr="009E3181">
        <w:rPr>
          <w:rFonts w:eastAsia="Times New Roman"/>
          <w:lang w:val="en-US"/>
        </w:rPr>
        <w:t> </w:t>
      </w:r>
      <w:r w:rsidRPr="009E3181">
        <w:rPr>
          <w:rFonts w:eastAsia="Times New Roman"/>
        </w:rPr>
        <w:t>–</w:t>
      </w:r>
      <w:r w:rsidRPr="009E3181">
        <w:rPr>
          <w:rFonts w:eastAsia="Times New Roman"/>
          <w:lang w:val="en-US"/>
        </w:rPr>
        <w:t> </w:t>
      </w:r>
      <w:r w:rsidR="00C074C3">
        <w:rPr>
          <w:rFonts w:eastAsia="Times New Roman"/>
        </w:rPr>
        <w:t>целевой уровень инфляции, определяемый на уровне 4 процента;</w:t>
      </w:r>
    </w:p>
    <w:p w:rsidR="00C074C3" w:rsidRPr="00C074C3" w:rsidRDefault="00C074C3" w:rsidP="004A0DE0">
      <w:pPr>
        <w:spacing w:line="312" w:lineRule="auto"/>
        <w:ind w:firstLine="709"/>
        <w:rPr>
          <w:rFonts w:eastAsia="Times New Roman"/>
        </w:rPr>
      </w:pPr>
      <m:oMath>
        <m:r>
          <w:rPr>
            <w:rFonts w:ascii="Cambria Math" w:eastAsia="Times New Roman" w:hAnsi="Cambria Math"/>
            <w:lang w:val="en-US"/>
          </w:rPr>
          <m:t>p</m:t>
        </m:r>
      </m:oMath>
      <w:r w:rsidRPr="009E3181">
        <w:rPr>
          <w:rFonts w:eastAsia="Times New Roman"/>
          <w:lang w:val="en-US"/>
        </w:rPr>
        <w:t> </w:t>
      </w:r>
      <w:r w:rsidRPr="009E3181">
        <w:rPr>
          <w:rFonts w:eastAsia="Times New Roman"/>
        </w:rPr>
        <w:t>–</w:t>
      </w:r>
      <w:r w:rsidRPr="009E3181">
        <w:rPr>
          <w:rFonts w:eastAsia="Times New Roman"/>
          <w:lang w:val="en-US"/>
        </w:rPr>
        <w:t> </w:t>
      </w:r>
      <w:r>
        <w:rPr>
          <w:rFonts w:eastAsia="Times New Roman"/>
        </w:rPr>
        <w:t>реальная процентная ставка, определяемая на уровне 2,5 процента;</w:t>
      </w:r>
    </w:p>
    <w:p w:rsidR="00C074C3" w:rsidRDefault="00C074C3" w:rsidP="004A0DE0">
      <w:pPr>
        <w:spacing w:line="312" w:lineRule="auto"/>
        <w:ind w:firstLine="709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с</m:t>
        </m:r>
      </m:oMath>
      <w:r w:rsidRPr="009E3181">
        <w:rPr>
          <w:rFonts w:eastAsia="Times New Roman"/>
          <w:lang w:val="en-US"/>
        </w:rPr>
        <w:t> </w:t>
      </w:r>
      <w:r w:rsidRPr="009E3181">
        <w:rPr>
          <w:rFonts w:eastAsia="Times New Roman"/>
        </w:rPr>
        <w:t>–</w:t>
      </w:r>
      <w:r w:rsidRPr="009E3181">
        <w:rPr>
          <w:rFonts w:eastAsia="Times New Roman"/>
          <w:lang w:val="en-US"/>
        </w:rPr>
        <w:t> </w:t>
      </w:r>
      <w:r>
        <w:rPr>
          <w:rFonts w:eastAsia="Times New Roman"/>
        </w:rPr>
        <w:t>кредитная премия за риск.</w:t>
      </w:r>
    </w:p>
    <w:p w:rsidR="00C074C3" w:rsidRDefault="00C074C3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Кредитная премия за риск определяется в зависимости от отношения государственного долга субъекта Российской Федерации к налоговым и неналоговым доходам по состоянию на 1 января текущего финансового года:</w:t>
      </w:r>
    </w:p>
    <w:p w:rsidR="00C074C3" w:rsidRDefault="00C074C3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1) для субъектов Российской Федерации, у которых указанное отношение </w:t>
      </w:r>
      <w:proofErr w:type="gramStart"/>
      <w:r>
        <w:rPr>
          <w:rFonts w:eastAsia="Times New Roman"/>
        </w:rPr>
        <w:t>составляет менее 30 процентов кредитная премия за риск составляет</w:t>
      </w:r>
      <w:proofErr w:type="gramEnd"/>
      <w:r>
        <w:rPr>
          <w:rFonts w:eastAsia="Times New Roman"/>
        </w:rPr>
        <w:t xml:space="preserve"> 1 процент;</w:t>
      </w:r>
    </w:p>
    <w:p w:rsidR="00C074C3" w:rsidRDefault="00C074C3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2) для субъектов Российской Федерации, у которых указанное отношение </w:t>
      </w:r>
      <w:proofErr w:type="gramStart"/>
      <w:r>
        <w:rPr>
          <w:rFonts w:eastAsia="Times New Roman"/>
        </w:rPr>
        <w:t>составляет от 30 до 100 процентов кредитная премия за риск составляет</w:t>
      </w:r>
      <w:proofErr w:type="gramEnd"/>
      <w:r>
        <w:rPr>
          <w:rFonts w:eastAsia="Times New Roman"/>
        </w:rPr>
        <w:t xml:space="preserve"> 2 процента;</w:t>
      </w:r>
    </w:p>
    <w:p w:rsidR="00C074C3" w:rsidRPr="00C074C3" w:rsidRDefault="00C074C3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3) для субъектов Российской Федерации, у которых указанное отношение </w:t>
      </w:r>
      <w:proofErr w:type="gramStart"/>
      <w:r>
        <w:rPr>
          <w:rFonts w:eastAsia="Times New Roman"/>
        </w:rPr>
        <w:t>составляет более 100 процентов кредитная премия за риск составляет</w:t>
      </w:r>
      <w:proofErr w:type="gramEnd"/>
      <w:r>
        <w:rPr>
          <w:rFonts w:eastAsia="Times New Roman"/>
        </w:rPr>
        <w:t xml:space="preserve"> 3 процента.</w:t>
      </w:r>
    </w:p>
    <w:p w:rsidR="00333AF1" w:rsidRDefault="00856416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7062B6">
        <w:rPr>
          <w:rFonts w:eastAsia="Times New Roman"/>
        </w:rPr>
        <w:t>.</w:t>
      </w:r>
      <w:r>
        <w:rPr>
          <w:rFonts w:eastAsia="Times New Roman"/>
        </w:rPr>
        <w:t>3</w:t>
      </w:r>
      <w:r w:rsidR="007062B6">
        <w:rPr>
          <w:rFonts w:eastAsia="Times New Roman"/>
        </w:rPr>
        <w:t>. </w:t>
      </w:r>
      <w:r w:rsidR="00BC29D7">
        <w:rPr>
          <w:rFonts w:eastAsia="Times New Roman"/>
        </w:rPr>
        <w:t>Для целей настоящей методики налоговая льгота</w:t>
      </w:r>
      <w:r w:rsidR="00333AF1">
        <w:rPr>
          <w:rFonts w:eastAsia="Times New Roman"/>
        </w:rPr>
        <w:t>:</w:t>
      </w:r>
    </w:p>
    <w:p w:rsidR="00333AF1" w:rsidRDefault="00333AF1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>1) </w:t>
      </w:r>
      <w:r w:rsidR="00BC29D7">
        <w:rPr>
          <w:rFonts w:eastAsia="Times New Roman"/>
        </w:rPr>
        <w:t xml:space="preserve">считается неэффективной в случае, если </w:t>
      </w:r>
      <w:r w:rsidR="00BC29D7" w:rsidRPr="00BC29D7">
        <w:rPr>
          <w:rFonts w:eastAsia="Times New Roman"/>
        </w:rPr>
        <w:t xml:space="preserve">совокупный бюджетный эффект в соответствии с пунктом 3.1 настоящей методики принимает </w:t>
      </w:r>
      <w:r w:rsidR="00BC29D7">
        <w:rPr>
          <w:rFonts w:eastAsia="Times New Roman"/>
        </w:rPr>
        <w:t>отрицательное</w:t>
      </w:r>
      <w:r w:rsidR="00BC29D7" w:rsidRPr="00BC29D7">
        <w:rPr>
          <w:rFonts w:eastAsia="Times New Roman"/>
        </w:rPr>
        <w:t xml:space="preserve"> значение</w:t>
      </w:r>
      <w:r>
        <w:rPr>
          <w:rFonts w:eastAsia="Times New Roman"/>
        </w:rPr>
        <w:t>;</w:t>
      </w:r>
    </w:p>
    <w:p w:rsidR="00BC29D7" w:rsidRDefault="00333AF1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>2) считается эффективной в случае</w:t>
      </w:r>
      <w:r w:rsidR="00F557A6">
        <w:rPr>
          <w:rFonts w:eastAsia="Times New Roman"/>
        </w:rPr>
        <w:t xml:space="preserve">, если </w:t>
      </w:r>
      <w:r w:rsidR="00F557A6" w:rsidRPr="00BC29D7">
        <w:rPr>
          <w:rFonts w:eastAsia="Times New Roman"/>
        </w:rPr>
        <w:t xml:space="preserve">совокупный бюджетный эффект в соответствии с пунктом 3.1 настоящей методики принимает </w:t>
      </w:r>
      <w:r w:rsidR="00F557A6">
        <w:rPr>
          <w:rFonts w:eastAsia="Times New Roman"/>
        </w:rPr>
        <w:t>положительное</w:t>
      </w:r>
      <w:r w:rsidR="00F557A6" w:rsidRPr="00BC29D7">
        <w:rPr>
          <w:rFonts w:eastAsia="Times New Roman"/>
        </w:rPr>
        <w:t xml:space="preserve"> значение</w:t>
      </w:r>
      <w:r w:rsidR="00F557A6">
        <w:rPr>
          <w:rFonts w:eastAsia="Times New Roman"/>
        </w:rPr>
        <w:t>.</w:t>
      </w:r>
    </w:p>
    <w:p w:rsidR="007062B6" w:rsidRDefault="00856416" w:rsidP="004A0DE0">
      <w:pPr>
        <w:spacing w:line="312" w:lineRule="auto"/>
        <w:ind w:firstLine="709"/>
      </w:pPr>
      <w:r>
        <w:rPr>
          <w:rFonts w:eastAsia="Times New Roman"/>
        </w:rPr>
        <w:t>4</w:t>
      </w:r>
      <w:r w:rsidR="00E154F5">
        <w:rPr>
          <w:rFonts w:eastAsia="Times New Roman"/>
        </w:rPr>
        <w:t>.</w:t>
      </w:r>
      <w:r w:rsidR="00F557A6">
        <w:rPr>
          <w:rFonts w:eastAsia="Times New Roman"/>
        </w:rPr>
        <w:t>4</w:t>
      </w:r>
      <w:r w:rsidR="00E154F5">
        <w:rPr>
          <w:rFonts w:eastAsia="Times New Roman"/>
        </w:rPr>
        <w:t>. Объем недополученных доходов бюджета субъекта Российской Федерации в результате действия</w:t>
      </w:r>
      <w:r w:rsidR="00D36300">
        <w:rPr>
          <w:rFonts w:eastAsia="Times New Roman"/>
        </w:rPr>
        <w:t xml:space="preserve"> неэффективных</w:t>
      </w:r>
      <w:r w:rsidR="00E154F5">
        <w:rPr>
          <w:rFonts w:eastAsia="Times New Roman"/>
        </w:rPr>
        <w:t xml:space="preserve"> налоговых льгот</w:t>
      </w:r>
      <w:r w:rsidR="00D36300">
        <w:rPr>
          <w:rFonts w:eastAsia="Times New Roman"/>
        </w:rPr>
        <w:t xml:space="preserve"> подлежит учету </w:t>
      </w:r>
      <w:r w:rsidR="00E154F5">
        <w:rPr>
          <w:rFonts w:eastAsia="Times New Roman"/>
        </w:rPr>
        <w:t>при расчете налогового потенциала субъектов Российской Федерации</w:t>
      </w:r>
      <w:r w:rsidR="00D36300">
        <w:rPr>
          <w:rFonts w:eastAsia="Times New Roman"/>
        </w:rPr>
        <w:t xml:space="preserve"> в соответствии с Методикой </w:t>
      </w:r>
      <w:r w:rsidR="00D36300" w:rsidRPr="00D36300">
        <w:rPr>
          <w:rFonts w:eastAsia="Times New Roman"/>
        </w:rPr>
        <w:t>распределения дотаций на выравнивание</w:t>
      </w:r>
      <w:r w:rsidR="00D36300">
        <w:rPr>
          <w:rFonts w:eastAsia="Times New Roman"/>
        </w:rPr>
        <w:t xml:space="preserve"> </w:t>
      </w:r>
      <w:r w:rsidR="00D36300" w:rsidRPr="00D36300">
        <w:rPr>
          <w:rFonts w:eastAsia="Times New Roman"/>
        </w:rPr>
        <w:t xml:space="preserve">бюджетной обеспеченности субъектов </w:t>
      </w:r>
      <w:r w:rsidR="00D36300">
        <w:rPr>
          <w:rFonts w:eastAsia="Times New Roman"/>
        </w:rPr>
        <w:t>Р</w:t>
      </w:r>
      <w:r w:rsidR="00D36300" w:rsidRPr="00D36300">
        <w:rPr>
          <w:rFonts w:eastAsia="Times New Roman"/>
        </w:rPr>
        <w:t xml:space="preserve">оссийской </w:t>
      </w:r>
      <w:r w:rsidR="00D36300">
        <w:rPr>
          <w:rFonts w:eastAsia="Times New Roman"/>
        </w:rPr>
        <w:t>Ф</w:t>
      </w:r>
      <w:r w:rsidR="00D36300" w:rsidRPr="00D36300">
        <w:rPr>
          <w:rFonts w:eastAsia="Times New Roman"/>
        </w:rPr>
        <w:t>едерации</w:t>
      </w:r>
      <w:r w:rsidR="00D36300">
        <w:rPr>
          <w:rFonts w:eastAsia="Times New Roman"/>
        </w:rPr>
        <w:t xml:space="preserve">, утвержденной постановлением </w:t>
      </w:r>
      <w:r w:rsidR="00D36300">
        <w:t>Правительства Российской Федерации от 22 ноября 2004 г. № 670</w:t>
      </w:r>
      <w:r w:rsidR="00CC0ACB">
        <w:t xml:space="preserve"> (далее – налоговый потенциал)</w:t>
      </w:r>
      <w:r w:rsidR="00D36300">
        <w:t>.</w:t>
      </w:r>
    </w:p>
    <w:p w:rsidR="009A554B" w:rsidRDefault="00CC0ACB" w:rsidP="004A0DE0">
      <w:pPr>
        <w:spacing w:line="312" w:lineRule="auto"/>
        <w:ind w:firstLine="709"/>
      </w:pPr>
      <w:r>
        <w:t>П</w:t>
      </w:r>
      <w:r w:rsidRPr="00CC0ACB">
        <w:t>оказатели, характеризующие налоговый потенциал субъекта Российской Федерации по видам налогов</w:t>
      </w:r>
      <w:r w:rsidR="004E2343">
        <w:t xml:space="preserve">, подлежат увеличению на объем, указанный в </w:t>
      </w:r>
      <w:r w:rsidR="009A554B">
        <w:t>абзаце первом</w:t>
      </w:r>
      <w:r>
        <w:t xml:space="preserve"> настоящего пункта</w:t>
      </w:r>
      <w:r w:rsidR="004E2343">
        <w:t xml:space="preserve">, по каждому периоду, в котором </w:t>
      </w:r>
      <w:r w:rsidR="004E2343" w:rsidRPr="004E2343">
        <w:t>производится расчет показателей, характеризующих налоговый потенциал субъекта Российской Федерации</w:t>
      </w:r>
      <w:r w:rsidR="004E2343">
        <w:t>.</w:t>
      </w:r>
      <w:r>
        <w:t xml:space="preserve"> </w:t>
      </w:r>
    </w:p>
    <w:p w:rsidR="00CA6369" w:rsidRDefault="00856416" w:rsidP="004A0DE0">
      <w:pPr>
        <w:spacing w:line="312" w:lineRule="auto"/>
        <w:ind w:firstLine="709"/>
        <w:rPr>
          <w:rFonts w:eastAsia="Times New Roman"/>
        </w:rPr>
      </w:pPr>
      <w:r>
        <w:rPr>
          <w:rFonts w:eastAsia="Times New Roman"/>
        </w:rPr>
        <w:t>4</w:t>
      </w:r>
      <w:r w:rsidR="00CA6369">
        <w:rPr>
          <w:rFonts w:eastAsia="Times New Roman"/>
        </w:rPr>
        <w:t>.</w:t>
      </w:r>
      <w:r w:rsidR="00F557A6">
        <w:rPr>
          <w:rFonts w:eastAsia="Times New Roman"/>
        </w:rPr>
        <w:t>5</w:t>
      </w:r>
      <w:r w:rsidR="00CA6369">
        <w:rPr>
          <w:rFonts w:eastAsia="Times New Roman"/>
        </w:rPr>
        <w:t xml:space="preserve">. Объем недополученных доходов бюджета субъекта Российской Федерации в результате действия эффективных налоговых льгот подлежит учету в модельном бюджете региона </w:t>
      </w:r>
      <w:r w:rsidR="00CA6369" w:rsidRPr="00CA6369">
        <w:rPr>
          <w:rFonts w:eastAsia="Times New Roman"/>
        </w:rPr>
        <w:t>аналогично порядку оценки эффективности социальных и финансовых налоговых льгот согласно разделу I</w:t>
      </w:r>
      <w:r w:rsidR="00CA6369">
        <w:rPr>
          <w:rFonts w:eastAsia="Times New Roman"/>
          <w:lang w:val="en-US"/>
        </w:rPr>
        <w:t>II</w:t>
      </w:r>
      <w:r w:rsidR="00CA6369" w:rsidRPr="00CA6369">
        <w:rPr>
          <w:rFonts w:eastAsia="Times New Roman"/>
        </w:rPr>
        <w:t xml:space="preserve"> настоящей методики</w:t>
      </w:r>
      <w:r w:rsidR="00CA6369">
        <w:rPr>
          <w:rFonts w:eastAsia="Times New Roman"/>
        </w:rPr>
        <w:t>.</w:t>
      </w:r>
    </w:p>
    <w:p w:rsidR="00E90552" w:rsidRDefault="00E90552" w:rsidP="004A0DE0">
      <w:pPr>
        <w:spacing w:line="312" w:lineRule="auto"/>
        <w:ind w:firstLine="709"/>
      </w:pPr>
    </w:p>
    <w:p w:rsidR="00E90552" w:rsidRDefault="00E90552" w:rsidP="004A0DE0">
      <w:pPr>
        <w:spacing w:line="312" w:lineRule="auto"/>
        <w:jc w:val="center"/>
      </w:pPr>
      <w:r>
        <w:rPr>
          <w:lang w:val="en-US"/>
        </w:rPr>
        <w:t>V</w:t>
      </w:r>
      <w:r>
        <w:t>. Заключительные положения</w:t>
      </w:r>
    </w:p>
    <w:p w:rsidR="00D21621" w:rsidRDefault="00D21621" w:rsidP="004A0DE0">
      <w:pPr>
        <w:spacing w:line="312" w:lineRule="auto"/>
        <w:ind w:firstLine="709"/>
      </w:pPr>
    </w:p>
    <w:p w:rsidR="00D21621" w:rsidRDefault="00D21621" w:rsidP="004A0DE0">
      <w:pPr>
        <w:spacing w:line="312" w:lineRule="auto"/>
        <w:ind w:firstLine="709"/>
      </w:pPr>
      <w:r>
        <w:t xml:space="preserve">5.1. Настоящая методика может применяться </w:t>
      </w:r>
      <w:r w:rsidRPr="007B17FD">
        <w:t>федеральными органами исполнительной власти Российской Федерации</w:t>
      </w:r>
      <w:r>
        <w:t>, в том числе</w:t>
      </w:r>
      <w:r w:rsidRPr="007B17FD">
        <w:t xml:space="preserve"> в целях</w:t>
      </w:r>
      <w:r>
        <w:t xml:space="preserve"> мониторинга и</w:t>
      </w:r>
      <w:r w:rsidRPr="007B17FD">
        <w:t xml:space="preserve"> оценки эффективности налоговых льгот</w:t>
      </w:r>
      <w:r>
        <w:t>.</w:t>
      </w:r>
    </w:p>
    <w:p w:rsidR="00D21621" w:rsidRDefault="00D21621" w:rsidP="004A0DE0">
      <w:pPr>
        <w:spacing w:line="312" w:lineRule="auto"/>
        <w:ind w:firstLine="709"/>
      </w:pPr>
      <w:r>
        <w:t>5.2. Министерство финансов Российской Федерации</w:t>
      </w:r>
      <w:r w:rsidRPr="00D21621">
        <w:t xml:space="preserve"> </w:t>
      </w:r>
      <w:r>
        <w:t>на основании представляемой информации</w:t>
      </w:r>
      <w:r w:rsidR="0070615F">
        <w:t xml:space="preserve"> в соответствии с пунктом 1.5 настоящей методики</w:t>
      </w:r>
      <w:r>
        <w:t xml:space="preserve"> формирует реестр налоговых льгот и размещает его на официальном сайте Министерства финансов Российской Федерации в сети «Интернет».</w:t>
      </w:r>
    </w:p>
    <w:p w:rsidR="00D21621" w:rsidRDefault="00D21621" w:rsidP="004A0DE0">
      <w:pPr>
        <w:spacing w:line="312" w:lineRule="auto"/>
        <w:ind w:firstLine="709"/>
      </w:pPr>
      <w:r>
        <w:t xml:space="preserve">5.3. По итогам оценки эффективности налоговых льгот Министерство финансов Российской Федерации направляет рекомендации субъектам Российской Федерации в целях мобилизации дополнительных доходов регионов за счет оптимизации неэффективных налоговых </w:t>
      </w:r>
      <w:r w:rsidR="0070615F">
        <w:t>льгот</w:t>
      </w:r>
      <w:r>
        <w:t>.</w:t>
      </w:r>
    </w:p>
    <w:p w:rsidR="00E90552" w:rsidRDefault="00E90552" w:rsidP="004A0DE0">
      <w:pPr>
        <w:spacing w:line="312" w:lineRule="auto"/>
        <w:ind w:firstLine="709"/>
      </w:pPr>
    </w:p>
    <w:sectPr w:rsidR="00E90552" w:rsidSect="0030263C">
      <w:footerReference w:type="default" r:id="rId9"/>
      <w:headerReference w:type="first" r:id="rId10"/>
      <w:pgSz w:w="11906" w:h="16838"/>
      <w:pgMar w:top="1134" w:right="851" w:bottom="1134" w:left="1418" w:header="709" w:footer="1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73" w:rsidRDefault="00F06173" w:rsidP="00796973">
      <w:r>
        <w:separator/>
      </w:r>
    </w:p>
  </w:endnote>
  <w:endnote w:type="continuationSeparator" w:id="0">
    <w:p w:rsidR="00F06173" w:rsidRDefault="00F06173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73" w:rsidRPr="00796973" w:rsidRDefault="00796973">
    <w:pPr>
      <w:pStyle w:val="a7"/>
      <w:jc w:val="center"/>
      <w:rPr>
        <w:sz w:val="24"/>
      </w:rPr>
    </w:pPr>
    <w:r w:rsidRPr="00796973">
      <w:rPr>
        <w:sz w:val="24"/>
      </w:rPr>
      <w:fldChar w:fldCharType="begin"/>
    </w:r>
    <w:r w:rsidRPr="00796973">
      <w:rPr>
        <w:sz w:val="24"/>
      </w:rPr>
      <w:instrText>PAGE   \* MERGEFORMAT</w:instrText>
    </w:r>
    <w:r w:rsidRPr="00796973">
      <w:rPr>
        <w:sz w:val="24"/>
      </w:rPr>
      <w:fldChar w:fldCharType="separate"/>
    </w:r>
    <w:r w:rsidR="0030263C">
      <w:rPr>
        <w:noProof/>
        <w:sz w:val="24"/>
      </w:rPr>
      <w:t>2</w:t>
    </w:r>
    <w:r w:rsidRPr="00796973">
      <w:rPr>
        <w:sz w:val="24"/>
      </w:rPr>
      <w:fldChar w:fldCharType="end"/>
    </w:r>
  </w:p>
  <w:p w:rsidR="00796973" w:rsidRDefault="00796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73" w:rsidRDefault="00F06173" w:rsidP="00796973">
      <w:r>
        <w:separator/>
      </w:r>
    </w:p>
  </w:footnote>
  <w:footnote w:type="continuationSeparator" w:id="0">
    <w:p w:rsidR="00F06173" w:rsidRDefault="00F06173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3C" w:rsidRPr="0030263C" w:rsidRDefault="0030263C" w:rsidP="0030263C">
    <w:pPr>
      <w:pStyle w:val="a5"/>
      <w:jc w:val="right"/>
      <w:rPr>
        <w:szCs w:val="28"/>
      </w:rPr>
    </w:pPr>
    <w:r w:rsidRPr="0030263C">
      <w:rPr>
        <w:szCs w:val="28"/>
      </w:rPr>
      <w:t xml:space="preserve">Проект </w:t>
    </w:r>
  </w:p>
  <w:p w:rsidR="0030263C" w:rsidRDefault="00302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D1"/>
    <w:rsid w:val="0000326E"/>
    <w:rsid w:val="00033D39"/>
    <w:rsid w:val="0006492A"/>
    <w:rsid w:val="00114035"/>
    <w:rsid w:val="00156266"/>
    <w:rsid w:val="00164AD5"/>
    <w:rsid w:val="0030263C"/>
    <w:rsid w:val="00333AF1"/>
    <w:rsid w:val="0034438B"/>
    <w:rsid w:val="003B16D8"/>
    <w:rsid w:val="003C417B"/>
    <w:rsid w:val="003F6BCF"/>
    <w:rsid w:val="00410823"/>
    <w:rsid w:val="004A0DE0"/>
    <w:rsid w:val="004E2343"/>
    <w:rsid w:val="005028F4"/>
    <w:rsid w:val="00513796"/>
    <w:rsid w:val="0051641E"/>
    <w:rsid w:val="005318FC"/>
    <w:rsid w:val="005542EE"/>
    <w:rsid w:val="00565F40"/>
    <w:rsid w:val="005A6B4C"/>
    <w:rsid w:val="005A73D1"/>
    <w:rsid w:val="00674FDC"/>
    <w:rsid w:val="0068481F"/>
    <w:rsid w:val="00696D21"/>
    <w:rsid w:val="006F2F38"/>
    <w:rsid w:val="006F6B97"/>
    <w:rsid w:val="0070615F"/>
    <w:rsid w:val="007062B6"/>
    <w:rsid w:val="00762716"/>
    <w:rsid w:val="00765ABC"/>
    <w:rsid w:val="00796973"/>
    <w:rsid w:val="007B17FD"/>
    <w:rsid w:val="00856416"/>
    <w:rsid w:val="00876E89"/>
    <w:rsid w:val="009159B9"/>
    <w:rsid w:val="00926E4C"/>
    <w:rsid w:val="00926F0D"/>
    <w:rsid w:val="0093201F"/>
    <w:rsid w:val="009721F1"/>
    <w:rsid w:val="009A554B"/>
    <w:rsid w:val="009E3181"/>
    <w:rsid w:val="00A051E8"/>
    <w:rsid w:val="00A226ED"/>
    <w:rsid w:val="00A30414"/>
    <w:rsid w:val="00A45C74"/>
    <w:rsid w:val="00AD1425"/>
    <w:rsid w:val="00AD20AD"/>
    <w:rsid w:val="00AD64AC"/>
    <w:rsid w:val="00AE1BDF"/>
    <w:rsid w:val="00B63E1C"/>
    <w:rsid w:val="00B86500"/>
    <w:rsid w:val="00BC29D7"/>
    <w:rsid w:val="00BF6A7C"/>
    <w:rsid w:val="00C074C3"/>
    <w:rsid w:val="00C4118D"/>
    <w:rsid w:val="00C91CD7"/>
    <w:rsid w:val="00CA6369"/>
    <w:rsid w:val="00CC0ACB"/>
    <w:rsid w:val="00CC11F4"/>
    <w:rsid w:val="00CE64C5"/>
    <w:rsid w:val="00D21621"/>
    <w:rsid w:val="00D25318"/>
    <w:rsid w:val="00D255F4"/>
    <w:rsid w:val="00D36300"/>
    <w:rsid w:val="00D42282"/>
    <w:rsid w:val="00D63B6A"/>
    <w:rsid w:val="00D67F98"/>
    <w:rsid w:val="00D76D5C"/>
    <w:rsid w:val="00DD2EF4"/>
    <w:rsid w:val="00E10C8F"/>
    <w:rsid w:val="00E154F5"/>
    <w:rsid w:val="00E90552"/>
    <w:rsid w:val="00EB4385"/>
    <w:rsid w:val="00EC39A4"/>
    <w:rsid w:val="00EC5D48"/>
    <w:rsid w:val="00EC673C"/>
    <w:rsid w:val="00EE2A7C"/>
    <w:rsid w:val="00EF7CF4"/>
    <w:rsid w:val="00F043B2"/>
    <w:rsid w:val="00F06173"/>
    <w:rsid w:val="00F165C4"/>
    <w:rsid w:val="00F557A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66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link w:val="a3"/>
    <w:rsid w:val="00156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97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973"/>
    <w:rPr>
      <w:rFonts w:ascii="Times New Roman" w:hAnsi="Times New Roman"/>
      <w:sz w:val="28"/>
      <w:szCs w:val="22"/>
      <w:lang w:eastAsia="en-US"/>
    </w:rPr>
  </w:style>
  <w:style w:type="character" w:customStyle="1" w:styleId="CharStyle15">
    <w:name w:val="Char Style 15"/>
    <w:link w:val="Style2"/>
    <w:uiPriority w:val="99"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66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link w:val="a3"/>
    <w:rsid w:val="00156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97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973"/>
    <w:rPr>
      <w:rFonts w:ascii="Times New Roman" w:hAnsi="Times New Roman"/>
      <w:sz w:val="28"/>
      <w:szCs w:val="22"/>
      <w:lang w:eastAsia="en-US"/>
    </w:rPr>
  </w:style>
  <w:style w:type="character" w:customStyle="1" w:styleId="CharStyle15">
    <w:name w:val="Char Style 15"/>
    <w:link w:val="Style2"/>
    <w:uiPriority w:val="99"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34"/>
    <w:qFormat/>
    <w:rsid w:val="00C0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E1EA-4E9D-4598-88C6-D5D9C0EA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СТРОГАНОВА АНАСТАСИЯ ДМИТРИЕВНА</cp:lastModifiedBy>
  <cp:revision>5</cp:revision>
  <dcterms:created xsi:type="dcterms:W3CDTF">2017-10-30T18:12:00Z</dcterms:created>
  <dcterms:modified xsi:type="dcterms:W3CDTF">2017-11-09T11:29:00Z</dcterms:modified>
</cp:coreProperties>
</file>