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drawings/drawing2.xml" ContentType="application/vnd.openxmlformats-officedocument.drawingml.chartshapes+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2069" w:rsidRPr="003B5072" w:rsidRDefault="004E2069" w:rsidP="00D972CE">
      <w:pPr>
        <w:pStyle w:val="10"/>
      </w:pPr>
      <w:bookmarkStart w:id="0" w:name="_Toc465079436"/>
      <w:bookmarkStart w:id="1" w:name="_Toc464591310"/>
      <w:bookmarkStart w:id="2" w:name="_Toc482707578"/>
      <w:bookmarkStart w:id="3" w:name="_Toc486818810"/>
      <w:bookmarkStart w:id="4" w:name="_Toc492479252"/>
      <w:bookmarkStart w:id="5" w:name="_Toc494788022"/>
      <w:r w:rsidRPr="003B5072">
        <w:t>ПРОЕКТ</w:t>
      </w:r>
      <w:bookmarkEnd w:id="0"/>
      <w:bookmarkEnd w:id="1"/>
      <w:bookmarkEnd w:id="2"/>
      <w:bookmarkEnd w:id="3"/>
      <w:bookmarkEnd w:id="4"/>
      <w:bookmarkEnd w:id="5"/>
    </w:p>
    <w:p w:rsidR="004E2069" w:rsidRDefault="00FB09B3" w:rsidP="007413F5">
      <w:pPr>
        <w:spacing w:after="0"/>
        <w:jc w:val="center"/>
        <w:rPr>
          <w:rFonts w:ascii="Times New Roman" w:hAnsi="Times New Roman"/>
          <w:b/>
          <w:sz w:val="32"/>
          <w:szCs w:val="32"/>
        </w:rPr>
      </w:pPr>
      <w:r>
        <w:rPr>
          <w:rFonts w:ascii="Times New Roman" w:hAnsi="Times New Roman"/>
          <w:b/>
          <w:noProof/>
          <w:sz w:val="32"/>
          <w:szCs w:val="32"/>
          <w:lang w:eastAsia="ru-RU"/>
        </w:rPr>
        <w:drawing>
          <wp:inline distT="0" distB="0" distL="0" distR="0" wp14:anchorId="052624E3" wp14:editId="2361DA1B">
            <wp:extent cx="1219200" cy="1219200"/>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4E2069" w:rsidRDefault="004E2069" w:rsidP="007413F5">
      <w:pPr>
        <w:spacing w:after="0"/>
        <w:jc w:val="center"/>
        <w:rPr>
          <w:rFonts w:ascii="Times New Roman" w:hAnsi="Times New Roman"/>
          <w:b/>
          <w:sz w:val="32"/>
          <w:szCs w:val="32"/>
        </w:rPr>
      </w:pPr>
    </w:p>
    <w:p w:rsidR="004E2069" w:rsidRPr="00695BB1" w:rsidRDefault="004E2069" w:rsidP="007413F5">
      <w:pPr>
        <w:spacing w:after="0"/>
        <w:jc w:val="center"/>
        <w:rPr>
          <w:rFonts w:ascii="Times New Roman" w:hAnsi="Times New Roman"/>
          <w:b/>
          <w:sz w:val="32"/>
          <w:szCs w:val="32"/>
        </w:rPr>
      </w:pPr>
      <w:r w:rsidRPr="00695BB1">
        <w:rPr>
          <w:rFonts w:ascii="Times New Roman" w:hAnsi="Times New Roman"/>
          <w:b/>
          <w:sz w:val="32"/>
          <w:szCs w:val="32"/>
        </w:rPr>
        <w:t>Министерство финансов</w:t>
      </w:r>
    </w:p>
    <w:p w:rsidR="004E2069" w:rsidRDefault="004E2069" w:rsidP="007413F5">
      <w:pPr>
        <w:spacing w:after="0"/>
        <w:jc w:val="center"/>
        <w:rPr>
          <w:rFonts w:ascii="Times New Roman" w:hAnsi="Times New Roman"/>
        </w:rPr>
      </w:pPr>
      <w:r w:rsidRPr="00695BB1">
        <w:rPr>
          <w:rFonts w:ascii="Times New Roman" w:hAnsi="Times New Roman"/>
          <w:b/>
          <w:sz w:val="32"/>
          <w:szCs w:val="32"/>
        </w:rPr>
        <w:t>Российской Федерации</w:t>
      </w:r>
      <w:r w:rsidRPr="00695BB1">
        <w:rPr>
          <w:rFonts w:ascii="Times New Roman" w:hAnsi="Times New Roman"/>
        </w:rPr>
        <w:t xml:space="preserve"> </w:t>
      </w:r>
    </w:p>
    <w:p w:rsidR="00997894" w:rsidRPr="00695BB1" w:rsidRDefault="00997894" w:rsidP="007413F5">
      <w:pPr>
        <w:spacing w:after="0"/>
        <w:jc w:val="center"/>
        <w:rPr>
          <w:rFonts w:ascii="Times New Roman" w:hAnsi="Times New Roman"/>
        </w:rPr>
      </w:pPr>
    </w:p>
    <w:p w:rsidR="004E2069" w:rsidRPr="00695BB1" w:rsidRDefault="00FB09B3" w:rsidP="007413F5">
      <w:pPr>
        <w:spacing w:after="0"/>
        <w:jc w:val="center"/>
        <w:rPr>
          <w:rFonts w:ascii="Times New Roman" w:hAnsi="Times New Roman"/>
        </w:rPr>
      </w:pPr>
      <w:r>
        <w:rPr>
          <w:noProof/>
          <w:lang w:eastAsia="ru-RU"/>
        </w:rPr>
        <mc:AlternateContent>
          <mc:Choice Requires="wps">
            <w:drawing>
              <wp:anchor distT="0" distB="0" distL="114300" distR="114300" simplePos="0" relativeHeight="251651584" behindDoc="0" locked="0" layoutInCell="1" allowOverlap="1" wp14:anchorId="7BF8F5C7" wp14:editId="18F9C76F">
                <wp:simplePos x="0" y="0"/>
                <wp:positionH relativeFrom="page">
                  <wp:posOffset>222250</wp:posOffset>
                </wp:positionH>
                <wp:positionV relativeFrom="page">
                  <wp:posOffset>3954780</wp:posOffset>
                </wp:positionV>
                <wp:extent cx="7113905" cy="3881120"/>
                <wp:effectExtent l="3175" t="1905" r="0" b="3175"/>
                <wp:wrapSquare wrapText="bothSides"/>
                <wp:docPr id="2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3905" cy="388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E5DFE" w:rsidRPr="00E11E0D" w:rsidRDefault="007E5DFE" w:rsidP="00953E37">
                            <w:pPr>
                              <w:jc w:val="right"/>
                              <w:rPr>
                                <w:color w:val="4F81BD"/>
                                <w:sz w:val="64"/>
                                <w:szCs w:val="64"/>
                              </w:rPr>
                            </w:pPr>
                            <w:r w:rsidRPr="002C074D">
                              <w:rPr>
                                <w:rFonts w:ascii="Times New Roman" w:hAnsi="Times New Roman"/>
                                <w:sz w:val="56"/>
                                <w:szCs w:val="56"/>
                              </w:rPr>
                              <w:t>ОСНОВНЫЕ НАПРАВЛЕНИЯ БЮДЖЕТНОЙ</w:t>
                            </w:r>
                            <w:r>
                              <w:rPr>
                                <w:rFonts w:ascii="Times New Roman" w:hAnsi="Times New Roman"/>
                                <w:sz w:val="56"/>
                                <w:szCs w:val="56"/>
                              </w:rPr>
                              <w:t>, НАЛОГОВОЙ И ТАМОЖЕННО-ТАРИФНОЙ</w:t>
                            </w:r>
                            <w:r w:rsidRPr="002C074D">
                              <w:rPr>
                                <w:rFonts w:ascii="Times New Roman" w:hAnsi="Times New Roman"/>
                                <w:sz w:val="56"/>
                                <w:szCs w:val="56"/>
                              </w:rPr>
                              <w:t xml:space="preserve"> ПОЛИТИКИ НА 201</w:t>
                            </w:r>
                            <w:r>
                              <w:rPr>
                                <w:rFonts w:ascii="Times New Roman" w:hAnsi="Times New Roman"/>
                                <w:sz w:val="56"/>
                                <w:szCs w:val="56"/>
                              </w:rPr>
                              <w:t>8</w:t>
                            </w:r>
                            <w:r w:rsidRPr="002C074D">
                              <w:rPr>
                                <w:rFonts w:ascii="Times New Roman" w:hAnsi="Times New Roman"/>
                                <w:sz w:val="56"/>
                                <w:szCs w:val="56"/>
                              </w:rPr>
                              <w:t xml:space="preserve"> ГОД И НА ПЛАНОВЫЙ ПЕРИОД 201</w:t>
                            </w:r>
                            <w:r>
                              <w:rPr>
                                <w:rFonts w:ascii="Times New Roman" w:hAnsi="Times New Roman"/>
                                <w:sz w:val="56"/>
                                <w:szCs w:val="56"/>
                              </w:rPr>
                              <w:t>9</w:t>
                            </w:r>
                            <w:proofErr w:type="gramStart"/>
                            <w:r w:rsidRPr="002C074D">
                              <w:rPr>
                                <w:rFonts w:ascii="Times New Roman" w:hAnsi="Times New Roman"/>
                                <w:sz w:val="56"/>
                                <w:szCs w:val="56"/>
                              </w:rPr>
                              <w:t xml:space="preserve"> И</w:t>
                            </w:r>
                            <w:proofErr w:type="gramEnd"/>
                            <w:r w:rsidRPr="002C074D">
                              <w:rPr>
                                <w:rFonts w:ascii="Times New Roman" w:hAnsi="Times New Roman"/>
                                <w:sz w:val="56"/>
                                <w:szCs w:val="56"/>
                              </w:rPr>
                              <w:t xml:space="preserve"> 20</w:t>
                            </w:r>
                            <w:r>
                              <w:rPr>
                                <w:rFonts w:ascii="Times New Roman" w:hAnsi="Times New Roman"/>
                                <w:sz w:val="56"/>
                                <w:szCs w:val="56"/>
                              </w:rPr>
                              <w:t>20</w:t>
                            </w:r>
                            <w:r w:rsidRPr="002C074D">
                              <w:rPr>
                                <w:rFonts w:ascii="Times New Roman" w:hAnsi="Times New Roman"/>
                                <w:sz w:val="56"/>
                                <w:szCs w:val="56"/>
                              </w:rPr>
                              <w:t xml:space="preserve"> ГОДОВ</w:t>
                            </w:r>
                          </w:p>
                          <w:p w:rsidR="007E5DFE" w:rsidRPr="00E11E0D" w:rsidRDefault="007E5DFE" w:rsidP="00953E37">
                            <w:pPr>
                              <w:jc w:val="right"/>
                              <w:rPr>
                                <w:smallCaps/>
                                <w:color w:val="404040"/>
                                <w:sz w:val="36"/>
                                <w:szCs w:val="36"/>
                              </w:rPr>
                            </w:pPr>
                            <w:r w:rsidRPr="00E11E0D">
                              <w:rPr>
                                <w:color w:val="404040"/>
                                <w:sz w:val="36"/>
                                <w:szCs w:val="36"/>
                              </w:rPr>
                              <w:t xml:space="preserve">     </w:t>
                            </w:r>
                          </w:p>
                        </w:txbxContent>
                      </wps:txbx>
                      <wps:bodyPr rot="0" vert="horz" wrap="square" lIns="1600200" tIns="0" rIns="68580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26" type="#_x0000_t202" style="position:absolute;left:0;text-align:left;margin-left:17.5pt;margin-top:311.4pt;width:560.15pt;height:305.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" filled="f" stroked="f" strokeweight=".5pt">
                <v:textbox inset="126pt,0,54pt,0">
                  <w:txbxContent>
                    <w:p w:rsidR="007E5DFE" w:rsidRPr="00E11E0D" w:rsidRDefault="007E5DFE" w:rsidP="00953E37">
                      <w:pPr>
                        <w:jc w:val="right"/>
                        <w:rPr>
                          <w:color w:val="4F81BD"/>
                          <w:sz w:val="64"/>
                          <w:szCs w:val="64"/>
                        </w:rPr>
                      </w:pPr>
                      <w:r w:rsidRPr="002C074D">
                        <w:rPr>
                          <w:rFonts w:ascii="Times New Roman" w:hAnsi="Times New Roman"/>
                          <w:sz w:val="56"/>
                          <w:szCs w:val="56"/>
                        </w:rPr>
                        <w:t>ОСНОВНЫЕ НАПРАВЛЕНИЯ БЮДЖЕТНОЙ</w:t>
                      </w:r>
                      <w:r>
                        <w:rPr>
                          <w:rFonts w:ascii="Times New Roman" w:hAnsi="Times New Roman"/>
                          <w:sz w:val="56"/>
                          <w:szCs w:val="56"/>
                        </w:rPr>
                        <w:t>, НАЛОГОВОЙ И ТАМОЖЕННО-ТАРИФНОЙ</w:t>
                      </w:r>
                      <w:r w:rsidRPr="002C074D">
                        <w:rPr>
                          <w:rFonts w:ascii="Times New Roman" w:hAnsi="Times New Roman"/>
                          <w:sz w:val="56"/>
                          <w:szCs w:val="56"/>
                        </w:rPr>
                        <w:t xml:space="preserve"> ПОЛИТИКИ НА 201</w:t>
                      </w:r>
                      <w:r>
                        <w:rPr>
                          <w:rFonts w:ascii="Times New Roman" w:hAnsi="Times New Roman"/>
                          <w:sz w:val="56"/>
                          <w:szCs w:val="56"/>
                        </w:rPr>
                        <w:t>8</w:t>
                      </w:r>
                      <w:r w:rsidRPr="002C074D">
                        <w:rPr>
                          <w:rFonts w:ascii="Times New Roman" w:hAnsi="Times New Roman"/>
                          <w:sz w:val="56"/>
                          <w:szCs w:val="56"/>
                        </w:rPr>
                        <w:t xml:space="preserve"> ГОД И НА ПЛАНОВЫЙ ПЕРИОД 201</w:t>
                      </w:r>
                      <w:r>
                        <w:rPr>
                          <w:rFonts w:ascii="Times New Roman" w:hAnsi="Times New Roman"/>
                          <w:sz w:val="56"/>
                          <w:szCs w:val="56"/>
                        </w:rPr>
                        <w:t>9</w:t>
                      </w:r>
                      <w:proofErr w:type="gramStart"/>
                      <w:r w:rsidRPr="002C074D">
                        <w:rPr>
                          <w:rFonts w:ascii="Times New Roman" w:hAnsi="Times New Roman"/>
                          <w:sz w:val="56"/>
                          <w:szCs w:val="56"/>
                        </w:rPr>
                        <w:t xml:space="preserve"> И</w:t>
                      </w:r>
                      <w:proofErr w:type="gramEnd"/>
                      <w:r w:rsidRPr="002C074D">
                        <w:rPr>
                          <w:rFonts w:ascii="Times New Roman" w:hAnsi="Times New Roman"/>
                          <w:sz w:val="56"/>
                          <w:szCs w:val="56"/>
                        </w:rPr>
                        <w:t xml:space="preserve"> 20</w:t>
                      </w:r>
                      <w:r>
                        <w:rPr>
                          <w:rFonts w:ascii="Times New Roman" w:hAnsi="Times New Roman"/>
                          <w:sz w:val="56"/>
                          <w:szCs w:val="56"/>
                        </w:rPr>
                        <w:t>20</w:t>
                      </w:r>
                      <w:r w:rsidRPr="002C074D">
                        <w:rPr>
                          <w:rFonts w:ascii="Times New Roman" w:hAnsi="Times New Roman"/>
                          <w:sz w:val="56"/>
                          <w:szCs w:val="56"/>
                        </w:rPr>
                        <w:t xml:space="preserve"> ГОДОВ</w:t>
                      </w:r>
                    </w:p>
                    <w:p w:rsidR="007E5DFE" w:rsidRPr="00E11E0D" w:rsidRDefault="007E5DFE" w:rsidP="00953E37">
                      <w:pPr>
                        <w:jc w:val="right"/>
                        <w:rPr>
                          <w:smallCaps/>
                          <w:color w:val="404040"/>
                          <w:sz w:val="36"/>
                          <w:szCs w:val="36"/>
                        </w:rPr>
                      </w:pPr>
                      <w:r w:rsidRPr="00E11E0D">
                        <w:rPr>
                          <w:color w:val="404040"/>
                          <w:sz w:val="36"/>
                          <w:szCs w:val="36"/>
                        </w:rPr>
                        <w:t xml:space="preserve">     </w:t>
                      </w:r>
                    </w:p>
                  </w:txbxContent>
                </v:textbox>
                <w10:wrap type="square" anchorx="page" anchory="page"/>
              </v:shape>
            </w:pict>
          </mc:Fallback>
        </mc:AlternateContent>
      </w:r>
    </w:p>
    <w:p w:rsidR="004E2069" w:rsidRPr="00695BB1" w:rsidRDefault="004E2069" w:rsidP="007413F5">
      <w:pPr>
        <w:spacing w:after="0"/>
        <w:jc w:val="center"/>
        <w:rPr>
          <w:rFonts w:ascii="Times New Roman" w:hAnsi="Times New Roman"/>
        </w:rPr>
      </w:pPr>
    </w:p>
    <w:p w:rsidR="004E2069" w:rsidRPr="00695BB1" w:rsidRDefault="004E2069" w:rsidP="007413F5">
      <w:pPr>
        <w:spacing w:after="0"/>
        <w:jc w:val="center"/>
        <w:rPr>
          <w:rFonts w:ascii="Times New Roman" w:hAnsi="Times New Roman"/>
        </w:rPr>
      </w:pPr>
    </w:p>
    <w:p w:rsidR="004E2069" w:rsidRPr="00695BB1" w:rsidRDefault="004E2069" w:rsidP="007413F5">
      <w:pPr>
        <w:spacing w:after="0"/>
        <w:jc w:val="center"/>
        <w:rPr>
          <w:rFonts w:ascii="Times New Roman" w:hAnsi="Times New Roman"/>
        </w:rPr>
      </w:pPr>
    </w:p>
    <w:p w:rsidR="004E2069" w:rsidRPr="00695BB1" w:rsidRDefault="004E2069" w:rsidP="007413F5">
      <w:pPr>
        <w:spacing w:after="0"/>
        <w:jc w:val="center"/>
        <w:rPr>
          <w:rFonts w:ascii="Times New Roman" w:hAnsi="Times New Roman"/>
        </w:rPr>
      </w:pPr>
    </w:p>
    <w:p w:rsidR="004E2069" w:rsidRPr="00695BB1" w:rsidRDefault="004E2069" w:rsidP="007413F5">
      <w:pPr>
        <w:spacing w:after="0"/>
        <w:jc w:val="center"/>
        <w:rPr>
          <w:rFonts w:ascii="Times New Roman" w:hAnsi="Times New Roman"/>
        </w:rPr>
      </w:pPr>
    </w:p>
    <w:p w:rsidR="004E2069" w:rsidRPr="00695BB1" w:rsidRDefault="004E2069" w:rsidP="007413F5">
      <w:pPr>
        <w:spacing w:after="0"/>
        <w:jc w:val="center"/>
        <w:rPr>
          <w:rFonts w:ascii="Times New Roman" w:hAnsi="Times New Roman"/>
        </w:rPr>
      </w:pPr>
    </w:p>
    <w:p w:rsidR="004E2069" w:rsidRPr="00695BB1" w:rsidRDefault="004E2069" w:rsidP="007413F5">
      <w:pPr>
        <w:spacing w:after="0"/>
        <w:jc w:val="center"/>
        <w:rPr>
          <w:rFonts w:ascii="Times New Roman" w:hAnsi="Times New Roman"/>
        </w:rPr>
      </w:pPr>
    </w:p>
    <w:p w:rsidR="004E2069" w:rsidRPr="00695BB1" w:rsidRDefault="004E2069" w:rsidP="007413F5">
      <w:pPr>
        <w:spacing w:after="0"/>
        <w:jc w:val="center"/>
        <w:rPr>
          <w:rFonts w:ascii="Times New Roman" w:hAnsi="Times New Roman"/>
        </w:rPr>
      </w:pPr>
    </w:p>
    <w:p w:rsidR="004E2069" w:rsidRPr="00695BB1" w:rsidRDefault="004E2069" w:rsidP="007413F5">
      <w:pPr>
        <w:spacing w:after="0"/>
        <w:jc w:val="center"/>
        <w:rPr>
          <w:rFonts w:ascii="Times New Roman" w:hAnsi="Times New Roman"/>
        </w:rPr>
      </w:pPr>
    </w:p>
    <w:p w:rsidR="004E2069" w:rsidRPr="00695BB1" w:rsidRDefault="004E2069" w:rsidP="007413F5">
      <w:pPr>
        <w:spacing w:after="0"/>
        <w:jc w:val="center"/>
        <w:rPr>
          <w:rFonts w:ascii="Times New Roman" w:hAnsi="Times New Roman"/>
        </w:rPr>
      </w:pPr>
    </w:p>
    <w:p w:rsidR="004E2069" w:rsidRPr="00695BB1" w:rsidRDefault="004E2069" w:rsidP="007413F5">
      <w:pPr>
        <w:spacing w:after="0"/>
        <w:jc w:val="center"/>
        <w:rPr>
          <w:rFonts w:ascii="Times New Roman" w:hAnsi="Times New Roman"/>
        </w:rPr>
      </w:pPr>
    </w:p>
    <w:p w:rsidR="004E2069" w:rsidRPr="00695BB1" w:rsidRDefault="004E2069" w:rsidP="007413F5">
      <w:pPr>
        <w:spacing w:after="0"/>
        <w:jc w:val="center"/>
        <w:rPr>
          <w:rFonts w:ascii="Times New Roman" w:hAnsi="Times New Roman"/>
        </w:rPr>
      </w:pPr>
      <w:r w:rsidRPr="00A106FE">
        <w:rPr>
          <w:rFonts w:ascii="Times New Roman" w:hAnsi="Times New Roman"/>
          <w:sz w:val="24"/>
          <w:szCs w:val="24"/>
        </w:rPr>
        <w:t>Москва, 201</w:t>
      </w:r>
      <w:r>
        <w:rPr>
          <w:rFonts w:ascii="Times New Roman" w:hAnsi="Times New Roman"/>
          <w:sz w:val="24"/>
          <w:szCs w:val="24"/>
        </w:rPr>
        <w:t>7</w:t>
      </w:r>
      <w:r w:rsidRPr="00695BB1">
        <w:rPr>
          <w:rFonts w:ascii="Times New Roman" w:hAnsi="Times New Roman"/>
        </w:rPr>
        <w:br w:type="page"/>
      </w:r>
    </w:p>
    <w:p w:rsidR="004E2069" w:rsidRPr="00E63E11" w:rsidRDefault="004E2069" w:rsidP="001C2305">
      <w:pPr>
        <w:pStyle w:val="af0"/>
        <w:spacing w:before="0" w:afterLines="60" w:after="144" w:line="288" w:lineRule="auto"/>
        <w:rPr>
          <w:b/>
          <w:lang w:val="ru-RU"/>
        </w:rPr>
      </w:pPr>
      <w:r w:rsidRPr="00E63E11">
        <w:rPr>
          <w:b/>
          <w:lang w:val="ru-RU"/>
        </w:rPr>
        <w:t>Оглавление</w:t>
      </w:r>
    </w:p>
    <w:p w:rsidR="00204AE4" w:rsidRPr="00204AE4" w:rsidRDefault="004E2069">
      <w:pPr>
        <w:pStyle w:val="12"/>
        <w:rPr>
          <w:rFonts w:ascii="Times New Roman" w:eastAsiaTheme="minorEastAsia" w:hAnsi="Times New Roman"/>
          <w:noProof/>
          <w:sz w:val="24"/>
          <w:szCs w:val="24"/>
          <w:lang w:eastAsia="ru-RU"/>
        </w:rPr>
      </w:pPr>
      <w:r w:rsidRPr="00204AE4">
        <w:rPr>
          <w:rFonts w:ascii="Times New Roman" w:hAnsi="Times New Roman"/>
          <w:sz w:val="24"/>
          <w:szCs w:val="24"/>
          <w:highlight w:val="lightGray"/>
        </w:rPr>
        <w:fldChar w:fldCharType="begin"/>
      </w:r>
      <w:r w:rsidRPr="00204AE4">
        <w:rPr>
          <w:rFonts w:ascii="Times New Roman" w:hAnsi="Times New Roman"/>
          <w:sz w:val="24"/>
          <w:szCs w:val="24"/>
          <w:highlight w:val="lightGray"/>
        </w:rPr>
        <w:instrText xml:space="preserve"> TOC \o "1-3" \h \z \u </w:instrText>
      </w:r>
      <w:r w:rsidRPr="00204AE4">
        <w:rPr>
          <w:rFonts w:ascii="Times New Roman" w:hAnsi="Times New Roman"/>
          <w:sz w:val="24"/>
          <w:szCs w:val="24"/>
          <w:highlight w:val="lightGray"/>
        </w:rPr>
        <w:fldChar w:fldCharType="separate"/>
      </w:r>
      <w:hyperlink w:anchor="_Toc494788023" w:history="1">
        <w:r w:rsidR="00204AE4" w:rsidRPr="00204AE4">
          <w:rPr>
            <w:rStyle w:val="af1"/>
            <w:rFonts w:ascii="Times New Roman" w:hAnsi="Times New Roman"/>
            <w:noProof/>
            <w:sz w:val="24"/>
            <w:szCs w:val="24"/>
          </w:rPr>
          <w:t>ВВЕДЕНИЕ</w:t>
        </w:r>
        <w:r w:rsidR="00204AE4" w:rsidRPr="00204AE4">
          <w:rPr>
            <w:rFonts w:ascii="Times New Roman" w:hAnsi="Times New Roman"/>
            <w:noProof/>
            <w:webHidden/>
            <w:sz w:val="24"/>
            <w:szCs w:val="24"/>
          </w:rPr>
          <w:tab/>
        </w:r>
        <w:r w:rsidR="00204AE4" w:rsidRPr="00204AE4">
          <w:rPr>
            <w:rFonts w:ascii="Times New Roman" w:hAnsi="Times New Roman"/>
            <w:noProof/>
            <w:webHidden/>
            <w:sz w:val="24"/>
            <w:szCs w:val="24"/>
          </w:rPr>
          <w:fldChar w:fldCharType="begin"/>
        </w:r>
        <w:r w:rsidR="00204AE4" w:rsidRPr="00204AE4">
          <w:rPr>
            <w:rFonts w:ascii="Times New Roman" w:hAnsi="Times New Roman"/>
            <w:noProof/>
            <w:webHidden/>
            <w:sz w:val="24"/>
            <w:szCs w:val="24"/>
          </w:rPr>
          <w:instrText xml:space="preserve"> PAGEREF _Toc494788023 \h </w:instrText>
        </w:r>
        <w:r w:rsidR="00204AE4" w:rsidRPr="00204AE4">
          <w:rPr>
            <w:rFonts w:ascii="Times New Roman" w:hAnsi="Times New Roman"/>
            <w:noProof/>
            <w:webHidden/>
            <w:sz w:val="24"/>
            <w:szCs w:val="24"/>
          </w:rPr>
        </w:r>
        <w:r w:rsidR="00204AE4" w:rsidRPr="00204AE4">
          <w:rPr>
            <w:rFonts w:ascii="Times New Roman" w:hAnsi="Times New Roman"/>
            <w:noProof/>
            <w:webHidden/>
            <w:sz w:val="24"/>
            <w:szCs w:val="24"/>
          </w:rPr>
          <w:fldChar w:fldCharType="separate"/>
        </w:r>
        <w:r w:rsidR="00204AE4" w:rsidRPr="00204AE4">
          <w:rPr>
            <w:rFonts w:ascii="Times New Roman" w:hAnsi="Times New Roman"/>
            <w:noProof/>
            <w:webHidden/>
            <w:sz w:val="24"/>
            <w:szCs w:val="24"/>
          </w:rPr>
          <w:t>3</w:t>
        </w:r>
        <w:r w:rsidR="00204AE4" w:rsidRPr="00204AE4">
          <w:rPr>
            <w:rFonts w:ascii="Times New Roman" w:hAnsi="Times New Roman"/>
            <w:noProof/>
            <w:webHidden/>
            <w:sz w:val="24"/>
            <w:szCs w:val="24"/>
          </w:rPr>
          <w:fldChar w:fldCharType="end"/>
        </w:r>
      </w:hyperlink>
    </w:p>
    <w:p w:rsidR="00204AE4" w:rsidRPr="00204AE4" w:rsidRDefault="00204AE4">
      <w:pPr>
        <w:pStyle w:val="12"/>
        <w:tabs>
          <w:tab w:val="left" w:pos="440"/>
        </w:tabs>
        <w:rPr>
          <w:rFonts w:ascii="Times New Roman" w:eastAsiaTheme="minorEastAsia" w:hAnsi="Times New Roman"/>
          <w:noProof/>
          <w:sz w:val="24"/>
          <w:szCs w:val="24"/>
          <w:lang w:eastAsia="ru-RU"/>
        </w:rPr>
      </w:pPr>
      <w:hyperlink w:anchor="_Toc494788024" w:history="1">
        <w:r w:rsidRPr="00204AE4">
          <w:rPr>
            <w:rStyle w:val="af1"/>
            <w:rFonts w:ascii="Times New Roman" w:hAnsi="Times New Roman"/>
            <w:caps/>
            <w:noProof/>
            <w:sz w:val="24"/>
            <w:szCs w:val="24"/>
          </w:rPr>
          <w:t>1.</w:t>
        </w:r>
        <w:r w:rsidRPr="00204AE4">
          <w:rPr>
            <w:rFonts w:ascii="Times New Roman" w:eastAsiaTheme="minorEastAsia" w:hAnsi="Times New Roman"/>
            <w:noProof/>
            <w:sz w:val="24"/>
            <w:szCs w:val="24"/>
            <w:lang w:eastAsia="ru-RU"/>
          </w:rPr>
          <w:tab/>
        </w:r>
        <w:r w:rsidRPr="00204AE4">
          <w:rPr>
            <w:rStyle w:val="af1"/>
            <w:rFonts w:ascii="Times New Roman" w:hAnsi="Times New Roman"/>
            <w:noProof/>
            <w:sz w:val="24"/>
            <w:szCs w:val="24"/>
          </w:rPr>
          <w:t>ИТОГИ РЕАЛИЗАЦИИ БЮДЖЕТНОЙ, НАЛОГОВОЙ И ТАМОЖЕННО-ТАРИФНОЙ ПОЛИТИКИ В 2015-2017 ГГ.</w:t>
        </w:r>
        <w:r w:rsidRPr="00204AE4">
          <w:rPr>
            <w:rFonts w:ascii="Times New Roman" w:hAnsi="Times New Roman"/>
            <w:noProof/>
            <w:webHidden/>
            <w:sz w:val="24"/>
            <w:szCs w:val="24"/>
          </w:rPr>
          <w:tab/>
        </w:r>
        <w:r w:rsidRPr="00204AE4">
          <w:rPr>
            <w:rFonts w:ascii="Times New Roman" w:hAnsi="Times New Roman"/>
            <w:noProof/>
            <w:webHidden/>
            <w:sz w:val="24"/>
            <w:szCs w:val="24"/>
          </w:rPr>
          <w:fldChar w:fldCharType="begin"/>
        </w:r>
        <w:r w:rsidRPr="00204AE4">
          <w:rPr>
            <w:rFonts w:ascii="Times New Roman" w:hAnsi="Times New Roman"/>
            <w:noProof/>
            <w:webHidden/>
            <w:sz w:val="24"/>
            <w:szCs w:val="24"/>
          </w:rPr>
          <w:instrText xml:space="preserve"> PAGEREF _Toc494788024 \h </w:instrText>
        </w:r>
        <w:r w:rsidRPr="00204AE4">
          <w:rPr>
            <w:rFonts w:ascii="Times New Roman" w:hAnsi="Times New Roman"/>
            <w:noProof/>
            <w:webHidden/>
            <w:sz w:val="24"/>
            <w:szCs w:val="24"/>
          </w:rPr>
        </w:r>
        <w:r w:rsidRPr="00204AE4">
          <w:rPr>
            <w:rFonts w:ascii="Times New Roman" w:hAnsi="Times New Roman"/>
            <w:noProof/>
            <w:webHidden/>
            <w:sz w:val="24"/>
            <w:szCs w:val="24"/>
          </w:rPr>
          <w:fldChar w:fldCharType="separate"/>
        </w:r>
        <w:r w:rsidRPr="00204AE4">
          <w:rPr>
            <w:rFonts w:ascii="Times New Roman" w:hAnsi="Times New Roman"/>
            <w:noProof/>
            <w:webHidden/>
            <w:sz w:val="24"/>
            <w:szCs w:val="24"/>
          </w:rPr>
          <w:t>4</w:t>
        </w:r>
        <w:r w:rsidRPr="00204AE4">
          <w:rPr>
            <w:rFonts w:ascii="Times New Roman" w:hAnsi="Times New Roman"/>
            <w:noProof/>
            <w:webHidden/>
            <w:sz w:val="24"/>
            <w:szCs w:val="24"/>
          </w:rPr>
          <w:fldChar w:fldCharType="end"/>
        </w:r>
      </w:hyperlink>
    </w:p>
    <w:p w:rsidR="00204AE4" w:rsidRPr="00204AE4" w:rsidRDefault="00204AE4">
      <w:pPr>
        <w:pStyle w:val="22"/>
        <w:rPr>
          <w:rFonts w:ascii="Times New Roman" w:eastAsiaTheme="minorEastAsia" w:hAnsi="Times New Roman"/>
          <w:noProof/>
          <w:sz w:val="24"/>
          <w:szCs w:val="24"/>
          <w:lang w:eastAsia="ru-RU"/>
        </w:rPr>
      </w:pPr>
      <w:hyperlink w:anchor="_Toc494788025" w:history="1">
        <w:r w:rsidRPr="00204AE4">
          <w:rPr>
            <w:rStyle w:val="af1"/>
            <w:rFonts w:ascii="Times New Roman" w:hAnsi="Times New Roman"/>
            <w:noProof/>
            <w:sz w:val="24"/>
            <w:szCs w:val="24"/>
          </w:rPr>
          <w:t>1.1.</w:t>
        </w:r>
        <w:r w:rsidRPr="00204AE4">
          <w:rPr>
            <w:rFonts w:ascii="Times New Roman" w:eastAsiaTheme="minorEastAsia" w:hAnsi="Times New Roman"/>
            <w:noProof/>
            <w:sz w:val="24"/>
            <w:szCs w:val="24"/>
            <w:lang w:eastAsia="ru-RU"/>
          </w:rPr>
          <w:tab/>
        </w:r>
        <w:r w:rsidRPr="00204AE4">
          <w:rPr>
            <w:rStyle w:val="af1"/>
            <w:rFonts w:ascii="Times New Roman" w:hAnsi="Times New Roman"/>
            <w:noProof/>
            <w:sz w:val="24"/>
            <w:szCs w:val="24"/>
          </w:rPr>
          <w:t>СБАЛАНСИРОВАННОСТЬ И УСТОЙЧИВОСТЬ БЮДЖЕТА</w:t>
        </w:r>
        <w:r w:rsidRPr="00204AE4">
          <w:rPr>
            <w:rFonts w:ascii="Times New Roman" w:hAnsi="Times New Roman"/>
            <w:noProof/>
            <w:webHidden/>
            <w:sz w:val="24"/>
            <w:szCs w:val="24"/>
          </w:rPr>
          <w:tab/>
        </w:r>
        <w:r w:rsidRPr="00204AE4">
          <w:rPr>
            <w:rFonts w:ascii="Times New Roman" w:hAnsi="Times New Roman"/>
            <w:noProof/>
            <w:webHidden/>
            <w:sz w:val="24"/>
            <w:szCs w:val="24"/>
          </w:rPr>
          <w:fldChar w:fldCharType="begin"/>
        </w:r>
        <w:r w:rsidRPr="00204AE4">
          <w:rPr>
            <w:rFonts w:ascii="Times New Roman" w:hAnsi="Times New Roman"/>
            <w:noProof/>
            <w:webHidden/>
            <w:sz w:val="24"/>
            <w:szCs w:val="24"/>
          </w:rPr>
          <w:instrText xml:space="preserve"> PAGEREF _Toc494788025 \h </w:instrText>
        </w:r>
        <w:r w:rsidRPr="00204AE4">
          <w:rPr>
            <w:rFonts w:ascii="Times New Roman" w:hAnsi="Times New Roman"/>
            <w:noProof/>
            <w:webHidden/>
            <w:sz w:val="24"/>
            <w:szCs w:val="24"/>
          </w:rPr>
        </w:r>
        <w:r w:rsidRPr="00204AE4">
          <w:rPr>
            <w:rFonts w:ascii="Times New Roman" w:hAnsi="Times New Roman"/>
            <w:noProof/>
            <w:webHidden/>
            <w:sz w:val="24"/>
            <w:szCs w:val="24"/>
          </w:rPr>
          <w:fldChar w:fldCharType="separate"/>
        </w:r>
        <w:r w:rsidRPr="00204AE4">
          <w:rPr>
            <w:rFonts w:ascii="Times New Roman" w:hAnsi="Times New Roman"/>
            <w:noProof/>
            <w:webHidden/>
            <w:sz w:val="24"/>
            <w:szCs w:val="24"/>
          </w:rPr>
          <w:t>8</w:t>
        </w:r>
        <w:r w:rsidRPr="00204AE4">
          <w:rPr>
            <w:rFonts w:ascii="Times New Roman" w:hAnsi="Times New Roman"/>
            <w:noProof/>
            <w:webHidden/>
            <w:sz w:val="24"/>
            <w:szCs w:val="24"/>
          </w:rPr>
          <w:fldChar w:fldCharType="end"/>
        </w:r>
      </w:hyperlink>
    </w:p>
    <w:p w:rsidR="00204AE4" w:rsidRPr="00204AE4" w:rsidRDefault="00204AE4">
      <w:pPr>
        <w:pStyle w:val="22"/>
        <w:rPr>
          <w:rFonts w:ascii="Times New Roman" w:eastAsiaTheme="minorEastAsia" w:hAnsi="Times New Roman"/>
          <w:noProof/>
          <w:sz w:val="24"/>
          <w:szCs w:val="24"/>
          <w:lang w:eastAsia="ru-RU"/>
        </w:rPr>
      </w:pPr>
      <w:hyperlink w:anchor="_Toc494788026" w:history="1">
        <w:r w:rsidRPr="00204AE4">
          <w:rPr>
            <w:rStyle w:val="af1"/>
            <w:rFonts w:ascii="Times New Roman" w:hAnsi="Times New Roman"/>
            <w:noProof/>
            <w:sz w:val="24"/>
            <w:szCs w:val="24"/>
          </w:rPr>
          <w:t>1.2.</w:t>
        </w:r>
        <w:r w:rsidRPr="00204AE4">
          <w:rPr>
            <w:rFonts w:ascii="Times New Roman" w:eastAsiaTheme="minorEastAsia" w:hAnsi="Times New Roman"/>
            <w:noProof/>
            <w:sz w:val="24"/>
            <w:szCs w:val="24"/>
            <w:lang w:eastAsia="ru-RU"/>
          </w:rPr>
          <w:tab/>
        </w:r>
        <w:r w:rsidRPr="00204AE4">
          <w:rPr>
            <w:rStyle w:val="af1"/>
            <w:rFonts w:ascii="Times New Roman" w:hAnsi="Times New Roman"/>
            <w:noProof/>
            <w:sz w:val="24"/>
            <w:szCs w:val="24"/>
          </w:rPr>
          <w:t>СТРУКТУРНАЯ ТРАНСФОРМАЦИЯ ЭКОНОМИКИ</w:t>
        </w:r>
        <w:r w:rsidRPr="00204AE4">
          <w:rPr>
            <w:rFonts w:ascii="Times New Roman" w:hAnsi="Times New Roman"/>
            <w:noProof/>
            <w:webHidden/>
            <w:sz w:val="24"/>
            <w:szCs w:val="24"/>
          </w:rPr>
          <w:tab/>
        </w:r>
        <w:r w:rsidRPr="00204AE4">
          <w:rPr>
            <w:rFonts w:ascii="Times New Roman" w:hAnsi="Times New Roman"/>
            <w:noProof/>
            <w:webHidden/>
            <w:sz w:val="24"/>
            <w:szCs w:val="24"/>
          </w:rPr>
          <w:fldChar w:fldCharType="begin"/>
        </w:r>
        <w:r w:rsidRPr="00204AE4">
          <w:rPr>
            <w:rFonts w:ascii="Times New Roman" w:hAnsi="Times New Roman"/>
            <w:noProof/>
            <w:webHidden/>
            <w:sz w:val="24"/>
            <w:szCs w:val="24"/>
          </w:rPr>
          <w:instrText xml:space="preserve"> PAGEREF _Toc494788026 \h </w:instrText>
        </w:r>
        <w:r w:rsidRPr="00204AE4">
          <w:rPr>
            <w:rFonts w:ascii="Times New Roman" w:hAnsi="Times New Roman"/>
            <w:noProof/>
            <w:webHidden/>
            <w:sz w:val="24"/>
            <w:szCs w:val="24"/>
          </w:rPr>
        </w:r>
        <w:r w:rsidRPr="00204AE4">
          <w:rPr>
            <w:rFonts w:ascii="Times New Roman" w:hAnsi="Times New Roman"/>
            <w:noProof/>
            <w:webHidden/>
            <w:sz w:val="24"/>
            <w:szCs w:val="24"/>
          </w:rPr>
          <w:fldChar w:fldCharType="separate"/>
        </w:r>
        <w:r w:rsidRPr="00204AE4">
          <w:rPr>
            <w:rFonts w:ascii="Times New Roman" w:hAnsi="Times New Roman"/>
            <w:noProof/>
            <w:webHidden/>
            <w:sz w:val="24"/>
            <w:szCs w:val="24"/>
          </w:rPr>
          <w:t>11</w:t>
        </w:r>
        <w:r w:rsidRPr="00204AE4">
          <w:rPr>
            <w:rFonts w:ascii="Times New Roman" w:hAnsi="Times New Roman"/>
            <w:noProof/>
            <w:webHidden/>
            <w:sz w:val="24"/>
            <w:szCs w:val="24"/>
          </w:rPr>
          <w:fldChar w:fldCharType="end"/>
        </w:r>
      </w:hyperlink>
    </w:p>
    <w:p w:rsidR="00204AE4" w:rsidRPr="00204AE4" w:rsidRDefault="00204AE4">
      <w:pPr>
        <w:pStyle w:val="22"/>
        <w:rPr>
          <w:rFonts w:ascii="Times New Roman" w:eastAsiaTheme="minorEastAsia" w:hAnsi="Times New Roman"/>
          <w:noProof/>
          <w:sz w:val="24"/>
          <w:szCs w:val="24"/>
          <w:lang w:eastAsia="ru-RU"/>
        </w:rPr>
      </w:pPr>
      <w:hyperlink w:anchor="_Toc494788027" w:history="1">
        <w:r w:rsidRPr="00204AE4">
          <w:rPr>
            <w:rStyle w:val="af1"/>
            <w:rFonts w:ascii="Times New Roman" w:hAnsi="Times New Roman"/>
            <w:noProof/>
            <w:sz w:val="24"/>
            <w:szCs w:val="24"/>
          </w:rPr>
          <w:t>1.3.</w:t>
        </w:r>
        <w:r w:rsidRPr="00204AE4">
          <w:rPr>
            <w:rFonts w:ascii="Times New Roman" w:eastAsiaTheme="minorEastAsia" w:hAnsi="Times New Roman"/>
            <w:noProof/>
            <w:sz w:val="24"/>
            <w:szCs w:val="24"/>
            <w:lang w:eastAsia="ru-RU"/>
          </w:rPr>
          <w:tab/>
        </w:r>
        <w:r w:rsidRPr="00204AE4">
          <w:rPr>
            <w:rStyle w:val="af1"/>
            <w:rFonts w:ascii="Times New Roman" w:hAnsi="Times New Roman"/>
            <w:noProof/>
            <w:sz w:val="24"/>
            <w:szCs w:val="24"/>
          </w:rPr>
          <w:t>ОБЕСПЕЧЕНИЕ МЕЖРЕГИОНАЛЬНОЙ ИНКЛЮЗИВНОСТИ</w:t>
        </w:r>
        <w:r w:rsidRPr="00204AE4">
          <w:rPr>
            <w:rFonts w:ascii="Times New Roman" w:hAnsi="Times New Roman"/>
            <w:noProof/>
            <w:webHidden/>
            <w:sz w:val="24"/>
            <w:szCs w:val="24"/>
          </w:rPr>
          <w:tab/>
        </w:r>
        <w:r w:rsidRPr="00204AE4">
          <w:rPr>
            <w:rFonts w:ascii="Times New Roman" w:hAnsi="Times New Roman"/>
            <w:noProof/>
            <w:webHidden/>
            <w:sz w:val="24"/>
            <w:szCs w:val="24"/>
          </w:rPr>
          <w:fldChar w:fldCharType="begin"/>
        </w:r>
        <w:r w:rsidRPr="00204AE4">
          <w:rPr>
            <w:rFonts w:ascii="Times New Roman" w:hAnsi="Times New Roman"/>
            <w:noProof/>
            <w:webHidden/>
            <w:sz w:val="24"/>
            <w:szCs w:val="24"/>
          </w:rPr>
          <w:instrText xml:space="preserve"> PAGEREF _Toc494788027 \h </w:instrText>
        </w:r>
        <w:r w:rsidRPr="00204AE4">
          <w:rPr>
            <w:rFonts w:ascii="Times New Roman" w:hAnsi="Times New Roman"/>
            <w:noProof/>
            <w:webHidden/>
            <w:sz w:val="24"/>
            <w:szCs w:val="24"/>
          </w:rPr>
        </w:r>
        <w:r w:rsidRPr="00204AE4">
          <w:rPr>
            <w:rFonts w:ascii="Times New Roman" w:hAnsi="Times New Roman"/>
            <w:noProof/>
            <w:webHidden/>
            <w:sz w:val="24"/>
            <w:szCs w:val="24"/>
          </w:rPr>
          <w:fldChar w:fldCharType="separate"/>
        </w:r>
        <w:r w:rsidRPr="00204AE4">
          <w:rPr>
            <w:rFonts w:ascii="Times New Roman" w:hAnsi="Times New Roman"/>
            <w:noProof/>
            <w:webHidden/>
            <w:sz w:val="24"/>
            <w:szCs w:val="24"/>
          </w:rPr>
          <w:t>14</w:t>
        </w:r>
        <w:r w:rsidRPr="00204AE4">
          <w:rPr>
            <w:rFonts w:ascii="Times New Roman" w:hAnsi="Times New Roman"/>
            <w:noProof/>
            <w:webHidden/>
            <w:sz w:val="24"/>
            <w:szCs w:val="24"/>
          </w:rPr>
          <w:fldChar w:fldCharType="end"/>
        </w:r>
      </w:hyperlink>
    </w:p>
    <w:p w:rsidR="00204AE4" w:rsidRPr="00204AE4" w:rsidRDefault="00204AE4">
      <w:pPr>
        <w:pStyle w:val="22"/>
        <w:rPr>
          <w:rFonts w:ascii="Times New Roman" w:eastAsiaTheme="minorEastAsia" w:hAnsi="Times New Roman"/>
          <w:noProof/>
          <w:sz w:val="24"/>
          <w:szCs w:val="24"/>
          <w:lang w:eastAsia="ru-RU"/>
        </w:rPr>
      </w:pPr>
      <w:hyperlink w:anchor="_Toc494788028" w:history="1">
        <w:r w:rsidRPr="00204AE4">
          <w:rPr>
            <w:rStyle w:val="af1"/>
            <w:rFonts w:ascii="Times New Roman" w:hAnsi="Times New Roman"/>
            <w:noProof/>
            <w:sz w:val="24"/>
            <w:szCs w:val="24"/>
          </w:rPr>
          <w:t>1.4.</w:t>
        </w:r>
        <w:r w:rsidRPr="00204AE4">
          <w:rPr>
            <w:rFonts w:ascii="Times New Roman" w:eastAsiaTheme="minorEastAsia" w:hAnsi="Times New Roman"/>
            <w:noProof/>
            <w:sz w:val="24"/>
            <w:szCs w:val="24"/>
            <w:lang w:eastAsia="ru-RU"/>
          </w:rPr>
          <w:tab/>
        </w:r>
        <w:r w:rsidRPr="00204AE4">
          <w:rPr>
            <w:rStyle w:val="af1"/>
            <w:rFonts w:ascii="Times New Roman" w:hAnsi="Times New Roman"/>
            <w:noProof/>
            <w:sz w:val="24"/>
            <w:szCs w:val="24"/>
          </w:rPr>
          <w:t>ОПЕРАЦИОННАЯ ЭФФЕКТИВНОСТЬ ИСПОЛЬЗОВАНИЯ БЮДЖЕТНЫХ СРЕДСТВ</w:t>
        </w:r>
        <w:r w:rsidRPr="00204AE4">
          <w:rPr>
            <w:rFonts w:ascii="Times New Roman" w:hAnsi="Times New Roman"/>
            <w:noProof/>
            <w:webHidden/>
            <w:sz w:val="24"/>
            <w:szCs w:val="24"/>
          </w:rPr>
          <w:tab/>
        </w:r>
        <w:r w:rsidRPr="00204AE4">
          <w:rPr>
            <w:rFonts w:ascii="Times New Roman" w:hAnsi="Times New Roman"/>
            <w:noProof/>
            <w:webHidden/>
            <w:sz w:val="24"/>
            <w:szCs w:val="24"/>
          </w:rPr>
          <w:fldChar w:fldCharType="begin"/>
        </w:r>
        <w:r w:rsidRPr="00204AE4">
          <w:rPr>
            <w:rFonts w:ascii="Times New Roman" w:hAnsi="Times New Roman"/>
            <w:noProof/>
            <w:webHidden/>
            <w:sz w:val="24"/>
            <w:szCs w:val="24"/>
          </w:rPr>
          <w:instrText xml:space="preserve"> PAGEREF _Toc494788028 \h </w:instrText>
        </w:r>
        <w:r w:rsidRPr="00204AE4">
          <w:rPr>
            <w:rFonts w:ascii="Times New Roman" w:hAnsi="Times New Roman"/>
            <w:noProof/>
            <w:webHidden/>
            <w:sz w:val="24"/>
            <w:szCs w:val="24"/>
          </w:rPr>
        </w:r>
        <w:r w:rsidRPr="00204AE4">
          <w:rPr>
            <w:rFonts w:ascii="Times New Roman" w:hAnsi="Times New Roman"/>
            <w:noProof/>
            <w:webHidden/>
            <w:sz w:val="24"/>
            <w:szCs w:val="24"/>
          </w:rPr>
          <w:fldChar w:fldCharType="separate"/>
        </w:r>
        <w:r w:rsidRPr="00204AE4">
          <w:rPr>
            <w:rFonts w:ascii="Times New Roman" w:hAnsi="Times New Roman"/>
            <w:noProof/>
            <w:webHidden/>
            <w:sz w:val="24"/>
            <w:szCs w:val="24"/>
          </w:rPr>
          <w:t>17</w:t>
        </w:r>
        <w:r w:rsidRPr="00204AE4">
          <w:rPr>
            <w:rFonts w:ascii="Times New Roman" w:hAnsi="Times New Roman"/>
            <w:noProof/>
            <w:webHidden/>
            <w:sz w:val="24"/>
            <w:szCs w:val="24"/>
          </w:rPr>
          <w:fldChar w:fldCharType="end"/>
        </w:r>
      </w:hyperlink>
    </w:p>
    <w:p w:rsidR="00204AE4" w:rsidRPr="00204AE4" w:rsidRDefault="00204AE4">
      <w:pPr>
        <w:pStyle w:val="22"/>
        <w:rPr>
          <w:rFonts w:ascii="Times New Roman" w:eastAsiaTheme="minorEastAsia" w:hAnsi="Times New Roman"/>
          <w:noProof/>
          <w:sz w:val="24"/>
          <w:szCs w:val="24"/>
          <w:lang w:eastAsia="ru-RU"/>
        </w:rPr>
      </w:pPr>
      <w:hyperlink w:anchor="_Toc494788029" w:history="1">
        <w:r w:rsidRPr="00204AE4">
          <w:rPr>
            <w:rStyle w:val="af1"/>
            <w:rFonts w:ascii="Times New Roman" w:hAnsi="Times New Roman"/>
            <w:noProof/>
            <w:sz w:val="24"/>
            <w:szCs w:val="24"/>
          </w:rPr>
          <w:t>1.5.</w:t>
        </w:r>
        <w:r w:rsidRPr="00204AE4">
          <w:rPr>
            <w:rFonts w:ascii="Times New Roman" w:eastAsiaTheme="minorEastAsia" w:hAnsi="Times New Roman"/>
            <w:noProof/>
            <w:sz w:val="24"/>
            <w:szCs w:val="24"/>
            <w:lang w:eastAsia="ru-RU"/>
          </w:rPr>
          <w:tab/>
        </w:r>
        <w:r w:rsidRPr="00204AE4">
          <w:rPr>
            <w:rStyle w:val="af1"/>
            <w:rFonts w:ascii="Times New Roman" w:hAnsi="Times New Roman"/>
            <w:noProof/>
            <w:sz w:val="24"/>
            <w:szCs w:val="24"/>
          </w:rPr>
          <w:t>ТАМОЖЕННО-ТАРИФНОЕ РЕГУЛИРОВАНИЕ</w:t>
        </w:r>
        <w:r w:rsidRPr="00204AE4">
          <w:rPr>
            <w:rFonts w:ascii="Times New Roman" w:hAnsi="Times New Roman"/>
            <w:noProof/>
            <w:webHidden/>
            <w:sz w:val="24"/>
            <w:szCs w:val="24"/>
          </w:rPr>
          <w:tab/>
        </w:r>
        <w:r w:rsidRPr="00204AE4">
          <w:rPr>
            <w:rFonts w:ascii="Times New Roman" w:hAnsi="Times New Roman"/>
            <w:noProof/>
            <w:webHidden/>
            <w:sz w:val="24"/>
            <w:szCs w:val="24"/>
          </w:rPr>
          <w:fldChar w:fldCharType="begin"/>
        </w:r>
        <w:r w:rsidRPr="00204AE4">
          <w:rPr>
            <w:rFonts w:ascii="Times New Roman" w:hAnsi="Times New Roman"/>
            <w:noProof/>
            <w:webHidden/>
            <w:sz w:val="24"/>
            <w:szCs w:val="24"/>
          </w:rPr>
          <w:instrText xml:space="preserve"> PAGEREF _Toc494788029 \h </w:instrText>
        </w:r>
        <w:r w:rsidRPr="00204AE4">
          <w:rPr>
            <w:rFonts w:ascii="Times New Roman" w:hAnsi="Times New Roman"/>
            <w:noProof/>
            <w:webHidden/>
            <w:sz w:val="24"/>
            <w:szCs w:val="24"/>
          </w:rPr>
        </w:r>
        <w:r w:rsidRPr="00204AE4">
          <w:rPr>
            <w:rFonts w:ascii="Times New Roman" w:hAnsi="Times New Roman"/>
            <w:noProof/>
            <w:webHidden/>
            <w:sz w:val="24"/>
            <w:szCs w:val="24"/>
          </w:rPr>
          <w:fldChar w:fldCharType="separate"/>
        </w:r>
        <w:r w:rsidRPr="00204AE4">
          <w:rPr>
            <w:rFonts w:ascii="Times New Roman" w:hAnsi="Times New Roman"/>
            <w:noProof/>
            <w:webHidden/>
            <w:sz w:val="24"/>
            <w:szCs w:val="24"/>
          </w:rPr>
          <w:t>20</w:t>
        </w:r>
        <w:r w:rsidRPr="00204AE4">
          <w:rPr>
            <w:rFonts w:ascii="Times New Roman" w:hAnsi="Times New Roman"/>
            <w:noProof/>
            <w:webHidden/>
            <w:sz w:val="24"/>
            <w:szCs w:val="24"/>
          </w:rPr>
          <w:fldChar w:fldCharType="end"/>
        </w:r>
      </w:hyperlink>
    </w:p>
    <w:p w:rsidR="00204AE4" w:rsidRPr="00204AE4" w:rsidRDefault="00204AE4">
      <w:pPr>
        <w:pStyle w:val="12"/>
        <w:tabs>
          <w:tab w:val="left" w:pos="440"/>
        </w:tabs>
        <w:rPr>
          <w:rFonts w:ascii="Times New Roman" w:eastAsiaTheme="minorEastAsia" w:hAnsi="Times New Roman"/>
          <w:noProof/>
          <w:sz w:val="24"/>
          <w:szCs w:val="24"/>
          <w:lang w:eastAsia="ru-RU"/>
        </w:rPr>
      </w:pPr>
      <w:hyperlink w:anchor="_Toc494788030" w:history="1">
        <w:r w:rsidRPr="00204AE4">
          <w:rPr>
            <w:rStyle w:val="af1"/>
            <w:rFonts w:ascii="Times New Roman" w:hAnsi="Times New Roman"/>
            <w:noProof/>
            <w:sz w:val="24"/>
            <w:szCs w:val="24"/>
          </w:rPr>
          <w:t>2.</w:t>
        </w:r>
        <w:r w:rsidRPr="00204AE4">
          <w:rPr>
            <w:rFonts w:ascii="Times New Roman" w:eastAsiaTheme="minorEastAsia" w:hAnsi="Times New Roman"/>
            <w:noProof/>
            <w:sz w:val="24"/>
            <w:szCs w:val="24"/>
            <w:lang w:eastAsia="ru-RU"/>
          </w:rPr>
          <w:tab/>
        </w:r>
        <w:r w:rsidRPr="00204AE4">
          <w:rPr>
            <w:rStyle w:val="af1"/>
            <w:rFonts w:ascii="Times New Roman" w:hAnsi="Times New Roman"/>
            <w:noProof/>
            <w:sz w:val="24"/>
            <w:szCs w:val="24"/>
          </w:rPr>
          <w:t>УСЛОВИЯ РЕАЛИЗАЦИИ БЮДЖЕТНОЙ, НАЛОГОВОЙ И ТАМОЖЕННО-ТАРИФНОЙ ПОЛИТИКИ В 2018-2020 ГОДАХ</w:t>
        </w:r>
        <w:r w:rsidRPr="00204AE4">
          <w:rPr>
            <w:rFonts w:ascii="Times New Roman" w:hAnsi="Times New Roman"/>
            <w:noProof/>
            <w:webHidden/>
            <w:sz w:val="24"/>
            <w:szCs w:val="24"/>
          </w:rPr>
          <w:tab/>
        </w:r>
        <w:r w:rsidRPr="00204AE4">
          <w:rPr>
            <w:rFonts w:ascii="Times New Roman" w:hAnsi="Times New Roman"/>
            <w:noProof/>
            <w:webHidden/>
            <w:sz w:val="24"/>
            <w:szCs w:val="24"/>
          </w:rPr>
          <w:fldChar w:fldCharType="begin"/>
        </w:r>
        <w:r w:rsidRPr="00204AE4">
          <w:rPr>
            <w:rFonts w:ascii="Times New Roman" w:hAnsi="Times New Roman"/>
            <w:noProof/>
            <w:webHidden/>
            <w:sz w:val="24"/>
            <w:szCs w:val="24"/>
          </w:rPr>
          <w:instrText xml:space="preserve"> PAGEREF _Toc494788030 \h </w:instrText>
        </w:r>
        <w:r w:rsidRPr="00204AE4">
          <w:rPr>
            <w:rFonts w:ascii="Times New Roman" w:hAnsi="Times New Roman"/>
            <w:noProof/>
            <w:webHidden/>
            <w:sz w:val="24"/>
            <w:szCs w:val="24"/>
          </w:rPr>
        </w:r>
        <w:r w:rsidRPr="00204AE4">
          <w:rPr>
            <w:rFonts w:ascii="Times New Roman" w:hAnsi="Times New Roman"/>
            <w:noProof/>
            <w:webHidden/>
            <w:sz w:val="24"/>
            <w:szCs w:val="24"/>
          </w:rPr>
          <w:fldChar w:fldCharType="separate"/>
        </w:r>
        <w:r w:rsidRPr="00204AE4">
          <w:rPr>
            <w:rFonts w:ascii="Times New Roman" w:hAnsi="Times New Roman"/>
            <w:noProof/>
            <w:webHidden/>
            <w:sz w:val="24"/>
            <w:szCs w:val="24"/>
          </w:rPr>
          <w:t>21</w:t>
        </w:r>
        <w:r w:rsidRPr="00204AE4">
          <w:rPr>
            <w:rFonts w:ascii="Times New Roman" w:hAnsi="Times New Roman"/>
            <w:noProof/>
            <w:webHidden/>
            <w:sz w:val="24"/>
            <w:szCs w:val="24"/>
          </w:rPr>
          <w:fldChar w:fldCharType="end"/>
        </w:r>
      </w:hyperlink>
    </w:p>
    <w:p w:rsidR="00204AE4" w:rsidRPr="00204AE4" w:rsidRDefault="00204AE4">
      <w:pPr>
        <w:pStyle w:val="22"/>
        <w:rPr>
          <w:rFonts w:ascii="Times New Roman" w:eastAsiaTheme="minorEastAsia" w:hAnsi="Times New Roman"/>
          <w:noProof/>
          <w:sz w:val="24"/>
          <w:szCs w:val="24"/>
          <w:lang w:eastAsia="ru-RU"/>
        </w:rPr>
      </w:pPr>
      <w:hyperlink w:anchor="_Toc494788031" w:history="1">
        <w:r w:rsidRPr="00204AE4">
          <w:rPr>
            <w:rStyle w:val="af1"/>
            <w:rFonts w:ascii="Times New Roman" w:hAnsi="Times New Roman"/>
            <w:noProof/>
            <w:sz w:val="24"/>
            <w:szCs w:val="24"/>
          </w:rPr>
          <w:t>2.1.</w:t>
        </w:r>
        <w:r w:rsidRPr="00204AE4">
          <w:rPr>
            <w:rFonts w:ascii="Times New Roman" w:eastAsiaTheme="minorEastAsia" w:hAnsi="Times New Roman"/>
            <w:noProof/>
            <w:sz w:val="24"/>
            <w:szCs w:val="24"/>
            <w:lang w:eastAsia="ru-RU"/>
          </w:rPr>
          <w:tab/>
        </w:r>
        <w:r w:rsidRPr="00204AE4">
          <w:rPr>
            <w:rStyle w:val="af1"/>
            <w:rFonts w:ascii="Times New Roman" w:hAnsi="Times New Roman"/>
            <w:noProof/>
            <w:sz w:val="24"/>
            <w:szCs w:val="24"/>
          </w:rPr>
          <w:t>ВНЕШНИЕ УСЛОВИЯ</w:t>
        </w:r>
        <w:r w:rsidRPr="00204AE4">
          <w:rPr>
            <w:rFonts w:ascii="Times New Roman" w:hAnsi="Times New Roman"/>
            <w:noProof/>
            <w:webHidden/>
            <w:sz w:val="24"/>
            <w:szCs w:val="24"/>
          </w:rPr>
          <w:tab/>
        </w:r>
        <w:r w:rsidRPr="00204AE4">
          <w:rPr>
            <w:rFonts w:ascii="Times New Roman" w:hAnsi="Times New Roman"/>
            <w:noProof/>
            <w:webHidden/>
            <w:sz w:val="24"/>
            <w:szCs w:val="24"/>
          </w:rPr>
          <w:fldChar w:fldCharType="begin"/>
        </w:r>
        <w:r w:rsidRPr="00204AE4">
          <w:rPr>
            <w:rFonts w:ascii="Times New Roman" w:hAnsi="Times New Roman"/>
            <w:noProof/>
            <w:webHidden/>
            <w:sz w:val="24"/>
            <w:szCs w:val="24"/>
          </w:rPr>
          <w:instrText xml:space="preserve"> PAGEREF _Toc494788031 \h </w:instrText>
        </w:r>
        <w:r w:rsidRPr="00204AE4">
          <w:rPr>
            <w:rFonts w:ascii="Times New Roman" w:hAnsi="Times New Roman"/>
            <w:noProof/>
            <w:webHidden/>
            <w:sz w:val="24"/>
            <w:szCs w:val="24"/>
          </w:rPr>
        </w:r>
        <w:r w:rsidRPr="00204AE4">
          <w:rPr>
            <w:rFonts w:ascii="Times New Roman" w:hAnsi="Times New Roman"/>
            <w:noProof/>
            <w:webHidden/>
            <w:sz w:val="24"/>
            <w:szCs w:val="24"/>
          </w:rPr>
          <w:fldChar w:fldCharType="separate"/>
        </w:r>
        <w:r w:rsidRPr="00204AE4">
          <w:rPr>
            <w:rFonts w:ascii="Times New Roman" w:hAnsi="Times New Roman"/>
            <w:noProof/>
            <w:webHidden/>
            <w:sz w:val="24"/>
            <w:szCs w:val="24"/>
          </w:rPr>
          <w:t>21</w:t>
        </w:r>
        <w:r w:rsidRPr="00204AE4">
          <w:rPr>
            <w:rFonts w:ascii="Times New Roman" w:hAnsi="Times New Roman"/>
            <w:noProof/>
            <w:webHidden/>
            <w:sz w:val="24"/>
            <w:szCs w:val="24"/>
          </w:rPr>
          <w:fldChar w:fldCharType="end"/>
        </w:r>
      </w:hyperlink>
    </w:p>
    <w:p w:rsidR="00204AE4" w:rsidRPr="00204AE4" w:rsidRDefault="00204AE4">
      <w:pPr>
        <w:pStyle w:val="22"/>
        <w:rPr>
          <w:rFonts w:ascii="Times New Roman" w:eastAsiaTheme="minorEastAsia" w:hAnsi="Times New Roman"/>
          <w:noProof/>
          <w:sz w:val="24"/>
          <w:szCs w:val="24"/>
          <w:lang w:eastAsia="ru-RU"/>
        </w:rPr>
      </w:pPr>
      <w:hyperlink w:anchor="_Toc494788032" w:history="1">
        <w:r w:rsidRPr="00204AE4">
          <w:rPr>
            <w:rStyle w:val="af1"/>
            <w:rFonts w:ascii="Times New Roman" w:hAnsi="Times New Roman"/>
            <w:noProof/>
            <w:sz w:val="24"/>
            <w:szCs w:val="24"/>
          </w:rPr>
          <w:t>2.2.</w:t>
        </w:r>
        <w:r w:rsidRPr="00204AE4">
          <w:rPr>
            <w:rFonts w:ascii="Times New Roman" w:eastAsiaTheme="minorEastAsia" w:hAnsi="Times New Roman"/>
            <w:noProof/>
            <w:sz w:val="24"/>
            <w:szCs w:val="24"/>
            <w:lang w:eastAsia="ru-RU"/>
          </w:rPr>
          <w:tab/>
        </w:r>
        <w:r w:rsidRPr="00204AE4">
          <w:rPr>
            <w:rStyle w:val="af1"/>
            <w:rFonts w:ascii="Times New Roman" w:hAnsi="Times New Roman"/>
            <w:noProof/>
            <w:sz w:val="24"/>
            <w:szCs w:val="24"/>
          </w:rPr>
          <w:t>ВНУТРЕННИЕ УСЛОВИЯ</w:t>
        </w:r>
        <w:r w:rsidRPr="00204AE4">
          <w:rPr>
            <w:rFonts w:ascii="Times New Roman" w:hAnsi="Times New Roman"/>
            <w:noProof/>
            <w:webHidden/>
            <w:sz w:val="24"/>
            <w:szCs w:val="24"/>
          </w:rPr>
          <w:tab/>
        </w:r>
        <w:r w:rsidRPr="00204AE4">
          <w:rPr>
            <w:rFonts w:ascii="Times New Roman" w:hAnsi="Times New Roman"/>
            <w:noProof/>
            <w:webHidden/>
            <w:sz w:val="24"/>
            <w:szCs w:val="24"/>
          </w:rPr>
          <w:fldChar w:fldCharType="begin"/>
        </w:r>
        <w:r w:rsidRPr="00204AE4">
          <w:rPr>
            <w:rFonts w:ascii="Times New Roman" w:hAnsi="Times New Roman"/>
            <w:noProof/>
            <w:webHidden/>
            <w:sz w:val="24"/>
            <w:szCs w:val="24"/>
          </w:rPr>
          <w:instrText xml:space="preserve"> PAGEREF _Toc494788032 \h </w:instrText>
        </w:r>
        <w:r w:rsidRPr="00204AE4">
          <w:rPr>
            <w:rFonts w:ascii="Times New Roman" w:hAnsi="Times New Roman"/>
            <w:noProof/>
            <w:webHidden/>
            <w:sz w:val="24"/>
            <w:szCs w:val="24"/>
          </w:rPr>
        </w:r>
        <w:r w:rsidRPr="00204AE4">
          <w:rPr>
            <w:rFonts w:ascii="Times New Roman" w:hAnsi="Times New Roman"/>
            <w:noProof/>
            <w:webHidden/>
            <w:sz w:val="24"/>
            <w:szCs w:val="24"/>
          </w:rPr>
          <w:fldChar w:fldCharType="separate"/>
        </w:r>
        <w:r w:rsidRPr="00204AE4">
          <w:rPr>
            <w:rFonts w:ascii="Times New Roman" w:hAnsi="Times New Roman"/>
            <w:noProof/>
            <w:webHidden/>
            <w:sz w:val="24"/>
            <w:szCs w:val="24"/>
          </w:rPr>
          <w:t>26</w:t>
        </w:r>
        <w:r w:rsidRPr="00204AE4">
          <w:rPr>
            <w:rFonts w:ascii="Times New Roman" w:hAnsi="Times New Roman"/>
            <w:noProof/>
            <w:webHidden/>
            <w:sz w:val="24"/>
            <w:szCs w:val="24"/>
          </w:rPr>
          <w:fldChar w:fldCharType="end"/>
        </w:r>
      </w:hyperlink>
    </w:p>
    <w:p w:rsidR="00204AE4" w:rsidRPr="00204AE4" w:rsidRDefault="00204AE4">
      <w:pPr>
        <w:pStyle w:val="22"/>
        <w:rPr>
          <w:rFonts w:ascii="Times New Roman" w:eastAsiaTheme="minorEastAsia" w:hAnsi="Times New Roman"/>
          <w:noProof/>
          <w:sz w:val="24"/>
          <w:szCs w:val="24"/>
          <w:lang w:eastAsia="ru-RU"/>
        </w:rPr>
      </w:pPr>
      <w:hyperlink w:anchor="_Toc494788033" w:history="1">
        <w:r w:rsidRPr="00204AE4">
          <w:rPr>
            <w:rStyle w:val="af1"/>
            <w:rFonts w:ascii="Times New Roman" w:hAnsi="Times New Roman"/>
            <w:noProof/>
            <w:sz w:val="24"/>
            <w:szCs w:val="24"/>
          </w:rPr>
          <w:t>2.3.</w:t>
        </w:r>
        <w:r w:rsidRPr="00204AE4">
          <w:rPr>
            <w:rFonts w:ascii="Times New Roman" w:eastAsiaTheme="minorEastAsia" w:hAnsi="Times New Roman"/>
            <w:noProof/>
            <w:sz w:val="24"/>
            <w:szCs w:val="24"/>
            <w:lang w:eastAsia="ru-RU"/>
          </w:rPr>
          <w:tab/>
        </w:r>
        <w:r w:rsidRPr="00204AE4">
          <w:rPr>
            <w:rStyle w:val="af1"/>
            <w:rFonts w:ascii="Times New Roman" w:hAnsi="Times New Roman"/>
            <w:noProof/>
            <w:sz w:val="24"/>
            <w:szCs w:val="24"/>
          </w:rPr>
          <w:t>ОСНОВНЫЕ ПАРАМЕТРЫ ПРОГНОЗА  СОЦИАЛЬНО-ЭКОНОМИЧЕСКОГО РАЗВИТИЯ</w:t>
        </w:r>
        <w:r w:rsidRPr="00204AE4">
          <w:rPr>
            <w:rFonts w:ascii="Times New Roman" w:hAnsi="Times New Roman"/>
            <w:noProof/>
            <w:webHidden/>
            <w:sz w:val="24"/>
            <w:szCs w:val="24"/>
          </w:rPr>
          <w:tab/>
        </w:r>
        <w:r w:rsidRPr="00204AE4">
          <w:rPr>
            <w:rFonts w:ascii="Times New Roman" w:hAnsi="Times New Roman"/>
            <w:noProof/>
            <w:webHidden/>
            <w:sz w:val="24"/>
            <w:szCs w:val="24"/>
          </w:rPr>
          <w:fldChar w:fldCharType="begin"/>
        </w:r>
        <w:r w:rsidRPr="00204AE4">
          <w:rPr>
            <w:rFonts w:ascii="Times New Roman" w:hAnsi="Times New Roman"/>
            <w:noProof/>
            <w:webHidden/>
            <w:sz w:val="24"/>
            <w:szCs w:val="24"/>
          </w:rPr>
          <w:instrText xml:space="preserve"> PAGEREF _Toc494788033 \h </w:instrText>
        </w:r>
        <w:r w:rsidRPr="00204AE4">
          <w:rPr>
            <w:rFonts w:ascii="Times New Roman" w:hAnsi="Times New Roman"/>
            <w:noProof/>
            <w:webHidden/>
            <w:sz w:val="24"/>
            <w:szCs w:val="24"/>
          </w:rPr>
        </w:r>
        <w:r w:rsidRPr="00204AE4">
          <w:rPr>
            <w:rFonts w:ascii="Times New Roman" w:hAnsi="Times New Roman"/>
            <w:noProof/>
            <w:webHidden/>
            <w:sz w:val="24"/>
            <w:szCs w:val="24"/>
          </w:rPr>
          <w:fldChar w:fldCharType="separate"/>
        </w:r>
        <w:r w:rsidRPr="00204AE4">
          <w:rPr>
            <w:rFonts w:ascii="Times New Roman" w:hAnsi="Times New Roman"/>
            <w:noProof/>
            <w:webHidden/>
            <w:sz w:val="24"/>
            <w:szCs w:val="24"/>
          </w:rPr>
          <w:t>29</w:t>
        </w:r>
        <w:r w:rsidRPr="00204AE4">
          <w:rPr>
            <w:rFonts w:ascii="Times New Roman" w:hAnsi="Times New Roman"/>
            <w:noProof/>
            <w:webHidden/>
            <w:sz w:val="24"/>
            <w:szCs w:val="24"/>
          </w:rPr>
          <w:fldChar w:fldCharType="end"/>
        </w:r>
      </w:hyperlink>
    </w:p>
    <w:p w:rsidR="00204AE4" w:rsidRPr="00204AE4" w:rsidRDefault="00204AE4">
      <w:pPr>
        <w:pStyle w:val="12"/>
        <w:tabs>
          <w:tab w:val="left" w:pos="440"/>
        </w:tabs>
        <w:rPr>
          <w:rFonts w:ascii="Times New Roman" w:eastAsiaTheme="minorEastAsia" w:hAnsi="Times New Roman"/>
          <w:noProof/>
          <w:sz w:val="24"/>
          <w:szCs w:val="24"/>
          <w:lang w:eastAsia="ru-RU"/>
        </w:rPr>
      </w:pPr>
      <w:hyperlink w:anchor="_Toc494788034" w:history="1">
        <w:r w:rsidRPr="00204AE4">
          <w:rPr>
            <w:rStyle w:val="af1"/>
            <w:rFonts w:ascii="Times New Roman" w:hAnsi="Times New Roman"/>
            <w:noProof/>
            <w:sz w:val="24"/>
            <w:szCs w:val="24"/>
          </w:rPr>
          <w:t>3.</w:t>
        </w:r>
        <w:r w:rsidRPr="00204AE4">
          <w:rPr>
            <w:rFonts w:ascii="Times New Roman" w:eastAsiaTheme="minorEastAsia" w:hAnsi="Times New Roman"/>
            <w:noProof/>
            <w:sz w:val="24"/>
            <w:szCs w:val="24"/>
            <w:lang w:eastAsia="ru-RU"/>
          </w:rPr>
          <w:tab/>
        </w:r>
        <w:r w:rsidRPr="00204AE4">
          <w:rPr>
            <w:rStyle w:val="af1"/>
            <w:rFonts w:ascii="Times New Roman" w:hAnsi="Times New Roman"/>
            <w:noProof/>
            <w:sz w:val="24"/>
            <w:szCs w:val="24"/>
          </w:rPr>
          <w:t>ЦЕЛИ И ЗАДАЧИ БЮДЖЕТНОЙ, НАЛОГОВОЙ И ТАМОЖЕННО-ТАРИФНОЙ ПОЛИТИКИ НА ПЕРИОД 2018-2020 ГОДОВ</w:t>
        </w:r>
        <w:r w:rsidRPr="00204AE4">
          <w:rPr>
            <w:rFonts w:ascii="Times New Roman" w:hAnsi="Times New Roman"/>
            <w:noProof/>
            <w:webHidden/>
            <w:sz w:val="24"/>
            <w:szCs w:val="24"/>
          </w:rPr>
          <w:tab/>
        </w:r>
        <w:r w:rsidRPr="00204AE4">
          <w:rPr>
            <w:rFonts w:ascii="Times New Roman" w:hAnsi="Times New Roman"/>
            <w:noProof/>
            <w:webHidden/>
            <w:sz w:val="24"/>
            <w:szCs w:val="24"/>
          </w:rPr>
          <w:fldChar w:fldCharType="begin"/>
        </w:r>
        <w:r w:rsidRPr="00204AE4">
          <w:rPr>
            <w:rFonts w:ascii="Times New Roman" w:hAnsi="Times New Roman"/>
            <w:noProof/>
            <w:webHidden/>
            <w:sz w:val="24"/>
            <w:szCs w:val="24"/>
          </w:rPr>
          <w:instrText xml:space="preserve"> PAGEREF _Toc494788034 \h </w:instrText>
        </w:r>
        <w:r w:rsidRPr="00204AE4">
          <w:rPr>
            <w:rFonts w:ascii="Times New Roman" w:hAnsi="Times New Roman"/>
            <w:noProof/>
            <w:webHidden/>
            <w:sz w:val="24"/>
            <w:szCs w:val="24"/>
          </w:rPr>
        </w:r>
        <w:r w:rsidRPr="00204AE4">
          <w:rPr>
            <w:rFonts w:ascii="Times New Roman" w:hAnsi="Times New Roman"/>
            <w:noProof/>
            <w:webHidden/>
            <w:sz w:val="24"/>
            <w:szCs w:val="24"/>
          </w:rPr>
          <w:fldChar w:fldCharType="separate"/>
        </w:r>
        <w:r w:rsidRPr="00204AE4">
          <w:rPr>
            <w:rFonts w:ascii="Times New Roman" w:hAnsi="Times New Roman"/>
            <w:noProof/>
            <w:webHidden/>
            <w:sz w:val="24"/>
            <w:szCs w:val="24"/>
          </w:rPr>
          <w:t>31</w:t>
        </w:r>
        <w:r w:rsidRPr="00204AE4">
          <w:rPr>
            <w:rFonts w:ascii="Times New Roman" w:hAnsi="Times New Roman"/>
            <w:noProof/>
            <w:webHidden/>
            <w:sz w:val="24"/>
            <w:szCs w:val="24"/>
          </w:rPr>
          <w:fldChar w:fldCharType="end"/>
        </w:r>
      </w:hyperlink>
    </w:p>
    <w:p w:rsidR="00204AE4" w:rsidRPr="00204AE4" w:rsidRDefault="00204AE4">
      <w:pPr>
        <w:pStyle w:val="22"/>
        <w:rPr>
          <w:rFonts w:ascii="Times New Roman" w:eastAsiaTheme="minorEastAsia" w:hAnsi="Times New Roman"/>
          <w:noProof/>
          <w:sz w:val="24"/>
          <w:szCs w:val="24"/>
          <w:lang w:eastAsia="ru-RU"/>
        </w:rPr>
      </w:pPr>
      <w:hyperlink w:anchor="_Toc494788035" w:history="1">
        <w:r w:rsidRPr="00204AE4">
          <w:rPr>
            <w:rStyle w:val="af1"/>
            <w:rFonts w:ascii="Times New Roman" w:hAnsi="Times New Roman"/>
            <w:noProof/>
            <w:sz w:val="24"/>
            <w:szCs w:val="24"/>
          </w:rPr>
          <w:t>3.1.</w:t>
        </w:r>
        <w:r w:rsidRPr="00204AE4">
          <w:rPr>
            <w:rFonts w:ascii="Times New Roman" w:eastAsiaTheme="minorEastAsia" w:hAnsi="Times New Roman"/>
            <w:noProof/>
            <w:sz w:val="24"/>
            <w:szCs w:val="24"/>
            <w:lang w:eastAsia="ru-RU"/>
          </w:rPr>
          <w:tab/>
        </w:r>
        <w:r w:rsidRPr="00204AE4">
          <w:rPr>
            <w:rStyle w:val="af1"/>
            <w:rFonts w:ascii="Times New Roman" w:hAnsi="Times New Roman"/>
            <w:noProof/>
            <w:sz w:val="24"/>
            <w:szCs w:val="24"/>
          </w:rPr>
          <w:t>ПРЕДСКАЗУЕМАЯ И УСТОЙЧИВАЯ СРЕДА</w:t>
        </w:r>
        <w:r w:rsidRPr="00204AE4">
          <w:rPr>
            <w:rFonts w:ascii="Times New Roman" w:hAnsi="Times New Roman"/>
            <w:noProof/>
            <w:webHidden/>
            <w:sz w:val="24"/>
            <w:szCs w:val="24"/>
          </w:rPr>
          <w:tab/>
        </w:r>
        <w:r w:rsidRPr="00204AE4">
          <w:rPr>
            <w:rFonts w:ascii="Times New Roman" w:hAnsi="Times New Roman"/>
            <w:noProof/>
            <w:webHidden/>
            <w:sz w:val="24"/>
            <w:szCs w:val="24"/>
          </w:rPr>
          <w:fldChar w:fldCharType="begin"/>
        </w:r>
        <w:r w:rsidRPr="00204AE4">
          <w:rPr>
            <w:rFonts w:ascii="Times New Roman" w:hAnsi="Times New Roman"/>
            <w:noProof/>
            <w:webHidden/>
            <w:sz w:val="24"/>
            <w:szCs w:val="24"/>
          </w:rPr>
          <w:instrText xml:space="preserve"> PAGEREF _Toc494788035 \h </w:instrText>
        </w:r>
        <w:r w:rsidRPr="00204AE4">
          <w:rPr>
            <w:rFonts w:ascii="Times New Roman" w:hAnsi="Times New Roman"/>
            <w:noProof/>
            <w:webHidden/>
            <w:sz w:val="24"/>
            <w:szCs w:val="24"/>
          </w:rPr>
        </w:r>
        <w:r w:rsidRPr="00204AE4">
          <w:rPr>
            <w:rFonts w:ascii="Times New Roman" w:hAnsi="Times New Roman"/>
            <w:noProof/>
            <w:webHidden/>
            <w:sz w:val="24"/>
            <w:szCs w:val="24"/>
          </w:rPr>
          <w:fldChar w:fldCharType="separate"/>
        </w:r>
        <w:r w:rsidRPr="00204AE4">
          <w:rPr>
            <w:rFonts w:ascii="Times New Roman" w:hAnsi="Times New Roman"/>
            <w:noProof/>
            <w:webHidden/>
            <w:sz w:val="24"/>
            <w:szCs w:val="24"/>
          </w:rPr>
          <w:t>31</w:t>
        </w:r>
        <w:r w:rsidRPr="00204AE4">
          <w:rPr>
            <w:rFonts w:ascii="Times New Roman" w:hAnsi="Times New Roman"/>
            <w:noProof/>
            <w:webHidden/>
            <w:sz w:val="24"/>
            <w:szCs w:val="24"/>
          </w:rPr>
          <w:fldChar w:fldCharType="end"/>
        </w:r>
      </w:hyperlink>
    </w:p>
    <w:p w:rsidR="00204AE4" w:rsidRPr="00204AE4" w:rsidRDefault="00204AE4">
      <w:pPr>
        <w:pStyle w:val="22"/>
        <w:rPr>
          <w:rFonts w:ascii="Times New Roman" w:eastAsiaTheme="minorEastAsia" w:hAnsi="Times New Roman"/>
          <w:noProof/>
          <w:sz w:val="24"/>
          <w:szCs w:val="24"/>
          <w:lang w:eastAsia="ru-RU"/>
        </w:rPr>
      </w:pPr>
      <w:hyperlink w:anchor="_Toc494788036" w:history="1">
        <w:r w:rsidRPr="00204AE4">
          <w:rPr>
            <w:rStyle w:val="af1"/>
            <w:rFonts w:ascii="Times New Roman" w:hAnsi="Times New Roman"/>
            <w:noProof/>
            <w:sz w:val="24"/>
            <w:szCs w:val="24"/>
          </w:rPr>
          <w:t>3.2.</w:t>
        </w:r>
        <w:r w:rsidRPr="00204AE4">
          <w:rPr>
            <w:rFonts w:ascii="Times New Roman" w:eastAsiaTheme="minorEastAsia" w:hAnsi="Times New Roman"/>
            <w:noProof/>
            <w:sz w:val="24"/>
            <w:szCs w:val="24"/>
            <w:lang w:eastAsia="ru-RU"/>
          </w:rPr>
          <w:tab/>
        </w:r>
        <w:r w:rsidRPr="00204AE4">
          <w:rPr>
            <w:rStyle w:val="af1"/>
            <w:rFonts w:ascii="Times New Roman" w:hAnsi="Times New Roman"/>
            <w:noProof/>
            <w:sz w:val="24"/>
            <w:szCs w:val="24"/>
          </w:rPr>
          <w:t>СТРУКТУРНАЯ ТРАНСФОРМАЦИЯ ЭКОНОМИКИ</w:t>
        </w:r>
        <w:r w:rsidRPr="00204AE4">
          <w:rPr>
            <w:rFonts w:ascii="Times New Roman" w:hAnsi="Times New Roman"/>
            <w:noProof/>
            <w:webHidden/>
            <w:sz w:val="24"/>
            <w:szCs w:val="24"/>
          </w:rPr>
          <w:tab/>
        </w:r>
        <w:r w:rsidRPr="00204AE4">
          <w:rPr>
            <w:rFonts w:ascii="Times New Roman" w:hAnsi="Times New Roman"/>
            <w:noProof/>
            <w:webHidden/>
            <w:sz w:val="24"/>
            <w:szCs w:val="24"/>
          </w:rPr>
          <w:fldChar w:fldCharType="begin"/>
        </w:r>
        <w:r w:rsidRPr="00204AE4">
          <w:rPr>
            <w:rFonts w:ascii="Times New Roman" w:hAnsi="Times New Roman"/>
            <w:noProof/>
            <w:webHidden/>
            <w:sz w:val="24"/>
            <w:szCs w:val="24"/>
          </w:rPr>
          <w:instrText xml:space="preserve"> PAGEREF _Toc494788036 \h </w:instrText>
        </w:r>
        <w:r w:rsidRPr="00204AE4">
          <w:rPr>
            <w:rFonts w:ascii="Times New Roman" w:hAnsi="Times New Roman"/>
            <w:noProof/>
            <w:webHidden/>
            <w:sz w:val="24"/>
            <w:szCs w:val="24"/>
          </w:rPr>
        </w:r>
        <w:r w:rsidRPr="00204AE4">
          <w:rPr>
            <w:rFonts w:ascii="Times New Roman" w:hAnsi="Times New Roman"/>
            <w:noProof/>
            <w:webHidden/>
            <w:sz w:val="24"/>
            <w:szCs w:val="24"/>
          </w:rPr>
          <w:fldChar w:fldCharType="separate"/>
        </w:r>
        <w:r w:rsidRPr="00204AE4">
          <w:rPr>
            <w:rFonts w:ascii="Times New Roman" w:hAnsi="Times New Roman"/>
            <w:noProof/>
            <w:webHidden/>
            <w:sz w:val="24"/>
            <w:szCs w:val="24"/>
          </w:rPr>
          <w:t>37</w:t>
        </w:r>
        <w:r w:rsidRPr="00204AE4">
          <w:rPr>
            <w:rFonts w:ascii="Times New Roman" w:hAnsi="Times New Roman"/>
            <w:noProof/>
            <w:webHidden/>
            <w:sz w:val="24"/>
            <w:szCs w:val="24"/>
          </w:rPr>
          <w:fldChar w:fldCharType="end"/>
        </w:r>
      </w:hyperlink>
    </w:p>
    <w:p w:rsidR="00204AE4" w:rsidRPr="00204AE4" w:rsidRDefault="00204AE4">
      <w:pPr>
        <w:pStyle w:val="22"/>
        <w:rPr>
          <w:rFonts w:ascii="Times New Roman" w:eastAsiaTheme="minorEastAsia" w:hAnsi="Times New Roman"/>
          <w:noProof/>
          <w:sz w:val="24"/>
          <w:szCs w:val="24"/>
          <w:lang w:eastAsia="ru-RU"/>
        </w:rPr>
      </w:pPr>
      <w:hyperlink w:anchor="_Toc494788037" w:history="1">
        <w:r w:rsidRPr="00204AE4">
          <w:rPr>
            <w:rStyle w:val="af1"/>
            <w:rFonts w:ascii="Times New Roman" w:hAnsi="Times New Roman"/>
            <w:noProof/>
            <w:sz w:val="24"/>
            <w:szCs w:val="24"/>
          </w:rPr>
          <w:t>3.3.</w:t>
        </w:r>
        <w:r w:rsidRPr="00204AE4">
          <w:rPr>
            <w:rFonts w:ascii="Times New Roman" w:eastAsiaTheme="minorEastAsia" w:hAnsi="Times New Roman"/>
            <w:noProof/>
            <w:sz w:val="24"/>
            <w:szCs w:val="24"/>
            <w:lang w:eastAsia="ru-RU"/>
          </w:rPr>
          <w:tab/>
        </w:r>
        <w:r w:rsidRPr="00204AE4">
          <w:rPr>
            <w:rStyle w:val="af1"/>
            <w:rFonts w:ascii="Times New Roman" w:hAnsi="Times New Roman"/>
            <w:noProof/>
            <w:sz w:val="24"/>
            <w:szCs w:val="24"/>
          </w:rPr>
          <w:t>ОПЕРАЦИОННАЯ ЭФФЕКТИВНОСТЬ ИСПОЛЬЗОВАНИЯ БЮДЖЕТНЫХ СРЕДСТВ</w:t>
        </w:r>
        <w:r w:rsidRPr="00204AE4">
          <w:rPr>
            <w:rFonts w:ascii="Times New Roman" w:hAnsi="Times New Roman"/>
            <w:noProof/>
            <w:webHidden/>
            <w:sz w:val="24"/>
            <w:szCs w:val="24"/>
          </w:rPr>
          <w:tab/>
        </w:r>
        <w:r w:rsidRPr="00204AE4">
          <w:rPr>
            <w:rFonts w:ascii="Times New Roman" w:hAnsi="Times New Roman"/>
            <w:noProof/>
            <w:webHidden/>
            <w:sz w:val="24"/>
            <w:szCs w:val="24"/>
          </w:rPr>
          <w:fldChar w:fldCharType="begin"/>
        </w:r>
        <w:r w:rsidRPr="00204AE4">
          <w:rPr>
            <w:rFonts w:ascii="Times New Roman" w:hAnsi="Times New Roman"/>
            <w:noProof/>
            <w:webHidden/>
            <w:sz w:val="24"/>
            <w:szCs w:val="24"/>
          </w:rPr>
          <w:instrText xml:space="preserve"> PAGEREF _Toc494788037 \h </w:instrText>
        </w:r>
        <w:r w:rsidRPr="00204AE4">
          <w:rPr>
            <w:rFonts w:ascii="Times New Roman" w:hAnsi="Times New Roman"/>
            <w:noProof/>
            <w:webHidden/>
            <w:sz w:val="24"/>
            <w:szCs w:val="24"/>
          </w:rPr>
        </w:r>
        <w:r w:rsidRPr="00204AE4">
          <w:rPr>
            <w:rFonts w:ascii="Times New Roman" w:hAnsi="Times New Roman"/>
            <w:noProof/>
            <w:webHidden/>
            <w:sz w:val="24"/>
            <w:szCs w:val="24"/>
          </w:rPr>
          <w:fldChar w:fldCharType="separate"/>
        </w:r>
        <w:r w:rsidRPr="00204AE4">
          <w:rPr>
            <w:rFonts w:ascii="Times New Roman" w:hAnsi="Times New Roman"/>
            <w:noProof/>
            <w:webHidden/>
            <w:sz w:val="24"/>
            <w:szCs w:val="24"/>
          </w:rPr>
          <w:t>49</w:t>
        </w:r>
        <w:r w:rsidRPr="00204AE4">
          <w:rPr>
            <w:rFonts w:ascii="Times New Roman" w:hAnsi="Times New Roman"/>
            <w:noProof/>
            <w:webHidden/>
            <w:sz w:val="24"/>
            <w:szCs w:val="24"/>
          </w:rPr>
          <w:fldChar w:fldCharType="end"/>
        </w:r>
      </w:hyperlink>
    </w:p>
    <w:p w:rsidR="00204AE4" w:rsidRPr="00204AE4" w:rsidRDefault="00204AE4">
      <w:pPr>
        <w:pStyle w:val="22"/>
        <w:rPr>
          <w:rFonts w:ascii="Times New Roman" w:eastAsiaTheme="minorEastAsia" w:hAnsi="Times New Roman"/>
          <w:noProof/>
          <w:sz w:val="24"/>
          <w:szCs w:val="24"/>
          <w:lang w:eastAsia="ru-RU"/>
        </w:rPr>
      </w:pPr>
      <w:hyperlink w:anchor="_Toc494788038" w:history="1">
        <w:r w:rsidRPr="00204AE4">
          <w:rPr>
            <w:rStyle w:val="af1"/>
            <w:rFonts w:ascii="Times New Roman" w:hAnsi="Times New Roman"/>
            <w:noProof/>
            <w:sz w:val="24"/>
            <w:szCs w:val="24"/>
          </w:rPr>
          <w:t>3.4.</w:t>
        </w:r>
        <w:r w:rsidRPr="00204AE4">
          <w:rPr>
            <w:rFonts w:ascii="Times New Roman" w:eastAsiaTheme="minorEastAsia" w:hAnsi="Times New Roman"/>
            <w:noProof/>
            <w:sz w:val="24"/>
            <w:szCs w:val="24"/>
            <w:lang w:eastAsia="ru-RU"/>
          </w:rPr>
          <w:tab/>
        </w:r>
        <w:r w:rsidRPr="00204AE4">
          <w:rPr>
            <w:rStyle w:val="af1"/>
            <w:rFonts w:ascii="Times New Roman" w:hAnsi="Times New Roman"/>
            <w:noProof/>
            <w:sz w:val="24"/>
            <w:szCs w:val="24"/>
          </w:rPr>
          <w:t>РАЗВИТИЕ СИСТЕМЫ МЕЖБЮДЖЕТНЫХ ОТНОШЕНИЙ</w:t>
        </w:r>
        <w:r w:rsidRPr="00204AE4">
          <w:rPr>
            <w:rFonts w:ascii="Times New Roman" w:hAnsi="Times New Roman"/>
            <w:noProof/>
            <w:webHidden/>
            <w:sz w:val="24"/>
            <w:szCs w:val="24"/>
          </w:rPr>
          <w:tab/>
        </w:r>
        <w:r w:rsidRPr="00204AE4">
          <w:rPr>
            <w:rFonts w:ascii="Times New Roman" w:hAnsi="Times New Roman"/>
            <w:noProof/>
            <w:webHidden/>
            <w:sz w:val="24"/>
            <w:szCs w:val="24"/>
          </w:rPr>
          <w:fldChar w:fldCharType="begin"/>
        </w:r>
        <w:r w:rsidRPr="00204AE4">
          <w:rPr>
            <w:rFonts w:ascii="Times New Roman" w:hAnsi="Times New Roman"/>
            <w:noProof/>
            <w:webHidden/>
            <w:sz w:val="24"/>
            <w:szCs w:val="24"/>
          </w:rPr>
          <w:instrText xml:space="preserve"> PAGEREF _Toc494788038 \h </w:instrText>
        </w:r>
        <w:r w:rsidRPr="00204AE4">
          <w:rPr>
            <w:rFonts w:ascii="Times New Roman" w:hAnsi="Times New Roman"/>
            <w:noProof/>
            <w:webHidden/>
            <w:sz w:val="24"/>
            <w:szCs w:val="24"/>
          </w:rPr>
        </w:r>
        <w:r w:rsidRPr="00204AE4">
          <w:rPr>
            <w:rFonts w:ascii="Times New Roman" w:hAnsi="Times New Roman"/>
            <w:noProof/>
            <w:webHidden/>
            <w:sz w:val="24"/>
            <w:szCs w:val="24"/>
          </w:rPr>
          <w:fldChar w:fldCharType="separate"/>
        </w:r>
        <w:r w:rsidRPr="00204AE4">
          <w:rPr>
            <w:rFonts w:ascii="Times New Roman" w:hAnsi="Times New Roman"/>
            <w:noProof/>
            <w:webHidden/>
            <w:sz w:val="24"/>
            <w:szCs w:val="24"/>
          </w:rPr>
          <w:t>52</w:t>
        </w:r>
        <w:r w:rsidRPr="00204AE4">
          <w:rPr>
            <w:rFonts w:ascii="Times New Roman" w:hAnsi="Times New Roman"/>
            <w:noProof/>
            <w:webHidden/>
            <w:sz w:val="24"/>
            <w:szCs w:val="24"/>
          </w:rPr>
          <w:fldChar w:fldCharType="end"/>
        </w:r>
      </w:hyperlink>
    </w:p>
    <w:p w:rsidR="00204AE4" w:rsidRPr="00204AE4" w:rsidRDefault="00204AE4">
      <w:pPr>
        <w:pStyle w:val="22"/>
        <w:rPr>
          <w:rFonts w:ascii="Times New Roman" w:eastAsiaTheme="minorEastAsia" w:hAnsi="Times New Roman"/>
          <w:noProof/>
          <w:sz w:val="24"/>
          <w:szCs w:val="24"/>
          <w:lang w:eastAsia="ru-RU"/>
        </w:rPr>
      </w:pPr>
      <w:hyperlink w:anchor="_Toc494788039" w:history="1">
        <w:r w:rsidRPr="00204AE4">
          <w:rPr>
            <w:rStyle w:val="af1"/>
            <w:rFonts w:ascii="Times New Roman" w:hAnsi="Times New Roman"/>
            <w:noProof/>
            <w:sz w:val="24"/>
            <w:szCs w:val="24"/>
          </w:rPr>
          <w:t>3.5.</w:t>
        </w:r>
        <w:r w:rsidRPr="00204AE4">
          <w:rPr>
            <w:rFonts w:ascii="Times New Roman" w:eastAsiaTheme="minorEastAsia" w:hAnsi="Times New Roman"/>
            <w:noProof/>
            <w:sz w:val="24"/>
            <w:szCs w:val="24"/>
            <w:lang w:eastAsia="ru-RU"/>
          </w:rPr>
          <w:tab/>
        </w:r>
        <w:r w:rsidRPr="00204AE4">
          <w:rPr>
            <w:rStyle w:val="af1"/>
            <w:rFonts w:ascii="Times New Roman" w:hAnsi="Times New Roman"/>
            <w:noProof/>
            <w:sz w:val="24"/>
            <w:szCs w:val="24"/>
          </w:rPr>
          <w:t>ТАМОЖЕННО-ТАРИФНОЕ РЕГУЛИРОВАНИЕ</w:t>
        </w:r>
        <w:r w:rsidRPr="00204AE4">
          <w:rPr>
            <w:rFonts w:ascii="Times New Roman" w:hAnsi="Times New Roman"/>
            <w:noProof/>
            <w:webHidden/>
            <w:sz w:val="24"/>
            <w:szCs w:val="24"/>
          </w:rPr>
          <w:tab/>
        </w:r>
        <w:r w:rsidRPr="00204AE4">
          <w:rPr>
            <w:rFonts w:ascii="Times New Roman" w:hAnsi="Times New Roman"/>
            <w:noProof/>
            <w:webHidden/>
            <w:sz w:val="24"/>
            <w:szCs w:val="24"/>
          </w:rPr>
          <w:fldChar w:fldCharType="begin"/>
        </w:r>
        <w:r w:rsidRPr="00204AE4">
          <w:rPr>
            <w:rFonts w:ascii="Times New Roman" w:hAnsi="Times New Roman"/>
            <w:noProof/>
            <w:webHidden/>
            <w:sz w:val="24"/>
            <w:szCs w:val="24"/>
          </w:rPr>
          <w:instrText xml:space="preserve"> PAGEREF _Toc494788039 \h </w:instrText>
        </w:r>
        <w:r w:rsidRPr="00204AE4">
          <w:rPr>
            <w:rFonts w:ascii="Times New Roman" w:hAnsi="Times New Roman"/>
            <w:noProof/>
            <w:webHidden/>
            <w:sz w:val="24"/>
            <w:szCs w:val="24"/>
          </w:rPr>
        </w:r>
        <w:r w:rsidRPr="00204AE4">
          <w:rPr>
            <w:rFonts w:ascii="Times New Roman" w:hAnsi="Times New Roman"/>
            <w:noProof/>
            <w:webHidden/>
            <w:sz w:val="24"/>
            <w:szCs w:val="24"/>
          </w:rPr>
          <w:fldChar w:fldCharType="separate"/>
        </w:r>
        <w:r w:rsidRPr="00204AE4">
          <w:rPr>
            <w:rFonts w:ascii="Times New Roman" w:hAnsi="Times New Roman"/>
            <w:noProof/>
            <w:webHidden/>
            <w:sz w:val="24"/>
            <w:szCs w:val="24"/>
          </w:rPr>
          <w:t>58</w:t>
        </w:r>
        <w:r w:rsidRPr="00204AE4">
          <w:rPr>
            <w:rFonts w:ascii="Times New Roman" w:hAnsi="Times New Roman"/>
            <w:noProof/>
            <w:webHidden/>
            <w:sz w:val="24"/>
            <w:szCs w:val="24"/>
          </w:rPr>
          <w:fldChar w:fldCharType="end"/>
        </w:r>
      </w:hyperlink>
    </w:p>
    <w:p w:rsidR="00204AE4" w:rsidRPr="00204AE4" w:rsidRDefault="00204AE4">
      <w:pPr>
        <w:pStyle w:val="12"/>
        <w:tabs>
          <w:tab w:val="left" w:pos="440"/>
        </w:tabs>
        <w:rPr>
          <w:rFonts w:ascii="Times New Roman" w:eastAsiaTheme="minorEastAsia" w:hAnsi="Times New Roman"/>
          <w:noProof/>
          <w:sz w:val="24"/>
          <w:szCs w:val="24"/>
          <w:lang w:eastAsia="ru-RU"/>
        </w:rPr>
      </w:pPr>
      <w:hyperlink w:anchor="_Toc494788040" w:history="1">
        <w:r w:rsidRPr="00204AE4">
          <w:rPr>
            <w:rStyle w:val="af1"/>
            <w:rFonts w:ascii="Times New Roman" w:hAnsi="Times New Roman"/>
            <w:noProof/>
            <w:sz w:val="24"/>
            <w:szCs w:val="24"/>
          </w:rPr>
          <w:t>4.</w:t>
        </w:r>
        <w:r w:rsidRPr="00204AE4">
          <w:rPr>
            <w:rFonts w:ascii="Times New Roman" w:eastAsiaTheme="minorEastAsia" w:hAnsi="Times New Roman"/>
            <w:noProof/>
            <w:sz w:val="24"/>
            <w:szCs w:val="24"/>
            <w:lang w:eastAsia="ru-RU"/>
          </w:rPr>
          <w:tab/>
        </w:r>
        <w:r w:rsidRPr="00204AE4">
          <w:rPr>
            <w:rStyle w:val="af1"/>
            <w:rFonts w:ascii="Times New Roman" w:hAnsi="Times New Roman"/>
            <w:noProof/>
            <w:sz w:val="24"/>
            <w:szCs w:val="24"/>
          </w:rPr>
          <w:t>ОСНОВНЫЕ ПАРАМЕТРЫ БЮДЖЕТНОЙ СИСТЕМЫ</w:t>
        </w:r>
        <w:r w:rsidRPr="00204AE4">
          <w:rPr>
            <w:rFonts w:ascii="Times New Roman" w:hAnsi="Times New Roman"/>
            <w:noProof/>
            <w:webHidden/>
            <w:sz w:val="24"/>
            <w:szCs w:val="24"/>
          </w:rPr>
          <w:tab/>
        </w:r>
        <w:r w:rsidRPr="00204AE4">
          <w:rPr>
            <w:rFonts w:ascii="Times New Roman" w:hAnsi="Times New Roman"/>
            <w:noProof/>
            <w:webHidden/>
            <w:sz w:val="24"/>
            <w:szCs w:val="24"/>
          </w:rPr>
          <w:fldChar w:fldCharType="begin"/>
        </w:r>
        <w:r w:rsidRPr="00204AE4">
          <w:rPr>
            <w:rFonts w:ascii="Times New Roman" w:hAnsi="Times New Roman"/>
            <w:noProof/>
            <w:webHidden/>
            <w:sz w:val="24"/>
            <w:szCs w:val="24"/>
          </w:rPr>
          <w:instrText xml:space="preserve"> PAGEREF _Toc494788040 \h </w:instrText>
        </w:r>
        <w:r w:rsidRPr="00204AE4">
          <w:rPr>
            <w:rFonts w:ascii="Times New Roman" w:hAnsi="Times New Roman"/>
            <w:noProof/>
            <w:webHidden/>
            <w:sz w:val="24"/>
            <w:szCs w:val="24"/>
          </w:rPr>
        </w:r>
        <w:r w:rsidRPr="00204AE4">
          <w:rPr>
            <w:rFonts w:ascii="Times New Roman" w:hAnsi="Times New Roman"/>
            <w:noProof/>
            <w:webHidden/>
            <w:sz w:val="24"/>
            <w:szCs w:val="24"/>
          </w:rPr>
          <w:fldChar w:fldCharType="separate"/>
        </w:r>
        <w:r w:rsidRPr="00204AE4">
          <w:rPr>
            <w:rFonts w:ascii="Times New Roman" w:hAnsi="Times New Roman"/>
            <w:noProof/>
            <w:webHidden/>
            <w:sz w:val="24"/>
            <w:szCs w:val="24"/>
          </w:rPr>
          <w:t>64</w:t>
        </w:r>
        <w:r w:rsidRPr="00204AE4">
          <w:rPr>
            <w:rFonts w:ascii="Times New Roman" w:hAnsi="Times New Roman"/>
            <w:noProof/>
            <w:webHidden/>
            <w:sz w:val="24"/>
            <w:szCs w:val="24"/>
          </w:rPr>
          <w:fldChar w:fldCharType="end"/>
        </w:r>
      </w:hyperlink>
    </w:p>
    <w:p w:rsidR="00204AE4" w:rsidRPr="00204AE4" w:rsidRDefault="00204AE4">
      <w:pPr>
        <w:pStyle w:val="22"/>
        <w:rPr>
          <w:rFonts w:ascii="Times New Roman" w:eastAsiaTheme="minorEastAsia" w:hAnsi="Times New Roman"/>
          <w:noProof/>
          <w:sz w:val="24"/>
          <w:szCs w:val="24"/>
          <w:lang w:eastAsia="ru-RU"/>
        </w:rPr>
      </w:pPr>
      <w:hyperlink w:anchor="_Toc494788041" w:history="1">
        <w:r w:rsidRPr="00204AE4">
          <w:rPr>
            <w:rStyle w:val="af1"/>
            <w:rFonts w:ascii="Times New Roman" w:hAnsi="Times New Roman"/>
            <w:noProof/>
            <w:sz w:val="24"/>
            <w:szCs w:val="24"/>
          </w:rPr>
          <w:t>4.1.</w:t>
        </w:r>
        <w:r w:rsidRPr="00204AE4">
          <w:rPr>
            <w:rFonts w:ascii="Times New Roman" w:eastAsiaTheme="minorEastAsia" w:hAnsi="Times New Roman"/>
            <w:noProof/>
            <w:sz w:val="24"/>
            <w:szCs w:val="24"/>
            <w:lang w:eastAsia="ru-RU"/>
          </w:rPr>
          <w:tab/>
        </w:r>
        <w:r w:rsidRPr="00204AE4">
          <w:rPr>
            <w:rStyle w:val="af1"/>
            <w:rFonts w:ascii="Times New Roman" w:hAnsi="Times New Roman"/>
            <w:noProof/>
            <w:sz w:val="24"/>
            <w:szCs w:val="24"/>
          </w:rPr>
          <w:t>ФЕДЕРАЛЬНЫЙ БЮДЖЕТ</w:t>
        </w:r>
        <w:r w:rsidRPr="00204AE4">
          <w:rPr>
            <w:rFonts w:ascii="Times New Roman" w:hAnsi="Times New Roman"/>
            <w:noProof/>
            <w:webHidden/>
            <w:sz w:val="24"/>
            <w:szCs w:val="24"/>
          </w:rPr>
          <w:tab/>
        </w:r>
        <w:r w:rsidRPr="00204AE4">
          <w:rPr>
            <w:rFonts w:ascii="Times New Roman" w:hAnsi="Times New Roman"/>
            <w:noProof/>
            <w:webHidden/>
            <w:sz w:val="24"/>
            <w:szCs w:val="24"/>
          </w:rPr>
          <w:fldChar w:fldCharType="begin"/>
        </w:r>
        <w:r w:rsidRPr="00204AE4">
          <w:rPr>
            <w:rFonts w:ascii="Times New Roman" w:hAnsi="Times New Roman"/>
            <w:noProof/>
            <w:webHidden/>
            <w:sz w:val="24"/>
            <w:szCs w:val="24"/>
          </w:rPr>
          <w:instrText xml:space="preserve"> PAGEREF _Toc494788041 \h </w:instrText>
        </w:r>
        <w:r w:rsidRPr="00204AE4">
          <w:rPr>
            <w:rFonts w:ascii="Times New Roman" w:hAnsi="Times New Roman"/>
            <w:noProof/>
            <w:webHidden/>
            <w:sz w:val="24"/>
            <w:szCs w:val="24"/>
          </w:rPr>
        </w:r>
        <w:r w:rsidRPr="00204AE4">
          <w:rPr>
            <w:rFonts w:ascii="Times New Roman" w:hAnsi="Times New Roman"/>
            <w:noProof/>
            <w:webHidden/>
            <w:sz w:val="24"/>
            <w:szCs w:val="24"/>
          </w:rPr>
          <w:fldChar w:fldCharType="separate"/>
        </w:r>
        <w:r w:rsidRPr="00204AE4">
          <w:rPr>
            <w:rFonts w:ascii="Times New Roman" w:hAnsi="Times New Roman"/>
            <w:noProof/>
            <w:webHidden/>
            <w:sz w:val="24"/>
            <w:szCs w:val="24"/>
          </w:rPr>
          <w:t>64</w:t>
        </w:r>
        <w:r w:rsidRPr="00204AE4">
          <w:rPr>
            <w:rFonts w:ascii="Times New Roman" w:hAnsi="Times New Roman"/>
            <w:noProof/>
            <w:webHidden/>
            <w:sz w:val="24"/>
            <w:szCs w:val="24"/>
          </w:rPr>
          <w:fldChar w:fldCharType="end"/>
        </w:r>
      </w:hyperlink>
    </w:p>
    <w:p w:rsidR="00204AE4" w:rsidRPr="00204AE4" w:rsidRDefault="00204AE4">
      <w:pPr>
        <w:pStyle w:val="22"/>
        <w:rPr>
          <w:rFonts w:ascii="Times New Roman" w:eastAsiaTheme="minorEastAsia" w:hAnsi="Times New Roman"/>
          <w:noProof/>
          <w:sz w:val="24"/>
          <w:szCs w:val="24"/>
          <w:lang w:eastAsia="ru-RU"/>
        </w:rPr>
      </w:pPr>
      <w:hyperlink w:anchor="_Toc494788042" w:history="1">
        <w:r w:rsidRPr="00204AE4">
          <w:rPr>
            <w:rStyle w:val="af1"/>
            <w:rFonts w:ascii="Times New Roman" w:hAnsi="Times New Roman"/>
            <w:noProof/>
            <w:sz w:val="24"/>
            <w:szCs w:val="24"/>
          </w:rPr>
          <w:t>4.2.</w:t>
        </w:r>
        <w:r w:rsidRPr="00204AE4">
          <w:rPr>
            <w:rFonts w:ascii="Times New Roman" w:eastAsiaTheme="minorEastAsia" w:hAnsi="Times New Roman"/>
            <w:noProof/>
            <w:sz w:val="24"/>
            <w:szCs w:val="24"/>
            <w:lang w:eastAsia="ru-RU"/>
          </w:rPr>
          <w:tab/>
        </w:r>
        <w:r w:rsidRPr="00204AE4">
          <w:rPr>
            <w:rStyle w:val="af1"/>
            <w:rFonts w:ascii="Times New Roman" w:hAnsi="Times New Roman"/>
            <w:noProof/>
            <w:sz w:val="24"/>
            <w:szCs w:val="24"/>
          </w:rPr>
          <w:t>БЮДЖЕТЫ СУБЪЕКТОВ РОССИЙСКОЙ ФЕДЕРАЦИИ</w:t>
        </w:r>
        <w:r w:rsidRPr="00204AE4">
          <w:rPr>
            <w:rFonts w:ascii="Times New Roman" w:hAnsi="Times New Roman"/>
            <w:noProof/>
            <w:webHidden/>
            <w:sz w:val="24"/>
            <w:szCs w:val="24"/>
          </w:rPr>
          <w:tab/>
        </w:r>
        <w:r w:rsidRPr="00204AE4">
          <w:rPr>
            <w:rFonts w:ascii="Times New Roman" w:hAnsi="Times New Roman"/>
            <w:noProof/>
            <w:webHidden/>
            <w:sz w:val="24"/>
            <w:szCs w:val="24"/>
          </w:rPr>
          <w:fldChar w:fldCharType="begin"/>
        </w:r>
        <w:r w:rsidRPr="00204AE4">
          <w:rPr>
            <w:rFonts w:ascii="Times New Roman" w:hAnsi="Times New Roman"/>
            <w:noProof/>
            <w:webHidden/>
            <w:sz w:val="24"/>
            <w:szCs w:val="24"/>
          </w:rPr>
          <w:instrText xml:space="preserve"> PAGEREF _Toc494788042 \h </w:instrText>
        </w:r>
        <w:r w:rsidRPr="00204AE4">
          <w:rPr>
            <w:rFonts w:ascii="Times New Roman" w:hAnsi="Times New Roman"/>
            <w:noProof/>
            <w:webHidden/>
            <w:sz w:val="24"/>
            <w:szCs w:val="24"/>
          </w:rPr>
        </w:r>
        <w:r w:rsidRPr="00204AE4">
          <w:rPr>
            <w:rFonts w:ascii="Times New Roman" w:hAnsi="Times New Roman"/>
            <w:noProof/>
            <w:webHidden/>
            <w:sz w:val="24"/>
            <w:szCs w:val="24"/>
          </w:rPr>
          <w:fldChar w:fldCharType="separate"/>
        </w:r>
        <w:r w:rsidRPr="00204AE4">
          <w:rPr>
            <w:rFonts w:ascii="Times New Roman" w:hAnsi="Times New Roman"/>
            <w:noProof/>
            <w:webHidden/>
            <w:sz w:val="24"/>
            <w:szCs w:val="24"/>
          </w:rPr>
          <w:t>70</w:t>
        </w:r>
        <w:r w:rsidRPr="00204AE4">
          <w:rPr>
            <w:rFonts w:ascii="Times New Roman" w:hAnsi="Times New Roman"/>
            <w:noProof/>
            <w:webHidden/>
            <w:sz w:val="24"/>
            <w:szCs w:val="24"/>
          </w:rPr>
          <w:fldChar w:fldCharType="end"/>
        </w:r>
      </w:hyperlink>
    </w:p>
    <w:p w:rsidR="00204AE4" w:rsidRPr="00204AE4" w:rsidRDefault="00204AE4">
      <w:pPr>
        <w:pStyle w:val="22"/>
        <w:rPr>
          <w:rFonts w:ascii="Times New Roman" w:eastAsiaTheme="minorEastAsia" w:hAnsi="Times New Roman"/>
          <w:noProof/>
          <w:sz w:val="24"/>
          <w:szCs w:val="24"/>
          <w:lang w:eastAsia="ru-RU"/>
        </w:rPr>
      </w:pPr>
      <w:hyperlink w:anchor="_Toc494788043" w:history="1">
        <w:r w:rsidRPr="00204AE4">
          <w:rPr>
            <w:rStyle w:val="af1"/>
            <w:rFonts w:ascii="Times New Roman" w:hAnsi="Times New Roman"/>
            <w:noProof/>
            <w:sz w:val="24"/>
            <w:szCs w:val="24"/>
          </w:rPr>
          <w:t>4.3.</w:t>
        </w:r>
        <w:r w:rsidRPr="00204AE4">
          <w:rPr>
            <w:rFonts w:ascii="Times New Roman" w:eastAsiaTheme="minorEastAsia" w:hAnsi="Times New Roman"/>
            <w:noProof/>
            <w:sz w:val="24"/>
            <w:szCs w:val="24"/>
            <w:lang w:eastAsia="ru-RU"/>
          </w:rPr>
          <w:tab/>
        </w:r>
        <w:r w:rsidRPr="00204AE4">
          <w:rPr>
            <w:rStyle w:val="af1"/>
            <w:rFonts w:ascii="Times New Roman" w:hAnsi="Times New Roman"/>
            <w:noProof/>
            <w:sz w:val="24"/>
            <w:szCs w:val="24"/>
          </w:rPr>
          <w:t>ГОСУДАРСТВЕННЫЕ ВНЕБЮДЖЕТНЫЕ ФОНДЫ</w:t>
        </w:r>
        <w:r w:rsidRPr="00204AE4">
          <w:rPr>
            <w:rFonts w:ascii="Times New Roman" w:hAnsi="Times New Roman"/>
            <w:noProof/>
            <w:webHidden/>
            <w:sz w:val="24"/>
            <w:szCs w:val="24"/>
          </w:rPr>
          <w:tab/>
        </w:r>
        <w:r w:rsidRPr="00204AE4">
          <w:rPr>
            <w:rFonts w:ascii="Times New Roman" w:hAnsi="Times New Roman"/>
            <w:noProof/>
            <w:webHidden/>
            <w:sz w:val="24"/>
            <w:szCs w:val="24"/>
          </w:rPr>
          <w:fldChar w:fldCharType="begin"/>
        </w:r>
        <w:r w:rsidRPr="00204AE4">
          <w:rPr>
            <w:rFonts w:ascii="Times New Roman" w:hAnsi="Times New Roman"/>
            <w:noProof/>
            <w:webHidden/>
            <w:sz w:val="24"/>
            <w:szCs w:val="24"/>
          </w:rPr>
          <w:instrText xml:space="preserve"> PAGEREF _Toc494788043 \h </w:instrText>
        </w:r>
        <w:r w:rsidRPr="00204AE4">
          <w:rPr>
            <w:rFonts w:ascii="Times New Roman" w:hAnsi="Times New Roman"/>
            <w:noProof/>
            <w:webHidden/>
            <w:sz w:val="24"/>
            <w:szCs w:val="24"/>
          </w:rPr>
        </w:r>
        <w:r w:rsidRPr="00204AE4">
          <w:rPr>
            <w:rFonts w:ascii="Times New Roman" w:hAnsi="Times New Roman"/>
            <w:noProof/>
            <w:webHidden/>
            <w:sz w:val="24"/>
            <w:szCs w:val="24"/>
          </w:rPr>
          <w:fldChar w:fldCharType="separate"/>
        </w:r>
        <w:r w:rsidRPr="00204AE4">
          <w:rPr>
            <w:rFonts w:ascii="Times New Roman" w:hAnsi="Times New Roman"/>
            <w:noProof/>
            <w:webHidden/>
            <w:sz w:val="24"/>
            <w:szCs w:val="24"/>
          </w:rPr>
          <w:t>73</w:t>
        </w:r>
        <w:r w:rsidRPr="00204AE4">
          <w:rPr>
            <w:rFonts w:ascii="Times New Roman" w:hAnsi="Times New Roman"/>
            <w:noProof/>
            <w:webHidden/>
            <w:sz w:val="24"/>
            <w:szCs w:val="24"/>
          </w:rPr>
          <w:fldChar w:fldCharType="end"/>
        </w:r>
      </w:hyperlink>
    </w:p>
    <w:p w:rsidR="00204AE4" w:rsidRDefault="00204AE4">
      <w:pPr>
        <w:pStyle w:val="22"/>
        <w:rPr>
          <w:rStyle w:val="af1"/>
          <w:rFonts w:ascii="Times New Roman" w:hAnsi="Times New Roman"/>
          <w:noProof/>
          <w:sz w:val="24"/>
          <w:szCs w:val="24"/>
        </w:rPr>
      </w:pPr>
      <w:hyperlink w:anchor="_Toc494788044" w:history="1">
        <w:r w:rsidRPr="00204AE4">
          <w:rPr>
            <w:rStyle w:val="af1"/>
            <w:rFonts w:ascii="Times New Roman" w:hAnsi="Times New Roman"/>
            <w:noProof/>
            <w:sz w:val="24"/>
            <w:szCs w:val="24"/>
          </w:rPr>
          <w:t>4.4.</w:t>
        </w:r>
        <w:r w:rsidRPr="00204AE4">
          <w:rPr>
            <w:rFonts w:ascii="Times New Roman" w:eastAsiaTheme="minorEastAsia" w:hAnsi="Times New Roman"/>
            <w:noProof/>
            <w:sz w:val="24"/>
            <w:szCs w:val="24"/>
            <w:lang w:eastAsia="ru-RU"/>
          </w:rPr>
          <w:tab/>
        </w:r>
        <w:r w:rsidRPr="00204AE4">
          <w:rPr>
            <w:rStyle w:val="af1"/>
            <w:rFonts w:ascii="Times New Roman" w:hAnsi="Times New Roman"/>
            <w:noProof/>
            <w:sz w:val="24"/>
            <w:szCs w:val="24"/>
          </w:rPr>
          <w:t>БЮДЖЕТЫ БЮДЖЕТНОЙ СИСТЕМЫ</w:t>
        </w:r>
        <w:r w:rsidRPr="00204AE4">
          <w:rPr>
            <w:rFonts w:ascii="Times New Roman" w:hAnsi="Times New Roman"/>
            <w:noProof/>
            <w:webHidden/>
            <w:sz w:val="24"/>
            <w:szCs w:val="24"/>
          </w:rPr>
          <w:tab/>
        </w:r>
        <w:r w:rsidRPr="00204AE4">
          <w:rPr>
            <w:rFonts w:ascii="Times New Roman" w:hAnsi="Times New Roman"/>
            <w:noProof/>
            <w:webHidden/>
            <w:sz w:val="24"/>
            <w:szCs w:val="24"/>
          </w:rPr>
          <w:fldChar w:fldCharType="begin"/>
        </w:r>
        <w:r w:rsidRPr="00204AE4">
          <w:rPr>
            <w:rFonts w:ascii="Times New Roman" w:hAnsi="Times New Roman"/>
            <w:noProof/>
            <w:webHidden/>
            <w:sz w:val="24"/>
            <w:szCs w:val="24"/>
          </w:rPr>
          <w:instrText xml:space="preserve"> PAGEREF _Toc494788044 \h </w:instrText>
        </w:r>
        <w:r w:rsidRPr="00204AE4">
          <w:rPr>
            <w:rFonts w:ascii="Times New Roman" w:hAnsi="Times New Roman"/>
            <w:noProof/>
            <w:webHidden/>
            <w:sz w:val="24"/>
            <w:szCs w:val="24"/>
          </w:rPr>
        </w:r>
        <w:r w:rsidRPr="00204AE4">
          <w:rPr>
            <w:rFonts w:ascii="Times New Roman" w:hAnsi="Times New Roman"/>
            <w:noProof/>
            <w:webHidden/>
            <w:sz w:val="24"/>
            <w:szCs w:val="24"/>
          </w:rPr>
          <w:fldChar w:fldCharType="separate"/>
        </w:r>
        <w:r w:rsidRPr="00204AE4">
          <w:rPr>
            <w:rFonts w:ascii="Times New Roman" w:hAnsi="Times New Roman"/>
            <w:noProof/>
            <w:webHidden/>
            <w:sz w:val="24"/>
            <w:szCs w:val="24"/>
          </w:rPr>
          <w:t>78</w:t>
        </w:r>
        <w:r w:rsidRPr="00204AE4">
          <w:rPr>
            <w:rFonts w:ascii="Times New Roman" w:hAnsi="Times New Roman"/>
            <w:noProof/>
            <w:webHidden/>
            <w:sz w:val="24"/>
            <w:szCs w:val="24"/>
          </w:rPr>
          <w:fldChar w:fldCharType="end"/>
        </w:r>
      </w:hyperlink>
    </w:p>
    <w:p w:rsidR="00204AE4" w:rsidRPr="00204AE4" w:rsidRDefault="00204AE4" w:rsidP="00204AE4">
      <w:pPr>
        <w:tabs>
          <w:tab w:val="left" w:pos="426"/>
          <w:tab w:val="right" w:leader="dot" w:pos="9072"/>
        </w:tabs>
        <w:rPr>
          <w:rFonts w:ascii="Times New Roman" w:hAnsi="Times New Roman"/>
          <w:sz w:val="24"/>
          <w:szCs w:val="24"/>
        </w:rPr>
      </w:pPr>
      <w:r w:rsidRPr="00204AE4">
        <w:rPr>
          <w:rFonts w:ascii="Times New Roman" w:hAnsi="Times New Roman"/>
          <w:sz w:val="24"/>
          <w:szCs w:val="24"/>
        </w:rPr>
        <w:t>5.</w:t>
      </w:r>
      <w:r w:rsidRPr="00204AE4">
        <w:rPr>
          <w:rFonts w:ascii="Times New Roman" w:hAnsi="Times New Roman"/>
          <w:sz w:val="24"/>
          <w:szCs w:val="24"/>
        </w:rPr>
        <w:tab/>
        <w:t>ПРИЛОЖЕНИЯ</w:t>
      </w:r>
      <w:r w:rsidRPr="00204AE4">
        <w:rPr>
          <w:rFonts w:ascii="Times New Roman" w:hAnsi="Times New Roman"/>
          <w:sz w:val="24"/>
          <w:szCs w:val="24"/>
        </w:rPr>
        <w:tab/>
        <w:t>81</w:t>
      </w:r>
    </w:p>
    <w:p w:rsidR="00DC4BBA" w:rsidRDefault="004E2069" w:rsidP="00A81FB3">
      <w:pPr>
        <w:pStyle w:val="22"/>
        <w:spacing w:after="0" w:line="276" w:lineRule="auto"/>
        <w:rPr>
          <w:rFonts w:ascii="Times New Roman" w:hAnsi="Times New Roman"/>
          <w:sz w:val="24"/>
          <w:szCs w:val="24"/>
        </w:rPr>
      </w:pPr>
      <w:r w:rsidRPr="00204AE4">
        <w:rPr>
          <w:rFonts w:ascii="Times New Roman" w:hAnsi="Times New Roman"/>
          <w:sz w:val="24"/>
          <w:szCs w:val="24"/>
          <w:highlight w:val="lightGray"/>
        </w:rPr>
        <w:fldChar w:fldCharType="end"/>
      </w:r>
      <w:r w:rsidR="00DC4BBA">
        <w:rPr>
          <w:rFonts w:ascii="Times New Roman" w:hAnsi="Times New Roman"/>
          <w:sz w:val="24"/>
          <w:szCs w:val="24"/>
        </w:rPr>
        <w:br w:type="page"/>
      </w:r>
    </w:p>
    <w:p w:rsidR="004E2069" w:rsidRPr="00636BFA" w:rsidRDefault="004E2069" w:rsidP="00702B74">
      <w:pPr>
        <w:spacing w:after="120"/>
        <w:jc w:val="both"/>
        <w:rPr>
          <w:rFonts w:ascii="Times New Roman" w:hAnsi="Times New Roman"/>
          <w:sz w:val="24"/>
          <w:szCs w:val="24"/>
        </w:rPr>
      </w:pPr>
      <w:r w:rsidRPr="008E2238">
        <w:rPr>
          <w:rFonts w:ascii="Times New Roman" w:hAnsi="Times New Roman"/>
          <w:sz w:val="24"/>
          <w:szCs w:val="24"/>
        </w:rPr>
        <w:t>Основные направления бюджетной, налоговой и таможенно-тарифной политики на 2018 год и на плановый период 2019 и 2020 годов разработаны в соответствии со статьей 165 Бюджетного кодекса Российской Федерации с учетом итогов реализации бюджетной</w:t>
      </w:r>
      <w:r>
        <w:rPr>
          <w:rFonts w:ascii="Times New Roman" w:hAnsi="Times New Roman"/>
          <w:sz w:val="24"/>
          <w:szCs w:val="24"/>
        </w:rPr>
        <w:t xml:space="preserve">, налоговой и </w:t>
      </w:r>
      <w:r w:rsidRPr="00582FF0">
        <w:rPr>
          <w:rFonts w:ascii="Times New Roman" w:hAnsi="Times New Roman"/>
          <w:sz w:val="24"/>
          <w:szCs w:val="24"/>
        </w:rPr>
        <w:t>таможенно-тарифной</w:t>
      </w:r>
      <w:r>
        <w:rPr>
          <w:rFonts w:ascii="Times New Roman" w:hAnsi="Times New Roman"/>
          <w:sz w:val="24"/>
          <w:szCs w:val="24"/>
        </w:rPr>
        <w:t xml:space="preserve"> </w:t>
      </w:r>
      <w:r w:rsidRPr="008E2238">
        <w:rPr>
          <w:rFonts w:ascii="Times New Roman" w:hAnsi="Times New Roman"/>
          <w:sz w:val="24"/>
          <w:szCs w:val="24"/>
        </w:rPr>
        <w:t xml:space="preserve">политики </w:t>
      </w:r>
      <w:r w:rsidR="00156E87">
        <w:rPr>
          <w:rFonts w:ascii="Times New Roman" w:hAnsi="Times New Roman"/>
          <w:sz w:val="24"/>
          <w:szCs w:val="24"/>
        </w:rPr>
        <w:t>на</w:t>
      </w:r>
      <w:r w:rsidRPr="008E2238">
        <w:rPr>
          <w:rFonts w:ascii="Times New Roman" w:hAnsi="Times New Roman"/>
          <w:sz w:val="24"/>
          <w:szCs w:val="24"/>
        </w:rPr>
        <w:t xml:space="preserve"> период до 2017</w:t>
      </w:r>
      <w:r w:rsidR="00005E3C">
        <w:rPr>
          <w:rFonts w:ascii="Times New Roman" w:hAnsi="Times New Roman"/>
          <w:sz w:val="24"/>
          <w:szCs w:val="24"/>
        </w:rPr>
        <w:t>-2019</w:t>
      </w:r>
      <w:r w:rsidRPr="008E2238">
        <w:rPr>
          <w:rFonts w:ascii="Times New Roman" w:hAnsi="Times New Roman"/>
          <w:sz w:val="24"/>
          <w:szCs w:val="24"/>
        </w:rPr>
        <w:t xml:space="preserve"> год</w:t>
      </w:r>
      <w:r w:rsidR="00820321">
        <w:rPr>
          <w:rFonts w:ascii="Times New Roman" w:hAnsi="Times New Roman"/>
          <w:sz w:val="24"/>
          <w:szCs w:val="24"/>
        </w:rPr>
        <w:t>ов</w:t>
      </w:r>
      <w:r w:rsidRPr="008E2238">
        <w:rPr>
          <w:rFonts w:ascii="Times New Roman" w:hAnsi="Times New Roman"/>
          <w:sz w:val="24"/>
          <w:szCs w:val="24"/>
        </w:rPr>
        <w:t>.</w:t>
      </w:r>
      <w:r w:rsidR="009E0C32">
        <w:rPr>
          <w:rFonts w:ascii="Times New Roman" w:hAnsi="Times New Roman"/>
          <w:sz w:val="24"/>
          <w:szCs w:val="24"/>
        </w:rPr>
        <w:t xml:space="preserve"> </w:t>
      </w:r>
      <w:proofErr w:type="gramStart"/>
      <w:r w:rsidRPr="005970AC">
        <w:rPr>
          <w:rFonts w:ascii="Times New Roman" w:hAnsi="Times New Roman"/>
          <w:sz w:val="24"/>
          <w:szCs w:val="24"/>
        </w:rPr>
        <w:t xml:space="preserve">При подготовке Основных направлений бюджетной, налоговой и таможенно-тарифной политики были учтены положения Послания Президента Российской Федерации Федеральному Собранию Российской Федерации от 1 декабря 2016 года, указов Президента Российской Федерации от 7 мая 2012 года, Основных направлений деятельности Правительства Российской Федерации на период до 2018 года, Программы повышения эффективности управления общественными (государственными и муниципальными) финансами на период до 2018 года, </w:t>
      </w:r>
      <w:r w:rsidRPr="00636BFA">
        <w:rPr>
          <w:rFonts w:ascii="Times New Roman" w:hAnsi="Times New Roman"/>
          <w:sz w:val="24"/>
          <w:szCs w:val="24"/>
        </w:rPr>
        <w:t>государственных</w:t>
      </w:r>
      <w:proofErr w:type="gramEnd"/>
      <w:r w:rsidRPr="00636BFA">
        <w:rPr>
          <w:rFonts w:ascii="Times New Roman" w:hAnsi="Times New Roman"/>
          <w:sz w:val="24"/>
          <w:szCs w:val="24"/>
        </w:rPr>
        <w:t xml:space="preserve"> программ Российской Федерации.</w:t>
      </w:r>
    </w:p>
    <w:p w:rsidR="004E2069" w:rsidRPr="00F022E7" w:rsidRDefault="004E2069" w:rsidP="00702B74">
      <w:pPr>
        <w:spacing w:after="120"/>
        <w:jc w:val="both"/>
        <w:rPr>
          <w:rFonts w:ascii="Times New Roman" w:hAnsi="Times New Roman"/>
          <w:sz w:val="24"/>
          <w:szCs w:val="24"/>
        </w:rPr>
      </w:pPr>
      <w:r w:rsidRPr="00636BFA">
        <w:rPr>
          <w:rFonts w:ascii="Times New Roman" w:hAnsi="Times New Roman"/>
          <w:sz w:val="24"/>
          <w:szCs w:val="24"/>
        </w:rPr>
        <w:t>Целью Основных направлений бюджетной, налоговой и таможенно-тарифной политики является определение условий, используемых при составлении проекта федерального бюджета на 2018 год и на плановый период 2019 и 2020 годов, подходов к его формированию, основных характеристик и прогнозируемых параметров федерального бюджета и других бюджетов бюджетной системы Российской Федерации</w:t>
      </w:r>
      <w:r w:rsidR="006C34EB">
        <w:rPr>
          <w:rFonts w:ascii="Times New Roman" w:hAnsi="Times New Roman"/>
          <w:sz w:val="24"/>
          <w:szCs w:val="24"/>
        </w:rPr>
        <w:t xml:space="preserve"> на 2018-2020 годы</w:t>
      </w:r>
      <w:r w:rsidRPr="00636BFA">
        <w:rPr>
          <w:rFonts w:ascii="Times New Roman" w:hAnsi="Times New Roman"/>
          <w:sz w:val="24"/>
          <w:szCs w:val="24"/>
        </w:rPr>
        <w:t>.</w:t>
      </w:r>
    </w:p>
    <w:p w:rsidR="004E2069" w:rsidRDefault="004E2069">
      <w:pPr>
        <w:rPr>
          <w:rFonts w:ascii="Times New Roman" w:hAnsi="Times New Roman"/>
          <w:b/>
          <w:bCs/>
          <w:sz w:val="32"/>
          <w:szCs w:val="32"/>
        </w:rPr>
      </w:pPr>
      <w:r>
        <w:rPr>
          <w:rFonts w:ascii="Times New Roman" w:hAnsi="Times New Roman"/>
          <w:sz w:val="32"/>
          <w:szCs w:val="32"/>
        </w:rPr>
        <w:br w:type="page"/>
      </w:r>
    </w:p>
    <w:p w:rsidR="004E2069" w:rsidRPr="00E63E11" w:rsidRDefault="004E2069" w:rsidP="00953E37">
      <w:pPr>
        <w:pStyle w:val="10"/>
        <w:spacing w:after="240"/>
        <w:rPr>
          <w:szCs w:val="32"/>
        </w:rPr>
      </w:pPr>
      <w:bookmarkStart w:id="6" w:name="_Toc494788023"/>
      <w:r w:rsidRPr="00E63E11">
        <w:rPr>
          <w:szCs w:val="32"/>
        </w:rPr>
        <w:t>ВВЕДЕНИЕ</w:t>
      </w:r>
      <w:bookmarkEnd w:id="6"/>
    </w:p>
    <w:p w:rsidR="0050184E" w:rsidRPr="00E63E11" w:rsidRDefault="00433E48" w:rsidP="00965BB4">
      <w:pPr>
        <w:spacing w:after="60"/>
        <w:jc w:val="both"/>
        <w:rPr>
          <w:rFonts w:ascii="Times New Roman" w:hAnsi="Times New Roman"/>
          <w:sz w:val="24"/>
          <w:szCs w:val="24"/>
        </w:rPr>
      </w:pPr>
      <w:r w:rsidRPr="00E63E11">
        <w:rPr>
          <w:rFonts w:ascii="Times New Roman" w:hAnsi="Times New Roman"/>
          <w:b/>
          <w:sz w:val="24"/>
          <w:szCs w:val="24"/>
        </w:rPr>
        <w:t>С</w:t>
      </w:r>
      <w:r w:rsidR="00617F31" w:rsidRPr="00E63E11">
        <w:rPr>
          <w:rFonts w:ascii="Times New Roman" w:hAnsi="Times New Roman"/>
          <w:b/>
          <w:sz w:val="24"/>
          <w:szCs w:val="24"/>
        </w:rPr>
        <w:t>табилизационная экономическая политика</w:t>
      </w:r>
      <w:r w:rsidR="00617F31" w:rsidRPr="00E63E11">
        <w:rPr>
          <w:rFonts w:ascii="Times New Roman" w:hAnsi="Times New Roman"/>
          <w:sz w:val="24"/>
          <w:szCs w:val="24"/>
        </w:rPr>
        <w:t xml:space="preserve"> </w:t>
      </w:r>
      <w:r w:rsidR="009D67C1">
        <w:rPr>
          <w:rFonts w:ascii="Times New Roman" w:hAnsi="Times New Roman"/>
          <w:sz w:val="24"/>
          <w:szCs w:val="24"/>
        </w:rPr>
        <w:t xml:space="preserve">Правительства Российской Федерации и Центрального банка </w:t>
      </w:r>
      <w:proofErr w:type="spellStart"/>
      <w:r w:rsidR="009D67C1">
        <w:rPr>
          <w:rFonts w:ascii="Times New Roman" w:hAnsi="Times New Roman"/>
          <w:sz w:val="24"/>
          <w:szCs w:val="24"/>
        </w:rPr>
        <w:t>Россйской</w:t>
      </w:r>
      <w:proofErr w:type="spellEnd"/>
      <w:r w:rsidR="009D67C1">
        <w:rPr>
          <w:rFonts w:ascii="Times New Roman" w:hAnsi="Times New Roman"/>
          <w:sz w:val="24"/>
          <w:szCs w:val="24"/>
        </w:rPr>
        <w:t xml:space="preserve"> Федерации </w:t>
      </w:r>
      <w:r w:rsidR="00617F31" w:rsidRPr="00E63E11">
        <w:rPr>
          <w:rFonts w:ascii="Times New Roman" w:hAnsi="Times New Roman"/>
          <w:sz w:val="24"/>
          <w:szCs w:val="24"/>
        </w:rPr>
        <w:t>в ответ на один из мощнейших за последние полвека внешний шок доказала свою эффективность. Ее результат – экономика без серьезных</w:t>
      </w:r>
      <w:r w:rsidR="00156E87">
        <w:rPr>
          <w:rFonts w:ascii="Times New Roman" w:hAnsi="Times New Roman"/>
          <w:sz w:val="24"/>
          <w:szCs w:val="24"/>
        </w:rPr>
        <w:t xml:space="preserve"> макроэкономических дисбалансов</w:t>
      </w:r>
      <w:r w:rsidR="00617F31" w:rsidRPr="00E63E11">
        <w:rPr>
          <w:rFonts w:ascii="Times New Roman" w:hAnsi="Times New Roman"/>
          <w:sz w:val="24"/>
          <w:szCs w:val="24"/>
        </w:rPr>
        <w:t xml:space="preserve"> </w:t>
      </w:r>
      <w:r w:rsidR="008700DB" w:rsidRPr="00E63E11">
        <w:rPr>
          <w:rFonts w:ascii="Times New Roman" w:hAnsi="Times New Roman"/>
          <w:sz w:val="24"/>
          <w:szCs w:val="24"/>
        </w:rPr>
        <w:t xml:space="preserve">со </w:t>
      </w:r>
      <w:r w:rsidR="00617F31" w:rsidRPr="00E63E11">
        <w:rPr>
          <w:rFonts w:ascii="Times New Roman" w:hAnsi="Times New Roman"/>
          <w:sz w:val="24"/>
          <w:szCs w:val="24"/>
        </w:rPr>
        <w:t xml:space="preserve">снижающейся зависимостью от динамики цен на нефть и более здоровыми структурными пропорциями. </w:t>
      </w:r>
      <w:r w:rsidR="00156E87">
        <w:rPr>
          <w:rFonts w:ascii="Times New Roman" w:hAnsi="Times New Roman"/>
          <w:sz w:val="24"/>
          <w:szCs w:val="24"/>
        </w:rPr>
        <w:t>Принятые меры</w:t>
      </w:r>
      <w:r w:rsidR="00617F31" w:rsidRPr="00E63E11">
        <w:rPr>
          <w:rFonts w:ascii="Times New Roman" w:hAnsi="Times New Roman"/>
          <w:sz w:val="24"/>
          <w:szCs w:val="24"/>
        </w:rPr>
        <w:t xml:space="preserve"> </w:t>
      </w:r>
      <w:r w:rsidR="00156E87">
        <w:rPr>
          <w:rFonts w:ascii="Times New Roman" w:hAnsi="Times New Roman"/>
          <w:sz w:val="24"/>
          <w:szCs w:val="24"/>
        </w:rPr>
        <w:t>купировали</w:t>
      </w:r>
      <w:r w:rsidR="008700DB" w:rsidRPr="00E63E11">
        <w:rPr>
          <w:rFonts w:ascii="Times New Roman" w:hAnsi="Times New Roman"/>
          <w:sz w:val="24"/>
          <w:szCs w:val="24"/>
        </w:rPr>
        <w:t xml:space="preserve"> кризисные явления в период подстройки к новым реалиям и </w:t>
      </w:r>
      <w:r w:rsidR="00617F31" w:rsidRPr="00E63E11">
        <w:rPr>
          <w:rFonts w:ascii="Times New Roman" w:hAnsi="Times New Roman"/>
          <w:sz w:val="24"/>
          <w:szCs w:val="24"/>
        </w:rPr>
        <w:t>созда</w:t>
      </w:r>
      <w:r w:rsidR="00156E87">
        <w:rPr>
          <w:rFonts w:ascii="Times New Roman" w:hAnsi="Times New Roman"/>
          <w:sz w:val="24"/>
          <w:szCs w:val="24"/>
        </w:rPr>
        <w:t>ли</w:t>
      </w:r>
      <w:r w:rsidR="00617F31" w:rsidRPr="00E63E11">
        <w:rPr>
          <w:rFonts w:ascii="Times New Roman" w:hAnsi="Times New Roman"/>
          <w:sz w:val="24"/>
          <w:szCs w:val="24"/>
        </w:rPr>
        <w:t xml:space="preserve"> надежную и здоровую основу для наблюдаемого со второго полугодия прошлого года восстановления темпов экономического роста.</w:t>
      </w:r>
    </w:p>
    <w:p w:rsidR="004E2069" w:rsidRPr="00E63E11" w:rsidRDefault="004E2069" w:rsidP="00965BB4">
      <w:pPr>
        <w:spacing w:after="60"/>
        <w:jc w:val="both"/>
        <w:rPr>
          <w:rFonts w:ascii="Times New Roman" w:hAnsi="Times New Roman"/>
          <w:sz w:val="24"/>
          <w:szCs w:val="24"/>
        </w:rPr>
      </w:pPr>
      <w:r w:rsidRPr="00E63E11">
        <w:rPr>
          <w:rFonts w:ascii="Times New Roman" w:hAnsi="Times New Roman"/>
          <w:sz w:val="24"/>
          <w:szCs w:val="24"/>
        </w:rPr>
        <w:t xml:space="preserve">Тем не менее, складывающееся в российской экономике равновесие пока рано называть </w:t>
      </w:r>
      <w:r w:rsidRPr="00965BB4">
        <w:rPr>
          <w:rFonts w:ascii="Times New Roman" w:hAnsi="Times New Roman"/>
          <w:sz w:val="24"/>
          <w:szCs w:val="24"/>
        </w:rPr>
        <w:t>оптимальным</w:t>
      </w:r>
      <w:r w:rsidR="00617F31" w:rsidRPr="00965BB4">
        <w:rPr>
          <w:rFonts w:ascii="Times New Roman" w:hAnsi="Times New Roman"/>
          <w:sz w:val="24"/>
          <w:szCs w:val="24"/>
        </w:rPr>
        <w:t>.</w:t>
      </w:r>
      <w:r w:rsidRPr="00965BB4">
        <w:rPr>
          <w:rFonts w:ascii="Times New Roman" w:hAnsi="Times New Roman"/>
          <w:sz w:val="24"/>
          <w:szCs w:val="24"/>
        </w:rPr>
        <w:t xml:space="preserve"> </w:t>
      </w:r>
      <w:r w:rsidR="00617F31" w:rsidRPr="00965BB4">
        <w:rPr>
          <w:rFonts w:ascii="Times New Roman" w:hAnsi="Times New Roman"/>
          <w:sz w:val="24"/>
          <w:szCs w:val="24"/>
        </w:rPr>
        <w:t>Н</w:t>
      </w:r>
      <w:r w:rsidRPr="00965BB4">
        <w:rPr>
          <w:rFonts w:ascii="Times New Roman" w:hAnsi="Times New Roman"/>
          <w:sz w:val="24"/>
          <w:szCs w:val="24"/>
        </w:rPr>
        <w:t xml:space="preserve">иже желаемых остаются темпы роста доходов </w:t>
      </w:r>
      <w:r w:rsidR="00617F31" w:rsidRPr="00965BB4">
        <w:rPr>
          <w:rFonts w:ascii="Times New Roman" w:hAnsi="Times New Roman"/>
          <w:sz w:val="24"/>
          <w:szCs w:val="24"/>
        </w:rPr>
        <w:t xml:space="preserve">наиболее уязвимых слоев </w:t>
      </w:r>
      <w:r w:rsidRPr="00965BB4">
        <w:rPr>
          <w:rFonts w:ascii="Times New Roman" w:hAnsi="Times New Roman"/>
          <w:sz w:val="24"/>
          <w:szCs w:val="24"/>
        </w:rPr>
        <w:t xml:space="preserve">населения, восстановление </w:t>
      </w:r>
      <w:r w:rsidR="00617F31" w:rsidRPr="00965BB4">
        <w:rPr>
          <w:rFonts w:ascii="Times New Roman" w:hAnsi="Times New Roman"/>
          <w:sz w:val="24"/>
          <w:szCs w:val="24"/>
        </w:rPr>
        <w:t xml:space="preserve">инвестиционной активности </w:t>
      </w:r>
      <w:r w:rsidRPr="00965BB4">
        <w:rPr>
          <w:rFonts w:ascii="Times New Roman" w:hAnsi="Times New Roman"/>
          <w:sz w:val="24"/>
          <w:szCs w:val="24"/>
        </w:rPr>
        <w:t xml:space="preserve">идет </w:t>
      </w:r>
      <w:r w:rsidR="008700DB" w:rsidRPr="00965BB4">
        <w:rPr>
          <w:rFonts w:ascii="Times New Roman" w:hAnsi="Times New Roman"/>
          <w:sz w:val="24"/>
          <w:szCs w:val="24"/>
        </w:rPr>
        <w:t>неоднородными</w:t>
      </w:r>
      <w:r w:rsidR="00617F31" w:rsidRPr="00965BB4">
        <w:rPr>
          <w:rFonts w:ascii="Times New Roman" w:hAnsi="Times New Roman"/>
          <w:sz w:val="24"/>
          <w:szCs w:val="24"/>
        </w:rPr>
        <w:t xml:space="preserve"> темпами,</w:t>
      </w:r>
      <w:r w:rsidRPr="00E63E11">
        <w:rPr>
          <w:rFonts w:ascii="Times New Roman" w:hAnsi="Times New Roman"/>
          <w:sz w:val="24"/>
          <w:szCs w:val="24"/>
        </w:rPr>
        <w:t xml:space="preserve"> сохраняются значительные структурные ограничения для </w:t>
      </w:r>
      <w:r w:rsidR="00617F31" w:rsidRPr="00E63E11">
        <w:rPr>
          <w:rFonts w:ascii="Times New Roman" w:hAnsi="Times New Roman"/>
          <w:sz w:val="24"/>
          <w:szCs w:val="24"/>
        </w:rPr>
        <w:t xml:space="preserve">динамичного и </w:t>
      </w:r>
      <w:r w:rsidRPr="00E63E11">
        <w:rPr>
          <w:rFonts w:ascii="Times New Roman" w:hAnsi="Times New Roman"/>
          <w:sz w:val="24"/>
          <w:szCs w:val="24"/>
        </w:rPr>
        <w:t>сбалансированного развития</w:t>
      </w:r>
      <w:r w:rsidR="008700DB" w:rsidRPr="00E63E11">
        <w:rPr>
          <w:rFonts w:ascii="Times New Roman" w:hAnsi="Times New Roman"/>
          <w:sz w:val="24"/>
          <w:szCs w:val="24"/>
        </w:rPr>
        <w:t>.</w:t>
      </w:r>
    </w:p>
    <w:p w:rsidR="00C70496" w:rsidRPr="00E63E11" w:rsidRDefault="00C70496" w:rsidP="00965BB4">
      <w:pPr>
        <w:spacing w:after="60"/>
        <w:jc w:val="both"/>
        <w:rPr>
          <w:rFonts w:ascii="Times New Roman" w:hAnsi="Times New Roman"/>
          <w:sz w:val="24"/>
          <w:szCs w:val="24"/>
        </w:rPr>
      </w:pPr>
      <w:r w:rsidRPr="00E63E11">
        <w:rPr>
          <w:rFonts w:ascii="Times New Roman" w:hAnsi="Times New Roman"/>
          <w:sz w:val="24"/>
          <w:szCs w:val="24"/>
        </w:rPr>
        <w:t xml:space="preserve">В этих условиях на первый план государственной экономической политики выходит цель по </w:t>
      </w:r>
      <w:r w:rsidR="004E2069" w:rsidRPr="00E63E11">
        <w:rPr>
          <w:rFonts w:ascii="Times New Roman" w:hAnsi="Times New Roman"/>
          <w:b/>
          <w:sz w:val="24"/>
          <w:szCs w:val="24"/>
        </w:rPr>
        <w:t>расширению потенциала сбалансированного развития страны</w:t>
      </w:r>
      <w:r w:rsidR="004E2069" w:rsidRPr="00E63E11">
        <w:rPr>
          <w:rFonts w:ascii="Times New Roman" w:hAnsi="Times New Roman"/>
          <w:sz w:val="24"/>
          <w:szCs w:val="24"/>
        </w:rPr>
        <w:t>. Решение этой задачи потребует пр</w:t>
      </w:r>
      <w:r w:rsidRPr="00E63E11">
        <w:rPr>
          <w:rFonts w:ascii="Times New Roman" w:hAnsi="Times New Roman"/>
          <w:sz w:val="24"/>
          <w:szCs w:val="24"/>
        </w:rPr>
        <w:t>оведения экономической политики, направленной с одной стороны на</w:t>
      </w:r>
      <w:r w:rsidR="00113C27" w:rsidRPr="00E63E11">
        <w:rPr>
          <w:rFonts w:ascii="Times New Roman" w:hAnsi="Times New Roman"/>
          <w:sz w:val="24"/>
          <w:szCs w:val="24"/>
        </w:rPr>
        <w:t xml:space="preserve"> (1)</w:t>
      </w:r>
      <w:r w:rsidRPr="00E63E11">
        <w:rPr>
          <w:rFonts w:ascii="Times New Roman" w:hAnsi="Times New Roman"/>
          <w:sz w:val="24"/>
          <w:szCs w:val="24"/>
        </w:rPr>
        <w:t xml:space="preserve"> </w:t>
      </w:r>
      <w:r w:rsidRPr="00E63E11">
        <w:rPr>
          <w:rFonts w:ascii="Times New Roman" w:hAnsi="Times New Roman"/>
          <w:sz w:val="24"/>
          <w:szCs w:val="24"/>
          <w:u w:val="single"/>
        </w:rPr>
        <w:t>обеспечение стабильности и предсказуемости экономических и финансовых условий</w:t>
      </w:r>
      <w:r w:rsidRPr="00E63E11">
        <w:rPr>
          <w:rFonts w:ascii="Times New Roman" w:hAnsi="Times New Roman"/>
          <w:sz w:val="24"/>
          <w:szCs w:val="24"/>
        </w:rPr>
        <w:t>, а с другой стороны</w:t>
      </w:r>
      <w:r w:rsidR="00156E87">
        <w:rPr>
          <w:rFonts w:ascii="Times New Roman" w:hAnsi="Times New Roman"/>
          <w:sz w:val="24"/>
          <w:szCs w:val="24"/>
        </w:rPr>
        <w:t>,</w:t>
      </w:r>
      <w:r w:rsidR="00433E48" w:rsidRPr="00E63E11">
        <w:rPr>
          <w:rFonts w:ascii="Times New Roman" w:hAnsi="Times New Roman"/>
          <w:sz w:val="24"/>
          <w:szCs w:val="24"/>
        </w:rPr>
        <w:t xml:space="preserve"> на</w:t>
      </w:r>
      <w:r w:rsidR="00113C27" w:rsidRPr="00E63E11">
        <w:rPr>
          <w:rFonts w:ascii="Times New Roman" w:hAnsi="Times New Roman"/>
          <w:sz w:val="24"/>
          <w:szCs w:val="24"/>
        </w:rPr>
        <w:t xml:space="preserve"> (2)</w:t>
      </w:r>
      <w:r w:rsidRPr="00E63E11">
        <w:rPr>
          <w:rFonts w:ascii="Times New Roman" w:hAnsi="Times New Roman"/>
          <w:sz w:val="24"/>
          <w:szCs w:val="24"/>
        </w:rPr>
        <w:t xml:space="preserve"> </w:t>
      </w:r>
      <w:r w:rsidRPr="00E63E11">
        <w:rPr>
          <w:rFonts w:ascii="Times New Roman" w:hAnsi="Times New Roman"/>
          <w:sz w:val="24"/>
          <w:szCs w:val="24"/>
          <w:u w:val="single"/>
        </w:rPr>
        <w:t>устранение структурных дисбалансов и препятствий для развития</w:t>
      </w:r>
      <w:r w:rsidRPr="00E63E11">
        <w:rPr>
          <w:rFonts w:ascii="Times New Roman" w:hAnsi="Times New Roman"/>
          <w:sz w:val="24"/>
          <w:szCs w:val="24"/>
        </w:rPr>
        <w:t xml:space="preserve">, </w:t>
      </w:r>
      <w:proofErr w:type="gramStart"/>
      <w:r w:rsidRPr="00E63E11">
        <w:rPr>
          <w:rFonts w:ascii="Times New Roman" w:hAnsi="Times New Roman"/>
          <w:sz w:val="24"/>
          <w:szCs w:val="24"/>
        </w:rPr>
        <w:t>связанных</w:t>
      </w:r>
      <w:proofErr w:type="gramEnd"/>
      <w:r w:rsidRPr="00E63E11">
        <w:rPr>
          <w:rFonts w:ascii="Times New Roman" w:hAnsi="Times New Roman"/>
          <w:sz w:val="24"/>
          <w:szCs w:val="24"/>
        </w:rPr>
        <w:t xml:space="preserve"> в том числе с демографическими вызовами, конкурентоспособностью и эффективностью размещения ресурсов в экономике</w:t>
      </w:r>
      <w:r w:rsidR="00113C27" w:rsidRPr="00E63E11">
        <w:rPr>
          <w:rFonts w:ascii="Times New Roman" w:hAnsi="Times New Roman"/>
          <w:sz w:val="24"/>
          <w:szCs w:val="24"/>
        </w:rPr>
        <w:t>.</w:t>
      </w:r>
      <w:r w:rsidR="004746A1" w:rsidRPr="00E63E11">
        <w:rPr>
          <w:rFonts w:ascii="Times New Roman" w:hAnsi="Times New Roman"/>
          <w:sz w:val="24"/>
          <w:szCs w:val="24"/>
        </w:rPr>
        <w:t xml:space="preserve"> На </w:t>
      </w:r>
      <w:r w:rsidR="007A7DE6">
        <w:rPr>
          <w:rFonts w:ascii="Times New Roman" w:hAnsi="Times New Roman"/>
          <w:sz w:val="24"/>
          <w:szCs w:val="24"/>
        </w:rPr>
        <w:t xml:space="preserve">содействие </w:t>
      </w:r>
      <w:r w:rsidR="004746A1" w:rsidRPr="00E63E11">
        <w:rPr>
          <w:rFonts w:ascii="Times New Roman" w:hAnsi="Times New Roman"/>
          <w:sz w:val="24"/>
          <w:szCs w:val="24"/>
        </w:rPr>
        <w:t>решени</w:t>
      </w:r>
      <w:r w:rsidR="007A7DE6">
        <w:rPr>
          <w:rFonts w:ascii="Times New Roman" w:hAnsi="Times New Roman"/>
          <w:sz w:val="24"/>
          <w:szCs w:val="24"/>
        </w:rPr>
        <w:t>ю</w:t>
      </w:r>
      <w:r w:rsidR="004746A1" w:rsidRPr="00E63E11">
        <w:rPr>
          <w:rFonts w:ascii="Times New Roman" w:hAnsi="Times New Roman"/>
          <w:sz w:val="24"/>
          <w:szCs w:val="24"/>
        </w:rPr>
        <w:t xml:space="preserve"> этих задач и будет нацелена бюджетная политика в ближайшие три года</w:t>
      </w:r>
      <w:r w:rsidR="00753444" w:rsidRPr="00E63E11">
        <w:rPr>
          <w:rFonts w:ascii="Times New Roman" w:hAnsi="Times New Roman"/>
          <w:sz w:val="24"/>
          <w:szCs w:val="24"/>
        </w:rPr>
        <w:t>.</w:t>
      </w:r>
    </w:p>
    <w:p w:rsidR="00C70496" w:rsidRPr="00E63E11" w:rsidRDefault="00D63E97" w:rsidP="00965BB4">
      <w:pPr>
        <w:spacing w:after="60"/>
        <w:jc w:val="both"/>
        <w:rPr>
          <w:rFonts w:ascii="Times New Roman" w:hAnsi="Times New Roman"/>
          <w:sz w:val="24"/>
          <w:szCs w:val="24"/>
        </w:rPr>
      </w:pPr>
      <w:r w:rsidRPr="00E63E11">
        <w:rPr>
          <w:rFonts w:ascii="Times New Roman" w:hAnsi="Times New Roman"/>
          <w:sz w:val="24"/>
          <w:szCs w:val="24"/>
        </w:rPr>
        <w:t>Последовательная р</w:t>
      </w:r>
      <w:r w:rsidR="00113C27" w:rsidRPr="00E63E11">
        <w:rPr>
          <w:rFonts w:ascii="Times New Roman" w:hAnsi="Times New Roman"/>
          <w:sz w:val="24"/>
          <w:szCs w:val="24"/>
        </w:rPr>
        <w:t xml:space="preserve">еализация </w:t>
      </w:r>
      <w:r w:rsidR="00113C27" w:rsidRPr="00F86EB8">
        <w:rPr>
          <w:rFonts w:ascii="Times New Roman" w:hAnsi="Times New Roman"/>
          <w:sz w:val="24"/>
          <w:szCs w:val="24"/>
        </w:rPr>
        <w:t>программы</w:t>
      </w:r>
      <w:r w:rsidR="00113C27" w:rsidRPr="00E63E11">
        <w:rPr>
          <w:rFonts w:ascii="Times New Roman" w:hAnsi="Times New Roman"/>
          <w:b/>
          <w:sz w:val="24"/>
          <w:szCs w:val="24"/>
        </w:rPr>
        <w:t xml:space="preserve"> бюджетной консолидации</w:t>
      </w:r>
      <w:r w:rsidR="00113C27" w:rsidRPr="00E63E11">
        <w:rPr>
          <w:rFonts w:ascii="Times New Roman" w:hAnsi="Times New Roman"/>
          <w:sz w:val="24"/>
          <w:szCs w:val="24"/>
        </w:rPr>
        <w:t xml:space="preserve">, </w:t>
      </w:r>
      <w:r w:rsidR="00113C27" w:rsidRPr="00965BB4">
        <w:rPr>
          <w:rFonts w:ascii="Times New Roman" w:hAnsi="Times New Roman"/>
          <w:sz w:val="24"/>
          <w:szCs w:val="24"/>
        </w:rPr>
        <w:t xml:space="preserve">разработанной при подготовке </w:t>
      </w:r>
      <w:r w:rsidR="004D2098" w:rsidRPr="00965BB4">
        <w:rPr>
          <w:rFonts w:ascii="Times New Roman" w:hAnsi="Times New Roman"/>
          <w:sz w:val="24"/>
          <w:szCs w:val="24"/>
        </w:rPr>
        <w:t>федерально</w:t>
      </w:r>
      <w:r w:rsidRPr="00965BB4">
        <w:rPr>
          <w:rFonts w:ascii="Times New Roman" w:hAnsi="Times New Roman"/>
          <w:sz w:val="24"/>
          <w:szCs w:val="24"/>
        </w:rPr>
        <w:t>го</w:t>
      </w:r>
      <w:r w:rsidR="004D2098" w:rsidRPr="00965BB4">
        <w:rPr>
          <w:rFonts w:ascii="Times New Roman" w:hAnsi="Times New Roman"/>
          <w:sz w:val="24"/>
          <w:szCs w:val="24"/>
        </w:rPr>
        <w:t xml:space="preserve"> бюджет</w:t>
      </w:r>
      <w:r w:rsidRPr="00965BB4">
        <w:rPr>
          <w:rFonts w:ascii="Times New Roman" w:hAnsi="Times New Roman"/>
          <w:sz w:val="24"/>
          <w:szCs w:val="24"/>
        </w:rPr>
        <w:t>а</w:t>
      </w:r>
      <w:r w:rsidR="004D2098" w:rsidRPr="00965BB4">
        <w:rPr>
          <w:rFonts w:ascii="Times New Roman" w:hAnsi="Times New Roman"/>
          <w:sz w:val="24"/>
          <w:szCs w:val="24"/>
        </w:rPr>
        <w:t xml:space="preserve"> на 2017 год и плановый период 2018 и 2019 гг. </w:t>
      </w:r>
      <w:r w:rsidRPr="00965BB4">
        <w:rPr>
          <w:rFonts w:ascii="Times New Roman" w:hAnsi="Times New Roman"/>
          <w:sz w:val="24"/>
          <w:szCs w:val="24"/>
        </w:rPr>
        <w:t>будет способствовать переходу российской экономики в равновесие с низкой инфляцией и стоимостью долгосрочного капитала. Проведение бюджетной политики в</w:t>
      </w:r>
      <w:r w:rsidRPr="00E63E11">
        <w:rPr>
          <w:rFonts w:ascii="Times New Roman" w:hAnsi="Times New Roman"/>
          <w:sz w:val="24"/>
          <w:szCs w:val="24"/>
        </w:rPr>
        <w:t xml:space="preserve"> строгом </w:t>
      </w:r>
      <w:r w:rsidRPr="006C34EB">
        <w:rPr>
          <w:rFonts w:ascii="Times New Roman" w:hAnsi="Times New Roman"/>
          <w:sz w:val="24"/>
          <w:szCs w:val="24"/>
        </w:rPr>
        <w:t xml:space="preserve">соответствии с новой конструкцией </w:t>
      </w:r>
      <w:r w:rsidRPr="006C34EB">
        <w:rPr>
          <w:rFonts w:ascii="Times New Roman" w:hAnsi="Times New Roman"/>
          <w:b/>
          <w:sz w:val="24"/>
          <w:szCs w:val="24"/>
        </w:rPr>
        <w:t>бюджетных правил</w:t>
      </w:r>
      <w:r w:rsidRPr="00E63E11">
        <w:rPr>
          <w:rFonts w:ascii="Times New Roman" w:hAnsi="Times New Roman"/>
          <w:sz w:val="24"/>
          <w:szCs w:val="24"/>
        </w:rPr>
        <w:t xml:space="preserve"> позволит серьезно снизить влияние колебаний нефтяных цен на внутренние экономические переменные – структуру относительных цен (реальный эффективный курс рубля), инфляцию</w:t>
      </w:r>
      <w:r w:rsidR="00156E87">
        <w:rPr>
          <w:rFonts w:ascii="Times New Roman" w:hAnsi="Times New Roman"/>
          <w:sz w:val="24"/>
          <w:szCs w:val="24"/>
        </w:rPr>
        <w:t xml:space="preserve">, </w:t>
      </w:r>
      <w:r w:rsidRPr="00E63E11">
        <w:rPr>
          <w:rFonts w:ascii="Times New Roman" w:hAnsi="Times New Roman"/>
          <w:sz w:val="24"/>
          <w:szCs w:val="24"/>
        </w:rPr>
        <w:t xml:space="preserve">долгосрочные процентные ставки, государственные </w:t>
      </w:r>
      <w:r w:rsidRPr="00965BB4">
        <w:rPr>
          <w:rFonts w:ascii="Times New Roman" w:hAnsi="Times New Roman"/>
          <w:sz w:val="24"/>
          <w:szCs w:val="24"/>
        </w:rPr>
        <w:t>расходы, а также динамику выпуска (ВВП), занятости и реальных доходов населения</w:t>
      </w:r>
      <w:r w:rsidR="00F46295" w:rsidRPr="00965BB4">
        <w:rPr>
          <w:rFonts w:ascii="Times New Roman" w:hAnsi="Times New Roman"/>
          <w:sz w:val="24"/>
          <w:szCs w:val="24"/>
        </w:rPr>
        <w:t xml:space="preserve">. Таким образом, внедрение </w:t>
      </w:r>
      <w:r w:rsidR="00965BB4" w:rsidRPr="00965BB4">
        <w:rPr>
          <w:rFonts w:ascii="Times New Roman" w:hAnsi="Times New Roman"/>
          <w:sz w:val="24"/>
          <w:szCs w:val="24"/>
        </w:rPr>
        <w:t>новой конструкции</w:t>
      </w:r>
      <w:r w:rsidR="00F46295" w:rsidRPr="00965BB4">
        <w:rPr>
          <w:rFonts w:ascii="Times New Roman" w:hAnsi="Times New Roman"/>
          <w:sz w:val="24"/>
          <w:szCs w:val="24"/>
        </w:rPr>
        <w:t xml:space="preserve"> бюджетных правил в совокупности с реализацией сопутствующей программы консолидации </w:t>
      </w:r>
      <w:r w:rsidRPr="00965BB4">
        <w:rPr>
          <w:rFonts w:ascii="Times New Roman" w:hAnsi="Times New Roman"/>
          <w:sz w:val="24"/>
          <w:szCs w:val="24"/>
        </w:rPr>
        <w:t>обеспеч</w:t>
      </w:r>
      <w:r w:rsidR="00F46295" w:rsidRPr="00965BB4">
        <w:rPr>
          <w:rFonts w:ascii="Times New Roman" w:hAnsi="Times New Roman"/>
          <w:sz w:val="24"/>
          <w:szCs w:val="24"/>
        </w:rPr>
        <w:t>ат</w:t>
      </w:r>
      <w:r w:rsidRPr="00965BB4">
        <w:rPr>
          <w:rFonts w:ascii="Times New Roman" w:hAnsi="Times New Roman"/>
          <w:sz w:val="24"/>
          <w:szCs w:val="24"/>
        </w:rPr>
        <w:t xml:space="preserve"> </w:t>
      </w:r>
      <w:r w:rsidR="00FC58B9" w:rsidRPr="00965BB4">
        <w:rPr>
          <w:rFonts w:ascii="Times New Roman" w:hAnsi="Times New Roman"/>
          <w:sz w:val="24"/>
          <w:szCs w:val="24"/>
        </w:rPr>
        <w:t xml:space="preserve">стабильность и </w:t>
      </w:r>
      <w:r w:rsidRPr="00965BB4">
        <w:rPr>
          <w:rFonts w:ascii="Times New Roman" w:hAnsi="Times New Roman"/>
          <w:sz w:val="24"/>
          <w:szCs w:val="24"/>
        </w:rPr>
        <w:t>предсказуемость основных экономических и финансовых условий</w:t>
      </w:r>
      <w:r w:rsidR="00F46295" w:rsidRPr="00965BB4">
        <w:rPr>
          <w:rFonts w:ascii="Times New Roman" w:hAnsi="Times New Roman"/>
          <w:sz w:val="24"/>
          <w:szCs w:val="24"/>
        </w:rPr>
        <w:t>.</w:t>
      </w:r>
      <w:r w:rsidR="00B42496">
        <w:rPr>
          <w:rFonts w:ascii="Times New Roman" w:hAnsi="Times New Roman"/>
          <w:sz w:val="24"/>
          <w:szCs w:val="24"/>
        </w:rPr>
        <w:t xml:space="preserve"> </w:t>
      </w:r>
    </w:p>
    <w:p w:rsidR="004E2069" w:rsidRPr="00E63E11" w:rsidRDefault="00CD38AF" w:rsidP="00965BB4">
      <w:pPr>
        <w:spacing w:after="60"/>
        <w:jc w:val="both"/>
        <w:rPr>
          <w:rFonts w:ascii="Times New Roman" w:hAnsi="Times New Roman"/>
          <w:sz w:val="24"/>
          <w:szCs w:val="24"/>
        </w:rPr>
      </w:pPr>
      <w:proofErr w:type="gramStart"/>
      <w:r>
        <w:rPr>
          <w:rFonts w:ascii="Times New Roman" w:hAnsi="Times New Roman"/>
          <w:sz w:val="24"/>
          <w:szCs w:val="24"/>
        </w:rPr>
        <w:t xml:space="preserve">Структура </w:t>
      </w:r>
      <w:r w:rsidR="00FC58B9" w:rsidRPr="00E63E11">
        <w:rPr>
          <w:rFonts w:ascii="Times New Roman" w:hAnsi="Times New Roman"/>
          <w:sz w:val="24"/>
          <w:szCs w:val="24"/>
        </w:rPr>
        <w:t xml:space="preserve">программы </w:t>
      </w:r>
      <w:r w:rsidR="00F46295" w:rsidRPr="00E63E11">
        <w:rPr>
          <w:rFonts w:ascii="Times New Roman" w:hAnsi="Times New Roman"/>
          <w:sz w:val="24"/>
          <w:szCs w:val="24"/>
        </w:rPr>
        <w:t xml:space="preserve">консолидации, предполагающая </w:t>
      </w:r>
      <w:proofErr w:type="spellStart"/>
      <w:r w:rsidR="00F46295" w:rsidRPr="00E63E11">
        <w:rPr>
          <w:rFonts w:ascii="Times New Roman" w:hAnsi="Times New Roman"/>
          <w:b/>
          <w:sz w:val="24"/>
          <w:szCs w:val="24"/>
        </w:rPr>
        <w:t>неповышение</w:t>
      </w:r>
      <w:proofErr w:type="spellEnd"/>
      <w:r w:rsidR="00F46295" w:rsidRPr="00E63E11">
        <w:rPr>
          <w:rFonts w:ascii="Times New Roman" w:hAnsi="Times New Roman"/>
          <w:b/>
          <w:sz w:val="24"/>
          <w:szCs w:val="24"/>
        </w:rPr>
        <w:t xml:space="preserve"> уровня налоговой нагрузки</w:t>
      </w:r>
      <w:r w:rsidR="00F46295" w:rsidRPr="00E63E11">
        <w:rPr>
          <w:rFonts w:ascii="Times New Roman" w:hAnsi="Times New Roman"/>
          <w:sz w:val="24"/>
          <w:szCs w:val="24"/>
        </w:rPr>
        <w:t xml:space="preserve"> для добросовестных налогоплательщиков, </w:t>
      </w:r>
      <w:r w:rsidR="00FC58B9" w:rsidRPr="00E63E11">
        <w:rPr>
          <w:rFonts w:ascii="Times New Roman" w:hAnsi="Times New Roman"/>
          <w:sz w:val="24"/>
          <w:szCs w:val="24"/>
        </w:rPr>
        <w:t xml:space="preserve">а интенсификацию мер по </w:t>
      </w:r>
      <w:r w:rsidR="00FC58B9" w:rsidRPr="00E63E11">
        <w:rPr>
          <w:rFonts w:ascii="Times New Roman" w:hAnsi="Times New Roman"/>
          <w:b/>
          <w:sz w:val="24"/>
          <w:szCs w:val="24"/>
        </w:rPr>
        <w:t>обелению экономики</w:t>
      </w:r>
      <w:r w:rsidR="00FC58B9" w:rsidRPr="00E63E11">
        <w:rPr>
          <w:rFonts w:ascii="Times New Roman" w:hAnsi="Times New Roman"/>
          <w:sz w:val="24"/>
          <w:szCs w:val="24"/>
        </w:rPr>
        <w:t>, увеличению</w:t>
      </w:r>
      <w:r w:rsidR="00FC58B9" w:rsidRPr="00E63E11">
        <w:rPr>
          <w:rFonts w:ascii="Times New Roman" w:hAnsi="Times New Roman"/>
          <w:i/>
          <w:sz w:val="24"/>
          <w:szCs w:val="24"/>
        </w:rPr>
        <w:t xml:space="preserve"> </w:t>
      </w:r>
      <w:r w:rsidR="00FC58B9" w:rsidRPr="00E63E11">
        <w:rPr>
          <w:rFonts w:ascii="Times New Roman" w:hAnsi="Times New Roman"/>
          <w:b/>
          <w:sz w:val="24"/>
          <w:szCs w:val="24"/>
        </w:rPr>
        <w:t>отдачи от государственных активов</w:t>
      </w:r>
      <w:r w:rsidR="00FC58B9" w:rsidRPr="00E63E11">
        <w:rPr>
          <w:rFonts w:ascii="Times New Roman" w:hAnsi="Times New Roman"/>
          <w:sz w:val="24"/>
          <w:szCs w:val="24"/>
        </w:rPr>
        <w:t xml:space="preserve"> и повышению</w:t>
      </w:r>
      <w:r w:rsidR="00FC58B9" w:rsidRPr="00E63E11">
        <w:rPr>
          <w:rFonts w:ascii="Times New Roman" w:hAnsi="Times New Roman"/>
          <w:i/>
          <w:sz w:val="24"/>
          <w:szCs w:val="24"/>
        </w:rPr>
        <w:t xml:space="preserve"> </w:t>
      </w:r>
      <w:r w:rsidR="00FC58B9" w:rsidRPr="00E63E11">
        <w:rPr>
          <w:rFonts w:ascii="Times New Roman" w:hAnsi="Times New Roman"/>
          <w:b/>
          <w:sz w:val="24"/>
          <w:szCs w:val="24"/>
        </w:rPr>
        <w:t>эффективности бюджетных расходов</w:t>
      </w:r>
      <w:r w:rsidR="00FC58B9" w:rsidRPr="00E63E11">
        <w:rPr>
          <w:rFonts w:ascii="Times New Roman" w:hAnsi="Times New Roman"/>
          <w:sz w:val="24"/>
          <w:szCs w:val="24"/>
        </w:rPr>
        <w:t xml:space="preserve">, в том числе на основе расширения применения проектных принципов управления, не </w:t>
      </w:r>
      <w:r w:rsidR="00FC58B9" w:rsidRPr="00965BB4">
        <w:rPr>
          <w:rFonts w:ascii="Times New Roman" w:hAnsi="Times New Roman"/>
          <w:sz w:val="24"/>
          <w:szCs w:val="24"/>
        </w:rPr>
        <w:t>только обеспечит</w:t>
      </w:r>
      <w:r w:rsidR="00FC58B9" w:rsidRPr="00E63E11">
        <w:rPr>
          <w:rFonts w:ascii="Times New Roman" w:hAnsi="Times New Roman"/>
          <w:sz w:val="24"/>
          <w:szCs w:val="24"/>
        </w:rPr>
        <w:t xml:space="preserve"> устойчив</w:t>
      </w:r>
      <w:r w:rsidR="00F86EB8">
        <w:rPr>
          <w:rFonts w:ascii="Times New Roman" w:hAnsi="Times New Roman"/>
          <w:sz w:val="24"/>
          <w:szCs w:val="24"/>
        </w:rPr>
        <w:t>ую</w:t>
      </w:r>
      <w:r w:rsidR="00FC58B9" w:rsidRPr="00E63E11">
        <w:rPr>
          <w:rFonts w:ascii="Times New Roman" w:hAnsi="Times New Roman"/>
          <w:sz w:val="24"/>
          <w:szCs w:val="24"/>
        </w:rPr>
        <w:t xml:space="preserve"> </w:t>
      </w:r>
      <w:r w:rsidR="00F86EB8">
        <w:rPr>
          <w:rFonts w:ascii="Times New Roman" w:hAnsi="Times New Roman"/>
          <w:sz w:val="24"/>
          <w:szCs w:val="24"/>
        </w:rPr>
        <w:t>ликвидацию</w:t>
      </w:r>
      <w:r w:rsidR="00FC58B9" w:rsidRPr="00E63E11">
        <w:rPr>
          <w:rFonts w:ascii="Times New Roman" w:hAnsi="Times New Roman"/>
          <w:sz w:val="24"/>
          <w:szCs w:val="24"/>
        </w:rPr>
        <w:t xml:space="preserve"> бюджетных дисбалансов, но и будет способствовать устранению структурных препятствий для расширения потенциала экономического развития.</w:t>
      </w:r>
      <w:r w:rsidR="004E2069" w:rsidRPr="00E63E11">
        <w:rPr>
          <w:rFonts w:ascii="Times New Roman" w:hAnsi="Times New Roman"/>
          <w:sz w:val="28"/>
          <w:szCs w:val="28"/>
        </w:rPr>
        <w:br w:type="page"/>
      </w:r>
      <w:proofErr w:type="gramEnd"/>
    </w:p>
    <w:p w:rsidR="004E2069" w:rsidRPr="00E63E11" w:rsidRDefault="00E63E11" w:rsidP="00E0422F">
      <w:pPr>
        <w:pStyle w:val="10"/>
        <w:numPr>
          <w:ilvl w:val="0"/>
          <w:numId w:val="3"/>
        </w:numPr>
        <w:spacing w:after="240"/>
        <w:rPr>
          <w:caps/>
          <w:szCs w:val="32"/>
        </w:rPr>
      </w:pPr>
      <w:bookmarkStart w:id="7" w:name="_Toc494788024"/>
      <w:r w:rsidRPr="00E63E11">
        <w:rPr>
          <w:szCs w:val="32"/>
        </w:rPr>
        <w:t>ИТОГИ РЕАЛИЗАЦИИ БЮДЖЕТНОЙ, НАЛОГОВОЙ И ТАМОЖЕННО-ТАРИФНОЙ ПОЛИТИКИ В 2015-2017</w:t>
      </w:r>
      <w:r w:rsidR="009609BA">
        <w:rPr>
          <w:szCs w:val="32"/>
        </w:rPr>
        <w:t xml:space="preserve"> Г</w:t>
      </w:r>
      <w:r w:rsidR="007D36CE">
        <w:rPr>
          <w:szCs w:val="32"/>
        </w:rPr>
        <w:t>Г.</w:t>
      </w:r>
      <w:bookmarkEnd w:id="7"/>
    </w:p>
    <w:p w:rsidR="000C7000" w:rsidRDefault="002C56C2" w:rsidP="00BF3A4C">
      <w:pPr>
        <w:spacing w:before="120" w:after="120"/>
        <w:jc w:val="both"/>
        <w:rPr>
          <w:rFonts w:ascii="Times New Roman" w:hAnsi="Times New Roman"/>
          <w:sz w:val="24"/>
          <w:szCs w:val="24"/>
        </w:rPr>
      </w:pPr>
      <w:r w:rsidRPr="00E63E11">
        <w:rPr>
          <w:rFonts w:ascii="Times New Roman" w:hAnsi="Times New Roman"/>
          <w:sz w:val="24"/>
          <w:szCs w:val="24"/>
        </w:rPr>
        <w:t>С 2015 года</w:t>
      </w:r>
      <w:r w:rsidR="000C7000" w:rsidRPr="00E63E11">
        <w:rPr>
          <w:rFonts w:ascii="Times New Roman" w:hAnsi="Times New Roman"/>
          <w:sz w:val="24"/>
          <w:szCs w:val="24"/>
        </w:rPr>
        <w:t xml:space="preserve"> государственная экономическая политика (и бюджетная политика как ее неотъемлемая составляющая) ориентировалась на </w:t>
      </w:r>
      <w:r w:rsidR="000C7000" w:rsidRPr="00E63E11">
        <w:rPr>
          <w:rFonts w:ascii="Times New Roman" w:hAnsi="Times New Roman"/>
          <w:b/>
          <w:sz w:val="24"/>
          <w:szCs w:val="24"/>
        </w:rPr>
        <w:t>преодоление последствий мощнейшего за последние полвека внешнего шока</w:t>
      </w:r>
      <w:r w:rsidR="000C7000" w:rsidRPr="00E63E11">
        <w:rPr>
          <w:rFonts w:ascii="Times New Roman" w:hAnsi="Times New Roman"/>
          <w:sz w:val="24"/>
          <w:szCs w:val="24"/>
        </w:rPr>
        <w:t>. Основн</w:t>
      </w:r>
      <w:r w:rsidR="009609BA">
        <w:rPr>
          <w:rFonts w:ascii="Times New Roman" w:hAnsi="Times New Roman"/>
          <w:sz w:val="24"/>
          <w:szCs w:val="24"/>
        </w:rPr>
        <w:t>ыми</w:t>
      </w:r>
      <w:r w:rsidR="000C7000" w:rsidRPr="00E63E11">
        <w:rPr>
          <w:rFonts w:ascii="Times New Roman" w:hAnsi="Times New Roman"/>
          <w:sz w:val="24"/>
          <w:szCs w:val="24"/>
        </w:rPr>
        <w:t xml:space="preserve"> </w:t>
      </w:r>
      <w:r w:rsidR="00CF7185" w:rsidRPr="00E63E11">
        <w:rPr>
          <w:rFonts w:ascii="Times New Roman" w:hAnsi="Times New Roman"/>
          <w:sz w:val="24"/>
          <w:szCs w:val="24"/>
        </w:rPr>
        <w:t xml:space="preserve">ее </w:t>
      </w:r>
      <w:r w:rsidR="000C7000" w:rsidRPr="00E63E11">
        <w:rPr>
          <w:rFonts w:ascii="Times New Roman" w:hAnsi="Times New Roman"/>
          <w:sz w:val="24"/>
          <w:szCs w:val="24"/>
        </w:rPr>
        <w:t>цел</w:t>
      </w:r>
      <w:r w:rsidR="009609BA">
        <w:rPr>
          <w:rFonts w:ascii="Times New Roman" w:hAnsi="Times New Roman"/>
          <w:sz w:val="24"/>
          <w:szCs w:val="24"/>
        </w:rPr>
        <w:t>ями</w:t>
      </w:r>
      <w:r w:rsidR="000C7000" w:rsidRPr="00E63E11">
        <w:rPr>
          <w:rFonts w:ascii="Times New Roman" w:hAnsi="Times New Roman"/>
          <w:sz w:val="24"/>
          <w:szCs w:val="24"/>
        </w:rPr>
        <w:t xml:space="preserve"> в период </w:t>
      </w:r>
      <w:r w:rsidRPr="00E63E11">
        <w:rPr>
          <w:rFonts w:ascii="Times New Roman" w:hAnsi="Times New Roman"/>
          <w:sz w:val="24"/>
          <w:szCs w:val="24"/>
        </w:rPr>
        <w:t xml:space="preserve">подстройки к </w:t>
      </w:r>
      <w:r w:rsidR="00073223" w:rsidRPr="00E63E11">
        <w:rPr>
          <w:rFonts w:ascii="Times New Roman" w:hAnsi="Times New Roman"/>
          <w:sz w:val="24"/>
          <w:szCs w:val="24"/>
        </w:rPr>
        <w:t>такому существенному структурному изменению внешних условий</w:t>
      </w:r>
      <w:r w:rsidRPr="00E63E11">
        <w:rPr>
          <w:rFonts w:ascii="Times New Roman" w:hAnsi="Times New Roman"/>
          <w:sz w:val="24"/>
          <w:szCs w:val="24"/>
        </w:rPr>
        <w:t xml:space="preserve"> </w:t>
      </w:r>
      <w:r w:rsidR="000C7000" w:rsidRPr="00E63E11">
        <w:rPr>
          <w:rFonts w:ascii="Times New Roman" w:hAnsi="Times New Roman"/>
          <w:sz w:val="24"/>
          <w:szCs w:val="24"/>
        </w:rPr>
        <w:t>был</w:t>
      </w:r>
      <w:r w:rsidR="009609BA">
        <w:rPr>
          <w:rFonts w:ascii="Times New Roman" w:hAnsi="Times New Roman"/>
          <w:sz w:val="24"/>
          <w:szCs w:val="24"/>
        </w:rPr>
        <w:t>и</w:t>
      </w:r>
      <w:r w:rsidR="000C7000" w:rsidRPr="00E63E11">
        <w:rPr>
          <w:rFonts w:ascii="Times New Roman" w:hAnsi="Times New Roman"/>
          <w:sz w:val="24"/>
          <w:szCs w:val="24"/>
        </w:rPr>
        <w:t>: 1) обеспеч</w:t>
      </w:r>
      <w:r w:rsidR="009609BA">
        <w:rPr>
          <w:rFonts w:ascii="Times New Roman" w:hAnsi="Times New Roman"/>
          <w:sz w:val="24"/>
          <w:szCs w:val="24"/>
        </w:rPr>
        <w:t>ение</w:t>
      </w:r>
      <w:r w:rsidR="000C7000" w:rsidRPr="00E63E11">
        <w:rPr>
          <w:rFonts w:ascii="Times New Roman" w:hAnsi="Times New Roman"/>
          <w:sz w:val="24"/>
          <w:szCs w:val="24"/>
        </w:rPr>
        <w:t xml:space="preserve"> скорейш</w:t>
      </w:r>
      <w:r w:rsidR="009609BA">
        <w:rPr>
          <w:rFonts w:ascii="Times New Roman" w:hAnsi="Times New Roman"/>
          <w:sz w:val="24"/>
          <w:szCs w:val="24"/>
        </w:rPr>
        <w:t>его</w:t>
      </w:r>
      <w:r w:rsidR="000C7000" w:rsidRPr="00E63E11">
        <w:rPr>
          <w:rFonts w:ascii="Times New Roman" w:hAnsi="Times New Roman"/>
          <w:sz w:val="24"/>
          <w:szCs w:val="24"/>
        </w:rPr>
        <w:t xml:space="preserve"> </w:t>
      </w:r>
      <w:r w:rsidR="000C7000" w:rsidRPr="000C7000">
        <w:rPr>
          <w:rFonts w:ascii="Times New Roman" w:hAnsi="Times New Roman"/>
          <w:sz w:val="24"/>
          <w:szCs w:val="24"/>
        </w:rPr>
        <w:t>переход</w:t>
      </w:r>
      <w:r w:rsidR="009609BA">
        <w:rPr>
          <w:rFonts w:ascii="Times New Roman" w:hAnsi="Times New Roman"/>
          <w:sz w:val="24"/>
          <w:szCs w:val="24"/>
        </w:rPr>
        <w:t>а</w:t>
      </w:r>
      <w:r w:rsidR="000C7000" w:rsidRPr="000C7000">
        <w:rPr>
          <w:rFonts w:ascii="Times New Roman" w:hAnsi="Times New Roman"/>
          <w:sz w:val="24"/>
          <w:szCs w:val="24"/>
        </w:rPr>
        <w:t xml:space="preserve"> в равновесное состояние с новой структурой экономики; и 2) минимиз</w:t>
      </w:r>
      <w:r w:rsidR="009609BA">
        <w:rPr>
          <w:rFonts w:ascii="Times New Roman" w:hAnsi="Times New Roman"/>
          <w:sz w:val="24"/>
          <w:szCs w:val="24"/>
        </w:rPr>
        <w:t>ация</w:t>
      </w:r>
      <w:r w:rsidR="000C7000" w:rsidRPr="000C7000">
        <w:rPr>
          <w:rFonts w:ascii="Times New Roman" w:hAnsi="Times New Roman"/>
          <w:sz w:val="24"/>
          <w:szCs w:val="24"/>
        </w:rPr>
        <w:t xml:space="preserve"> потер</w:t>
      </w:r>
      <w:r w:rsidR="009609BA">
        <w:rPr>
          <w:rFonts w:ascii="Times New Roman" w:hAnsi="Times New Roman"/>
          <w:sz w:val="24"/>
          <w:szCs w:val="24"/>
        </w:rPr>
        <w:t>ь</w:t>
      </w:r>
      <w:r w:rsidR="00073223">
        <w:rPr>
          <w:rFonts w:ascii="Times New Roman" w:hAnsi="Times New Roman"/>
          <w:sz w:val="24"/>
          <w:szCs w:val="24"/>
        </w:rPr>
        <w:t xml:space="preserve"> при таком переходе (см. вставку «</w:t>
      </w:r>
      <w:r w:rsidR="002F2D98">
        <w:rPr>
          <w:rFonts w:ascii="Times New Roman" w:hAnsi="Times New Roman"/>
          <w:sz w:val="24"/>
          <w:szCs w:val="24"/>
        </w:rPr>
        <w:t>А</w:t>
      </w:r>
      <w:r w:rsidR="00073223">
        <w:rPr>
          <w:rFonts w:ascii="Times New Roman" w:hAnsi="Times New Roman"/>
          <w:sz w:val="24"/>
          <w:szCs w:val="24"/>
        </w:rPr>
        <w:t>даптаци</w:t>
      </w:r>
      <w:r w:rsidR="002F2D98">
        <w:rPr>
          <w:rFonts w:ascii="Times New Roman" w:hAnsi="Times New Roman"/>
          <w:sz w:val="24"/>
          <w:szCs w:val="24"/>
        </w:rPr>
        <w:t>я</w:t>
      </w:r>
      <w:r w:rsidR="00073223">
        <w:rPr>
          <w:rFonts w:ascii="Times New Roman" w:hAnsi="Times New Roman"/>
          <w:sz w:val="24"/>
          <w:szCs w:val="24"/>
        </w:rPr>
        <w:t xml:space="preserve"> к внешним шокам и </w:t>
      </w:r>
      <w:r w:rsidR="002F2D98">
        <w:rPr>
          <w:rFonts w:ascii="Times New Roman" w:hAnsi="Times New Roman"/>
          <w:sz w:val="24"/>
          <w:szCs w:val="24"/>
        </w:rPr>
        <w:t xml:space="preserve">сопутствующая </w:t>
      </w:r>
      <w:r w:rsidR="00073223">
        <w:rPr>
          <w:rFonts w:ascii="Times New Roman" w:hAnsi="Times New Roman"/>
          <w:sz w:val="24"/>
          <w:szCs w:val="24"/>
        </w:rPr>
        <w:t>экономическая политика»)</w:t>
      </w:r>
      <w:r w:rsidR="006836D0">
        <w:rPr>
          <w:rFonts w:ascii="Times New Roman" w:hAnsi="Times New Roman"/>
          <w:sz w:val="24"/>
          <w:szCs w:val="24"/>
        </w:rPr>
        <w:t>.</w:t>
      </w:r>
    </w:p>
    <w:p w:rsidR="006D362A" w:rsidRDefault="006D362A" w:rsidP="00BF3A4C">
      <w:pPr>
        <w:spacing w:before="120" w:after="120"/>
        <w:jc w:val="both"/>
        <w:rPr>
          <w:rFonts w:ascii="Times New Roman" w:hAnsi="Times New Roman"/>
          <w:sz w:val="24"/>
          <w:szCs w:val="24"/>
        </w:rPr>
      </w:pPr>
      <w:r w:rsidRPr="006D362A">
        <w:rPr>
          <w:rFonts w:ascii="Times New Roman" w:hAnsi="Times New Roman"/>
          <w:sz w:val="24"/>
          <w:szCs w:val="24"/>
        </w:rPr>
        <w:t xml:space="preserve">Непосредственно адаптационные процессы </w:t>
      </w:r>
      <w:r w:rsidRPr="006836D0">
        <w:rPr>
          <w:rFonts w:ascii="Times New Roman" w:hAnsi="Times New Roman"/>
          <w:sz w:val="24"/>
          <w:szCs w:val="24"/>
        </w:rPr>
        <w:t>в целом завершил</w:t>
      </w:r>
      <w:r>
        <w:rPr>
          <w:rFonts w:ascii="Times New Roman" w:hAnsi="Times New Roman"/>
          <w:sz w:val="24"/>
          <w:szCs w:val="24"/>
        </w:rPr>
        <w:t>и</w:t>
      </w:r>
      <w:r w:rsidRPr="006836D0">
        <w:rPr>
          <w:rFonts w:ascii="Times New Roman" w:hAnsi="Times New Roman"/>
          <w:sz w:val="24"/>
          <w:szCs w:val="24"/>
        </w:rPr>
        <w:t>с</w:t>
      </w:r>
      <w:r>
        <w:rPr>
          <w:rFonts w:ascii="Times New Roman" w:hAnsi="Times New Roman"/>
          <w:sz w:val="24"/>
          <w:szCs w:val="24"/>
        </w:rPr>
        <w:t>ь уже</w:t>
      </w:r>
      <w:r w:rsidRPr="006836D0">
        <w:rPr>
          <w:rFonts w:ascii="Times New Roman" w:hAnsi="Times New Roman"/>
          <w:sz w:val="24"/>
          <w:szCs w:val="24"/>
        </w:rPr>
        <w:t xml:space="preserve"> к</w:t>
      </w:r>
      <w:r>
        <w:rPr>
          <w:rFonts w:ascii="Times New Roman" w:hAnsi="Times New Roman"/>
          <w:sz w:val="24"/>
          <w:szCs w:val="24"/>
        </w:rPr>
        <w:t>о второму</w:t>
      </w:r>
      <w:r w:rsidRPr="006836D0">
        <w:rPr>
          <w:rFonts w:ascii="Times New Roman" w:hAnsi="Times New Roman"/>
          <w:sz w:val="24"/>
          <w:szCs w:val="24"/>
        </w:rPr>
        <w:t xml:space="preserve"> </w:t>
      </w:r>
      <w:r>
        <w:rPr>
          <w:rFonts w:ascii="Times New Roman" w:hAnsi="Times New Roman"/>
          <w:sz w:val="24"/>
          <w:szCs w:val="24"/>
        </w:rPr>
        <w:t xml:space="preserve">полугодию </w:t>
      </w:r>
      <w:r w:rsidRPr="006836D0">
        <w:rPr>
          <w:rFonts w:ascii="Times New Roman" w:hAnsi="Times New Roman"/>
          <w:sz w:val="24"/>
          <w:szCs w:val="24"/>
        </w:rPr>
        <w:t xml:space="preserve">2016 года, когда соотношение </w:t>
      </w:r>
      <w:r w:rsidRPr="00D664EA">
        <w:rPr>
          <w:rFonts w:ascii="Times New Roman" w:hAnsi="Times New Roman"/>
          <w:sz w:val="24"/>
          <w:szCs w:val="24"/>
        </w:rPr>
        <w:t xml:space="preserve">цен в торгуемых и </w:t>
      </w:r>
      <w:proofErr w:type="spellStart"/>
      <w:r w:rsidRPr="00D664EA">
        <w:rPr>
          <w:rFonts w:ascii="Times New Roman" w:hAnsi="Times New Roman"/>
          <w:sz w:val="24"/>
          <w:szCs w:val="24"/>
        </w:rPr>
        <w:t>неторгуемых</w:t>
      </w:r>
      <w:proofErr w:type="spellEnd"/>
      <w:r w:rsidRPr="00D664EA">
        <w:rPr>
          <w:rFonts w:ascii="Times New Roman" w:hAnsi="Times New Roman"/>
          <w:sz w:val="24"/>
          <w:szCs w:val="24"/>
        </w:rPr>
        <w:t xml:space="preserve"> секторах вернулось к уровню 2005 года и в целом стало соответствовать новому структурному уровню цен на нефть</w:t>
      </w:r>
      <w:r>
        <w:rPr>
          <w:rFonts w:ascii="Times New Roman" w:hAnsi="Times New Roman"/>
          <w:sz w:val="24"/>
          <w:szCs w:val="24"/>
        </w:rPr>
        <w:t xml:space="preserve">. Эффективная стабилизационная экономическая политика при этом </w:t>
      </w:r>
      <w:r w:rsidR="00D3383A">
        <w:rPr>
          <w:rFonts w:ascii="Times New Roman" w:hAnsi="Times New Roman"/>
          <w:sz w:val="24"/>
          <w:szCs w:val="24"/>
        </w:rPr>
        <w:t>позволила обеспечить:</w:t>
      </w:r>
    </w:p>
    <w:p w:rsidR="00D3383A" w:rsidRPr="009E0B5C" w:rsidRDefault="00D3383A" w:rsidP="009F1CCA">
      <w:pPr>
        <w:pStyle w:val="a9"/>
        <w:numPr>
          <w:ilvl w:val="0"/>
          <w:numId w:val="13"/>
        </w:numPr>
        <w:spacing w:before="120" w:after="120"/>
        <w:ind w:left="357" w:hanging="357"/>
        <w:contextualSpacing w:val="0"/>
        <w:jc w:val="both"/>
        <w:rPr>
          <w:rFonts w:ascii="Times New Roman" w:hAnsi="Times New Roman"/>
          <w:sz w:val="24"/>
          <w:szCs w:val="24"/>
        </w:rPr>
      </w:pPr>
      <w:r w:rsidRPr="00D3383A">
        <w:rPr>
          <w:rFonts w:ascii="Times New Roman" w:hAnsi="Times New Roman"/>
          <w:b/>
          <w:sz w:val="24"/>
          <w:szCs w:val="24"/>
        </w:rPr>
        <w:t>Быстрое исправление макроэкономических дисбалансов</w:t>
      </w:r>
      <w:r w:rsidRPr="00D3383A">
        <w:rPr>
          <w:rFonts w:ascii="Times New Roman" w:hAnsi="Times New Roman"/>
          <w:sz w:val="24"/>
          <w:szCs w:val="24"/>
        </w:rPr>
        <w:t xml:space="preserve">. </w:t>
      </w:r>
      <w:proofErr w:type="gramStart"/>
      <w:r w:rsidRPr="00D3383A">
        <w:rPr>
          <w:rFonts w:ascii="Times New Roman" w:hAnsi="Times New Roman"/>
          <w:sz w:val="24"/>
          <w:szCs w:val="24"/>
        </w:rPr>
        <w:t xml:space="preserve">Сейчас, при низких ценах на нефть </w:t>
      </w:r>
      <w:r>
        <w:rPr>
          <w:rFonts w:ascii="Times New Roman" w:hAnsi="Times New Roman"/>
          <w:sz w:val="24"/>
          <w:szCs w:val="24"/>
        </w:rPr>
        <w:t xml:space="preserve">отечественная экономика характеризуется: (1) </w:t>
      </w:r>
      <w:r w:rsidRPr="00D3383A">
        <w:rPr>
          <w:rFonts w:ascii="Times New Roman" w:hAnsi="Times New Roman"/>
          <w:sz w:val="24"/>
          <w:szCs w:val="24"/>
          <w:u w:val="single"/>
        </w:rPr>
        <w:t xml:space="preserve">крепким платежным </w:t>
      </w:r>
      <w:r w:rsidRPr="009E0B5C">
        <w:rPr>
          <w:rFonts w:ascii="Times New Roman" w:hAnsi="Times New Roman"/>
          <w:sz w:val="24"/>
          <w:szCs w:val="24"/>
          <w:u w:val="single"/>
        </w:rPr>
        <w:t>балансом</w:t>
      </w:r>
      <w:r w:rsidRPr="009E0B5C">
        <w:rPr>
          <w:rFonts w:ascii="Times New Roman" w:hAnsi="Times New Roman"/>
          <w:sz w:val="24"/>
          <w:szCs w:val="24"/>
        </w:rPr>
        <w:t xml:space="preserve"> с минимальной зависимостью от внешнего </w:t>
      </w:r>
      <w:r w:rsidR="00CE7996" w:rsidRPr="009E0B5C">
        <w:rPr>
          <w:rFonts w:ascii="Times New Roman" w:hAnsi="Times New Roman"/>
          <w:sz w:val="24"/>
          <w:szCs w:val="24"/>
        </w:rPr>
        <w:t xml:space="preserve">финансирования </w:t>
      </w:r>
      <w:r w:rsidRPr="009E0B5C">
        <w:rPr>
          <w:rFonts w:ascii="Times New Roman" w:hAnsi="Times New Roman"/>
          <w:sz w:val="24"/>
          <w:szCs w:val="24"/>
        </w:rPr>
        <w:t xml:space="preserve">и ограниченной уязвимостью к изменчивости настроений на мировых рынках; (2) </w:t>
      </w:r>
      <w:r w:rsidRPr="009E0B5C">
        <w:rPr>
          <w:rFonts w:ascii="Times New Roman" w:hAnsi="Times New Roman"/>
          <w:sz w:val="24"/>
          <w:szCs w:val="24"/>
          <w:u w:val="single"/>
        </w:rPr>
        <w:t>контролируемым уровнем бюджетного дефицита</w:t>
      </w:r>
      <w:r w:rsidRPr="009E0B5C">
        <w:rPr>
          <w:rFonts w:ascii="Times New Roman" w:hAnsi="Times New Roman"/>
          <w:sz w:val="24"/>
          <w:szCs w:val="24"/>
        </w:rPr>
        <w:t xml:space="preserve"> с понятной траекторией выхода на сбалансированность бюджета; и (3) </w:t>
      </w:r>
      <w:r w:rsidRPr="009E0B5C">
        <w:rPr>
          <w:rFonts w:ascii="Times New Roman" w:hAnsi="Times New Roman"/>
          <w:sz w:val="24"/>
          <w:szCs w:val="24"/>
          <w:u w:val="single"/>
        </w:rPr>
        <w:t>контролируемой инфляционной динамикой</w:t>
      </w:r>
      <w:r w:rsidRPr="009E0B5C">
        <w:rPr>
          <w:rFonts w:ascii="Times New Roman" w:hAnsi="Times New Roman"/>
          <w:sz w:val="24"/>
          <w:szCs w:val="24"/>
        </w:rPr>
        <w:t xml:space="preserve"> на уровне целевых ориентиров и снижающимися инфляционными ожиданиями</w:t>
      </w:r>
      <w:r w:rsidR="00C54DDD" w:rsidRPr="009E0B5C">
        <w:rPr>
          <w:rFonts w:ascii="Times New Roman" w:hAnsi="Times New Roman"/>
          <w:sz w:val="24"/>
          <w:szCs w:val="24"/>
        </w:rPr>
        <w:t>.</w:t>
      </w:r>
      <w:proofErr w:type="gramEnd"/>
    </w:p>
    <w:p w:rsidR="00156E87" w:rsidRPr="00D3383A" w:rsidRDefault="00156E87" w:rsidP="009F1CCA">
      <w:pPr>
        <w:pStyle w:val="a9"/>
        <w:numPr>
          <w:ilvl w:val="0"/>
          <w:numId w:val="13"/>
        </w:numPr>
        <w:spacing w:before="120" w:after="120"/>
        <w:contextualSpacing w:val="0"/>
        <w:jc w:val="both"/>
        <w:rPr>
          <w:rFonts w:ascii="Times New Roman" w:hAnsi="Times New Roman"/>
          <w:sz w:val="24"/>
          <w:szCs w:val="24"/>
        </w:rPr>
      </w:pPr>
      <w:r w:rsidRPr="009E0B5C">
        <w:rPr>
          <w:rFonts w:ascii="Times New Roman" w:hAnsi="Times New Roman"/>
          <w:b/>
          <w:sz w:val="24"/>
          <w:szCs w:val="24"/>
        </w:rPr>
        <w:t>Снижение зависимости от цен</w:t>
      </w:r>
      <w:r w:rsidRPr="00D3383A">
        <w:rPr>
          <w:rFonts w:ascii="Times New Roman" w:hAnsi="Times New Roman"/>
          <w:b/>
          <w:sz w:val="24"/>
          <w:szCs w:val="24"/>
        </w:rPr>
        <w:t xml:space="preserve"> на нефть</w:t>
      </w:r>
      <w:r w:rsidRPr="00D3383A">
        <w:rPr>
          <w:rFonts w:ascii="Times New Roman" w:hAnsi="Times New Roman"/>
          <w:sz w:val="24"/>
          <w:szCs w:val="24"/>
        </w:rPr>
        <w:t xml:space="preserve">. Цена на нефть, </w:t>
      </w:r>
      <w:r w:rsidRPr="00BF3A4C">
        <w:rPr>
          <w:rFonts w:ascii="Times New Roman" w:hAnsi="Times New Roman"/>
          <w:sz w:val="24"/>
          <w:szCs w:val="24"/>
        </w:rPr>
        <w:t>обеспечивающая сбалансированность текущего счета платежного баланса</w:t>
      </w:r>
      <w:r w:rsidRPr="00D3383A">
        <w:rPr>
          <w:rFonts w:ascii="Times New Roman" w:hAnsi="Times New Roman"/>
          <w:sz w:val="24"/>
          <w:szCs w:val="24"/>
        </w:rPr>
        <w:t xml:space="preserve"> </w:t>
      </w:r>
      <w:r w:rsidRPr="00BF3A4C">
        <w:rPr>
          <w:rFonts w:ascii="Times New Roman" w:hAnsi="Times New Roman"/>
          <w:sz w:val="24"/>
          <w:szCs w:val="24"/>
        </w:rPr>
        <w:t xml:space="preserve">снизилась с уровня свыше 100 </w:t>
      </w:r>
      <w:r>
        <w:rPr>
          <w:rFonts w:ascii="Times New Roman" w:hAnsi="Times New Roman"/>
          <w:sz w:val="24"/>
          <w:szCs w:val="24"/>
        </w:rPr>
        <w:t>долларов США за баррель</w:t>
      </w:r>
      <w:r w:rsidRPr="00BF3A4C">
        <w:rPr>
          <w:rFonts w:ascii="Times New Roman" w:hAnsi="Times New Roman"/>
          <w:sz w:val="24"/>
          <w:szCs w:val="24"/>
        </w:rPr>
        <w:t xml:space="preserve"> в 2013 году </w:t>
      </w:r>
      <w:r>
        <w:rPr>
          <w:rFonts w:ascii="Times New Roman" w:hAnsi="Times New Roman"/>
          <w:sz w:val="24"/>
          <w:szCs w:val="24"/>
        </w:rPr>
        <w:t xml:space="preserve">до </w:t>
      </w:r>
      <w:r w:rsidRPr="00D3383A">
        <w:rPr>
          <w:rFonts w:ascii="Times New Roman" w:hAnsi="Times New Roman"/>
          <w:sz w:val="24"/>
          <w:szCs w:val="24"/>
        </w:rPr>
        <w:t>35-45</w:t>
      </w:r>
      <w:r>
        <w:rPr>
          <w:rFonts w:ascii="Times New Roman" w:hAnsi="Times New Roman"/>
          <w:sz w:val="24"/>
          <w:szCs w:val="24"/>
        </w:rPr>
        <w:t xml:space="preserve"> долларов США за баррель</w:t>
      </w:r>
      <w:proofErr w:type="gramStart"/>
      <w:r>
        <w:rPr>
          <w:rFonts w:ascii="Times New Roman" w:hAnsi="Times New Roman"/>
          <w:sz w:val="24"/>
          <w:szCs w:val="24"/>
        </w:rPr>
        <w:t xml:space="preserve"> Б</w:t>
      </w:r>
      <w:proofErr w:type="gramEnd"/>
      <w:r>
        <w:rPr>
          <w:rFonts w:ascii="Times New Roman" w:hAnsi="Times New Roman"/>
          <w:sz w:val="24"/>
          <w:szCs w:val="24"/>
        </w:rPr>
        <w:t>олее того,</w:t>
      </w:r>
      <w:r w:rsidRPr="00D3383A">
        <w:rPr>
          <w:rFonts w:ascii="Times New Roman" w:hAnsi="Times New Roman"/>
          <w:sz w:val="24"/>
          <w:szCs w:val="24"/>
        </w:rPr>
        <w:t xml:space="preserve"> </w:t>
      </w:r>
      <w:r w:rsidRPr="00BF3A4C">
        <w:rPr>
          <w:rFonts w:ascii="Times New Roman" w:hAnsi="Times New Roman"/>
          <w:sz w:val="24"/>
          <w:szCs w:val="24"/>
        </w:rPr>
        <w:t xml:space="preserve">в </w:t>
      </w:r>
      <w:r>
        <w:rPr>
          <w:rFonts w:ascii="Times New Roman" w:hAnsi="Times New Roman"/>
          <w:sz w:val="24"/>
          <w:szCs w:val="24"/>
        </w:rPr>
        <w:t>2017</w:t>
      </w:r>
      <w:r w:rsidRPr="00BF3A4C">
        <w:rPr>
          <w:rFonts w:ascii="Times New Roman" w:hAnsi="Times New Roman"/>
          <w:sz w:val="24"/>
          <w:szCs w:val="24"/>
        </w:rPr>
        <w:t xml:space="preserve"> году</w:t>
      </w:r>
      <w:r>
        <w:rPr>
          <w:rFonts w:ascii="Times New Roman" w:hAnsi="Times New Roman"/>
          <w:sz w:val="24"/>
          <w:szCs w:val="24"/>
        </w:rPr>
        <w:t xml:space="preserve"> </w:t>
      </w:r>
      <w:r w:rsidRPr="00BF3A4C">
        <w:rPr>
          <w:rFonts w:ascii="Times New Roman" w:hAnsi="Times New Roman"/>
          <w:sz w:val="24"/>
          <w:szCs w:val="24"/>
        </w:rPr>
        <w:t xml:space="preserve">цена на нефть, балансирующая федеральный бюджет на первичном уровне (т.е. до </w:t>
      </w:r>
      <w:r w:rsidR="007A1A89">
        <w:rPr>
          <w:rFonts w:ascii="Times New Roman" w:hAnsi="Times New Roman"/>
          <w:sz w:val="24"/>
          <w:szCs w:val="24"/>
        </w:rPr>
        <w:t>исполнения обязательств</w:t>
      </w:r>
      <w:r w:rsidR="005F6D56">
        <w:rPr>
          <w:rFonts w:ascii="Times New Roman" w:hAnsi="Times New Roman"/>
          <w:sz w:val="24"/>
          <w:szCs w:val="24"/>
        </w:rPr>
        <w:t xml:space="preserve"> </w:t>
      </w:r>
      <w:r>
        <w:rPr>
          <w:rFonts w:ascii="Times New Roman" w:hAnsi="Times New Roman"/>
          <w:sz w:val="24"/>
          <w:szCs w:val="24"/>
        </w:rPr>
        <w:t xml:space="preserve">по обслуживанию государственного </w:t>
      </w:r>
      <w:r w:rsidRPr="00BF3A4C">
        <w:rPr>
          <w:rFonts w:ascii="Times New Roman" w:hAnsi="Times New Roman"/>
          <w:sz w:val="24"/>
          <w:szCs w:val="24"/>
        </w:rPr>
        <w:t xml:space="preserve">долга) </w:t>
      </w:r>
      <w:r>
        <w:rPr>
          <w:rFonts w:ascii="Times New Roman" w:hAnsi="Times New Roman"/>
          <w:sz w:val="24"/>
          <w:szCs w:val="24"/>
        </w:rPr>
        <w:t>составляет</w:t>
      </w:r>
      <w:r w:rsidRPr="00BF3A4C">
        <w:rPr>
          <w:rFonts w:ascii="Times New Roman" w:hAnsi="Times New Roman"/>
          <w:sz w:val="24"/>
          <w:szCs w:val="24"/>
        </w:rPr>
        <w:t xml:space="preserve"> 60-65 </w:t>
      </w:r>
      <w:r w:rsidRPr="00156E87">
        <w:rPr>
          <w:rFonts w:ascii="Times New Roman" w:hAnsi="Times New Roman"/>
          <w:sz w:val="24"/>
          <w:szCs w:val="24"/>
        </w:rPr>
        <w:t>долларов США за баррель</w:t>
      </w:r>
      <w:r>
        <w:rPr>
          <w:rFonts w:ascii="Times New Roman" w:hAnsi="Times New Roman"/>
          <w:sz w:val="24"/>
          <w:szCs w:val="24"/>
        </w:rPr>
        <w:t>, а</w:t>
      </w:r>
      <w:r w:rsidRPr="00BF3A4C">
        <w:rPr>
          <w:rFonts w:ascii="Times New Roman" w:hAnsi="Times New Roman"/>
          <w:sz w:val="24"/>
          <w:szCs w:val="24"/>
        </w:rPr>
        <w:t xml:space="preserve"> на трехлетнем горизонте</w:t>
      </w:r>
      <w:r w:rsidRPr="00BF3A4C" w:rsidDel="009E6FD4">
        <w:rPr>
          <w:rFonts w:ascii="Times New Roman" w:hAnsi="Times New Roman"/>
          <w:sz w:val="24"/>
          <w:szCs w:val="24"/>
        </w:rPr>
        <w:t xml:space="preserve"> </w:t>
      </w:r>
      <w:r>
        <w:rPr>
          <w:rFonts w:ascii="Times New Roman" w:hAnsi="Times New Roman"/>
          <w:sz w:val="24"/>
          <w:szCs w:val="24"/>
        </w:rPr>
        <w:t xml:space="preserve">она снизится до </w:t>
      </w:r>
      <w:r w:rsidRPr="00BF3A4C">
        <w:rPr>
          <w:rFonts w:ascii="Times New Roman" w:hAnsi="Times New Roman"/>
          <w:sz w:val="24"/>
          <w:szCs w:val="24"/>
        </w:rPr>
        <w:t xml:space="preserve">40-45 </w:t>
      </w:r>
      <w:r w:rsidRPr="00156E87">
        <w:rPr>
          <w:rFonts w:ascii="Times New Roman" w:hAnsi="Times New Roman"/>
          <w:sz w:val="24"/>
          <w:szCs w:val="24"/>
        </w:rPr>
        <w:t>долларов США за баррель</w:t>
      </w:r>
      <w:r w:rsidR="009609BA">
        <w:rPr>
          <w:rFonts w:ascii="Times New Roman" w:hAnsi="Times New Roman"/>
          <w:sz w:val="24"/>
          <w:szCs w:val="24"/>
        </w:rPr>
        <w:t>,</w:t>
      </w:r>
      <w:r>
        <w:rPr>
          <w:rFonts w:ascii="Times New Roman" w:hAnsi="Times New Roman"/>
          <w:sz w:val="24"/>
          <w:szCs w:val="24"/>
        </w:rPr>
        <w:t xml:space="preserve"> в то время как е</w:t>
      </w:r>
      <w:r w:rsidRPr="00D3383A">
        <w:rPr>
          <w:rFonts w:ascii="Times New Roman" w:hAnsi="Times New Roman"/>
          <w:sz w:val="24"/>
          <w:szCs w:val="24"/>
        </w:rPr>
        <w:t xml:space="preserve">ще в 2013-2014 годах </w:t>
      </w:r>
      <w:r w:rsidRPr="005F6D56">
        <w:rPr>
          <w:rFonts w:ascii="Times New Roman" w:hAnsi="Times New Roman"/>
          <w:sz w:val="24"/>
          <w:szCs w:val="24"/>
        </w:rPr>
        <w:t>для балансировки</w:t>
      </w:r>
      <w:r w:rsidR="005F6D56" w:rsidRPr="005F6D56">
        <w:rPr>
          <w:rFonts w:ascii="Times New Roman" w:hAnsi="Times New Roman"/>
          <w:sz w:val="24"/>
          <w:szCs w:val="24"/>
        </w:rPr>
        <w:t xml:space="preserve"> федерального</w:t>
      </w:r>
      <w:r w:rsidRPr="005F6D56">
        <w:rPr>
          <w:rFonts w:ascii="Times New Roman" w:hAnsi="Times New Roman"/>
          <w:sz w:val="24"/>
          <w:szCs w:val="24"/>
        </w:rPr>
        <w:t xml:space="preserve"> бюджета</w:t>
      </w:r>
      <w:r w:rsidR="00D64F50">
        <w:rPr>
          <w:rFonts w:ascii="Times New Roman" w:hAnsi="Times New Roman"/>
          <w:sz w:val="24"/>
          <w:szCs w:val="24"/>
        </w:rPr>
        <w:t xml:space="preserve"> </w:t>
      </w:r>
      <w:r w:rsidR="00AA394E">
        <w:rPr>
          <w:rFonts w:ascii="Times New Roman" w:hAnsi="Times New Roman"/>
          <w:sz w:val="24"/>
          <w:szCs w:val="24"/>
        </w:rPr>
        <w:t xml:space="preserve">на первичном уровне </w:t>
      </w:r>
      <w:r w:rsidRPr="00D3383A">
        <w:rPr>
          <w:rFonts w:ascii="Times New Roman" w:hAnsi="Times New Roman"/>
          <w:sz w:val="24"/>
          <w:szCs w:val="24"/>
        </w:rPr>
        <w:t>требовала</w:t>
      </w:r>
      <w:r>
        <w:rPr>
          <w:rFonts w:ascii="Times New Roman" w:hAnsi="Times New Roman"/>
          <w:sz w:val="24"/>
          <w:szCs w:val="24"/>
        </w:rPr>
        <w:t xml:space="preserve">сь цена в районе 95-105 </w:t>
      </w:r>
      <w:r w:rsidRPr="00156E87">
        <w:rPr>
          <w:rFonts w:ascii="Times New Roman" w:hAnsi="Times New Roman"/>
          <w:sz w:val="24"/>
          <w:szCs w:val="24"/>
        </w:rPr>
        <w:t>долларов США за баррель</w:t>
      </w:r>
      <w:r>
        <w:rPr>
          <w:rFonts w:ascii="Times New Roman" w:hAnsi="Times New Roman"/>
          <w:sz w:val="24"/>
          <w:szCs w:val="24"/>
        </w:rPr>
        <w:t>.</w:t>
      </w:r>
    </w:p>
    <w:p w:rsidR="00156E87" w:rsidRDefault="00156E87" w:rsidP="009F1CCA">
      <w:pPr>
        <w:pStyle w:val="a9"/>
        <w:numPr>
          <w:ilvl w:val="0"/>
          <w:numId w:val="13"/>
        </w:numPr>
        <w:spacing w:before="120" w:after="120"/>
        <w:contextualSpacing w:val="0"/>
        <w:jc w:val="both"/>
        <w:rPr>
          <w:rFonts w:ascii="Times New Roman" w:hAnsi="Times New Roman"/>
          <w:sz w:val="24"/>
          <w:szCs w:val="24"/>
        </w:rPr>
      </w:pPr>
      <w:r w:rsidRPr="007001DF">
        <w:rPr>
          <w:rFonts w:ascii="Times New Roman" w:hAnsi="Times New Roman"/>
          <w:b/>
          <w:sz w:val="24"/>
          <w:szCs w:val="24"/>
        </w:rPr>
        <w:t>Оздоровление структуры экономики</w:t>
      </w:r>
      <w:r>
        <w:rPr>
          <w:rFonts w:ascii="Times New Roman" w:hAnsi="Times New Roman"/>
          <w:sz w:val="24"/>
          <w:szCs w:val="24"/>
        </w:rPr>
        <w:t>.</w:t>
      </w:r>
      <w:r w:rsidRPr="00D3383A">
        <w:rPr>
          <w:rFonts w:ascii="Times New Roman" w:hAnsi="Times New Roman"/>
          <w:sz w:val="24"/>
          <w:szCs w:val="24"/>
        </w:rPr>
        <w:t xml:space="preserve"> </w:t>
      </w:r>
      <w:r w:rsidRPr="007001DF">
        <w:rPr>
          <w:rFonts w:ascii="Times New Roman" w:hAnsi="Times New Roman"/>
          <w:sz w:val="24"/>
          <w:szCs w:val="24"/>
        </w:rPr>
        <w:t xml:space="preserve">За последние два года существенно выросла </w:t>
      </w:r>
      <w:r w:rsidRPr="003A69C0">
        <w:rPr>
          <w:rFonts w:ascii="Times New Roman" w:hAnsi="Times New Roman"/>
          <w:sz w:val="24"/>
          <w:szCs w:val="24"/>
          <w:u w:val="single"/>
        </w:rPr>
        <w:t>доля прибыли в структуре национального дохода</w:t>
      </w:r>
      <w:r w:rsidRPr="007001DF">
        <w:rPr>
          <w:rFonts w:ascii="Times New Roman" w:hAnsi="Times New Roman"/>
          <w:sz w:val="24"/>
          <w:szCs w:val="24"/>
        </w:rPr>
        <w:t xml:space="preserve"> (+</w:t>
      </w:r>
      <w:r w:rsidRPr="00D3383A">
        <w:rPr>
          <w:rFonts w:ascii="Times New Roman" w:hAnsi="Times New Roman"/>
          <w:sz w:val="24"/>
          <w:szCs w:val="24"/>
        </w:rPr>
        <w:t>4</w:t>
      </w:r>
      <w:r w:rsidR="00CE7996">
        <w:rPr>
          <w:rFonts w:ascii="Times New Roman" w:hAnsi="Times New Roman"/>
          <w:sz w:val="24"/>
          <w:szCs w:val="24"/>
        </w:rPr>
        <w:t>1</w:t>
      </w:r>
      <w:r w:rsidRPr="00D3383A">
        <w:rPr>
          <w:rFonts w:ascii="Times New Roman" w:hAnsi="Times New Roman"/>
          <w:sz w:val="24"/>
          <w:szCs w:val="24"/>
        </w:rPr>
        <w:t>,</w:t>
      </w:r>
      <w:r w:rsidR="00CE7996">
        <w:rPr>
          <w:rFonts w:ascii="Times New Roman" w:hAnsi="Times New Roman"/>
          <w:sz w:val="24"/>
          <w:szCs w:val="24"/>
        </w:rPr>
        <w:t>7</w:t>
      </w:r>
      <w:r w:rsidRPr="00D3383A">
        <w:rPr>
          <w:rFonts w:ascii="Times New Roman" w:hAnsi="Times New Roman"/>
          <w:sz w:val="24"/>
          <w:szCs w:val="24"/>
        </w:rPr>
        <w:t>% в 2016: +</w:t>
      </w:r>
      <w:r w:rsidR="00CE7996">
        <w:rPr>
          <w:rFonts w:ascii="Times New Roman" w:hAnsi="Times New Roman"/>
          <w:sz w:val="24"/>
          <w:szCs w:val="24"/>
        </w:rPr>
        <w:t>2</w:t>
      </w:r>
      <w:r w:rsidRPr="00D3383A">
        <w:rPr>
          <w:rFonts w:ascii="Times New Roman" w:hAnsi="Times New Roman"/>
          <w:sz w:val="24"/>
          <w:szCs w:val="24"/>
        </w:rPr>
        <w:t>,</w:t>
      </w:r>
      <w:r w:rsidR="00CE7996">
        <w:rPr>
          <w:rFonts w:ascii="Times New Roman" w:hAnsi="Times New Roman"/>
          <w:sz w:val="24"/>
          <w:szCs w:val="24"/>
        </w:rPr>
        <w:t>8</w:t>
      </w:r>
      <w:r w:rsidRPr="00D3383A">
        <w:rPr>
          <w:rFonts w:ascii="Times New Roman" w:hAnsi="Times New Roman"/>
          <w:sz w:val="24"/>
          <w:szCs w:val="24"/>
        </w:rPr>
        <w:t>п.п. с 2014</w:t>
      </w:r>
      <w:r w:rsidRPr="007001DF">
        <w:rPr>
          <w:rFonts w:ascii="Times New Roman" w:hAnsi="Times New Roman"/>
          <w:sz w:val="24"/>
          <w:szCs w:val="24"/>
        </w:rPr>
        <w:t xml:space="preserve">), </w:t>
      </w:r>
      <w:r>
        <w:rPr>
          <w:rFonts w:ascii="Times New Roman" w:hAnsi="Times New Roman"/>
          <w:sz w:val="24"/>
          <w:szCs w:val="24"/>
        </w:rPr>
        <w:t xml:space="preserve">таким образом, формируется внутренний, естественный </w:t>
      </w:r>
      <w:r w:rsidRPr="007001DF">
        <w:rPr>
          <w:rFonts w:ascii="Times New Roman" w:hAnsi="Times New Roman"/>
          <w:sz w:val="24"/>
          <w:szCs w:val="24"/>
        </w:rPr>
        <w:t xml:space="preserve">источник для финансирования инвестиций. Сопровождавший подстройку к внешним шокам </w:t>
      </w:r>
      <w:r w:rsidRPr="003A69C0">
        <w:rPr>
          <w:rFonts w:ascii="Times New Roman" w:hAnsi="Times New Roman"/>
          <w:sz w:val="24"/>
          <w:szCs w:val="24"/>
          <w:u w:val="single"/>
        </w:rPr>
        <w:t>рост конкурентоспособности и рентабельности</w:t>
      </w:r>
      <w:r w:rsidRPr="007001DF">
        <w:rPr>
          <w:rFonts w:ascii="Times New Roman" w:hAnsi="Times New Roman"/>
          <w:sz w:val="24"/>
          <w:szCs w:val="24"/>
        </w:rPr>
        <w:t xml:space="preserve"> отечественных отраслей торгуемого сектора привел к увеличению доли</w:t>
      </w:r>
      <w:r>
        <w:rPr>
          <w:rFonts w:ascii="Times New Roman" w:hAnsi="Times New Roman"/>
          <w:sz w:val="24"/>
          <w:szCs w:val="24"/>
        </w:rPr>
        <w:t xml:space="preserve"> </w:t>
      </w:r>
      <w:proofErr w:type="spellStart"/>
      <w:r>
        <w:rPr>
          <w:rFonts w:ascii="Times New Roman" w:hAnsi="Times New Roman"/>
          <w:sz w:val="24"/>
          <w:szCs w:val="24"/>
        </w:rPr>
        <w:t>ненефтегазовой</w:t>
      </w:r>
      <w:proofErr w:type="spellEnd"/>
      <w:r>
        <w:rPr>
          <w:rFonts w:ascii="Times New Roman" w:hAnsi="Times New Roman"/>
          <w:sz w:val="24"/>
          <w:szCs w:val="24"/>
        </w:rPr>
        <w:t xml:space="preserve"> </w:t>
      </w:r>
      <w:r w:rsidRPr="007001DF">
        <w:rPr>
          <w:rFonts w:ascii="Times New Roman" w:hAnsi="Times New Roman"/>
          <w:sz w:val="24"/>
          <w:szCs w:val="24"/>
        </w:rPr>
        <w:t xml:space="preserve">промышленности </w:t>
      </w:r>
      <w:r>
        <w:rPr>
          <w:rFonts w:ascii="Times New Roman" w:hAnsi="Times New Roman"/>
          <w:sz w:val="24"/>
          <w:szCs w:val="24"/>
        </w:rPr>
        <w:t>в</w:t>
      </w:r>
      <w:r w:rsidRPr="007001DF">
        <w:rPr>
          <w:rFonts w:ascii="Times New Roman" w:hAnsi="Times New Roman"/>
          <w:sz w:val="24"/>
          <w:szCs w:val="24"/>
        </w:rPr>
        <w:t xml:space="preserve"> структуре ВВП (</w:t>
      </w:r>
      <w:r>
        <w:rPr>
          <w:rFonts w:ascii="Times New Roman" w:hAnsi="Times New Roman"/>
          <w:sz w:val="24"/>
          <w:szCs w:val="24"/>
          <w:lang w:val="en-GB"/>
        </w:rPr>
        <w:t>c</w:t>
      </w:r>
      <w:r w:rsidRPr="003A69C0">
        <w:rPr>
          <w:rFonts w:ascii="Times New Roman" w:hAnsi="Times New Roman"/>
          <w:sz w:val="24"/>
          <w:szCs w:val="24"/>
        </w:rPr>
        <w:t xml:space="preserve"> 9</w:t>
      </w:r>
      <w:r>
        <w:rPr>
          <w:rFonts w:ascii="Times New Roman" w:hAnsi="Times New Roman"/>
          <w:sz w:val="24"/>
          <w:szCs w:val="24"/>
        </w:rPr>
        <w:t>,3</w:t>
      </w:r>
      <w:r w:rsidRPr="007001DF">
        <w:rPr>
          <w:rFonts w:ascii="Times New Roman" w:hAnsi="Times New Roman"/>
          <w:sz w:val="24"/>
          <w:szCs w:val="24"/>
        </w:rPr>
        <w:t xml:space="preserve">% </w:t>
      </w:r>
      <w:r>
        <w:rPr>
          <w:rFonts w:ascii="Times New Roman" w:hAnsi="Times New Roman"/>
          <w:sz w:val="24"/>
          <w:szCs w:val="24"/>
        </w:rPr>
        <w:t>в 201</w:t>
      </w:r>
      <w:r w:rsidRPr="003A69C0">
        <w:rPr>
          <w:rFonts w:ascii="Times New Roman" w:hAnsi="Times New Roman"/>
          <w:sz w:val="24"/>
          <w:szCs w:val="24"/>
        </w:rPr>
        <w:t>4</w:t>
      </w:r>
      <w:r>
        <w:rPr>
          <w:rFonts w:ascii="Times New Roman" w:hAnsi="Times New Roman"/>
          <w:sz w:val="24"/>
          <w:szCs w:val="24"/>
        </w:rPr>
        <w:t xml:space="preserve"> году до </w:t>
      </w:r>
      <w:r w:rsidRPr="003A69C0">
        <w:rPr>
          <w:rFonts w:ascii="Times New Roman" w:hAnsi="Times New Roman"/>
          <w:sz w:val="24"/>
          <w:szCs w:val="24"/>
        </w:rPr>
        <w:t>1</w:t>
      </w:r>
      <w:r>
        <w:rPr>
          <w:rFonts w:ascii="Times New Roman" w:hAnsi="Times New Roman"/>
          <w:sz w:val="24"/>
          <w:szCs w:val="24"/>
        </w:rPr>
        <w:t>0,6% в 2016 году).</w:t>
      </w:r>
      <w:r w:rsidRPr="003A69C0">
        <w:rPr>
          <w:rFonts w:ascii="Times New Roman" w:hAnsi="Times New Roman"/>
          <w:sz w:val="24"/>
          <w:szCs w:val="24"/>
        </w:rPr>
        <w:t xml:space="preserve"> </w:t>
      </w:r>
      <w:r>
        <w:rPr>
          <w:rFonts w:ascii="Times New Roman" w:hAnsi="Times New Roman"/>
          <w:sz w:val="24"/>
          <w:szCs w:val="24"/>
        </w:rPr>
        <w:t xml:space="preserve">За последние годы также произошло существенное </w:t>
      </w:r>
      <w:r w:rsidRPr="005609BB">
        <w:rPr>
          <w:rFonts w:ascii="Times New Roman" w:hAnsi="Times New Roman"/>
          <w:sz w:val="24"/>
          <w:szCs w:val="24"/>
          <w:u w:val="single"/>
        </w:rPr>
        <w:t>снижение долговой нагрузки нефинансового сектора</w:t>
      </w:r>
      <w:r>
        <w:rPr>
          <w:rFonts w:ascii="Times New Roman" w:hAnsi="Times New Roman"/>
          <w:sz w:val="24"/>
          <w:szCs w:val="24"/>
        </w:rPr>
        <w:t xml:space="preserve"> и </w:t>
      </w:r>
      <w:r w:rsidRPr="005609BB">
        <w:rPr>
          <w:rFonts w:ascii="Times New Roman" w:hAnsi="Times New Roman"/>
          <w:sz w:val="24"/>
          <w:szCs w:val="24"/>
          <w:u w:val="single"/>
        </w:rPr>
        <w:t>оздоровление структуры финансового</w:t>
      </w:r>
      <w:r>
        <w:rPr>
          <w:rFonts w:ascii="Times New Roman" w:hAnsi="Times New Roman"/>
          <w:sz w:val="24"/>
          <w:szCs w:val="24"/>
          <w:u w:val="single"/>
        </w:rPr>
        <w:t xml:space="preserve"> сегмента</w:t>
      </w:r>
      <w:r>
        <w:rPr>
          <w:rFonts w:ascii="Times New Roman" w:hAnsi="Times New Roman"/>
          <w:sz w:val="24"/>
          <w:szCs w:val="24"/>
        </w:rPr>
        <w:t xml:space="preserve">, свидетельствуя о том, что </w:t>
      </w:r>
      <w:r w:rsidRPr="005609BB">
        <w:rPr>
          <w:rFonts w:ascii="Times New Roman" w:hAnsi="Times New Roman"/>
          <w:sz w:val="24"/>
          <w:szCs w:val="24"/>
        </w:rPr>
        <w:t xml:space="preserve">сейчас </w:t>
      </w:r>
      <w:r>
        <w:rPr>
          <w:rFonts w:ascii="Times New Roman" w:hAnsi="Times New Roman"/>
          <w:sz w:val="24"/>
          <w:szCs w:val="24"/>
        </w:rPr>
        <w:t xml:space="preserve">экономика в </w:t>
      </w:r>
      <w:r w:rsidRPr="005609BB">
        <w:rPr>
          <w:rFonts w:ascii="Times New Roman" w:hAnsi="Times New Roman"/>
          <w:sz w:val="24"/>
          <w:szCs w:val="24"/>
        </w:rPr>
        <w:t>лучшей степени подготовлена к трансформации сбережений в здоровые (эффективные) инвестиции</w:t>
      </w:r>
      <w:r>
        <w:rPr>
          <w:rFonts w:ascii="Times New Roman" w:hAnsi="Times New Roman"/>
          <w:sz w:val="24"/>
          <w:szCs w:val="24"/>
        </w:rPr>
        <w:t>.</w:t>
      </w:r>
    </w:p>
    <w:p w:rsidR="00E31361" w:rsidRDefault="003C20A0" w:rsidP="00A40BDA">
      <w:pPr>
        <w:spacing w:before="120" w:after="120"/>
        <w:jc w:val="both"/>
        <w:rPr>
          <w:rFonts w:ascii="Times New Roman" w:hAnsi="Times New Roman"/>
          <w:sz w:val="24"/>
          <w:szCs w:val="24"/>
        </w:rPr>
      </w:pPr>
      <w:r w:rsidRPr="008C0987">
        <w:rPr>
          <w:noProof/>
          <w:lang w:eastAsia="ru-RU"/>
        </w:rPr>
        <mc:AlternateContent>
          <mc:Choice Requires="wps">
            <w:drawing>
              <wp:anchor distT="45720" distB="45720" distL="114300" distR="114300" simplePos="0" relativeHeight="251648512" behindDoc="0" locked="0" layoutInCell="1" allowOverlap="1" wp14:anchorId="4164B5A1" wp14:editId="4F98C631">
                <wp:simplePos x="0" y="0"/>
                <wp:positionH relativeFrom="margin">
                  <wp:posOffset>-18415</wp:posOffset>
                </wp:positionH>
                <wp:positionV relativeFrom="paragraph">
                  <wp:posOffset>-20955</wp:posOffset>
                </wp:positionV>
                <wp:extent cx="5835015" cy="8022590"/>
                <wp:effectExtent l="0" t="0" r="0" b="0"/>
                <wp:wrapSquare wrapText="bothSides"/>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015" cy="8022590"/>
                        </a:xfrm>
                        <a:prstGeom prst="rect">
                          <a:avLst/>
                        </a:prstGeom>
                        <a:solidFill>
                          <a:schemeClr val="bg1">
                            <a:lumMod val="95000"/>
                          </a:schemeClr>
                        </a:solidFill>
                        <a:ln w="9525">
                          <a:noFill/>
                          <a:miter lim="800000"/>
                          <a:headEnd/>
                          <a:tailEnd/>
                        </a:ln>
                      </wps:spPr>
                      <wps:txbx>
                        <w:txbxContent>
                          <w:p w:rsidR="007E5DFE" w:rsidRDefault="007E5DFE" w:rsidP="005609BB">
                            <w:pPr>
                              <w:rPr>
                                <w:rFonts w:ascii="Times New Roman" w:hAnsi="Times New Roman"/>
                                <w:b/>
                                <w:sz w:val="24"/>
                                <w:szCs w:val="24"/>
                              </w:rPr>
                            </w:pPr>
                            <w:r w:rsidRPr="002F2D98">
                              <w:rPr>
                                <w:rFonts w:ascii="Times New Roman" w:hAnsi="Times New Roman"/>
                                <w:b/>
                                <w:sz w:val="24"/>
                                <w:szCs w:val="24"/>
                              </w:rPr>
                              <w:t>Адаптация к внешним шокам и сопутствующая экономическая политика</w:t>
                            </w:r>
                          </w:p>
                          <w:p w:rsidR="007E5DFE" w:rsidRPr="005609BB" w:rsidRDefault="007E5DFE" w:rsidP="005609BB">
                            <w:pPr>
                              <w:spacing w:before="120" w:after="120"/>
                              <w:jc w:val="both"/>
                              <w:rPr>
                                <w:rFonts w:ascii="Times New Roman" w:hAnsi="Times New Roman"/>
                                <w:sz w:val="20"/>
                                <w:szCs w:val="20"/>
                              </w:rPr>
                            </w:pPr>
                            <w:r w:rsidRPr="005609BB">
                              <w:rPr>
                                <w:rFonts w:ascii="Times New Roman" w:hAnsi="Times New Roman"/>
                                <w:i/>
                                <w:sz w:val="20"/>
                                <w:szCs w:val="20"/>
                              </w:rPr>
                              <w:t>Подстройка платежного баланса</w:t>
                            </w:r>
                            <w:r w:rsidRPr="005609BB">
                              <w:rPr>
                                <w:rFonts w:ascii="Times New Roman" w:hAnsi="Times New Roman"/>
                                <w:sz w:val="20"/>
                                <w:szCs w:val="20"/>
                              </w:rPr>
                              <w:t xml:space="preserve"> к </w:t>
                            </w:r>
                            <w:r>
                              <w:rPr>
                                <w:rFonts w:ascii="Times New Roman" w:hAnsi="Times New Roman"/>
                                <w:sz w:val="20"/>
                                <w:szCs w:val="20"/>
                              </w:rPr>
                              <w:t xml:space="preserve">резким и масштабным </w:t>
                            </w:r>
                            <w:r w:rsidRPr="005609BB">
                              <w:rPr>
                                <w:rFonts w:ascii="Times New Roman" w:hAnsi="Times New Roman"/>
                                <w:sz w:val="20"/>
                                <w:szCs w:val="20"/>
                              </w:rPr>
                              <w:t>изменени</w:t>
                            </w:r>
                            <w:r>
                              <w:rPr>
                                <w:rFonts w:ascii="Times New Roman" w:hAnsi="Times New Roman"/>
                                <w:sz w:val="20"/>
                                <w:szCs w:val="20"/>
                              </w:rPr>
                              <w:t>ям</w:t>
                            </w:r>
                            <w:r w:rsidRPr="005609BB">
                              <w:rPr>
                                <w:rFonts w:ascii="Times New Roman" w:hAnsi="Times New Roman"/>
                                <w:sz w:val="20"/>
                                <w:szCs w:val="20"/>
                              </w:rPr>
                              <w:t xml:space="preserve"> ценовых условий торговли</w:t>
                            </w:r>
                            <w:r>
                              <w:rPr>
                                <w:rFonts w:ascii="Times New Roman" w:hAnsi="Times New Roman"/>
                                <w:sz w:val="20"/>
                                <w:szCs w:val="20"/>
                              </w:rPr>
                              <w:t xml:space="preserve"> и/или потоков капитала</w:t>
                            </w:r>
                            <w:r w:rsidRPr="005609BB">
                              <w:rPr>
                                <w:rFonts w:ascii="Times New Roman" w:hAnsi="Times New Roman"/>
                                <w:sz w:val="20"/>
                                <w:szCs w:val="20"/>
                              </w:rPr>
                              <w:t xml:space="preserve"> требует перехода к </w:t>
                            </w:r>
                            <w:r w:rsidRPr="002F2D98">
                              <w:rPr>
                                <w:rFonts w:ascii="Times New Roman" w:hAnsi="Times New Roman"/>
                                <w:b/>
                                <w:sz w:val="20"/>
                                <w:szCs w:val="20"/>
                              </w:rPr>
                              <w:t>новому внутреннему равновесию</w:t>
                            </w:r>
                            <w:r w:rsidRPr="005609BB">
                              <w:rPr>
                                <w:rFonts w:ascii="Times New Roman" w:hAnsi="Times New Roman"/>
                                <w:sz w:val="20"/>
                                <w:szCs w:val="20"/>
                              </w:rPr>
                              <w:t xml:space="preserve"> экономики с более низким уровнем </w:t>
                            </w:r>
                            <w:r w:rsidRPr="0008773D">
                              <w:rPr>
                                <w:rFonts w:ascii="Times New Roman" w:hAnsi="Times New Roman"/>
                                <w:sz w:val="20"/>
                                <w:szCs w:val="20"/>
                              </w:rPr>
                              <w:t>потребления</w:t>
                            </w:r>
                            <w:r w:rsidRPr="005609BB">
                              <w:rPr>
                                <w:rFonts w:ascii="Times New Roman" w:hAnsi="Times New Roman"/>
                                <w:sz w:val="20"/>
                                <w:szCs w:val="20"/>
                              </w:rPr>
                              <w:t xml:space="preserve"> импорта и/или более высоким уровнем ненефтегазового экспорта. Для перехода к новому равновесию требуется </w:t>
                            </w:r>
                            <w:r w:rsidRPr="002F2D98">
                              <w:rPr>
                                <w:rFonts w:ascii="Times New Roman" w:hAnsi="Times New Roman"/>
                                <w:i/>
                                <w:sz w:val="20"/>
                                <w:szCs w:val="20"/>
                              </w:rPr>
                              <w:t>изменение структуры экономики</w:t>
                            </w:r>
                            <w:r w:rsidRPr="005609BB">
                              <w:rPr>
                                <w:rFonts w:ascii="Times New Roman" w:hAnsi="Times New Roman"/>
                                <w:sz w:val="20"/>
                                <w:szCs w:val="20"/>
                              </w:rPr>
                              <w:t xml:space="preserve">, механизм, обеспечивающий такую трансформацию – </w:t>
                            </w:r>
                            <w:r w:rsidRPr="002F2D98">
                              <w:rPr>
                                <w:rFonts w:ascii="Times New Roman" w:hAnsi="Times New Roman"/>
                                <w:i/>
                                <w:sz w:val="20"/>
                                <w:szCs w:val="20"/>
                              </w:rPr>
                              <w:t>изменение секторальной структуры цен</w:t>
                            </w:r>
                            <w:r w:rsidRPr="005609BB">
                              <w:rPr>
                                <w:rFonts w:ascii="Times New Roman" w:hAnsi="Times New Roman"/>
                                <w:sz w:val="20"/>
                                <w:szCs w:val="20"/>
                              </w:rPr>
                              <w:t xml:space="preserve">, т.е. снижение цен в </w:t>
                            </w:r>
                            <w:proofErr w:type="spellStart"/>
                            <w:r w:rsidRPr="005609BB">
                              <w:rPr>
                                <w:rFonts w:ascii="Times New Roman" w:hAnsi="Times New Roman"/>
                                <w:sz w:val="20"/>
                                <w:szCs w:val="20"/>
                              </w:rPr>
                              <w:t>неторгуемых</w:t>
                            </w:r>
                            <w:proofErr w:type="spellEnd"/>
                            <w:r w:rsidRPr="005609BB">
                              <w:rPr>
                                <w:rFonts w:ascii="Times New Roman" w:hAnsi="Times New Roman"/>
                                <w:sz w:val="20"/>
                                <w:szCs w:val="20"/>
                              </w:rPr>
                              <w:t xml:space="preserve"> секторах относительно цен в торгуемых секторах.</w:t>
                            </w:r>
                          </w:p>
                          <w:p w:rsidR="007E5DFE" w:rsidRPr="005609BB" w:rsidRDefault="007E5DFE" w:rsidP="005609BB">
                            <w:pPr>
                              <w:spacing w:before="120" w:after="120"/>
                              <w:jc w:val="both"/>
                              <w:rPr>
                                <w:rFonts w:ascii="Times New Roman" w:hAnsi="Times New Roman"/>
                                <w:sz w:val="20"/>
                                <w:szCs w:val="20"/>
                              </w:rPr>
                            </w:pPr>
                            <w:r w:rsidRPr="005609BB">
                              <w:rPr>
                                <w:rFonts w:ascii="Times New Roman" w:hAnsi="Times New Roman"/>
                                <w:sz w:val="20"/>
                                <w:szCs w:val="20"/>
                              </w:rPr>
                              <w:t>При этом изменения также касаются структуры национального дохода по его источникам (рост доли корпоративных прибылей в целях ускорения перемещения капитала), структуры внутреннего спроса (рост доли инвестиций), занятости и импорта. Изменения в структуре экономики, произошедшие вследствие масштабного изменения относительных цен в 1998 году, могут послужить наглядным примером.</w:t>
                            </w:r>
                          </w:p>
                          <w:tbl>
                            <w:tblPr>
                              <w:tblStyle w:val="Smalltable"/>
                              <w:tblW w:w="10106" w:type="dxa"/>
                              <w:tblInd w:w="0" w:type="dxa"/>
                              <w:tblLook w:val="04A0" w:firstRow="1" w:lastRow="0" w:firstColumn="1" w:lastColumn="0" w:noHBand="0" w:noVBand="1"/>
                            </w:tblPr>
                            <w:tblGrid>
                              <w:gridCol w:w="4491"/>
                              <w:gridCol w:w="222"/>
                              <w:gridCol w:w="4362"/>
                              <w:gridCol w:w="1031"/>
                            </w:tblGrid>
                            <w:tr w:rsidR="007E5DFE" w:rsidRPr="00E65DE3" w:rsidTr="002F2D98">
                              <w:trPr>
                                <w:gridAfter w:val="1"/>
                                <w:wAfter w:w="1149" w:type="dxa"/>
                                <w:trHeight w:val="198"/>
                              </w:trPr>
                              <w:tc>
                                <w:tcPr>
                                  <w:tcW w:w="4371" w:type="dxa"/>
                                  <w:shd w:val="clear" w:color="auto" w:fill="auto"/>
                                </w:tcPr>
                                <w:p w:rsidR="007E5DFE" w:rsidRPr="00D53C5B" w:rsidRDefault="007E5DFE" w:rsidP="00B81EF5">
                                  <w:pPr>
                                    <w:pStyle w:val="GraphTitle"/>
                                    <w:rPr>
                                      <w:rFonts w:ascii="Times New Roman" w:hAnsi="Times New Roman" w:cs="Times New Roman"/>
                                      <w:b/>
                                      <w:sz w:val="20"/>
                                      <w:szCs w:val="20"/>
                                      <w:lang w:val="ru-RU"/>
                                    </w:rPr>
                                  </w:pPr>
                                  <w:r w:rsidRPr="005B2297">
                                    <w:rPr>
                                      <w:rFonts w:ascii="Times New Roman" w:hAnsi="Times New Roman" w:cs="Times New Roman"/>
                                      <w:b/>
                                      <w:sz w:val="20"/>
                                      <w:szCs w:val="20"/>
                                      <w:lang w:val="ru-RU"/>
                                    </w:rPr>
                                    <w:t xml:space="preserve">Структура ВВП по источникам доходов </w:t>
                                  </w:r>
                                </w:p>
                              </w:tc>
                              <w:tc>
                                <w:tcPr>
                                  <w:tcW w:w="222" w:type="dxa"/>
                                  <w:shd w:val="clear" w:color="auto" w:fill="auto"/>
                                </w:tcPr>
                                <w:p w:rsidR="007E5DFE" w:rsidRPr="00E65DE3" w:rsidRDefault="007E5DFE" w:rsidP="00B81EF5">
                                  <w:pPr>
                                    <w:pStyle w:val="GraphTitle"/>
                                    <w:rPr>
                                      <w:rFonts w:ascii="Times New Roman" w:hAnsi="Times New Roman" w:cs="Times New Roman"/>
                                      <w:lang w:val="ru-RU"/>
                                    </w:rPr>
                                  </w:pPr>
                                </w:p>
                              </w:tc>
                              <w:tc>
                                <w:tcPr>
                                  <w:tcW w:w="4364" w:type="dxa"/>
                                  <w:shd w:val="clear" w:color="auto" w:fill="auto"/>
                                </w:tcPr>
                                <w:p w:rsidR="007E5DFE" w:rsidRPr="008B3C4E" w:rsidRDefault="007E5DFE" w:rsidP="00287BED">
                                  <w:pPr>
                                    <w:pStyle w:val="GraphTitle"/>
                                    <w:rPr>
                                      <w:rFonts w:ascii="Times New Roman" w:hAnsi="Times New Roman" w:cs="Times New Roman"/>
                                      <w:b/>
                                      <w:sz w:val="20"/>
                                      <w:szCs w:val="20"/>
                                      <w:lang w:val="ru-RU"/>
                                    </w:rPr>
                                  </w:pPr>
                                  <w:r>
                                    <w:rPr>
                                      <w:rFonts w:ascii="Times New Roman" w:hAnsi="Times New Roman" w:cs="Times New Roman"/>
                                      <w:b/>
                                      <w:sz w:val="20"/>
                                      <w:szCs w:val="20"/>
                                      <w:lang w:val="ru-RU"/>
                                    </w:rPr>
                                    <w:t>Секторальное соотношение занятости</w:t>
                                  </w:r>
                                </w:p>
                              </w:tc>
                            </w:tr>
                            <w:tr w:rsidR="007E5DFE" w:rsidRPr="00E65DE3" w:rsidTr="002F2D98">
                              <w:trPr>
                                <w:trHeight w:hRule="exact" w:val="28"/>
                              </w:trPr>
                              <w:tc>
                                <w:tcPr>
                                  <w:tcW w:w="4371" w:type="dxa"/>
                                  <w:tcBorders>
                                    <w:bottom w:val="single" w:sz="4" w:space="0" w:color="auto"/>
                                  </w:tcBorders>
                                  <w:shd w:val="clear" w:color="auto" w:fill="auto"/>
                                </w:tcPr>
                                <w:p w:rsidR="007E5DFE" w:rsidRPr="00E65DE3" w:rsidRDefault="007E5DFE" w:rsidP="00B81EF5">
                                  <w:pPr>
                                    <w:pStyle w:val="TabText"/>
                                    <w:rPr>
                                      <w:rFonts w:ascii="Times New Roman" w:hAnsi="Times New Roman" w:cs="Times New Roman"/>
                                      <w:lang w:val="ru-RU"/>
                                    </w:rPr>
                                  </w:pPr>
                                </w:p>
                              </w:tc>
                              <w:tc>
                                <w:tcPr>
                                  <w:tcW w:w="222" w:type="dxa"/>
                                  <w:shd w:val="clear" w:color="auto" w:fill="auto"/>
                                </w:tcPr>
                                <w:p w:rsidR="007E5DFE" w:rsidRPr="00E65DE3" w:rsidRDefault="007E5DFE" w:rsidP="00B81EF5">
                                  <w:pPr>
                                    <w:pStyle w:val="TabText"/>
                                    <w:rPr>
                                      <w:rFonts w:ascii="Times New Roman" w:hAnsi="Times New Roman" w:cs="Times New Roman"/>
                                      <w:lang w:val="ru-RU"/>
                                    </w:rPr>
                                  </w:pPr>
                                </w:p>
                              </w:tc>
                              <w:tc>
                                <w:tcPr>
                                  <w:tcW w:w="4364" w:type="dxa"/>
                                  <w:tcBorders>
                                    <w:bottom w:val="single" w:sz="4" w:space="0" w:color="auto"/>
                                  </w:tcBorders>
                                  <w:shd w:val="clear" w:color="auto" w:fill="auto"/>
                                </w:tcPr>
                                <w:p w:rsidR="007E5DFE" w:rsidRPr="00E65DE3" w:rsidRDefault="007E5DFE" w:rsidP="00B81EF5">
                                  <w:pPr>
                                    <w:pStyle w:val="TabText"/>
                                    <w:rPr>
                                      <w:rFonts w:ascii="Times New Roman" w:hAnsi="Times New Roman" w:cs="Times New Roman"/>
                                      <w:lang w:val="ru-RU"/>
                                    </w:rPr>
                                  </w:pPr>
                                </w:p>
                              </w:tc>
                              <w:tc>
                                <w:tcPr>
                                  <w:tcW w:w="1149" w:type="dxa"/>
                                  <w:shd w:val="clear" w:color="auto" w:fill="auto"/>
                                </w:tcPr>
                                <w:p w:rsidR="007E5DFE" w:rsidRPr="00E65DE3" w:rsidRDefault="007E5DFE" w:rsidP="00B81EF5">
                                  <w:pPr>
                                    <w:pStyle w:val="TabText"/>
                                    <w:rPr>
                                      <w:rFonts w:ascii="Times New Roman" w:hAnsi="Times New Roman" w:cs="Times New Roman"/>
                                      <w:lang w:val="ru-RU"/>
                                    </w:rPr>
                                  </w:pPr>
                                </w:p>
                              </w:tc>
                            </w:tr>
                            <w:tr w:rsidR="007E5DFE" w:rsidRPr="00E65DE3" w:rsidTr="00CD3A91">
                              <w:tblPrEx>
                                <w:tblCellMar>
                                  <w:left w:w="108" w:type="dxa"/>
                                  <w:right w:w="108" w:type="dxa"/>
                                </w:tblCellMar>
                              </w:tblPrEx>
                              <w:trPr>
                                <w:gridAfter w:val="1"/>
                                <w:wAfter w:w="1149" w:type="dxa"/>
                                <w:trHeight w:val="2200"/>
                              </w:trPr>
                              <w:tc>
                                <w:tcPr>
                                  <w:tcW w:w="4371" w:type="dxa"/>
                                  <w:tcBorders>
                                    <w:top w:val="single" w:sz="4" w:space="0" w:color="auto"/>
                                    <w:bottom w:val="single" w:sz="4" w:space="0" w:color="auto"/>
                                  </w:tcBorders>
                                  <w:shd w:val="clear" w:color="auto" w:fill="auto"/>
                                  <w:tcMar>
                                    <w:left w:w="0" w:type="nil"/>
                                    <w:right w:w="0" w:type="nil"/>
                                  </w:tcMar>
                                </w:tcPr>
                                <w:p w:rsidR="007E5DFE" w:rsidRPr="00E65DE3" w:rsidRDefault="007E5DFE" w:rsidP="00B81EF5">
                                  <w:pPr>
                                    <w:pStyle w:val="TabText"/>
                                    <w:rPr>
                                      <w:rFonts w:ascii="Times New Roman" w:hAnsi="Times New Roman" w:cs="Times New Roman"/>
                                      <w:lang w:val="ru-RU"/>
                                    </w:rPr>
                                  </w:pPr>
                                  <w:r>
                                    <w:rPr>
                                      <w:noProof/>
                                      <w:lang w:val="ru-RU" w:bidi="ar-SA"/>
                                    </w:rPr>
                                    <w:drawing>
                                      <wp:inline distT="0" distB="0" distL="0" distR="0" wp14:anchorId="24046C00" wp14:editId="58B00581">
                                        <wp:extent cx="2714625" cy="1981200"/>
                                        <wp:effectExtent l="0" t="0" r="0" b="0"/>
                                        <wp:docPr id="10" name="Диаграмма 10">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222" w:type="dxa"/>
                                  <w:shd w:val="clear" w:color="auto" w:fill="auto"/>
                                  <w:tcMar>
                                    <w:left w:w="0" w:type="nil"/>
                                    <w:right w:w="0" w:type="nil"/>
                                  </w:tcMar>
                                </w:tcPr>
                                <w:p w:rsidR="007E5DFE" w:rsidRPr="00E65DE3" w:rsidRDefault="007E5DFE" w:rsidP="00B81EF5">
                                  <w:pPr>
                                    <w:pStyle w:val="TabText"/>
                                    <w:rPr>
                                      <w:rFonts w:ascii="Times New Roman" w:hAnsi="Times New Roman" w:cs="Times New Roman"/>
                                      <w:lang w:val="ru-RU"/>
                                    </w:rPr>
                                  </w:pPr>
                                </w:p>
                              </w:tc>
                              <w:tc>
                                <w:tcPr>
                                  <w:tcW w:w="4364" w:type="dxa"/>
                                  <w:tcBorders>
                                    <w:top w:val="single" w:sz="4" w:space="0" w:color="auto"/>
                                    <w:bottom w:val="single" w:sz="4" w:space="0" w:color="auto"/>
                                  </w:tcBorders>
                                  <w:shd w:val="clear" w:color="auto" w:fill="auto"/>
                                  <w:tcMar>
                                    <w:left w:w="0" w:type="nil"/>
                                    <w:right w:w="0" w:type="nil"/>
                                  </w:tcMar>
                                </w:tcPr>
                                <w:p w:rsidR="007E5DFE" w:rsidRPr="00E65DE3" w:rsidRDefault="007E5DFE" w:rsidP="00B81EF5">
                                  <w:pPr>
                                    <w:pStyle w:val="TabText"/>
                                    <w:rPr>
                                      <w:rFonts w:ascii="Times New Roman" w:hAnsi="Times New Roman" w:cs="Times New Roman"/>
                                      <w:lang w:val="ru-RU"/>
                                    </w:rPr>
                                  </w:pPr>
                                  <w:r>
                                    <w:rPr>
                                      <w:noProof/>
                                      <w:lang w:val="ru-RU" w:bidi="ar-SA"/>
                                    </w:rPr>
                                    <w:drawing>
                                      <wp:inline distT="0" distB="0" distL="0" distR="0" wp14:anchorId="73D006F8" wp14:editId="0EA84185">
                                        <wp:extent cx="2619375" cy="1979295"/>
                                        <wp:effectExtent l="0" t="0" r="0" b="190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7E5DFE" w:rsidRPr="00E65DE3" w:rsidTr="002F2D98">
                              <w:trPr>
                                <w:gridAfter w:val="1"/>
                                <w:wAfter w:w="1149" w:type="dxa"/>
                                <w:trHeight w:val="198"/>
                              </w:trPr>
                              <w:tc>
                                <w:tcPr>
                                  <w:tcW w:w="4371" w:type="dxa"/>
                                  <w:tcBorders>
                                    <w:top w:val="single" w:sz="4" w:space="0" w:color="auto"/>
                                  </w:tcBorders>
                                  <w:shd w:val="clear" w:color="auto" w:fill="auto"/>
                                </w:tcPr>
                                <w:p w:rsidR="007E5DFE" w:rsidRDefault="007E5DFE" w:rsidP="002F2D98">
                                  <w:pPr>
                                    <w:spacing w:after="0"/>
                                    <w:rPr>
                                      <w:rFonts w:ascii="Times New Roman" w:hAnsi="Times New Roman"/>
                                      <w:i/>
                                      <w:sz w:val="14"/>
                                      <w:szCs w:val="14"/>
                                      <w:lang w:val="ru-RU" w:bidi="ml-IN"/>
                                    </w:rPr>
                                  </w:pPr>
                                  <w:r w:rsidRPr="002F2D98">
                                    <w:rPr>
                                      <w:rFonts w:ascii="Times New Roman" w:hAnsi="Times New Roman"/>
                                      <w:i/>
                                      <w:sz w:val="14"/>
                                      <w:szCs w:val="14"/>
                                      <w:lang w:val="ru-RU" w:bidi="ml-IN"/>
                                    </w:rPr>
                                    <w:t xml:space="preserve">Источник: Росстат </w:t>
                                  </w:r>
                                </w:p>
                                <w:p w:rsidR="007E5DFE" w:rsidRPr="00802DC4" w:rsidRDefault="007E5DFE" w:rsidP="002F2D98">
                                  <w:pPr>
                                    <w:spacing w:after="0"/>
                                    <w:rPr>
                                      <w:rFonts w:asciiTheme="minorHAnsi" w:hAnsiTheme="minorHAnsi"/>
                                      <w:lang w:val="ru-RU" w:bidi="ml-IN"/>
                                    </w:rPr>
                                  </w:pPr>
                                  <w:r w:rsidRPr="002F2D98">
                                    <w:rPr>
                                      <w:rFonts w:ascii="Times New Roman" w:hAnsi="Times New Roman"/>
                                      <w:i/>
                                      <w:sz w:val="14"/>
                                      <w:szCs w:val="14"/>
                                      <w:lang w:val="ru-RU" w:bidi="ml-IN"/>
                                    </w:rPr>
                                    <w:t>* с корректировкой на изменение методологии ВВП</w:t>
                                  </w:r>
                                </w:p>
                              </w:tc>
                              <w:tc>
                                <w:tcPr>
                                  <w:tcW w:w="222" w:type="dxa"/>
                                  <w:shd w:val="clear" w:color="auto" w:fill="auto"/>
                                </w:tcPr>
                                <w:p w:rsidR="007E5DFE" w:rsidRPr="00802DC4" w:rsidRDefault="007E5DFE" w:rsidP="00B81EF5">
                                  <w:pPr>
                                    <w:pStyle w:val="SourceLarge"/>
                                    <w:spacing w:after="240"/>
                                    <w:rPr>
                                      <w:rFonts w:ascii="Times New Roman" w:hAnsi="Times New Roman" w:cs="Times New Roman"/>
                                      <w:lang w:val="ru-RU"/>
                                    </w:rPr>
                                  </w:pPr>
                                </w:p>
                              </w:tc>
                              <w:tc>
                                <w:tcPr>
                                  <w:tcW w:w="4364" w:type="dxa"/>
                                  <w:tcBorders>
                                    <w:top w:val="single" w:sz="4" w:space="0" w:color="auto"/>
                                  </w:tcBorders>
                                  <w:shd w:val="clear" w:color="auto" w:fill="auto"/>
                                </w:tcPr>
                                <w:p w:rsidR="007E5DFE" w:rsidRPr="003633FC" w:rsidRDefault="007E5DFE" w:rsidP="00B81EF5">
                                  <w:pPr>
                                    <w:pStyle w:val="SourceLarge"/>
                                    <w:spacing w:after="240"/>
                                    <w:rPr>
                                      <w:rFonts w:ascii="Times New Roman" w:hAnsi="Times New Roman" w:cs="Times New Roman"/>
                                      <w:i/>
                                      <w:lang w:val="en-US"/>
                                    </w:rPr>
                                  </w:pPr>
                                  <w:proofErr w:type="spellStart"/>
                                  <w:r w:rsidRPr="002F2D98">
                                    <w:rPr>
                                      <w:rFonts w:ascii="Times New Roman" w:hAnsi="Times New Roman" w:cs="Times New Roman"/>
                                      <w:i/>
                                      <w:sz w:val="14"/>
                                      <w:szCs w:val="14"/>
                                    </w:rPr>
                                    <w:t>Источник</w:t>
                                  </w:r>
                                  <w:proofErr w:type="spellEnd"/>
                                  <w:r w:rsidRPr="002F2D98">
                                    <w:rPr>
                                      <w:rFonts w:ascii="Times New Roman" w:hAnsi="Times New Roman" w:cs="Times New Roman"/>
                                      <w:i/>
                                      <w:sz w:val="14"/>
                                      <w:szCs w:val="14"/>
                                    </w:rPr>
                                    <w:t xml:space="preserve">: </w:t>
                                  </w:r>
                                  <w:proofErr w:type="spellStart"/>
                                  <w:r w:rsidRPr="002F2D98">
                                    <w:rPr>
                                      <w:rFonts w:ascii="Times New Roman" w:hAnsi="Times New Roman" w:cs="Times New Roman"/>
                                      <w:i/>
                                      <w:sz w:val="14"/>
                                      <w:szCs w:val="14"/>
                                    </w:rPr>
                                    <w:t>Росстат</w:t>
                                  </w:r>
                                  <w:proofErr w:type="spellEnd"/>
                                </w:p>
                              </w:tc>
                            </w:tr>
                          </w:tbl>
                          <w:p w:rsidR="007E5DFE" w:rsidRDefault="007E5DFE" w:rsidP="005609BB">
                            <w:pPr>
                              <w:spacing w:before="120" w:after="120"/>
                              <w:jc w:val="both"/>
                              <w:rPr>
                                <w:rFonts w:ascii="Times New Roman" w:hAnsi="Times New Roman"/>
                                <w:sz w:val="20"/>
                                <w:szCs w:val="20"/>
                              </w:rPr>
                            </w:pPr>
                            <w:r w:rsidRPr="002F2D98">
                              <w:rPr>
                                <w:rFonts w:ascii="Times New Roman" w:hAnsi="Times New Roman"/>
                                <w:sz w:val="20"/>
                                <w:szCs w:val="20"/>
                              </w:rPr>
                              <w:t xml:space="preserve">Структурная перестройка экономики после изменения относительных цен </w:t>
                            </w:r>
                            <w:r w:rsidRPr="002F2D98">
                              <w:rPr>
                                <w:rFonts w:ascii="Times New Roman" w:hAnsi="Times New Roman"/>
                                <w:sz w:val="20"/>
                                <w:szCs w:val="20"/>
                                <w:u w:val="single"/>
                              </w:rPr>
                              <w:t>на практике всегда сопровождается снижением потенциального уровня выпуска</w:t>
                            </w:r>
                            <w:r w:rsidRPr="002F2D98">
                              <w:rPr>
                                <w:rFonts w:ascii="Times New Roman" w:hAnsi="Times New Roman"/>
                                <w:sz w:val="20"/>
                                <w:szCs w:val="20"/>
                              </w:rPr>
                              <w:t>, а масштаб потерь зависит от степени мобильности факторов производства (труда и капит</w:t>
                            </w:r>
                            <w:r>
                              <w:rPr>
                                <w:rFonts w:ascii="Times New Roman" w:hAnsi="Times New Roman"/>
                                <w:sz w:val="20"/>
                                <w:szCs w:val="20"/>
                              </w:rPr>
                              <w:t>ала) и издержек их перемещения.</w:t>
                            </w:r>
                          </w:p>
                          <w:p w:rsidR="007E5DFE" w:rsidRDefault="007E5DFE" w:rsidP="003C20A0">
                            <w:pPr>
                              <w:jc w:val="both"/>
                              <w:rPr>
                                <w:rFonts w:ascii="Times New Roman" w:hAnsi="Times New Roman"/>
                                <w:sz w:val="20"/>
                                <w:szCs w:val="20"/>
                              </w:rPr>
                            </w:pPr>
                            <w:r>
                              <w:rPr>
                                <w:rFonts w:ascii="Times New Roman" w:hAnsi="Times New Roman"/>
                                <w:sz w:val="20"/>
                                <w:szCs w:val="20"/>
                              </w:rPr>
                              <w:t>Соответственно, экономическая политика, ориентированная на устойчивую подстройку экономики к структурным изменениям внешних условий, должна включать меры,</w:t>
                            </w:r>
                            <w:r w:rsidRPr="008B1E05">
                              <w:rPr>
                                <w:rFonts w:ascii="Times New Roman" w:hAnsi="Times New Roman"/>
                                <w:sz w:val="20"/>
                                <w:szCs w:val="20"/>
                              </w:rPr>
                              <w:t xml:space="preserve"> </w:t>
                            </w:r>
                            <w:r>
                              <w:rPr>
                                <w:rFonts w:ascii="Times New Roman" w:hAnsi="Times New Roman"/>
                                <w:sz w:val="20"/>
                                <w:szCs w:val="20"/>
                              </w:rPr>
                              <w:t xml:space="preserve">благоприятствующие: (1) </w:t>
                            </w:r>
                            <w:r w:rsidRPr="00A40BDA">
                              <w:rPr>
                                <w:rFonts w:ascii="Times New Roman" w:hAnsi="Times New Roman"/>
                                <w:sz w:val="20"/>
                                <w:szCs w:val="20"/>
                                <w:u w:val="single"/>
                              </w:rPr>
                              <w:t>структурному сдвигу относительных цен к новому равновесию</w:t>
                            </w:r>
                            <w:r>
                              <w:rPr>
                                <w:rFonts w:ascii="Times New Roman" w:hAnsi="Times New Roman"/>
                                <w:sz w:val="20"/>
                                <w:szCs w:val="20"/>
                              </w:rPr>
                              <w:t xml:space="preserve"> – политика гибкого </w:t>
                            </w:r>
                            <w:proofErr w:type="spellStart"/>
                            <w:r>
                              <w:rPr>
                                <w:rFonts w:ascii="Times New Roman" w:hAnsi="Times New Roman"/>
                                <w:sz w:val="20"/>
                                <w:szCs w:val="20"/>
                              </w:rPr>
                              <w:t>курсообразования</w:t>
                            </w:r>
                            <w:proofErr w:type="spellEnd"/>
                            <w:r>
                              <w:rPr>
                                <w:rFonts w:ascii="Times New Roman" w:hAnsi="Times New Roman"/>
                                <w:sz w:val="20"/>
                                <w:szCs w:val="20"/>
                              </w:rPr>
                              <w:t xml:space="preserve"> и сдерживание сопутствующих инфляционных последствий; и (2) </w:t>
                            </w:r>
                            <w:r w:rsidRPr="00A40BDA">
                              <w:rPr>
                                <w:rFonts w:ascii="Times New Roman" w:hAnsi="Times New Roman"/>
                                <w:sz w:val="20"/>
                                <w:szCs w:val="20"/>
                                <w:u w:val="single"/>
                              </w:rPr>
                              <w:t>повышению мобильности факторов производства</w:t>
                            </w:r>
                            <w:r>
                              <w:rPr>
                                <w:rFonts w:ascii="Times New Roman" w:hAnsi="Times New Roman"/>
                                <w:sz w:val="20"/>
                                <w:szCs w:val="20"/>
                              </w:rPr>
                              <w:t xml:space="preserve"> – демонополизация и сокращение излишнего регулирования, снижение барьеров для входа и выхода, создание/развитие эффективного института безболезненной смены собственников/менеджмента, развитие институтов активной поддержки на рынке труда и </w:t>
                            </w:r>
                            <w:r w:rsidRPr="003C20A0">
                              <w:rPr>
                                <w:rFonts w:ascii="Times New Roman" w:hAnsi="Times New Roman"/>
                                <w:sz w:val="20"/>
                                <w:szCs w:val="20"/>
                              </w:rPr>
                              <w:t>механизмов повышения профессиональной и географической мобильности трудовых ресурсов</w:t>
                            </w:r>
                            <w:r>
                              <w:rPr>
                                <w:rFonts w:ascii="Times New Roman" w:hAnsi="Times New Roman"/>
                                <w:sz w:val="20"/>
                                <w:szCs w:val="20"/>
                              </w:rPr>
                              <w:t xml:space="preserve"> и др.</w:t>
                            </w:r>
                          </w:p>
                          <w:p w:rsidR="007E5DFE" w:rsidRDefault="007E5DFE" w:rsidP="001A213A">
                            <w:pPr>
                              <w:spacing w:before="120" w:after="120"/>
                              <w:jc w:val="both"/>
                              <w:rPr>
                                <w:rFonts w:ascii="Times New Roman" w:hAnsi="Times New Roman"/>
                                <w:sz w:val="20"/>
                                <w:szCs w:val="20"/>
                              </w:rPr>
                            </w:pPr>
                            <w:r w:rsidRPr="003C20A0">
                              <w:rPr>
                                <w:rFonts w:ascii="Times New Roman" w:hAnsi="Times New Roman"/>
                                <w:sz w:val="20"/>
                                <w:szCs w:val="20"/>
                              </w:rPr>
                              <w:t>России исторически присуща сравнительно низкая мобильность факторов</w:t>
                            </w:r>
                            <w:r>
                              <w:rPr>
                                <w:rFonts w:ascii="Times New Roman" w:hAnsi="Times New Roman"/>
                                <w:sz w:val="20"/>
                                <w:szCs w:val="20"/>
                              </w:rPr>
                              <w:t xml:space="preserve"> производства</w:t>
                            </w:r>
                            <w:r w:rsidRPr="003C20A0">
                              <w:rPr>
                                <w:rFonts w:ascii="Times New Roman" w:hAnsi="Times New Roman"/>
                                <w:sz w:val="20"/>
                                <w:szCs w:val="20"/>
                              </w:rPr>
                              <w:t xml:space="preserve"> и </w:t>
                            </w:r>
                            <w:r>
                              <w:rPr>
                                <w:rFonts w:ascii="Times New Roman" w:hAnsi="Times New Roman"/>
                                <w:sz w:val="20"/>
                                <w:szCs w:val="20"/>
                              </w:rPr>
                              <w:t>высокие издержки их перемещения. О</w:t>
                            </w:r>
                            <w:r w:rsidRPr="003C20A0">
                              <w:rPr>
                                <w:rFonts w:ascii="Times New Roman" w:hAnsi="Times New Roman"/>
                                <w:sz w:val="20"/>
                                <w:szCs w:val="20"/>
                              </w:rPr>
                              <w:t xml:space="preserve">днако, в отличие от, например, ситуации </w:t>
                            </w:r>
                            <w:r>
                              <w:rPr>
                                <w:rFonts w:ascii="Times New Roman" w:hAnsi="Times New Roman"/>
                                <w:sz w:val="20"/>
                                <w:szCs w:val="20"/>
                              </w:rPr>
                              <w:t xml:space="preserve">в </w:t>
                            </w:r>
                            <w:r w:rsidRPr="003C20A0">
                              <w:rPr>
                                <w:rFonts w:ascii="Times New Roman" w:hAnsi="Times New Roman"/>
                                <w:sz w:val="20"/>
                                <w:szCs w:val="20"/>
                              </w:rPr>
                              <w:t>2008-</w:t>
                            </w:r>
                            <w:r>
                              <w:rPr>
                                <w:rFonts w:ascii="Times New Roman" w:hAnsi="Times New Roman"/>
                                <w:sz w:val="20"/>
                                <w:szCs w:val="20"/>
                              </w:rPr>
                              <w:t>20</w:t>
                            </w:r>
                            <w:r w:rsidRPr="003C20A0">
                              <w:rPr>
                                <w:rFonts w:ascii="Times New Roman" w:hAnsi="Times New Roman"/>
                                <w:sz w:val="20"/>
                                <w:szCs w:val="20"/>
                              </w:rPr>
                              <w:t xml:space="preserve">09 гг., отчасти </w:t>
                            </w:r>
                            <w:r>
                              <w:rPr>
                                <w:rFonts w:ascii="Times New Roman" w:hAnsi="Times New Roman"/>
                                <w:sz w:val="20"/>
                                <w:szCs w:val="20"/>
                              </w:rPr>
                              <w:t xml:space="preserve">эти особенности </w:t>
                            </w:r>
                            <w:r w:rsidRPr="003C20A0">
                              <w:rPr>
                                <w:rFonts w:ascii="Times New Roman" w:hAnsi="Times New Roman"/>
                                <w:sz w:val="20"/>
                                <w:szCs w:val="20"/>
                              </w:rPr>
                              <w:t>удалось сгладить благодаря эффективной комбинации мер бюджетной и денежно-кредитной политики, позволившей обеспечить подстройку платежного баланса и уровня относительных цен</w:t>
                            </w:r>
                            <w:r>
                              <w:rPr>
                                <w:rFonts w:ascii="Times New Roman" w:hAnsi="Times New Roman"/>
                                <w:sz w:val="20"/>
                                <w:szCs w:val="20"/>
                              </w:rPr>
                              <w:t xml:space="preserve"> с минимальными трансформационными потерями.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27" type="#_x0000_t202" style="position:absolute;left:0;text-align:left;margin-left:-1.45pt;margin-top:-1.65pt;width:459.45pt;height:631.7pt;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" fillcolor="#f2f2f2 [3052]" stroked="f">
                <v:textbox>
                  <w:txbxContent>
                    <w:p w:rsidR="007E5DFE" w:rsidRDefault="007E5DFE" w:rsidP="005609BB">
                      <w:pPr>
                        <w:rPr>
                          <w:rFonts w:ascii="Times New Roman" w:hAnsi="Times New Roman"/>
                          <w:b/>
                          <w:sz w:val="24"/>
                          <w:szCs w:val="24"/>
                        </w:rPr>
                      </w:pPr>
                      <w:r w:rsidRPr="002F2D98">
                        <w:rPr>
                          <w:rFonts w:ascii="Times New Roman" w:hAnsi="Times New Roman"/>
                          <w:b/>
                          <w:sz w:val="24"/>
                          <w:szCs w:val="24"/>
                        </w:rPr>
                        <w:t>Адаптация к внешним шокам и сопутствующая экономическая политика</w:t>
                      </w:r>
                    </w:p>
                    <w:p w:rsidR="007E5DFE" w:rsidRPr="005609BB" w:rsidRDefault="007E5DFE" w:rsidP="005609BB">
                      <w:pPr>
                        <w:spacing w:before="120" w:after="120"/>
                        <w:jc w:val="both"/>
                        <w:rPr>
                          <w:rFonts w:ascii="Times New Roman" w:hAnsi="Times New Roman"/>
                          <w:sz w:val="20"/>
                          <w:szCs w:val="20"/>
                        </w:rPr>
                      </w:pPr>
                      <w:r w:rsidRPr="005609BB">
                        <w:rPr>
                          <w:rFonts w:ascii="Times New Roman" w:hAnsi="Times New Roman"/>
                          <w:i/>
                          <w:sz w:val="20"/>
                          <w:szCs w:val="20"/>
                        </w:rPr>
                        <w:t>Подстройка платежного баланса</w:t>
                      </w:r>
                      <w:r w:rsidRPr="005609BB">
                        <w:rPr>
                          <w:rFonts w:ascii="Times New Roman" w:hAnsi="Times New Roman"/>
                          <w:sz w:val="20"/>
                          <w:szCs w:val="20"/>
                        </w:rPr>
                        <w:t xml:space="preserve"> к </w:t>
                      </w:r>
                      <w:r>
                        <w:rPr>
                          <w:rFonts w:ascii="Times New Roman" w:hAnsi="Times New Roman"/>
                          <w:sz w:val="20"/>
                          <w:szCs w:val="20"/>
                        </w:rPr>
                        <w:t xml:space="preserve">резким и масштабным </w:t>
                      </w:r>
                      <w:r w:rsidRPr="005609BB">
                        <w:rPr>
                          <w:rFonts w:ascii="Times New Roman" w:hAnsi="Times New Roman"/>
                          <w:sz w:val="20"/>
                          <w:szCs w:val="20"/>
                        </w:rPr>
                        <w:t>изменени</w:t>
                      </w:r>
                      <w:r>
                        <w:rPr>
                          <w:rFonts w:ascii="Times New Roman" w:hAnsi="Times New Roman"/>
                          <w:sz w:val="20"/>
                          <w:szCs w:val="20"/>
                        </w:rPr>
                        <w:t>ям</w:t>
                      </w:r>
                      <w:r w:rsidRPr="005609BB">
                        <w:rPr>
                          <w:rFonts w:ascii="Times New Roman" w:hAnsi="Times New Roman"/>
                          <w:sz w:val="20"/>
                          <w:szCs w:val="20"/>
                        </w:rPr>
                        <w:t xml:space="preserve"> ценовых условий торговли</w:t>
                      </w:r>
                      <w:r>
                        <w:rPr>
                          <w:rFonts w:ascii="Times New Roman" w:hAnsi="Times New Roman"/>
                          <w:sz w:val="20"/>
                          <w:szCs w:val="20"/>
                        </w:rPr>
                        <w:t xml:space="preserve"> и/или потоков капитала</w:t>
                      </w:r>
                      <w:r w:rsidRPr="005609BB">
                        <w:rPr>
                          <w:rFonts w:ascii="Times New Roman" w:hAnsi="Times New Roman"/>
                          <w:sz w:val="20"/>
                          <w:szCs w:val="20"/>
                        </w:rPr>
                        <w:t xml:space="preserve"> требует перехода к </w:t>
                      </w:r>
                      <w:r w:rsidRPr="002F2D98">
                        <w:rPr>
                          <w:rFonts w:ascii="Times New Roman" w:hAnsi="Times New Roman"/>
                          <w:b/>
                          <w:sz w:val="20"/>
                          <w:szCs w:val="20"/>
                        </w:rPr>
                        <w:t>новому внутреннему равновесию</w:t>
                      </w:r>
                      <w:r w:rsidRPr="005609BB">
                        <w:rPr>
                          <w:rFonts w:ascii="Times New Roman" w:hAnsi="Times New Roman"/>
                          <w:sz w:val="20"/>
                          <w:szCs w:val="20"/>
                        </w:rPr>
                        <w:t xml:space="preserve"> экономики с более низким уровнем </w:t>
                      </w:r>
                      <w:r w:rsidRPr="0008773D">
                        <w:rPr>
                          <w:rFonts w:ascii="Times New Roman" w:hAnsi="Times New Roman"/>
                          <w:sz w:val="20"/>
                          <w:szCs w:val="20"/>
                        </w:rPr>
                        <w:t>потребления</w:t>
                      </w:r>
                      <w:r w:rsidRPr="005609BB">
                        <w:rPr>
                          <w:rFonts w:ascii="Times New Roman" w:hAnsi="Times New Roman"/>
                          <w:sz w:val="20"/>
                          <w:szCs w:val="20"/>
                        </w:rPr>
                        <w:t xml:space="preserve"> импорта и/или более высоким уровнем ненефтегазового экспорта. Для перехода к новому равновесию требуется </w:t>
                      </w:r>
                      <w:r w:rsidRPr="002F2D98">
                        <w:rPr>
                          <w:rFonts w:ascii="Times New Roman" w:hAnsi="Times New Roman"/>
                          <w:i/>
                          <w:sz w:val="20"/>
                          <w:szCs w:val="20"/>
                        </w:rPr>
                        <w:t>изменение структуры экономики</w:t>
                      </w:r>
                      <w:r w:rsidRPr="005609BB">
                        <w:rPr>
                          <w:rFonts w:ascii="Times New Roman" w:hAnsi="Times New Roman"/>
                          <w:sz w:val="20"/>
                          <w:szCs w:val="20"/>
                        </w:rPr>
                        <w:t xml:space="preserve">, механизм, обеспечивающий такую трансформацию – </w:t>
                      </w:r>
                      <w:r w:rsidRPr="002F2D98">
                        <w:rPr>
                          <w:rFonts w:ascii="Times New Roman" w:hAnsi="Times New Roman"/>
                          <w:i/>
                          <w:sz w:val="20"/>
                          <w:szCs w:val="20"/>
                        </w:rPr>
                        <w:t>изменение секторальной структуры цен</w:t>
                      </w:r>
                      <w:r w:rsidRPr="005609BB">
                        <w:rPr>
                          <w:rFonts w:ascii="Times New Roman" w:hAnsi="Times New Roman"/>
                          <w:sz w:val="20"/>
                          <w:szCs w:val="20"/>
                        </w:rPr>
                        <w:t xml:space="preserve">, т.е. снижение цен в </w:t>
                      </w:r>
                      <w:proofErr w:type="spellStart"/>
                      <w:r w:rsidRPr="005609BB">
                        <w:rPr>
                          <w:rFonts w:ascii="Times New Roman" w:hAnsi="Times New Roman"/>
                          <w:sz w:val="20"/>
                          <w:szCs w:val="20"/>
                        </w:rPr>
                        <w:t>неторгуемых</w:t>
                      </w:r>
                      <w:proofErr w:type="spellEnd"/>
                      <w:r w:rsidRPr="005609BB">
                        <w:rPr>
                          <w:rFonts w:ascii="Times New Roman" w:hAnsi="Times New Roman"/>
                          <w:sz w:val="20"/>
                          <w:szCs w:val="20"/>
                        </w:rPr>
                        <w:t xml:space="preserve"> секторах относительно цен в торгуемых секторах.</w:t>
                      </w:r>
                    </w:p>
                    <w:p w:rsidR="007E5DFE" w:rsidRPr="005609BB" w:rsidRDefault="007E5DFE" w:rsidP="005609BB">
                      <w:pPr>
                        <w:spacing w:before="120" w:after="120"/>
                        <w:jc w:val="both"/>
                        <w:rPr>
                          <w:rFonts w:ascii="Times New Roman" w:hAnsi="Times New Roman"/>
                          <w:sz w:val="20"/>
                          <w:szCs w:val="20"/>
                        </w:rPr>
                      </w:pPr>
                      <w:r w:rsidRPr="005609BB">
                        <w:rPr>
                          <w:rFonts w:ascii="Times New Roman" w:hAnsi="Times New Roman"/>
                          <w:sz w:val="20"/>
                          <w:szCs w:val="20"/>
                        </w:rPr>
                        <w:t>При этом изменения также касаются структуры национального дохода по его источникам (рост доли корпоративных прибылей в целях ускорения перемещения капитала), структуры внутреннего спроса (рост доли инвестиций), занятости и импорта. Изменения в структуре экономики, произошедшие вследствие масштабного изменения относительных цен в 1998 году, могут послужить наглядным примером.</w:t>
                      </w:r>
                    </w:p>
                    <w:tbl>
                      <w:tblPr>
                        <w:tblStyle w:val="Smalltable"/>
                        <w:tblW w:w="10106" w:type="dxa"/>
                        <w:tblInd w:w="0" w:type="dxa"/>
                        <w:tblLook w:val="04A0" w:firstRow="1" w:lastRow="0" w:firstColumn="1" w:lastColumn="0" w:noHBand="0" w:noVBand="1"/>
                      </w:tblPr>
                      <w:tblGrid>
                        <w:gridCol w:w="4491"/>
                        <w:gridCol w:w="222"/>
                        <w:gridCol w:w="4362"/>
                        <w:gridCol w:w="1031"/>
                      </w:tblGrid>
                      <w:tr w:rsidR="007E5DFE" w:rsidRPr="00E65DE3" w:rsidTr="002F2D98">
                        <w:trPr>
                          <w:gridAfter w:val="1"/>
                          <w:wAfter w:w="1149" w:type="dxa"/>
                          <w:trHeight w:val="198"/>
                        </w:trPr>
                        <w:tc>
                          <w:tcPr>
                            <w:tcW w:w="4371" w:type="dxa"/>
                            <w:shd w:val="clear" w:color="auto" w:fill="auto"/>
                          </w:tcPr>
                          <w:p w:rsidR="007E5DFE" w:rsidRPr="00D53C5B" w:rsidRDefault="007E5DFE" w:rsidP="00B81EF5">
                            <w:pPr>
                              <w:pStyle w:val="GraphTitle"/>
                              <w:rPr>
                                <w:rFonts w:ascii="Times New Roman" w:hAnsi="Times New Roman" w:cs="Times New Roman"/>
                                <w:b/>
                                <w:sz w:val="20"/>
                                <w:szCs w:val="20"/>
                                <w:lang w:val="ru-RU"/>
                              </w:rPr>
                            </w:pPr>
                            <w:r w:rsidRPr="005B2297">
                              <w:rPr>
                                <w:rFonts w:ascii="Times New Roman" w:hAnsi="Times New Roman" w:cs="Times New Roman"/>
                                <w:b/>
                                <w:sz w:val="20"/>
                                <w:szCs w:val="20"/>
                                <w:lang w:val="ru-RU"/>
                              </w:rPr>
                              <w:t xml:space="preserve">Структура ВВП по источникам доходов </w:t>
                            </w:r>
                          </w:p>
                        </w:tc>
                        <w:tc>
                          <w:tcPr>
                            <w:tcW w:w="222" w:type="dxa"/>
                            <w:shd w:val="clear" w:color="auto" w:fill="auto"/>
                          </w:tcPr>
                          <w:p w:rsidR="007E5DFE" w:rsidRPr="00E65DE3" w:rsidRDefault="007E5DFE" w:rsidP="00B81EF5">
                            <w:pPr>
                              <w:pStyle w:val="GraphTitle"/>
                              <w:rPr>
                                <w:rFonts w:ascii="Times New Roman" w:hAnsi="Times New Roman" w:cs="Times New Roman"/>
                                <w:lang w:val="ru-RU"/>
                              </w:rPr>
                            </w:pPr>
                          </w:p>
                        </w:tc>
                        <w:tc>
                          <w:tcPr>
                            <w:tcW w:w="4364" w:type="dxa"/>
                            <w:shd w:val="clear" w:color="auto" w:fill="auto"/>
                          </w:tcPr>
                          <w:p w:rsidR="007E5DFE" w:rsidRPr="008B3C4E" w:rsidRDefault="007E5DFE" w:rsidP="00287BED">
                            <w:pPr>
                              <w:pStyle w:val="GraphTitle"/>
                              <w:rPr>
                                <w:rFonts w:ascii="Times New Roman" w:hAnsi="Times New Roman" w:cs="Times New Roman"/>
                                <w:b/>
                                <w:sz w:val="20"/>
                                <w:szCs w:val="20"/>
                                <w:lang w:val="ru-RU"/>
                              </w:rPr>
                            </w:pPr>
                            <w:r>
                              <w:rPr>
                                <w:rFonts w:ascii="Times New Roman" w:hAnsi="Times New Roman" w:cs="Times New Roman"/>
                                <w:b/>
                                <w:sz w:val="20"/>
                                <w:szCs w:val="20"/>
                                <w:lang w:val="ru-RU"/>
                              </w:rPr>
                              <w:t>Секторальное соотношение занятости</w:t>
                            </w:r>
                          </w:p>
                        </w:tc>
                      </w:tr>
                      <w:tr w:rsidR="007E5DFE" w:rsidRPr="00E65DE3" w:rsidTr="002F2D98">
                        <w:trPr>
                          <w:trHeight w:hRule="exact" w:val="28"/>
                        </w:trPr>
                        <w:tc>
                          <w:tcPr>
                            <w:tcW w:w="4371" w:type="dxa"/>
                            <w:tcBorders>
                              <w:bottom w:val="single" w:sz="4" w:space="0" w:color="auto"/>
                            </w:tcBorders>
                            <w:shd w:val="clear" w:color="auto" w:fill="auto"/>
                          </w:tcPr>
                          <w:p w:rsidR="007E5DFE" w:rsidRPr="00E65DE3" w:rsidRDefault="007E5DFE" w:rsidP="00B81EF5">
                            <w:pPr>
                              <w:pStyle w:val="TabText"/>
                              <w:rPr>
                                <w:rFonts w:ascii="Times New Roman" w:hAnsi="Times New Roman" w:cs="Times New Roman"/>
                                <w:lang w:val="ru-RU"/>
                              </w:rPr>
                            </w:pPr>
                          </w:p>
                        </w:tc>
                        <w:tc>
                          <w:tcPr>
                            <w:tcW w:w="222" w:type="dxa"/>
                            <w:shd w:val="clear" w:color="auto" w:fill="auto"/>
                          </w:tcPr>
                          <w:p w:rsidR="007E5DFE" w:rsidRPr="00E65DE3" w:rsidRDefault="007E5DFE" w:rsidP="00B81EF5">
                            <w:pPr>
                              <w:pStyle w:val="TabText"/>
                              <w:rPr>
                                <w:rFonts w:ascii="Times New Roman" w:hAnsi="Times New Roman" w:cs="Times New Roman"/>
                                <w:lang w:val="ru-RU"/>
                              </w:rPr>
                            </w:pPr>
                          </w:p>
                        </w:tc>
                        <w:tc>
                          <w:tcPr>
                            <w:tcW w:w="4364" w:type="dxa"/>
                            <w:tcBorders>
                              <w:bottom w:val="single" w:sz="4" w:space="0" w:color="auto"/>
                            </w:tcBorders>
                            <w:shd w:val="clear" w:color="auto" w:fill="auto"/>
                          </w:tcPr>
                          <w:p w:rsidR="007E5DFE" w:rsidRPr="00E65DE3" w:rsidRDefault="007E5DFE" w:rsidP="00B81EF5">
                            <w:pPr>
                              <w:pStyle w:val="TabText"/>
                              <w:rPr>
                                <w:rFonts w:ascii="Times New Roman" w:hAnsi="Times New Roman" w:cs="Times New Roman"/>
                                <w:lang w:val="ru-RU"/>
                              </w:rPr>
                            </w:pPr>
                          </w:p>
                        </w:tc>
                        <w:tc>
                          <w:tcPr>
                            <w:tcW w:w="1149" w:type="dxa"/>
                            <w:shd w:val="clear" w:color="auto" w:fill="auto"/>
                          </w:tcPr>
                          <w:p w:rsidR="007E5DFE" w:rsidRPr="00E65DE3" w:rsidRDefault="007E5DFE" w:rsidP="00B81EF5">
                            <w:pPr>
                              <w:pStyle w:val="TabText"/>
                              <w:rPr>
                                <w:rFonts w:ascii="Times New Roman" w:hAnsi="Times New Roman" w:cs="Times New Roman"/>
                                <w:lang w:val="ru-RU"/>
                              </w:rPr>
                            </w:pPr>
                          </w:p>
                        </w:tc>
                      </w:tr>
                      <w:tr w:rsidR="007E5DFE" w:rsidRPr="00E65DE3" w:rsidTr="00CD3A91">
                        <w:tblPrEx>
                          <w:tblCellMar>
                            <w:left w:w="108" w:type="dxa"/>
                            <w:right w:w="108" w:type="dxa"/>
                          </w:tblCellMar>
                        </w:tblPrEx>
                        <w:trPr>
                          <w:gridAfter w:val="1"/>
                          <w:wAfter w:w="1149" w:type="dxa"/>
                          <w:trHeight w:val="2200"/>
                        </w:trPr>
                        <w:tc>
                          <w:tcPr>
                            <w:tcW w:w="4371" w:type="dxa"/>
                            <w:tcBorders>
                              <w:top w:val="single" w:sz="4" w:space="0" w:color="auto"/>
                              <w:bottom w:val="single" w:sz="4" w:space="0" w:color="auto"/>
                            </w:tcBorders>
                            <w:shd w:val="clear" w:color="auto" w:fill="auto"/>
                            <w:tcMar>
                              <w:left w:w="0" w:type="nil"/>
                              <w:right w:w="0" w:type="nil"/>
                            </w:tcMar>
                          </w:tcPr>
                          <w:p w:rsidR="007E5DFE" w:rsidRPr="00E65DE3" w:rsidRDefault="007E5DFE" w:rsidP="00B81EF5">
                            <w:pPr>
                              <w:pStyle w:val="TabText"/>
                              <w:rPr>
                                <w:rFonts w:ascii="Times New Roman" w:hAnsi="Times New Roman" w:cs="Times New Roman"/>
                                <w:lang w:val="ru-RU"/>
                              </w:rPr>
                            </w:pPr>
                            <w:r>
                              <w:rPr>
                                <w:noProof/>
                                <w:lang w:val="ru-RU" w:bidi="ar-SA"/>
                              </w:rPr>
                              <w:drawing>
                                <wp:inline distT="0" distB="0" distL="0" distR="0" wp14:anchorId="24046C00" wp14:editId="58B00581">
                                  <wp:extent cx="2714625" cy="1981200"/>
                                  <wp:effectExtent l="0" t="0" r="0" b="0"/>
                                  <wp:docPr id="10" name="Диаграмма 10">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222" w:type="dxa"/>
                            <w:shd w:val="clear" w:color="auto" w:fill="auto"/>
                            <w:tcMar>
                              <w:left w:w="0" w:type="nil"/>
                              <w:right w:w="0" w:type="nil"/>
                            </w:tcMar>
                          </w:tcPr>
                          <w:p w:rsidR="007E5DFE" w:rsidRPr="00E65DE3" w:rsidRDefault="007E5DFE" w:rsidP="00B81EF5">
                            <w:pPr>
                              <w:pStyle w:val="TabText"/>
                              <w:rPr>
                                <w:rFonts w:ascii="Times New Roman" w:hAnsi="Times New Roman" w:cs="Times New Roman"/>
                                <w:lang w:val="ru-RU"/>
                              </w:rPr>
                            </w:pPr>
                          </w:p>
                        </w:tc>
                        <w:tc>
                          <w:tcPr>
                            <w:tcW w:w="4364" w:type="dxa"/>
                            <w:tcBorders>
                              <w:top w:val="single" w:sz="4" w:space="0" w:color="auto"/>
                              <w:bottom w:val="single" w:sz="4" w:space="0" w:color="auto"/>
                            </w:tcBorders>
                            <w:shd w:val="clear" w:color="auto" w:fill="auto"/>
                            <w:tcMar>
                              <w:left w:w="0" w:type="nil"/>
                              <w:right w:w="0" w:type="nil"/>
                            </w:tcMar>
                          </w:tcPr>
                          <w:p w:rsidR="007E5DFE" w:rsidRPr="00E65DE3" w:rsidRDefault="007E5DFE" w:rsidP="00B81EF5">
                            <w:pPr>
                              <w:pStyle w:val="TabText"/>
                              <w:rPr>
                                <w:rFonts w:ascii="Times New Roman" w:hAnsi="Times New Roman" w:cs="Times New Roman"/>
                                <w:lang w:val="ru-RU"/>
                              </w:rPr>
                            </w:pPr>
                            <w:r>
                              <w:rPr>
                                <w:noProof/>
                                <w:lang w:val="ru-RU" w:bidi="ar-SA"/>
                              </w:rPr>
                              <w:drawing>
                                <wp:inline distT="0" distB="0" distL="0" distR="0" wp14:anchorId="73D006F8" wp14:editId="0EA84185">
                                  <wp:extent cx="2619375" cy="1979295"/>
                                  <wp:effectExtent l="0" t="0" r="0" b="190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7E5DFE" w:rsidRPr="00E65DE3" w:rsidTr="002F2D98">
                        <w:trPr>
                          <w:gridAfter w:val="1"/>
                          <w:wAfter w:w="1149" w:type="dxa"/>
                          <w:trHeight w:val="198"/>
                        </w:trPr>
                        <w:tc>
                          <w:tcPr>
                            <w:tcW w:w="4371" w:type="dxa"/>
                            <w:tcBorders>
                              <w:top w:val="single" w:sz="4" w:space="0" w:color="auto"/>
                            </w:tcBorders>
                            <w:shd w:val="clear" w:color="auto" w:fill="auto"/>
                          </w:tcPr>
                          <w:p w:rsidR="007E5DFE" w:rsidRDefault="007E5DFE" w:rsidP="002F2D98">
                            <w:pPr>
                              <w:spacing w:after="0"/>
                              <w:rPr>
                                <w:rFonts w:ascii="Times New Roman" w:hAnsi="Times New Roman"/>
                                <w:i/>
                                <w:sz w:val="14"/>
                                <w:szCs w:val="14"/>
                                <w:lang w:val="ru-RU" w:bidi="ml-IN"/>
                              </w:rPr>
                            </w:pPr>
                            <w:r w:rsidRPr="002F2D98">
                              <w:rPr>
                                <w:rFonts w:ascii="Times New Roman" w:hAnsi="Times New Roman"/>
                                <w:i/>
                                <w:sz w:val="14"/>
                                <w:szCs w:val="14"/>
                                <w:lang w:val="ru-RU" w:bidi="ml-IN"/>
                              </w:rPr>
                              <w:t xml:space="preserve">Источник: Росстат </w:t>
                            </w:r>
                          </w:p>
                          <w:p w:rsidR="007E5DFE" w:rsidRPr="00802DC4" w:rsidRDefault="007E5DFE" w:rsidP="002F2D98">
                            <w:pPr>
                              <w:spacing w:after="0"/>
                              <w:rPr>
                                <w:rFonts w:asciiTheme="minorHAnsi" w:hAnsiTheme="minorHAnsi"/>
                                <w:lang w:val="ru-RU" w:bidi="ml-IN"/>
                              </w:rPr>
                            </w:pPr>
                            <w:r w:rsidRPr="002F2D98">
                              <w:rPr>
                                <w:rFonts w:ascii="Times New Roman" w:hAnsi="Times New Roman"/>
                                <w:i/>
                                <w:sz w:val="14"/>
                                <w:szCs w:val="14"/>
                                <w:lang w:val="ru-RU" w:bidi="ml-IN"/>
                              </w:rPr>
                              <w:t>* с корректировкой на изменение методологии ВВП</w:t>
                            </w:r>
                          </w:p>
                        </w:tc>
                        <w:tc>
                          <w:tcPr>
                            <w:tcW w:w="222" w:type="dxa"/>
                            <w:shd w:val="clear" w:color="auto" w:fill="auto"/>
                          </w:tcPr>
                          <w:p w:rsidR="007E5DFE" w:rsidRPr="00802DC4" w:rsidRDefault="007E5DFE" w:rsidP="00B81EF5">
                            <w:pPr>
                              <w:pStyle w:val="SourceLarge"/>
                              <w:spacing w:after="240"/>
                              <w:rPr>
                                <w:rFonts w:ascii="Times New Roman" w:hAnsi="Times New Roman" w:cs="Times New Roman"/>
                                <w:lang w:val="ru-RU"/>
                              </w:rPr>
                            </w:pPr>
                          </w:p>
                        </w:tc>
                        <w:tc>
                          <w:tcPr>
                            <w:tcW w:w="4364" w:type="dxa"/>
                            <w:tcBorders>
                              <w:top w:val="single" w:sz="4" w:space="0" w:color="auto"/>
                            </w:tcBorders>
                            <w:shd w:val="clear" w:color="auto" w:fill="auto"/>
                          </w:tcPr>
                          <w:p w:rsidR="007E5DFE" w:rsidRPr="003633FC" w:rsidRDefault="007E5DFE" w:rsidP="00B81EF5">
                            <w:pPr>
                              <w:pStyle w:val="SourceLarge"/>
                              <w:spacing w:after="240"/>
                              <w:rPr>
                                <w:rFonts w:ascii="Times New Roman" w:hAnsi="Times New Roman" w:cs="Times New Roman"/>
                                <w:i/>
                                <w:lang w:val="en-US"/>
                              </w:rPr>
                            </w:pPr>
                            <w:proofErr w:type="spellStart"/>
                            <w:r w:rsidRPr="002F2D98">
                              <w:rPr>
                                <w:rFonts w:ascii="Times New Roman" w:hAnsi="Times New Roman" w:cs="Times New Roman"/>
                                <w:i/>
                                <w:sz w:val="14"/>
                                <w:szCs w:val="14"/>
                              </w:rPr>
                              <w:t>Источник</w:t>
                            </w:r>
                            <w:proofErr w:type="spellEnd"/>
                            <w:r w:rsidRPr="002F2D98">
                              <w:rPr>
                                <w:rFonts w:ascii="Times New Roman" w:hAnsi="Times New Roman" w:cs="Times New Roman"/>
                                <w:i/>
                                <w:sz w:val="14"/>
                                <w:szCs w:val="14"/>
                              </w:rPr>
                              <w:t xml:space="preserve">: </w:t>
                            </w:r>
                            <w:proofErr w:type="spellStart"/>
                            <w:r w:rsidRPr="002F2D98">
                              <w:rPr>
                                <w:rFonts w:ascii="Times New Roman" w:hAnsi="Times New Roman" w:cs="Times New Roman"/>
                                <w:i/>
                                <w:sz w:val="14"/>
                                <w:szCs w:val="14"/>
                              </w:rPr>
                              <w:t>Росстат</w:t>
                            </w:r>
                            <w:proofErr w:type="spellEnd"/>
                          </w:p>
                        </w:tc>
                      </w:tr>
                    </w:tbl>
                    <w:p w:rsidR="007E5DFE" w:rsidRDefault="007E5DFE" w:rsidP="005609BB">
                      <w:pPr>
                        <w:spacing w:before="120" w:after="120"/>
                        <w:jc w:val="both"/>
                        <w:rPr>
                          <w:rFonts w:ascii="Times New Roman" w:hAnsi="Times New Roman"/>
                          <w:sz w:val="20"/>
                          <w:szCs w:val="20"/>
                        </w:rPr>
                      </w:pPr>
                      <w:r w:rsidRPr="002F2D98">
                        <w:rPr>
                          <w:rFonts w:ascii="Times New Roman" w:hAnsi="Times New Roman"/>
                          <w:sz w:val="20"/>
                          <w:szCs w:val="20"/>
                        </w:rPr>
                        <w:t xml:space="preserve">Структурная перестройка экономики после изменения относительных цен </w:t>
                      </w:r>
                      <w:r w:rsidRPr="002F2D98">
                        <w:rPr>
                          <w:rFonts w:ascii="Times New Roman" w:hAnsi="Times New Roman"/>
                          <w:sz w:val="20"/>
                          <w:szCs w:val="20"/>
                          <w:u w:val="single"/>
                        </w:rPr>
                        <w:t>на практике всегда сопровождается снижением потенциального уровня выпуска</w:t>
                      </w:r>
                      <w:r w:rsidRPr="002F2D98">
                        <w:rPr>
                          <w:rFonts w:ascii="Times New Roman" w:hAnsi="Times New Roman"/>
                          <w:sz w:val="20"/>
                          <w:szCs w:val="20"/>
                        </w:rPr>
                        <w:t>, а масштаб потерь зависит от степени мобильности факторов производства (труда и капит</w:t>
                      </w:r>
                      <w:r>
                        <w:rPr>
                          <w:rFonts w:ascii="Times New Roman" w:hAnsi="Times New Roman"/>
                          <w:sz w:val="20"/>
                          <w:szCs w:val="20"/>
                        </w:rPr>
                        <w:t>ала) и издержек их перемещения.</w:t>
                      </w:r>
                    </w:p>
                    <w:p w:rsidR="007E5DFE" w:rsidRDefault="007E5DFE" w:rsidP="003C20A0">
                      <w:pPr>
                        <w:jc w:val="both"/>
                        <w:rPr>
                          <w:rFonts w:ascii="Times New Roman" w:hAnsi="Times New Roman"/>
                          <w:sz w:val="20"/>
                          <w:szCs w:val="20"/>
                        </w:rPr>
                      </w:pPr>
                      <w:r>
                        <w:rPr>
                          <w:rFonts w:ascii="Times New Roman" w:hAnsi="Times New Roman"/>
                          <w:sz w:val="20"/>
                          <w:szCs w:val="20"/>
                        </w:rPr>
                        <w:t>Соответственно, экономическая политика, ориентированная на устойчивую подстройку экономики к структурным изменениям внешних условий, должна включать меры,</w:t>
                      </w:r>
                      <w:r w:rsidRPr="008B1E05">
                        <w:rPr>
                          <w:rFonts w:ascii="Times New Roman" w:hAnsi="Times New Roman"/>
                          <w:sz w:val="20"/>
                          <w:szCs w:val="20"/>
                        </w:rPr>
                        <w:t xml:space="preserve"> </w:t>
                      </w:r>
                      <w:r>
                        <w:rPr>
                          <w:rFonts w:ascii="Times New Roman" w:hAnsi="Times New Roman"/>
                          <w:sz w:val="20"/>
                          <w:szCs w:val="20"/>
                        </w:rPr>
                        <w:t xml:space="preserve">благоприятствующие: (1) </w:t>
                      </w:r>
                      <w:r w:rsidRPr="00A40BDA">
                        <w:rPr>
                          <w:rFonts w:ascii="Times New Roman" w:hAnsi="Times New Roman"/>
                          <w:sz w:val="20"/>
                          <w:szCs w:val="20"/>
                          <w:u w:val="single"/>
                        </w:rPr>
                        <w:t>структурному сдвигу относительных цен к новому равновесию</w:t>
                      </w:r>
                      <w:r>
                        <w:rPr>
                          <w:rFonts w:ascii="Times New Roman" w:hAnsi="Times New Roman"/>
                          <w:sz w:val="20"/>
                          <w:szCs w:val="20"/>
                        </w:rPr>
                        <w:t xml:space="preserve"> – политика гибкого </w:t>
                      </w:r>
                      <w:proofErr w:type="spellStart"/>
                      <w:r>
                        <w:rPr>
                          <w:rFonts w:ascii="Times New Roman" w:hAnsi="Times New Roman"/>
                          <w:sz w:val="20"/>
                          <w:szCs w:val="20"/>
                        </w:rPr>
                        <w:t>курсообразования</w:t>
                      </w:r>
                      <w:proofErr w:type="spellEnd"/>
                      <w:r>
                        <w:rPr>
                          <w:rFonts w:ascii="Times New Roman" w:hAnsi="Times New Roman"/>
                          <w:sz w:val="20"/>
                          <w:szCs w:val="20"/>
                        </w:rPr>
                        <w:t xml:space="preserve"> и сдерживание сопутствующих инфляционных последствий; и (2) </w:t>
                      </w:r>
                      <w:r w:rsidRPr="00A40BDA">
                        <w:rPr>
                          <w:rFonts w:ascii="Times New Roman" w:hAnsi="Times New Roman"/>
                          <w:sz w:val="20"/>
                          <w:szCs w:val="20"/>
                          <w:u w:val="single"/>
                        </w:rPr>
                        <w:t>повышению мобильности факторов производства</w:t>
                      </w:r>
                      <w:r>
                        <w:rPr>
                          <w:rFonts w:ascii="Times New Roman" w:hAnsi="Times New Roman"/>
                          <w:sz w:val="20"/>
                          <w:szCs w:val="20"/>
                        </w:rPr>
                        <w:t xml:space="preserve"> – демонополизация и сокращение излишнего регулирования, снижение барьеров для входа и выхода, создание/развитие эффективного института безболезненной смены собственников/менеджмента, развитие институтов активной поддержки на рынке труда и </w:t>
                      </w:r>
                      <w:r w:rsidRPr="003C20A0">
                        <w:rPr>
                          <w:rFonts w:ascii="Times New Roman" w:hAnsi="Times New Roman"/>
                          <w:sz w:val="20"/>
                          <w:szCs w:val="20"/>
                        </w:rPr>
                        <w:t>механизмов повышения профессиональной и географической мобильности трудовых ресурсов</w:t>
                      </w:r>
                      <w:r>
                        <w:rPr>
                          <w:rFonts w:ascii="Times New Roman" w:hAnsi="Times New Roman"/>
                          <w:sz w:val="20"/>
                          <w:szCs w:val="20"/>
                        </w:rPr>
                        <w:t xml:space="preserve"> и др.</w:t>
                      </w:r>
                    </w:p>
                    <w:p w:rsidR="007E5DFE" w:rsidRDefault="007E5DFE" w:rsidP="001A213A">
                      <w:pPr>
                        <w:spacing w:before="120" w:after="120"/>
                        <w:jc w:val="both"/>
                        <w:rPr>
                          <w:rFonts w:ascii="Times New Roman" w:hAnsi="Times New Roman"/>
                          <w:sz w:val="20"/>
                          <w:szCs w:val="20"/>
                        </w:rPr>
                      </w:pPr>
                      <w:r w:rsidRPr="003C20A0">
                        <w:rPr>
                          <w:rFonts w:ascii="Times New Roman" w:hAnsi="Times New Roman"/>
                          <w:sz w:val="20"/>
                          <w:szCs w:val="20"/>
                        </w:rPr>
                        <w:t>России исторически присуща сравнительно низкая мобильность факторов</w:t>
                      </w:r>
                      <w:r>
                        <w:rPr>
                          <w:rFonts w:ascii="Times New Roman" w:hAnsi="Times New Roman"/>
                          <w:sz w:val="20"/>
                          <w:szCs w:val="20"/>
                        </w:rPr>
                        <w:t xml:space="preserve"> производства</w:t>
                      </w:r>
                      <w:r w:rsidRPr="003C20A0">
                        <w:rPr>
                          <w:rFonts w:ascii="Times New Roman" w:hAnsi="Times New Roman"/>
                          <w:sz w:val="20"/>
                          <w:szCs w:val="20"/>
                        </w:rPr>
                        <w:t xml:space="preserve"> и </w:t>
                      </w:r>
                      <w:r>
                        <w:rPr>
                          <w:rFonts w:ascii="Times New Roman" w:hAnsi="Times New Roman"/>
                          <w:sz w:val="20"/>
                          <w:szCs w:val="20"/>
                        </w:rPr>
                        <w:t>высокие издержки их перемещения. О</w:t>
                      </w:r>
                      <w:r w:rsidRPr="003C20A0">
                        <w:rPr>
                          <w:rFonts w:ascii="Times New Roman" w:hAnsi="Times New Roman"/>
                          <w:sz w:val="20"/>
                          <w:szCs w:val="20"/>
                        </w:rPr>
                        <w:t xml:space="preserve">днако, в отличие от, например, ситуации </w:t>
                      </w:r>
                      <w:r>
                        <w:rPr>
                          <w:rFonts w:ascii="Times New Roman" w:hAnsi="Times New Roman"/>
                          <w:sz w:val="20"/>
                          <w:szCs w:val="20"/>
                        </w:rPr>
                        <w:t xml:space="preserve">в </w:t>
                      </w:r>
                      <w:r w:rsidRPr="003C20A0">
                        <w:rPr>
                          <w:rFonts w:ascii="Times New Roman" w:hAnsi="Times New Roman"/>
                          <w:sz w:val="20"/>
                          <w:szCs w:val="20"/>
                        </w:rPr>
                        <w:t>2008-</w:t>
                      </w:r>
                      <w:r>
                        <w:rPr>
                          <w:rFonts w:ascii="Times New Roman" w:hAnsi="Times New Roman"/>
                          <w:sz w:val="20"/>
                          <w:szCs w:val="20"/>
                        </w:rPr>
                        <w:t>20</w:t>
                      </w:r>
                      <w:r w:rsidRPr="003C20A0">
                        <w:rPr>
                          <w:rFonts w:ascii="Times New Roman" w:hAnsi="Times New Roman"/>
                          <w:sz w:val="20"/>
                          <w:szCs w:val="20"/>
                        </w:rPr>
                        <w:t xml:space="preserve">09 гг., отчасти </w:t>
                      </w:r>
                      <w:r>
                        <w:rPr>
                          <w:rFonts w:ascii="Times New Roman" w:hAnsi="Times New Roman"/>
                          <w:sz w:val="20"/>
                          <w:szCs w:val="20"/>
                        </w:rPr>
                        <w:t xml:space="preserve">эти особенности </w:t>
                      </w:r>
                      <w:r w:rsidRPr="003C20A0">
                        <w:rPr>
                          <w:rFonts w:ascii="Times New Roman" w:hAnsi="Times New Roman"/>
                          <w:sz w:val="20"/>
                          <w:szCs w:val="20"/>
                        </w:rPr>
                        <w:t>удалось сгладить благодаря эффективной комбинации мер бюджетной и денежно-кредитной политики, позволившей обеспечить подстройку платежного баланса и уровня относительных цен</w:t>
                      </w:r>
                      <w:r>
                        <w:rPr>
                          <w:rFonts w:ascii="Times New Roman" w:hAnsi="Times New Roman"/>
                          <w:sz w:val="20"/>
                          <w:szCs w:val="20"/>
                        </w:rPr>
                        <w:t xml:space="preserve"> с минимальными трансформационными потерями.</w:t>
                      </w:r>
                    </w:p>
                  </w:txbxContent>
                </v:textbox>
                <w10:wrap type="square" anchorx="margin"/>
              </v:shape>
            </w:pict>
          </mc:Fallback>
        </mc:AlternateContent>
      </w:r>
    </w:p>
    <w:p w:rsidR="00E31361" w:rsidRDefault="00E31361" w:rsidP="00A40BDA">
      <w:pPr>
        <w:spacing w:before="120" w:after="120"/>
        <w:jc w:val="both"/>
        <w:rPr>
          <w:rFonts w:ascii="Times New Roman" w:hAnsi="Times New Roman"/>
          <w:sz w:val="24"/>
          <w:szCs w:val="24"/>
        </w:rPr>
      </w:pPr>
    </w:p>
    <w:p w:rsidR="00E31361" w:rsidRDefault="00E31361" w:rsidP="00A40BDA">
      <w:pPr>
        <w:spacing w:before="120" w:after="120"/>
        <w:jc w:val="both"/>
        <w:rPr>
          <w:rFonts w:ascii="Times New Roman" w:hAnsi="Times New Roman"/>
          <w:sz w:val="24"/>
          <w:szCs w:val="24"/>
        </w:rPr>
      </w:pPr>
    </w:p>
    <w:p w:rsidR="00E31361" w:rsidRDefault="00E31361" w:rsidP="00A40BDA">
      <w:pPr>
        <w:spacing w:before="120" w:after="120"/>
        <w:jc w:val="both"/>
        <w:rPr>
          <w:rFonts w:ascii="Times New Roman" w:hAnsi="Times New Roman"/>
          <w:sz w:val="24"/>
          <w:szCs w:val="24"/>
        </w:rPr>
      </w:pPr>
      <w:r w:rsidRPr="00A40BDA">
        <w:rPr>
          <w:rFonts w:ascii="Times New Roman" w:hAnsi="Times New Roman"/>
          <w:sz w:val="24"/>
          <w:szCs w:val="24"/>
        </w:rPr>
        <w:t>Таким образом, эффективная стабилизационная экономическая политика</w:t>
      </w:r>
      <w:r>
        <w:rPr>
          <w:rFonts w:ascii="Times New Roman" w:hAnsi="Times New Roman"/>
          <w:sz w:val="24"/>
          <w:szCs w:val="24"/>
        </w:rPr>
        <w:t>:</w:t>
      </w:r>
    </w:p>
    <w:p w:rsidR="00092DC4" w:rsidRDefault="00276A1E" w:rsidP="000F4773">
      <w:pPr>
        <w:spacing w:before="120" w:after="120"/>
        <w:jc w:val="both"/>
        <w:rPr>
          <w:rFonts w:ascii="Times New Roman" w:hAnsi="Times New Roman"/>
          <w:sz w:val="24"/>
          <w:szCs w:val="24"/>
        </w:rPr>
      </w:pPr>
      <w:r>
        <w:rPr>
          <w:rFonts w:ascii="Times New Roman" w:hAnsi="Times New Roman"/>
          <w:sz w:val="24"/>
          <w:szCs w:val="24"/>
        </w:rPr>
        <w:t xml:space="preserve">(1) </w:t>
      </w:r>
      <w:r w:rsidR="005B2297" w:rsidRPr="00BF1AEF">
        <w:rPr>
          <w:rFonts w:ascii="Times New Roman" w:hAnsi="Times New Roman"/>
          <w:sz w:val="24"/>
          <w:szCs w:val="24"/>
        </w:rPr>
        <w:t xml:space="preserve">Позволила </w:t>
      </w:r>
      <w:r w:rsidR="005B2297" w:rsidRPr="00BF1AEF">
        <w:rPr>
          <w:rFonts w:ascii="Times New Roman" w:hAnsi="Times New Roman"/>
          <w:sz w:val="24"/>
          <w:szCs w:val="24"/>
          <w:u w:val="single"/>
        </w:rPr>
        <w:t>купировать кризисные явления</w:t>
      </w:r>
      <w:r w:rsidR="005B2297" w:rsidRPr="00BF1AEF">
        <w:rPr>
          <w:rFonts w:ascii="Times New Roman" w:hAnsi="Times New Roman"/>
          <w:sz w:val="24"/>
          <w:szCs w:val="24"/>
        </w:rPr>
        <w:t xml:space="preserve"> в период подстройки. Масштаб экономических потерь (с учетом величины внешнего шока) оказался относительно невысок как в сравнении с предшествующими эпизодами серьезных внешних шоков в современной истории России, так и по сравнению с масштабами потерь в других странах-экспортерах сырья в 2014-2016 годах</w:t>
      </w:r>
      <w:r w:rsidR="00E31361">
        <w:rPr>
          <w:rFonts w:ascii="Times New Roman" w:hAnsi="Times New Roman"/>
          <w:sz w:val="24"/>
          <w:szCs w:val="24"/>
        </w:rPr>
        <w:t xml:space="preserve">. </w:t>
      </w:r>
    </w:p>
    <w:p w:rsidR="00092DC4" w:rsidRPr="00092DC4" w:rsidRDefault="005B2297" w:rsidP="009F1CCA">
      <w:pPr>
        <w:pStyle w:val="a9"/>
        <w:numPr>
          <w:ilvl w:val="0"/>
          <w:numId w:val="14"/>
        </w:numPr>
        <w:spacing w:before="120" w:after="120"/>
        <w:contextualSpacing w:val="0"/>
        <w:jc w:val="both"/>
        <w:rPr>
          <w:rFonts w:ascii="Times New Roman" w:hAnsi="Times New Roman"/>
          <w:sz w:val="24"/>
          <w:szCs w:val="24"/>
        </w:rPr>
      </w:pPr>
      <w:r w:rsidRPr="00BF1AEF">
        <w:rPr>
          <w:rFonts w:ascii="Times New Roman" w:hAnsi="Times New Roman"/>
          <w:sz w:val="24"/>
          <w:szCs w:val="24"/>
        </w:rPr>
        <w:t xml:space="preserve">Существенное падение выпуска в России произошло только в 2015 году, а уже во второй половине 2016 года экономика вернулась к росту. При этом спад оказался менее глубоким, чем ожидалось в разгар кризиса – в течение года оценки темпов экономического роста в 2015-2016 годы пересматривались в сторону улучшения. В целом ВВП отечественной экономики с «пика-до-дна» сократился на </w:t>
      </w:r>
      <w:r w:rsidR="00184E8A" w:rsidRPr="00D73EA3">
        <w:rPr>
          <w:rFonts w:ascii="Times New Roman" w:hAnsi="Times New Roman"/>
          <w:sz w:val="24"/>
          <w:szCs w:val="24"/>
        </w:rPr>
        <w:t>4</w:t>
      </w:r>
      <w:r w:rsidRPr="00BF1AEF">
        <w:rPr>
          <w:rFonts w:ascii="Times New Roman" w:hAnsi="Times New Roman"/>
          <w:sz w:val="24"/>
          <w:szCs w:val="24"/>
        </w:rPr>
        <w:t>,</w:t>
      </w:r>
      <w:r w:rsidR="00184E8A" w:rsidRPr="00D73EA3">
        <w:rPr>
          <w:rFonts w:ascii="Times New Roman" w:hAnsi="Times New Roman"/>
          <w:sz w:val="24"/>
          <w:szCs w:val="24"/>
        </w:rPr>
        <w:t>1</w:t>
      </w:r>
      <w:r w:rsidRPr="00BF1AEF">
        <w:rPr>
          <w:rFonts w:ascii="Times New Roman" w:hAnsi="Times New Roman"/>
          <w:sz w:val="24"/>
          <w:szCs w:val="24"/>
        </w:rPr>
        <w:t xml:space="preserve">%, а в прошлый кризисный эпизод (2008-2009 гг.) падение </w:t>
      </w:r>
      <w:r w:rsidR="006D6570">
        <w:rPr>
          <w:rFonts w:ascii="Times New Roman" w:hAnsi="Times New Roman"/>
          <w:sz w:val="24"/>
          <w:szCs w:val="24"/>
        </w:rPr>
        <w:t>превышало</w:t>
      </w:r>
      <w:r w:rsidRPr="00BF1AEF">
        <w:rPr>
          <w:rFonts w:ascii="Times New Roman" w:hAnsi="Times New Roman"/>
          <w:sz w:val="24"/>
          <w:szCs w:val="24"/>
        </w:rPr>
        <w:t xml:space="preserve"> </w:t>
      </w:r>
      <w:r w:rsidR="006D6570">
        <w:rPr>
          <w:rFonts w:ascii="Times New Roman" w:hAnsi="Times New Roman"/>
          <w:sz w:val="24"/>
          <w:szCs w:val="24"/>
        </w:rPr>
        <w:t>10</w:t>
      </w:r>
      <w:r w:rsidRPr="00BF1AEF">
        <w:rPr>
          <w:rFonts w:ascii="Times New Roman" w:hAnsi="Times New Roman"/>
          <w:sz w:val="24"/>
          <w:szCs w:val="24"/>
        </w:rPr>
        <w:t>%</w:t>
      </w:r>
      <w:r w:rsidR="00E31361" w:rsidRPr="00092DC4">
        <w:rPr>
          <w:rFonts w:ascii="Times New Roman" w:hAnsi="Times New Roman"/>
          <w:sz w:val="24"/>
          <w:szCs w:val="24"/>
        </w:rPr>
        <w:t>.</w:t>
      </w:r>
    </w:p>
    <w:p w:rsidR="001A213A" w:rsidRDefault="005B2297" w:rsidP="009F1CCA">
      <w:pPr>
        <w:pStyle w:val="a9"/>
        <w:numPr>
          <w:ilvl w:val="0"/>
          <w:numId w:val="14"/>
        </w:numPr>
        <w:spacing w:before="120" w:after="120"/>
        <w:contextualSpacing w:val="0"/>
        <w:jc w:val="both"/>
        <w:rPr>
          <w:rFonts w:ascii="Times New Roman" w:hAnsi="Times New Roman"/>
          <w:sz w:val="24"/>
          <w:szCs w:val="24"/>
        </w:rPr>
      </w:pPr>
      <w:r w:rsidRPr="00BF1AEF">
        <w:rPr>
          <w:rFonts w:ascii="Times New Roman" w:hAnsi="Times New Roman"/>
          <w:sz w:val="24"/>
          <w:szCs w:val="24"/>
        </w:rPr>
        <w:t>По сравнению с другими странами России удалось избежать ловушки инфляционно-</w:t>
      </w:r>
      <w:proofErr w:type="spellStart"/>
      <w:r w:rsidRPr="00BF1AEF">
        <w:rPr>
          <w:rFonts w:ascii="Times New Roman" w:hAnsi="Times New Roman"/>
          <w:sz w:val="24"/>
          <w:szCs w:val="24"/>
        </w:rPr>
        <w:t>индексационной</w:t>
      </w:r>
      <w:proofErr w:type="spellEnd"/>
      <w:r w:rsidRPr="00BF1AEF">
        <w:rPr>
          <w:rFonts w:ascii="Times New Roman" w:hAnsi="Times New Roman"/>
          <w:sz w:val="24"/>
          <w:szCs w:val="24"/>
        </w:rPr>
        <w:t xml:space="preserve"> спирали и ее последствий для рынка труда: раскрутка этой спирали в Бразилии привела к двукратному росту уровня безработицы (с 6-7% почти до 14%), в то время как в России ситуация на рынке труда оставалась стабильной. Благодаря накопленным резервам и проведению взвешенной бюджетной политики России удалось избежать незавидной участи сырьевых стран Африканского континента и Венесуэлы. В то же время есть примеры сырьевых стран, где внешние шоки несильно повлияли на внутренние условия – Норвегия, Чили или Саудовская Аравия. Причем, если в первых двух случаях это результат многолетней макроэкономической политики по изоляции экономики от волатильности сырьевых цен, то в Саудовской Аравии стабильность обеспечивается быстрой тратой резервов, и по мере их исчерпания страна будет вынуждена пройти через болезненный период адаптации</w:t>
      </w:r>
      <w:r w:rsidR="001A213A" w:rsidRPr="00092DC4">
        <w:rPr>
          <w:rFonts w:ascii="Times New Roman" w:hAnsi="Times New Roman"/>
          <w:sz w:val="24"/>
          <w:szCs w:val="24"/>
        </w:rPr>
        <w:t>.</w:t>
      </w:r>
    </w:p>
    <w:tbl>
      <w:tblPr>
        <w:tblStyle w:val="Smalltable"/>
        <w:tblW w:w="11591" w:type="dxa"/>
        <w:tblInd w:w="-823" w:type="dxa"/>
        <w:tblLook w:val="04A0" w:firstRow="1" w:lastRow="0" w:firstColumn="1" w:lastColumn="0" w:noHBand="0" w:noVBand="1"/>
      </w:tblPr>
      <w:tblGrid>
        <w:gridCol w:w="5353"/>
        <w:gridCol w:w="222"/>
        <w:gridCol w:w="5304"/>
        <w:gridCol w:w="712"/>
      </w:tblGrid>
      <w:tr w:rsidR="0078400F" w:rsidRPr="008823F8" w:rsidTr="00F738A8">
        <w:trPr>
          <w:gridAfter w:val="1"/>
          <w:wAfter w:w="978" w:type="dxa"/>
          <w:trHeight w:val="198"/>
        </w:trPr>
        <w:tc>
          <w:tcPr>
            <w:tcW w:w="5061" w:type="dxa"/>
            <w:shd w:val="clear" w:color="auto" w:fill="auto"/>
          </w:tcPr>
          <w:p w:rsidR="0078400F" w:rsidRPr="008823F8" w:rsidRDefault="0078400F" w:rsidP="00F738A8">
            <w:pPr>
              <w:suppressAutoHyphens/>
              <w:spacing w:before="120" w:after="40"/>
              <w:rPr>
                <w:rFonts w:ascii="Times New Roman" w:hAnsi="Times New Roman"/>
                <w:b/>
                <w:sz w:val="24"/>
                <w:szCs w:val="24"/>
                <w:lang w:val="ru-RU" w:bidi="ml-IN"/>
              </w:rPr>
            </w:pPr>
            <w:r w:rsidRPr="0078400F">
              <w:rPr>
                <w:rFonts w:ascii="Times New Roman" w:hAnsi="Times New Roman"/>
                <w:b/>
                <w:sz w:val="24"/>
                <w:szCs w:val="24"/>
                <w:lang w:val="ru-RU" w:bidi="ml-IN"/>
              </w:rPr>
              <w:t>Внешний шок и адаптация экономики</w:t>
            </w:r>
          </w:p>
        </w:tc>
        <w:tc>
          <w:tcPr>
            <w:tcW w:w="222" w:type="dxa"/>
            <w:shd w:val="clear" w:color="auto" w:fill="auto"/>
          </w:tcPr>
          <w:p w:rsidR="0078400F" w:rsidRPr="008823F8" w:rsidRDefault="0078400F" w:rsidP="00F738A8">
            <w:pPr>
              <w:suppressAutoHyphens/>
              <w:spacing w:before="120" w:after="40"/>
              <w:rPr>
                <w:rFonts w:ascii="Times New Roman" w:hAnsi="Times New Roman"/>
                <w:sz w:val="24"/>
                <w:szCs w:val="24"/>
                <w:lang w:val="ru-RU" w:bidi="ml-IN"/>
              </w:rPr>
            </w:pPr>
          </w:p>
        </w:tc>
        <w:tc>
          <w:tcPr>
            <w:tcW w:w="5330" w:type="dxa"/>
            <w:shd w:val="clear" w:color="auto" w:fill="auto"/>
          </w:tcPr>
          <w:p w:rsidR="0078400F" w:rsidRPr="008823F8" w:rsidRDefault="0078400F" w:rsidP="00F738A8">
            <w:pPr>
              <w:suppressAutoHyphens/>
              <w:spacing w:before="120" w:after="40"/>
              <w:rPr>
                <w:rFonts w:ascii="Times New Roman" w:hAnsi="Times New Roman"/>
                <w:b/>
                <w:sz w:val="24"/>
                <w:szCs w:val="24"/>
                <w:lang w:val="ru-RU" w:bidi="ml-IN"/>
              </w:rPr>
            </w:pPr>
            <w:r w:rsidRPr="0078400F">
              <w:rPr>
                <w:rFonts w:ascii="Times New Roman" w:hAnsi="Times New Roman"/>
                <w:b/>
                <w:sz w:val="24"/>
                <w:szCs w:val="24"/>
                <w:lang w:val="ru-RU" w:bidi="ml-IN"/>
              </w:rPr>
              <w:t>Кризис 2014-2016 гг. в разных странах</w:t>
            </w:r>
          </w:p>
        </w:tc>
      </w:tr>
      <w:tr w:rsidR="0078400F" w:rsidRPr="008823F8" w:rsidTr="00F738A8">
        <w:trPr>
          <w:trHeight w:hRule="exact" w:val="28"/>
        </w:trPr>
        <w:tc>
          <w:tcPr>
            <w:tcW w:w="5061" w:type="dxa"/>
            <w:tcBorders>
              <w:bottom w:val="single" w:sz="4" w:space="0" w:color="auto"/>
            </w:tcBorders>
            <w:shd w:val="clear" w:color="auto" w:fill="auto"/>
          </w:tcPr>
          <w:p w:rsidR="0078400F" w:rsidRPr="0078400F" w:rsidRDefault="0078400F" w:rsidP="00F738A8">
            <w:pPr>
              <w:rPr>
                <w:rFonts w:ascii="Times New Roman" w:hAnsi="Times New Roman"/>
                <w:lang w:val="ru-RU" w:bidi="ml-IN"/>
              </w:rPr>
            </w:pPr>
          </w:p>
        </w:tc>
        <w:tc>
          <w:tcPr>
            <w:tcW w:w="222" w:type="dxa"/>
            <w:shd w:val="clear" w:color="auto" w:fill="auto"/>
          </w:tcPr>
          <w:p w:rsidR="0078400F" w:rsidRPr="0078400F" w:rsidRDefault="0078400F" w:rsidP="00F738A8">
            <w:pPr>
              <w:rPr>
                <w:rFonts w:ascii="Times New Roman" w:hAnsi="Times New Roman"/>
                <w:lang w:val="ru-RU" w:bidi="ml-IN"/>
              </w:rPr>
            </w:pPr>
          </w:p>
        </w:tc>
        <w:tc>
          <w:tcPr>
            <w:tcW w:w="5330" w:type="dxa"/>
            <w:tcBorders>
              <w:bottom w:val="single" w:sz="4" w:space="0" w:color="auto"/>
            </w:tcBorders>
            <w:shd w:val="clear" w:color="auto" w:fill="auto"/>
          </w:tcPr>
          <w:p w:rsidR="0078400F" w:rsidRPr="0078400F" w:rsidRDefault="0078400F" w:rsidP="00F738A8">
            <w:pPr>
              <w:rPr>
                <w:rFonts w:ascii="Times New Roman" w:hAnsi="Times New Roman"/>
                <w:lang w:val="ru-RU" w:bidi="ml-IN"/>
              </w:rPr>
            </w:pPr>
          </w:p>
        </w:tc>
        <w:tc>
          <w:tcPr>
            <w:tcW w:w="978" w:type="dxa"/>
            <w:shd w:val="clear" w:color="auto" w:fill="auto"/>
          </w:tcPr>
          <w:p w:rsidR="0078400F" w:rsidRPr="0078400F" w:rsidRDefault="0078400F" w:rsidP="00F738A8">
            <w:pPr>
              <w:rPr>
                <w:rFonts w:ascii="Times New Roman" w:hAnsi="Times New Roman"/>
                <w:lang w:val="ru-RU" w:bidi="ml-IN"/>
              </w:rPr>
            </w:pPr>
          </w:p>
        </w:tc>
      </w:tr>
      <w:tr w:rsidR="0078400F" w:rsidRPr="008823F8" w:rsidTr="0078400F">
        <w:tblPrEx>
          <w:tblCellMar>
            <w:left w:w="108" w:type="dxa"/>
            <w:right w:w="108" w:type="dxa"/>
          </w:tblCellMar>
        </w:tblPrEx>
        <w:trPr>
          <w:gridAfter w:val="1"/>
          <w:wAfter w:w="978" w:type="dxa"/>
          <w:trHeight w:val="3611"/>
        </w:trPr>
        <w:tc>
          <w:tcPr>
            <w:tcW w:w="5061" w:type="dxa"/>
            <w:tcBorders>
              <w:top w:val="single" w:sz="4" w:space="0" w:color="auto"/>
              <w:bottom w:val="single" w:sz="4" w:space="0" w:color="auto"/>
            </w:tcBorders>
            <w:shd w:val="clear" w:color="auto" w:fill="auto"/>
            <w:tcMar>
              <w:left w:w="0" w:type="nil"/>
              <w:right w:w="0" w:type="nil"/>
            </w:tcMar>
            <w:vAlign w:val="center"/>
          </w:tcPr>
          <w:p w:rsidR="0078400F" w:rsidRPr="008823F8" w:rsidRDefault="00F175AF" w:rsidP="00F738A8">
            <w:pPr>
              <w:jc w:val="center"/>
              <w:rPr>
                <w:rFonts w:ascii="Times New Roman" w:hAnsi="Times New Roman"/>
                <w:lang w:bidi="ml-IN"/>
              </w:rPr>
            </w:pPr>
            <w:r>
              <w:rPr>
                <w:noProof/>
                <w:lang w:eastAsia="ru-RU"/>
              </w:rPr>
              <w:drawing>
                <wp:inline distT="0" distB="0" distL="0" distR="0" wp14:anchorId="32F82470" wp14:editId="749A9FF8">
                  <wp:extent cx="3262579" cy="2809037"/>
                  <wp:effectExtent l="0" t="0" r="0" b="0"/>
                  <wp:docPr id="15"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222" w:type="dxa"/>
            <w:shd w:val="clear" w:color="auto" w:fill="auto"/>
            <w:tcMar>
              <w:left w:w="0" w:type="nil"/>
              <w:right w:w="0" w:type="nil"/>
            </w:tcMar>
          </w:tcPr>
          <w:p w:rsidR="0078400F" w:rsidRPr="008823F8" w:rsidRDefault="0078400F" w:rsidP="00F738A8">
            <w:pPr>
              <w:rPr>
                <w:rFonts w:ascii="Times New Roman" w:hAnsi="Times New Roman"/>
                <w:lang w:bidi="ml-IN"/>
              </w:rPr>
            </w:pPr>
          </w:p>
        </w:tc>
        <w:tc>
          <w:tcPr>
            <w:tcW w:w="5330" w:type="dxa"/>
            <w:tcBorders>
              <w:top w:val="single" w:sz="4" w:space="0" w:color="auto"/>
              <w:bottom w:val="single" w:sz="4" w:space="0" w:color="auto"/>
            </w:tcBorders>
            <w:shd w:val="clear" w:color="auto" w:fill="auto"/>
            <w:tcMar>
              <w:left w:w="0" w:type="nil"/>
              <w:right w:w="0" w:type="nil"/>
            </w:tcMar>
            <w:vAlign w:val="center"/>
          </w:tcPr>
          <w:p w:rsidR="0078400F" w:rsidRPr="008823F8" w:rsidRDefault="00F175AF" w:rsidP="00F738A8">
            <w:pPr>
              <w:jc w:val="center"/>
              <w:rPr>
                <w:rFonts w:ascii="Times New Roman" w:hAnsi="Times New Roman"/>
                <w:lang w:bidi="ml-IN"/>
              </w:rPr>
            </w:pPr>
            <w:r>
              <w:rPr>
                <w:noProof/>
                <w:lang w:eastAsia="ru-RU"/>
              </w:rPr>
              <w:drawing>
                <wp:inline distT="0" distB="0" distL="0" distR="0" wp14:anchorId="6AF7F1A4" wp14:editId="44FE06DB">
                  <wp:extent cx="3190875" cy="27432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78400F" w:rsidRPr="002D0765" w:rsidTr="00F738A8">
        <w:trPr>
          <w:gridAfter w:val="1"/>
          <w:wAfter w:w="978" w:type="dxa"/>
          <w:trHeight w:val="198"/>
        </w:trPr>
        <w:tc>
          <w:tcPr>
            <w:tcW w:w="5061" w:type="dxa"/>
            <w:tcBorders>
              <w:top w:val="single" w:sz="4" w:space="0" w:color="auto"/>
            </w:tcBorders>
            <w:shd w:val="clear" w:color="auto" w:fill="auto"/>
          </w:tcPr>
          <w:p w:rsidR="0078400F" w:rsidRPr="00E11E0D" w:rsidRDefault="0078400F" w:rsidP="0078400F">
            <w:pPr>
              <w:suppressAutoHyphens/>
              <w:spacing w:after="240" w:line="160" w:lineRule="atLeast"/>
              <w:rPr>
                <w:rFonts w:ascii="Times New Roman" w:hAnsi="Times New Roman"/>
                <w:i/>
                <w:sz w:val="11"/>
                <w:szCs w:val="11"/>
                <w:lang w:bidi="ml-IN"/>
              </w:rPr>
            </w:pPr>
            <w:proofErr w:type="spellStart"/>
            <w:r w:rsidRPr="00E11E0D">
              <w:rPr>
                <w:rFonts w:ascii="Times New Roman" w:hAnsi="Times New Roman"/>
                <w:i/>
                <w:sz w:val="14"/>
                <w:szCs w:val="14"/>
                <w:lang w:bidi="ml-IN"/>
              </w:rPr>
              <w:t>Источники</w:t>
            </w:r>
            <w:proofErr w:type="spellEnd"/>
            <w:r w:rsidRPr="00E11E0D">
              <w:rPr>
                <w:rFonts w:ascii="Times New Roman" w:hAnsi="Times New Roman"/>
                <w:i/>
                <w:sz w:val="14"/>
                <w:szCs w:val="14"/>
                <w:lang w:bidi="ml-IN"/>
              </w:rPr>
              <w:t>:</w:t>
            </w:r>
            <w:r w:rsidRPr="00E11E0D">
              <w:rPr>
                <w:rFonts w:ascii="Times New Roman" w:hAnsi="Times New Roman"/>
                <w:i/>
                <w:sz w:val="14"/>
                <w:szCs w:val="14"/>
                <w:lang w:val="en-GB" w:bidi="ml-IN"/>
              </w:rPr>
              <w:t> </w:t>
            </w:r>
            <w:proofErr w:type="spellStart"/>
            <w:r w:rsidRPr="00E11E0D">
              <w:rPr>
                <w:rFonts w:ascii="Times New Roman" w:hAnsi="Times New Roman"/>
                <w:i/>
                <w:sz w:val="14"/>
                <w:szCs w:val="14"/>
                <w:lang w:bidi="ml-IN"/>
              </w:rPr>
              <w:t>Росстат</w:t>
            </w:r>
            <w:proofErr w:type="spellEnd"/>
            <w:r w:rsidRPr="00E11E0D">
              <w:rPr>
                <w:rFonts w:ascii="Times New Roman" w:hAnsi="Times New Roman"/>
                <w:i/>
                <w:sz w:val="14"/>
                <w:szCs w:val="14"/>
                <w:lang w:bidi="ml-IN"/>
              </w:rPr>
              <w:t xml:space="preserve">, </w:t>
            </w:r>
            <w:proofErr w:type="spellStart"/>
            <w:r w:rsidRPr="00E11E0D">
              <w:rPr>
                <w:rFonts w:ascii="Times New Roman" w:hAnsi="Times New Roman"/>
                <w:i/>
                <w:sz w:val="14"/>
                <w:szCs w:val="14"/>
                <w:lang w:bidi="ml-IN"/>
              </w:rPr>
              <w:t>Банк</w:t>
            </w:r>
            <w:proofErr w:type="spellEnd"/>
            <w:r w:rsidRPr="00E11E0D">
              <w:rPr>
                <w:rFonts w:ascii="Times New Roman" w:hAnsi="Times New Roman"/>
                <w:i/>
                <w:sz w:val="14"/>
                <w:szCs w:val="14"/>
                <w:lang w:bidi="ml-IN"/>
              </w:rPr>
              <w:t xml:space="preserve"> России</w:t>
            </w:r>
          </w:p>
        </w:tc>
        <w:tc>
          <w:tcPr>
            <w:tcW w:w="222" w:type="dxa"/>
            <w:shd w:val="clear" w:color="auto" w:fill="auto"/>
          </w:tcPr>
          <w:p w:rsidR="0078400F" w:rsidRPr="00E11E0D" w:rsidRDefault="0078400F" w:rsidP="0078400F">
            <w:pPr>
              <w:suppressAutoHyphens/>
              <w:spacing w:after="240" w:line="160" w:lineRule="atLeast"/>
              <w:rPr>
                <w:rFonts w:ascii="Times New Roman" w:hAnsi="Times New Roman"/>
                <w:sz w:val="11"/>
                <w:szCs w:val="11"/>
                <w:lang w:bidi="ml-IN"/>
              </w:rPr>
            </w:pPr>
          </w:p>
        </w:tc>
        <w:tc>
          <w:tcPr>
            <w:tcW w:w="5330" w:type="dxa"/>
            <w:tcBorders>
              <w:top w:val="single" w:sz="4" w:space="0" w:color="auto"/>
            </w:tcBorders>
            <w:shd w:val="clear" w:color="auto" w:fill="auto"/>
          </w:tcPr>
          <w:p w:rsidR="0078400F" w:rsidRPr="005B2297" w:rsidRDefault="0078400F" w:rsidP="0078400F">
            <w:pPr>
              <w:suppressAutoHyphens/>
              <w:spacing w:after="240" w:line="160" w:lineRule="atLeast"/>
              <w:rPr>
                <w:rFonts w:ascii="Times New Roman" w:hAnsi="Times New Roman"/>
                <w:i/>
                <w:sz w:val="11"/>
                <w:szCs w:val="11"/>
                <w:lang w:val="es-ES" w:bidi="ml-IN"/>
              </w:rPr>
            </w:pPr>
            <w:proofErr w:type="spellStart"/>
            <w:r w:rsidRPr="00E11E0D">
              <w:rPr>
                <w:rFonts w:ascii="Times New Roman" w:hAnsi="Times New Roman"/>
                <w:i/>
                <w:sz w:val="14"/>
                <w:szCs w:val="14"/>
                <w:lang w:bidi="ml-IN"/>
              </w:rPr>
              <w:t>Источник</w:t>
            </w:r>
            <w:proofErr w:type="spellEnd"/>
            <w:r w:rsidRPr="005B2297">
              <w:rPr>
                <w:rFonts w:ascii="Times New Roman" w:hAnsi="Times New Roman"/>
                <w:i/>
                <w:sz w:val="14"/>
                <w:szCs w:val="14"/>
                <w:lang w:val="es-ES" w:bidi="ml-IN"/>
              </w:rPr>
              <w:t xml:space="preserve">: UN Comtrade database, </w:t>
            </w:r>
            <w:r>
              <w:rPr>
                <w:rFonts w:ascii="Times New Roman" w:hAnsi="Times New Roman"/>
                <w:i/>
                <w:sz w:val="14"/>
                <w:szCs w:val="14"/>
                <w:lang w:bidi="ml-IN"/>
              </w:rPr>
              <w:t>МВФ</w:t>
            </w:r>
          </w:p>
        </w:tc>
      </w:tr>
    </w:tbl>
    <w:p w:rsidR="00D3383A" w:rsidRPr="00A40BDA" w:rsidRDefault="00A40BDA" w:rsidP="00A40BDA">
      <w:pPr>
        <w:spacing w:before="120" w:after="120"/>
        <w:jc w:val="both"/>
        <w:rPr>
          <w:rFonts w:ascii="Times New Roman" w:hAnsi="Times New Roman"/>
          <w:sz w:val="24"/>
          <w:szCs w:val="24"/>
        </w:rPr>
      </w:pPr>
      <w:r w:rsidRPr="00A40BDA">
        <w:rPr>
          <w:rFonts w:ascii="Times New Roman" w:hAnsi="Times New Roman"/>
          <w:sz w:val="24"/>
          <w:szCs w:val="24"/>
        </w:rPr>
        <w:t xml:space="preserve">(2) </w:t>
      </w:r>
      <w:r w:rsidR="00092DC4" w:rsidRPr="00092DC4">
        <w:rPr>
          <w:rFonts w:ascii="Times New Roman" w:hAnsi="Times New Roman"/>
          <w:sz w:val="24"/>
          <w:szCs w:val="24"/>
          <w:u w:val="single"/>
        </w:rPr>
        <w:t>С</w:t>
      </w:r>
      <w:r w:rsidRPr="00276A1E">
        <w:rPr>
          <w:rFonts w:ascii="Times New Roman" w:hAnsi="Times New Roman"/>
          <w:sz w:val="24"/>
          <w:szCs w:val="24"/>
          <w:u w:val="single"/>
        </w:rPr>
        <w:t>оздал</w:t>
      </w:r>
      <w:r w:rsidR="001A213A">
        <w:rPr>
          <w:rFonts w:ascii="Times New Roman" w:hAnsi="Times New Roman"/>
          <w:sz w:val="24"/>
          <w:szCs w:val="24"/>
          <w:u w:val="single"/>
        </w:rPr>
        <w:t>а</w:t>
      </w:r>
      <w:r w:rsidRPr="00276A1E">
        <w:rPr>
          <w:rFonts w:ascii="Times New Roman" w:hAnsi="Times New Roman"/>
          <w:sz w:val="24"/>
          <w:szCs w:val="24"/>
          <w:u w:val="single"/>
        </w:rPr>
        <w:t xml:space="preserve"> надежную и здоровую основу для восстановления экономического роста</w:t>
      </w:r>
      <w:r w:rsidR="00276A1E">
        <w:rPr>
          <w:rFonts w:ascii="Times New Roman" w:hAnsi="Times New Roman"/>
          <w:sz w:val="24"/>
          <w:szCs w:val="24"/>
        </w:rPr>
        <w:t>, наблюдаемого со 2 полугодия 2016 года</w:t>
      </w:r>
      <w:r w:rsidR="0075186F">
        <w:rPr>
          <w:rFonts w:ascii="Times New Roman" w:hAnsi="Times New Roman"/>
          <w:sz w:val="24"/>
          <w:szCs w:val="24"/>
        </w:rPr>
        <w:t>:</w:t>
      </w:r>
    </w:p>
    <w:p w:rsidR="0075186F" w:rsidRPr="0075186F" w:rsidRDefault="0094479F" w:rsidP="009F1CCA">
      <w:pPr>
        <w:pStyle w:val="a9"/>
        <w:numPr>
          <w:ilvl w:val="0"/>
          <w:numId w:val="15"/>
        </w:numPr>
        <w:spacing w:before="120" w:after="120"/>
        <w:ind w:left="357" w:hanging="357"/>
        <w:contextualSpacing w:val="0"/>
        <w:jc w:val="both"/>
        <w:rPr>
          <w:rFonts w:ascii="Times New Roman" w:hAnsi="Times New Roman"/>
          <w:sz w:val="24"/>
          <w:szCs w:val="24"/>
        </w:rPr>
      </w:pPr>
      <w:r w:rsidRPr="009F7342">
        <w:rPr>
          <w:rFonts w:ascii="Times New Roman" w:hAnsi="Times New Roman"/>
          <w:i/>
          <w:sz w:val="24"/>
          <w:szCs w:val="24"/>
        </w:rPr>
        <w:t>Экономический рост</w:t>
      </w:r>
      <w:r w:rsidRPr="0075186F">
        <w:rPr>
          <w:rFonts w:ascii="Times New Roman" w:hAnsi="Times New Roman"/>
          <w:sz w:val="24"/>
          <w:szCs w:val="24"/>
        </w:rPr>
        <w:t xml:space="preserve"> ускоряется</w:t>
      </w:r>
      <w:r w:rsidR="0075186F">
        <w:rPr>
          <w:rFonts w:ascii="Times New Roman" w:hAnsi="Times New Roman"/>
          <w:sz w:val="24"/>
          <w:szCs w:val="24"/>
        </w:rPr>
        <w:t xml:space="preserve"> третий квартал подряд (</w:t>
      </w:r>
      <w:r w:rsidRPr="0075186F">
        <w:rPr>
          <w:rFonts w:ascii="Times New Roman" w:hAnsi="Times New Roman"/>
          <w:sz w:val="24"/>
          <w:szCs w:val="24"/>
        </w:rPr>
        <w:t>0,3</w:t>
      </w:r>
      <w:r w:rsidR="00F64203">
        <w:rPr>
          <w:rFonts w:ascii="Times New Roman" w:hAnsi="Times New Roman"/>
          <w:sz w:val="24"/>
          <w:szCs w:val="24"/>
        </w:rPr>
        <w:t>%</w:t>
      </w:r>
      <w:r w:rsidRPr="0075186F">
        <w:rPr>
          <w:rFonts w:ascii="Times New Roman" w:hAnsi="Times New Roman"/>
          <w:sz w:val="24"/>
          <w:szCs w:val="24"/>
        </w:rPr>
        <w:t xml:space="preserve"> г/г в </w:t>
      </w:r>
      <w:r w:rsidR="000D135E">
        <w:rPr>
          <w:rFonts w:ascii="Times New Roman" w:hAnsi="Times New Roman"/>
          <w:sz w:val="24"/>
          <w:szCs w:val="24"/>
          <w:lang w:val="en-US"/>
        </w:rPr>
        <w:t>IV</w:t>
      </w:r>
      <w:r w:rsidRPr="0075186F">
        <w:rPr>
          <w:rFonts w:ascii="Times New Roman" w:hAnsi="Times New Roman"/>
          <w:sz w:val="24"/>
          <w:szCs w:val="24"/>
        </w:rPr>
        <w:t xml:space="preserve"> квартале 2016</w:t>
      </w:r>
      <w:r w:rsidR="0075186F">
        <w:rPr>
          <w:rFonts w:ascii="Times New Roman" w:hAnsi="Times New Roman"/>
          <w:sz w:val="24"/>
          <w:szCs w:val="24"/>
        </w:rPr>
        <w:t>,</w:t>
      </w:r>
      <w:r w:rsidRPr="0075186F">
        <w:rPr>
          <w:rFonts w:ascii="Times New Roman" w:hAnsi="Times New Roman"/>
          <w:sz w:val="24"/>
          <w:szCs w:val="24"/>
        </w:rPr>
        <w:t xml:space="preserve"> 0,5% </w:t>
      </w:r>
      <w:r w:rsidR="0075186F" w:rsidRPr="0075186F">
        <w:rPr>
          <w:rFonts w:ascii="Times New Roman" w:hAnsi="Times New Roman"/>
          <w:sz w:val="24"/>
          <w:szCs w:val="24"/>
        </w:rPr>
        <w:t xml:space="preserve">г/г </w:t>
      </w:r>
      <w:r w:rsidRPr="0075186F">
        <w:rPr>
          <w:rFonts w:ascii="Times New Roman" w:hAnsi="Times New Roman"/>
          <w:sz w:val="24"/>
          <w:szCs w:val="24"/>
        </w:rPr>
        <w:t xml:space="preserve">в </w:t>
      </w:r>
      <w:r w:rsidR="000D135E">
        <w:rPr>
          <w:rFonts w:ascii="Times New Roman" w:hAnsi="Times New Roman"/>
          <w:sz w:val="24"/>
          <w:szCs w:val="24"/>
          <w:lang w:val="en-US"/>
        </w:rPr>
        <w:t>I</w:t>
      </w:r>
      <w:r w:rsidRPr="0075186F">
        <w:rPr>
          <w:rFonts w:ascii="Times New Roman" w:hAnsi="Times New Roman"/>
          <w:sz w:val="24"/>
          <w:szCs w:val="24"/>
        </w:rPr>
        <w:t xml:space="preserve"> квартале 2017 года</w:t>
      </w:r>
      <w:r w:rsidR="0075186F">
        <w:rPr>
          <w:rFonts w:ascii="Times New Roman" w:hAnsi="Times New Roman"/>
          <w:sz w:val="24"/>
          <w:szCs w:val="24"/>
        </w:rPr>
        <w:t>, 2,</w:t>
      </w:r>
      <w:r w:rsidR="000D135E">
        <w:rPr>
          <w:rFonts w:ascii="Times New Roman" w:hAnsi="Times New Roman"/>
          <w:sz w:val="24"/>
          <w:szCs w:val="24"/>
        </w:rPr>
        <w:t>5</w:t>
      </w:r>
      <w:r w:rsidR="0075186F">
        <w:rPr>
          <w:rFonts w:ascii="Times New Roman" w:hAnsi="Times New Roman"/>
          <w:sz w:val="24"/>
          <w:szCs w:val="24"/>
        </w:rPr>
        <w:t>% г/г в</w:t>
      </w:r>
      <w:r w:rsidR="000D135E">
        <w:rPr>
          <w:rFonts w:ascii="Times New Roman" w:hAnsi="Times New Roman"/>
          <w:sz w:val="24"/>
          <w:szCs w:val="24"/>
        </w:rPr>
        <w:t>о</w:t>
      </w:r>
      <w:r w:rsidR="0075186F">
        <w:rPr>
          <w:rFonts w:ascii="Times New Roman" w:hAnsi="Times New Roman"/>
          <w:sz w:val="24"/>
          <w:szCs w:val="24"/>
        </w:rPr>
        <w:t xml:space="preserve"> </w:t>
      </w:r>
      <w:r w:rsidR="000D135E">
        <w:rPr>
          <w:rFonts w:ascii="Times New Roman" w:hAnsi="Times New Roman"/>
          <w:sz w:val="24"/>
          <w:szCs w:val="24"/>
          <w:lang w:val="en-US"/>
        </w:rPr>
        <w:t>II</w:t>
      </w:r>
      <w:r w:rsidR="000D135E" w:rsidRPr="007D36CE">
        <w:rPr>
          <w:rFonts w:ascii="Times New Roman" w:hAnsi="Times New Roman"/>
          <w:sz w:val="24"/>
          <w:szCs w:val="24"/>
        </w:rPr>
        <w:t xml:space="preserve"> </w:t>
      </w:r>
      <w:r w:rsidR="000D135E">
        <w:rPr>
          <w:rFonts w:ascii="Times New Roman" w:hAnsi="Times New Roman"/>
          <w:sz w:val="24"/>
          <w:szCs w:val="24"/>
        </w:rPr>
        <w:t>квартале</w:t>
      </w:r>
      <w:r w:rsidR="0075186F">
        <w:rPr>
          <w:rFonts w:ascii="Times New Roman" w:hAnsi="Times New Roman"/>
          <w:sz w:val="24"/>
          <w:szCs w:val="24"/>
        </w:rPr>
        <w:t>)</w:t>
      </w:r>
      <w:r w:rsidRPr="0075186F">
        <w:rPr>
          <w:rFonts w:ascii="Times New Roman" w:hAnsi="Times New Roman"/>
          <w:sz w:val="24"/>
          <w:szCs w:val="24"/>
        </w:rPr>
        <w:t xml:space="preserve"> и охватывает все </w:t>
      </w:r>
      <w:r w:rsidR="007D7B05">
        <w:rPr>
          <w:rFonts w:ascii="Times New Roman" w:hAnsi="Times New Roman"/>
          <w:sz w:val="24"/>
          <w:szCs w:val="24"/>
        </w:rPr>
        <w:t>возрастающий отраслевой периметр</w:t>
      </w:r>
      <w:r w:rsidRPr="0075186F">
        <w:rPr>
          <w:rFonts w:ascii="Times New Roman" w:hAnsi="Times New Roman"/>
          <w:sz w:val="24"/>
          <w:szCs w:val="24"/>
        </w:rPr>
        <w:t>. Если торгуемые отрасли</w:t>
      </w:r>
      <w:r w:rsidR="0075186F">
        <w:rPr>
          <w:rFonts w:ascii="Times New Roman" w:hAnsi="Times New Roman"/>
          <w:sz w:val="24"/>
          <w:szCs w:val="24"/>
        </w:rPr>
        <w:t xml:space="preserve">, </w:t>
      </w:r>
      <w:r w:rsidR="009F7342">
        <w:rPr>
          <w:rFonts w:ascii="Times New Roman" w:hAnsi="Times New Roman"/>
          <w:sz w:val="24"/>
          <w:szCs w:val="24"/>
        </w:rPr>
        <w:t xml:space="preserve">получившие серьезные конкурентные преимущества вследствие </w:t>
      </w:r>
      <w:r w:rsidR="0075186F">
        <w:rPr>
          <w:rFonts w:ascii="Times New Roman" w:hAnsi="Times New Roman"/>
          <w:sz w:val="24"/>
          <w:szCs w:val="24"/>
        </w:rPr>
        <w:t xml:space="preserve">структурной подстройки относительных цен, </w:t>
      </w:r>
      <w:r w:rsidRPr="0075186F">
        <w:rPr>
          <w:rFonts w:ascii="Times New Roman" w:hAnsi="Times New Roman"/>
          <w:sz w:val="24"/>
          <w:szCs w:val="24"/>
        </w:rPr>
        <w:t xml:space="preserve">демонстрировали рост еще в 2015 году, то сейчас фиксируется восстановление выпуска и в </w:t>
      </w:r>
      <w:r w:rsidR="009F7342">
        <w:rPr>
          <w:rFonts w:ascii="Times New Roman" w:hAnsi="Times New Roman"/>
          <w:sz w:val="24"/>
          <w:szCs w:val="24"/>
        </w:rPr>
        <w:t xml:space="preserve">наиболее пострадавших в период адаптации </w:t>
      </w:r>
      <w:r w:rsidRPr="0075186F">
        <w:rPr>
          <w:rFonts w:ascii="Times New Roman" w:hAnsi="Times New Roman"/>
          <w:sz w:val="24"/>
          <w:szCs w:val="24"/>
        </w:rPr>
        <w:t>сферах (машиностроение и производство оборудования).</w:t>
      </w:r>
    </w:p>
    <w:p w:rsidR="0094479F" w:rsidRPr="0075186F" w:rsidRDefault="009F7342" w:rsidP="009F1CCA">
      <w:pPr>
        <w:pStyle w:val="a9"/>
        <w:numPr>
          <w:ilvl w:val="0"/>
          <w:numId w:val="15"/>
        </w:numPr>
        <w:spacing w:before="120" w:after="120"/>
        <w:ind w:left="357" w:hanging="357"/>
        <w:contextualSpacing w:val="0"/>
        <w:jc w:val="both"/>
        <w:rPr>
          <w:rFonts w:ascii="Times New Roman" w:hAnsi="Times New Roman"/>
          <w:sz w:val="24"/>
          <w:szCs w:val="24"/>
        </w:rPr>
      </w:pPr>
      <w:r w:rsidRPr="009F7342">
        <w:rPr>
          <w:rFonts w:ascii="Times New Roman" w:hAnsi="Times New Roman"/>
          <w:sz w:val="24"/>
          <w:szCs w:val="24"/>
        </w:rPr>
        <w:t xml:space="preserve">Наблюдается улучшение индикаторов </w:t>
      </w:r>
      <w:r w:rsidRPr="007D7B05">
        <w:rPr>
          <w:rFonts w:ascii="Times New Roman" w:hAnsi="Times New Roman"/>
          <w:i/>
          <w:sz w:val="24"/>
          <w:szCs w:val="24"/>
        </w:rPr>
        <w:t>делового оптимизма</w:t>
      </w:r>
      <w:r w:rsidRPr="009F7342">
        <w:rPr>
          <w:rFonts w:ascii="Times New Roman" w:hAnsi="Times New Roman"/>
          <w:sz w:val="24"/>
          <w:szCs w:val="24"/>
        </w:rPr>
        <w:t xml:space="preserve">, </w:t>
      </w:r>
      <w:r>
        <w:rPr>
          <w:rFonts w:ascii="Times New Roman" w:hAnsi="Times New Roman"/>
          <w:sz w:val="24"/>
          <w:szCs w:val="24"/>
        </w:rPr>
        <w:t xml:space="preserve">что </w:t>
      </w:r>
      <w:r w:rsidRPr="009F7342">
        <w:rPr>
          <w:rFonts w:ascii="Times New Roman" w:hAnsi="Times New Roman"/>
          <w:sz w:val="24"/>
          <w:szCs w:val="24"/>
        </w:rPr>
        <w:t xml:space="preserve">способствует </w:t>
      </w:r>
      <w:r w:rsidRPr="009F7342">
        <w:rPr>
          <w:rFonts w:ascii="Times New Roman" w:hAnsi="Times New Roman"/>
          <w:i/>
          <w:sz w:val="24"/>
          <w:szCs w:val="24"/>
        </w:rPr>
        <w:t>восстановлению инвестиций</w:t>
      </w:r>
      <w:r w:rsidRPr="009F7342">
        <w:rPr>
          <w:rFonts w:ascii="Times New Roman" w:hAnsi="Times New Roman"/>
          <w:sz w:val="24"/>
          <w:szCs w:val="24"/>
        </w:rPr>
        <w:t xml:space="preserve">. </w:t>
      </w:r>
      <w:r w:rsidR="0094479F" w:rsidRPr="0075186F">
        <w:rPr>
          <w:rFonts w:ascii="Times New Roman" w:hAnsi="Times New Roman"/>
          <w:sz w:val="24"/>
          <w:szCs w:val="24"/>
        </w:rPr>
        <w:t>Инвестиции в</w:t>
      </w:r>
      <w:r>
        <w:rPr>
          <w:rFonts w:ascii="Times New Roman" w:hAnsi="Times New Roman"/>
          <w:sz w:val="24"/>
          <w:szCs w:val="24"/>
        </w:rPr>
        <w:t xml:space="preserve"> основной капитал в</w:t>
      </w:r>
      <w:r w:rsidR="0094479F" w:rsidRPr="0075186F">
        <w:rPr>
          <w:rFonts w:ascii="Times New Roman" w:hAnsi="Times New Roman"/>
          <w:sz w:val="24"/>
          <w:szCs w:val="24"/>
        </w:rPr>
        <w:t xml:space="preserve"> целом по экономике перестали сокращаться с </w:t>
      </w:r>
      <w:r>
        <w:rPr>
          <w:rFonts w:ascii="Times New Roman" w:hAnsi="Times New Roman"/>
          <w:sz w:val="24"/>
          <w:szCs w:val="24"/>
        </w:rPr>
        <w:t xml:space="preserve">3 </w:t>
      </w:r>
      <w:r w:rsidR="0094479F" w:rsidRPr="0075186F">
        <w:rPr>
          <w:rFonts w:ascii="Times New Roman" w:hAnsi="Times New Roman"/>
          <w:sz w:val="24"/>
          <w:szCs w:val="24"/>
        </w:rPr>
        <w:t xml:space="preserve">квартала </w:t>
      </w:r>
      <w:r>
        <w:rPr>
          <w:rFonts w:ascii="Times New Roman" w:hAnsi="Times New Roman"/>
          <w:sz w:val="24"/>
          <w:szCs w:val="24"/>
        </w:rPr>
        <w:t>2016 года, а п</w:t>
      </w:r>
      <w:r w:rsidRPr="0075186F">
        <w:rPr>
          <w:rFonts w:ascii="Times New Roman" w:hAnsi="Times New Roman"/>
          <w:sz w:val="24"/>
          <w:szCs w:val="24"/>
        </w:rPr>
        <w:t xml:space="preserve">о итогам </w:t>
      </w:r>
      <w:r>
        <w:rPr>
          <w:rFonts w:ascii="Times New Roman" w:hAnsi="Times New Roman"/>
          <w:sz w:val="24"/>
          <w:szCs w:val="24"/>
        </w:rPr>
        <w:t>1</w:t>
      </w:r>
      <w:r w:rsidRPr="0075186F">
        <w:rPr>
          <w:rFonts w:ascii="Times New Roman" w:hAnsi="Times New Roman"/>
          <w:sz w:val="24"/>
          <w:szCs w:val="24"/>
        </w:rPr>
        <w:t xml:space="preserve"> </w:t>
      </w:r>
      <w:r w:rsidR="000D135E">
        <w:rPr>
          <w:rFonts w:ascii="Times New Roman" w:hAnsi="Times New Roman"/>
          <w:sz w:val="24"/>
          <w:szCs w:val="24"/>
        </w:rPr>
        <w:t xml:space="preserve">полугодия </w:t>
      </w:r>
      <w:r w:rsidRPr="0075186F">
        <w:rPr>
          <w:rFonts w:ascii="Times New Roman" w:hAnsi="Times New Roman"/>
          <w:sz w:val="24"/>
          <w:szCs w:val="24"/>
        </w:rPr>
        <w:t xml:space="preserve">2017 года выросли на </w:t>
      </w:r>
      <w:r w:rsidR="000D135E">
        <w:rPr>
          <w:rFonts w:ascii="Times New Roman" w:hAnsi="Times New Roman"/>
          <w:sz w:val="24"/>
          <w:szCs w:val="24"/>
        </w:rPr>
        <w:t>4</w:t>
      </w:r>
      <w:r w:rsidRPr="0075186F">
        <w:rPr>
          <w:rFonts w:ascii="Times New Roman" w:hAnsi="Times New Roman"/>
          <w:sz w:val="24"/>
          <w:szCs w:val="24"/>
        </w:rPr>
        <w:t>,</w:t>
      </w:r>
      <w:r w:rsidR="000D135E">
        <w:rPr>
          <w:rFonts w:ascii="Times New Roman" w:hAnsi="Times New Roman"/>
          <w:sz w:val="24"/>
          <w:szCs w:val="24"/>
        </w:rPr>
        <w:t>8</w:t>
      </w:r>
      <w:r w:rsidRPr="0075186F">
        <w:rPr>
          <w:rFonts w:ascii="Times New Roman" w:hAnsi="Times New Roman"/>
          <w:sz w:val="24"/>
          <w:szCs w:val="24"/>
        </w:rPr>
        <w:t>% г/г</w:t>
      </w:r>
      <w:r>
        <w:rPr>
          <w:rFonts w:ascii="Times New Roman" w:hAnsi="Times New Roman"/>
          <w:sz w:val="24"/>
          <w:szCs w:val="24"/>
        </w:rPr>
        <w:t xml:space="preserve">. При этом в отдельных секторах </w:t>
      </w:r>
      <w:r w:rsidR="0094479F" w:rsidRPr="0075186F">
        <w:rPr>
          <w:rFonts w:ascii="Times New Roman" w:hAnsi="Times New Roman"/>
          <w:sz w:val="24"/>
          <w:szCs w:val="24"/>
        </w:rPr>
        <w:t>наблюда</w:t>
      </w:r>
      <w:r>
        <w:rPr>
          <w:rFonts w:ascii="Times New Roman" w:hAnsi="Times New Roman"/>
          <w:sz w:val="24"/>
          <w:szCs w:val="24"/>
        </w:rPr>
        <w:t>ется</w:t>
      </w:r>
      <w:r w:rsidR="0094479F" w:rsidRPr="0075186F">
        <w:rPr>
          <w:rFonts w:ascii="Times New Roman" w:hAnsi="Times New Roman"/>
          <w:sz w:val="24"/>
          <w:szCs w:val="24"/>
        </w:rPr>
        <w:t xml:space="preserve"> быстрый рост капиталовложений.</w:t>
      </w:r>
    </w:p>
    <w:p w:rsidR="0094479F" w:rsidRPr="0075186F" w:rsidRDefault="009F7342" w:rsidP="009F1CCA">
      <w:pPr>
        <w:pStyle w:val="a9"/>
        <w:numPr>
          <w:ilvl w:val="0"/>
          <w:numId w:val="15"/>
        </w:numPr>
        <w:spacing w:before="120" w:after="120"/>
        <w:ind w:left="357" w:hanging="357"/>
        <w:contextualSpacing w:val="0"/>
        <w:jc w:val="both"/>
        <w:rPr>
          <w:rFonts w:ascii="Times New Roman" w:hAnsi="Times New Roman"/>
          <w:sz w:val="24"/>
          <w:szCs w:val="24"/>
        </w:rPr>
      </w:pPr>
      <w:r w:rsidRPr="009F7342">
        <w:rPr>
          <w:rFonts w:ascii="Times New Roman" w:hAnsi="Times New Roman"/>
          <w:i/>
          <w:sz w:val="24"/>
          <w:szCs w:val="24"/>
        </w:rPr>
        <w:t>Восстанавливается потребительская активность</w:t>
      </w:r>
      <w:r w:rsidRPr="009F7342">
        <w:rPr>
          <w:rFonts w:ascii="Times New Roman" w:hAnsi="Times New Roman"/>
          <w:sz w:val="24"/>
          <w:szCs w:val="24"/>
        </w:rPr>
        <w:t>, чему способствуют снижение инфляции</w:t>
      </w:r>
      <w:r w:rsidR="00BB3E2F">
        <w:rPr>
          <w:rFonts w:ascii="Times New Roman" w:hAnsi="Times New Roman"/>
          <w:sz w:val="24"/>
          <w:szCs w:val="24"/>
        </w:rPr>
        <w:t xml:space="preserve"> (</w:t>
      </w:r>
      <w:r w:rsidR="000D135E">
        <w:rPr>
          <w:rFonts w:ascii="Times New Roman" w:hAnsi="Times New Roman"/>
          <w:sz w:val="24"/>
          <w:szCs w:val="24"/>
        </w:rPr>
        <w:t>3</w:t>
      </w:r>
      <w:r w:rsidR="00BB3E2F">
        <w:rPr>
          <w:rFonts w:ascii="Times New Roman" w:hAnsi="Times New Roman"/>
          <w:sz w:val="24"/>
          <w:szCs w:val="24"/>
        </w:rPr>
        <w:t>,</w:t>
      </w:r>
      <w:r w:rsidR="000D135E">
        <w:rPr>
          <w:rFonts w:ascii="Times New Roman" w:hAnsi="Times New Roman"/>
          <w:sz w:val="24"/>
          <w:szCs w:val="24"/>
        </w:rPr>
        <w:t>3</w:t>
      </w:r>
      <w:r w:rsidR="00BB3E2F">
        <w:rPr>
          <w:rFonts w:ascii="Times New Roman" w:hAnsi="Times New Roman"/>
          <w:sz w:val="24"/>
          <w:szCs w:val="24"/>
        </w:rPr>
        <w:t xml:space="preserve">% в </w:t>
      </w:r>
      <w:r w:rsidR="000D135E">
        <w:rPr>
          <w:rFonts w:ascii="Times New Roman" w:hAnsi="Times New Roman"/>
          <w:sz w:val="24"/>
          <w:szCs w:val="24"/>
        </w:rPr>
        <w:t xml:space="preserve">августе </w:t>
      </w:r>
      <w:r w:rsidR="00BB3E2F">
        <w:rPr>
          <w:rFonts w:ascii="Times New Roman" w:hAnsi="Times New Roman"/>
          <w:sz w:val="24"/>
          <w:szCs w:val="24"/>
        </w:rPr>
        <w:t>2017 года)</w:t>
      </w:r>
      <w:r w:rsidRPr="009F7342">
        <w:rPr>
          <w:rFonts w:ascii="Times New Roman" w:hAnsi="Times New Roman"/>
          <w:sz w:val="24"/>
          <w:szCs w:val="24"/>
        </w:rPr>
        <w:t>, положительная динамика заработных плат</w:t>
      </w:r>
      <w:r w:rsidR="00BB3E2F">
        <w:rPr>
          <w:rFonts w:ascii="Times New Roman" w:hAnsi="Times New Roman"/>
          <w:sz w:val="24"/>
          <w:szCs w:val="24"/>
        </w:rPr>
        <w:t xml:space="preserve"> (+2,</w:t>
      </w:r>
      <w:r w:rsidR="000D135E">
        <w:rPr>
          <w:rFonts w:ascii="Times New Roman" w:hAnsi="Times New Roman"/>
          <w:sz w:val="24"/>
          <w:szCs w:val="24"/>
        </w:rPr>
        <w:t>8</w:t>
      </w:r>
      <w:r w:rsidR="00BB3E2F">
        <w:rPr>
          <w:rFonts w:ascii="Times New Roman" w:hAnsi="Times New Roman"/>
          <w:sz w:val="24"/>
          <w:szCs w:val="24"/>
        </w:rPr>
        <w:t>% г/г в январе-</w:t>
      </w:r>
      <w:r w:rsidR="000D135E">
        <w:rPr>
          <w:rFonts w:ascii="Times New Roman" w:hAnsi="Times New Roman"/>
          <w:sz w:val="24"/>
          <w:szCs w:val="24"/>
        </w:rPr>
        <w:t xml:space="preserve">июне </w:t>
      </w:r>
      <w:r w:rsidR="00BB3E2F">
        <w:rPr>
          <w:rFonts w:ascii="Times New Roman" w:hAnsi="Times New Roman"/>
          <w:sz w:val="24"/>
          <w:szCs w:val="24"/>
        </w:rPr>
        <w:t>2017 года)</w:t>
      </w:r>
      <w:r w:rsidRPr="009F7342">
        <w:rPr>
          <w:rFonts w:ascii="Times New Roman" w:hAnsi="Times New Roman"/>
          <w:sz w:val="24"/>
          <w:szCs w:val="24"/>
        </w:rPr>
        <w:t xml:space="preserve"> и низкий уровень безработицы на рынке труда</w:t>
      </w:r>
      <w:r w:rsidR="00BB3E2F">
        <w:rPr>
          <w:rFonts w:ascii="Times New Roman" w:hAnsi="Times New Roman"/>
          <w:sz w:val="24"/>
          <w:szCs w:val="24"/>
        </w:rPr>
        <w:t xml:space="preserve"> (5,</w:t>
      </w:r>
      <w:r w:rsidR="000D135E">
        <w:rPr>
          <w:rFonts w:ascii="Times New Roman" w:hAnsi="Times New Roman"/>
          <w:sz w:val="24"/>
          <w:szCs w:val="24"/>
        </w:rPr>
        <w:t>4</w:t>
      </w:r>
      <w:r w:rsidR="00BB3E2F">
        <w:rPr>
          <w:rFonts w:ascii="Times New Roman" w:hAnsi="Times New Roman"/>
          <w:sz w:val="24"/>
          <w:szCs w:val="24"/>
        </w:rPr>
        <w:t xml:space="preserve">% в </w:t>
      </w:r>
      <w:r w:rsidR="000D135E">
        <w:rPr>
          <w:rFonts w:ascii="Times New Roman" w:hAnsi="Times New Roman"/>
          <w:sz w:val="24"/>
          <w:szCs w:val="24"/>
        </w:rPr>
        <w:t xml:space="preserve"> среднем за </w:t>
      </w:r>
      <w:r w:rsidR="000D135E">
        <w:rPr>
          <w:rFonts w:ascii="Times New Roman" w:hAnsi="Times New Roman"/>
          <w:sz w:val="24"/>
          <w:szCs w:val="24"/>
          <w:lang w:val="en-US"/>
        </w:rPr>
        <w:t>I</w:t>
      </w:r>
      <w:r w:rsidR="000D135E" w:rsidRPr="007D36CE">
        <w:rPr>
          <w:rFonts w:ascii="Times New Roman" w:hAnsi="Times New Roman"/>
          <w:sz w:val="24"/>
          <w:szCs w:val="24"/>
        </w:rPr>
        <w:t xml:space="preserve"> </w:t>
      </w:r>
      <w:r w:rsidR="000D135E">
        <w:rPr>
          <w:rFonts w:ascii="Times New Roman" w:hAnsi="Times New Roman"/>
          <w:sz w:val="24"/>
          <w:szCs w:val="24"/>
        </w:rPr>
        <w:t xml:space="preserve">полугодие </w:t>
      </w:r>
      <w:r w:rsidR="00BB3E2F">
        <w:rPr>
          <w:rFonts w:ascii="Times New Roman" w:hAnsi="Times New Roman"/>
          <w:sz w:val="24"/>
          <w:szCs w:val="24"/>
        </w:rPr>
        <w:t>2017 года)</w:t>
      </w:r>
      <w:r w:rsidRPr="009F7342">
        <w:rPr>
          <w:rFonts w:ascii="Times New Roman" w:hAnsi="Times New Roman"/>
          <w:sz w:val="24"/>
          <w:szCs w:val="24"/>
        </w:rPr>
        <w:t>.</w:t>
      </w:r>
    </w:p>
    <w:p w:rsidR="00BB3E2F" w:rsidRPr="009E0B5C" w:rsidRDefault="00BB3E2F" w:rsidP="00BB3E2F">
      <w:pPr>
        <w:spacing w:after="120"/>
        <w:jc w:val="both"/>
        <w:rPr>
          <w:rFonts w:ascii="Times New Roman" w:hAnsi="Times New Roman"/>
          <w:sz w:val="24"/>
          <w:szCs w:val="24"/>
        </w:rPr>
      </w:pPr>
      <w:r>
        <w:rPr>
          <w:rFonts w:ascii="Times New Roman" w:hAnsi="Times New Roman"/>
          <w:sz w:val="24"/>
          <w:szCs w:val="24"/>
        </w:rPr>
        <w:t xml:space="preserve">Тем не менее, складывающееся в российской экономике равновесие пока рано называть оптимальным. Ниже желаемых </w:t>
      </w:r>
      <w:r w:rsidRPr="009E0B5C">
        <w:rPr>
          <w:rFonts w:ascii="Times New Roman" w:hAnsi="Times New Roman"/>
          <w:sz w:val="24"/>
          <w:szCs w:val="24"/>
        </w:rPr>
        <w:t>остаются темпы роста доходов наиболее уязвимых слоев населения, восстановление инвестицион</w:t>
      </w:r>
      <w:r w:rsidR="00061755" w:rsidRPr="009E0B5C">
        <w:rPr>
          <w:rFonts w:ascii="Times New Roman" w:hAnsi="Times New Roman"/>
          <w:sz w:val="24"/>
          <w:szCs w:val="24"/>
        </w:rPr>
        <w:t xml:space="preserve">ной активности идет  неоднородными </w:t>
      </w:r>
      <w:r w:rsidRPr="009E0B5C">
        <w:rPr>
          <w:rFonts w:ascii="Times New Roman" w:hAnsi="Times New Roman"/>
          <w:sz w:val="24"/>
          <w:szCs w:val="24"/>
        </w:rPr>
        <w:t xml:space="preserve">темпами, сохраняются значительные структурные ограничения для динамичного и сбалансированного развития. Темпы устойчивого экономического роста ограничены «потолком потенциала экономики», по разным </w:t>
      </w:r>
      <w:proofErr w:type="gramStart"/>
      <w:r w:rsidRPr="009E0B5C">
        <w:rPr>
          <w:rFonts w:ascii="Times New Roman" w:hAnsi="Times New Roman"/>
          <w:sz w:val="24"/>
          <w:szCs w:val="24"/>
        </w:rPr>
        <w:t>оценкам</w:t>
      </w:r>
      <w:proofErr w:type="gramEnd"/>
      <w:r w:rsidRPr="009E0B5C">
        <w:rPr>
          <w:rFonts w:ascii="Times New Roman" w:hAnsi="Times New Roman"/>
          <w:sz w:val="24"/>
          <w:szCs w:val="24"/>
        </w:rPr>
        <w:t xml:space="preserve"> составляющ</w:t>
      </w:r>
      <w:r w:rsidR="00F64203" w:rsidRPr="009E0B5C">
        <w:rPr>
          <w:rFonts w:ascii="Times New Roman" w:hAnsi="Times New Roman"/>
          <w:sz w:val="24"/>
          <w:szCs w:val="24"/>
        </w:rPr>
        <w:t>им</w:t>
      </w:r>
      <w:r w:rsidRPr="009E0B5C">
        <w:rPr>
          <w:rFonts w:ascii="Times New Roman" w:hAnsi="Times New Roman"/>
          <w:sz w:val="24"/>
          <w:szCs w:val="24"/>
        </w:rPr>
        <w:t xml:space="preserve"> от 1,5 до 2,0% в год, </w:t>
      </w:r>
      <w:r w:rsidR="00071FA4" w:rsidRPr="009E0B5C">
        <w:rPr>
          <w:rFonts w:ascii="Times New Roman" w:hAnsi="Times New Roman"/>
          <w:sz w:val="24"/>
          <w:szCs w:val="24"/>
        </w:rPr>
        <w:t>что</w:t>
      </w:r>
      <w:r w:rsidRPr="009E0B5C">
        <w:rPr>
          <w:rFonts w:ascii="Times New Roman" w:hAnsi="Times New Roman"/>
          <w:sz w:val="24"/>
          <w:szCs w:val="24"/>
        </w:rPr>
        <w:t xml:space="preserve"> не может быть достаточно для обеспечения достойного роста благосостояния населения и модернизации экономики.</w:t>
      </w:r>
    </w:p>
    <w:p w:rsidR="0075186F" w:rsidRPr="009E0B5C" w:rsidRDefault="00BB3E2F" w:rsidP="0094479F">
      <w:pPr>
        <w:spacing w:before="120" w:after="120"/>
        <w:jc w:val="both"/>
        <w:rPr>
          <w:rFonts w:ascii="Times New Roman" w:hAnsi="Times New Roman"/>
          <w:sz w:val="24"/>
          <w:szCs w:val="24"/>
        </w:rPr>
      </w:pPr>
      <w:proofErr w:type="gramStart"/>
      <w:r w:rsidRPr="009E0B5C">
        <w:rPr>
          <w:rFonts w:ascii="Times New Roman" w:hAnsi="Times New Roman"/>
          <w:sz w:val="24"/>
          <w:szCs w:val="24"/>
        </w:rPr>
        <w:t xml:space="preserve">Выхода на более динамичные темпы экономического </w:t>
      </w:r>
      <w:r w:rsidR="00835A54" w:rsidRPr="009E0B5C">
        <w:rPr>
          <w:rFonts w:ascii="Times New Roman" w:hAnsi="Times New Roman"/>
          <w:sz w:val="24"/>
          <w:szCs w:val="24"/>
        </w:rPr>
        <w:t>развития</w:t>
      </w:r>
      <w:r w:rsidRPr="009E0B5C">
        <w:rPr>
          <w:rFonts w:ascii="Times New Roman" w:hAnsi="Times New Roman"/>
          <w:sz w:val="24"/>
          <w:szCs w:val="24"/>
        </w:rPr>
        <w:t xml:space="preserve"> сложно добиться без </w:t>
      </w:r>
      <w:r w:rsidR="003674A0" w:rsidRPr="009E0B5C">
        <w:rPr>
          <w:rFonts w:ascii="Times New Roman" w:hAnsi="Times New Roman"/>
          <w:sz w:val="24"/>
          <w:szCs w:val="24"/>
        </w:rPr>
        <w:t>ответа на</w:t>
      </w:r>
      <w:r w:rsidRPr="009E0B5C">
        <w:rPr>
          <w:rFonts w:ascii="Times New Roman" w:hAnsi="Times New Roman"/>
          <w:sz w:val="24"/>
          <w:szCs w:val="24"/>
        </w:rPr>
        <w:t xml:space="preserve"> цел</w:t>
      </w:r>
      <w:r w:rsidR="003674A0" w:rsidRPr="009E0B5C">
        <w:rPr>
          <w:rFonts w:ascii="Times New Roman" w:hAnsi="Times New Roman"/>
          <w:sz w:val="24"/>
          <w:szCs w:val="24"/>
        </w:rPr>
        <w:t>ый</w:t>
      </w:r>
      <w:r w:rsidRPr="009E0B5C">
        <w:rPr>
          <w:rFonts w:ascii="Times New Roman" w:hAnsi="Times New Roman"/>
          <w:sz w:val="24"/>
          <w:szCs w:val="24"/>
        </w:rPr>
        <w:t xml:space="preserve"> ряд </w:t>
      </w:r>
      <w:r w:rsidR="00262D87" w:rsidRPr="009E0B5C">
        <w:rPr>
          <w:rFonts w:ascii="Times New Roman" w:hAnsi="Times New Roman"/>
          <w:b/>
          <w:sz w:val="24"/>
          <w:szCs w:val="24"/>
        </w:rPr>
        <w:t>вызовов</w:t>
      </w:r>
      <w:r w:rsidR="00262D87" w:rsidRPr="009E0B5C">
        <w:rPr>
          <w:rFonts w:ascii="Times New Roman" w:hAnsi="Times New Roman"/>
          <w:sz w:val="24"/>
          <w:szCs w:val="24"/>
        </w:rPr>
        <w:t>, среди которых</w:t>
      </w:r>
      <w:r w:rsidRPr="009E0B5C">
        <w:rPr>
          <w:rFonts w:ascii="Times New Roman" w:hAnsi="Times New Roman"/>
          <w:sz w:val="24"/>
          <w:szCs w:val="24"/>
        </w:rPr>
        <w:t xml:space="preserve">: </w:t>
      </w:r>
      <w:r w:rsidR="00F330C1" w:rsidRPr="009E0B5C">
        <w:rPr>
          <w:rFonts w:ascii="Times New Roman" w:hAnsi="Times New Roman"/>
          <w:sz w:val="24"/>
          <w:szCs w:val="24"/>
        </w:rPr>
        <w:t xml:space="preserve">(1) </w:t>
      </w:r>
      <w:r w:rsidR="003674A0" w:rsidRPr="009E0B5C">
        <w:rPr>
          <w:rFonts w:ascii="Times New Roman" w:hAnsi="Times New Roman"/>
          <w:sz w:val="24"/>
          <w:szCs w:val="24"/>
        </w:rPr>
        <w:t xml:space="preserve">повышенный </w:t>
      </w:r>
      <w:r w:rsidR="00F330C1" w:rsidRPr="009E0B5C">
        <w:rPr>
          <w:rFonts w:ascii="Times New Roman" w:hAnsi="Times New Roman"/>
          <w:sz w:val="24"/>
          <w:szCs w:val="24"/>
        </w:rPr>
        <w:t>уровень экономической неопределённости и зависимости от ценовой конъюнктуры на сырьевых рынках</w:t>
      </w:r>
      <w:r w:rsidRPr="009E0B5C">
        <w:rPr>
          <w:rFonts w:ascii="Times New Roman" w:hAnsi="Times New Roman"/>
          <w:sz w:val="24"/>
          <w:szCs w:val="24"/>
        </w:rPr>
        <w:t xml:space="preserve">, </w:t>
      </w:r>
      <w:r w:rsidR="00F330C1" w:rsidRPr="009E0B5C">
        <w:rPr>
          <w:rFonts w:ascii="Times New Roman" w:hAnsi="Times New Roman"/>
          <w:sz w:val="24"/>
          <w:szCs w:val="24"/>
        </w:rPr>
        <w:t xml:space="preserve">(2) </w:t>
      </w:r>
      <w:r w:rsidR="003674A0" w:rsidRPr="009E0B5C">
        <w:rPr>
          <w:rFonts w:ascii="Times New Roman" w:hAnsi="Times New Roman"/>
          <w:sz w:val="24"/>
          <w:szCs w:val="24"/>
        </w:rPr>
        <w:t xml:space="preserve">недостаточная степень защищенности от возможных рисковых сценариев в силу низкого </w:t>
      </w:r>
      <w:r w:rsidR="00F330C1" w:rsidRPr="009E0B5C">
        <w:rPr>
          <w:rFonts w:ascii="Times New Roman" w:hAnsi="Times New Roman"/>
          <w:sz w:val="24"/>
          <w:szCs w:val="24"/>
        </w:rPr>
        <w:t>уровн</w:t>
      </w:r>
      <w:r w:rsidR="003674A0" w:rsidRPr="009E0B5C">
        <w:rPr>
          <w:rFonts w:ascii="Times New Roman" w:hAnsi="Times New Roman"/>
          <w:sz w:val="24"/>
          <w:szCs w:val="24"/>
        </w:rPr>
        <w:t>я</w:t>
      </w:r>
      <w:r w:rsidR="00F330C1" w:rsidRPr="009E0B5C">
        <w:rPr>
          <w:rFonts w:ascii="Times New Roman" w:hAnsi="Times New Roman"/>
          <w:sz w:val="24"/>
          <w:szCs w:val="24"/>
        </w:rPr>
        <w:t xml:space="preserve"> накопленных суверенных резервов,</w:t>
      </w:r>
      <w:r w:rsidR="006C3868" w:rsidRPr="009E0B5C">
        <w:rPr>
          <w:rFonts w:ascii="Times New Roman" w:hAnsi="Times New Roman"/>
          <w:sz w:val="24"/>
          <w:szCs w:val="24"/>
        </w:rPr>
        <w:t xml:space="preserve"> (3) </w:t>
      </w:r>
      <w:r w:rsidR="00BC1336">
        <w:rPr>
          <w:rFonts w:ascii="Times New Roman" w:hAnsi="Times New Roman"/>
          <w:sz w:val="24"/>
          <w:szCs w:val="24"/>
        </w:rPr>
        <w:t xml:space="preserve">недостаточная эффективность и </w:t>
      </w:r>
      <w:r w:rsidR="006C3868" w:rsidRPr="009E0B5C">
        <w:rPr>
          <w:rFonts w:ascii="Times New Roman" w:hAnsi="Times New Roman"/>
          <w:sz w:val="24"/>
          <w:szCs w:val="24"/>
        </w:rPr>
        <w:t>несбалансированная структура бюджетных расходов</w:t>
      </w:r>
      <w:r w:rsidR="00F64203" w:rsidRPr="009E0B5C">
        <w:rPr>
          <w:rFonts w:ascii="Times New Roman" w:hAnsi="Times New Roman"/>
          <w:sz w:val="24"/>
          <w:szCs w:val="24"/>
        </w:rPr>
        <w:t>,</w:t>
      </w:r>
      <w:r w:rsidR="006C3868" w:rsidRPr="009E0B5C">
        <w:rPr>
          <w:rFonts w:ascii="Times New Roman" w:hAnsi="Times New Roman"/>
          <w:sz w:val="24"/>
          <w:szCs w:val="24"/>
        </w:rPr>
        <w:t xml:space="preserve"> не способствующая исправлению структурных дисбалансов в экономике</w:t>
      </w:r>
      <w:proofErr w:type="gramEnd"/>
      <w:r w:rsidR="006C3868" w:rsidRPr="009E0B5C">
        <w:rPr>
          <w:rFonts w:ascii="Times New Roman" w:hAnsi="Times New Roman"/>
          <w:sz w:val="24"/>
          <w:szCs w:val="24"/>
        </w:rPr>
        <w:t xml:space="preserve">, </w:t>
      </w:r>
      <w:r w:rsidR="003674A0" w:rsidRPr="009E0B5C">
        <w:rPr>
          <w:rFonts w:ascii="Times New Roman" w:hAnsi="Times New Roman"/>
          <w:sz w:val="24"/>
          <w:szCs w:val="24"/>
        </w:rPr>
        <w:t>(</w:t>
      </w:r>
      <w:r w:rsidR="006C3868" w:rsidRPr="009E0B5C">
        <w:rPr>
          <w:rFonts w:ascii="Times New Roman" w:hAnsi="Times New Roman"/>
          <w:sz w:val="24"/>
          <w:szCs w:val="24"/>
        </w:rPr>
        <w:t>4</w:t>
      </w:r>
      <w:r w:rsidR="003674A0" w:rsidRPr="009E0B5C">
        <w:rPr>
          <w:rFonts w:ascii="Times New Roman" w:hAnsi="Times New Roman"/>
          <w:sz w:val="24"/>
          <w:szCs w:val="24"/>
        </w:rPr>
        <w:t xml:space="preserve">) </w:t>
      </w:r>
      <w:r w:rsidR="006C3868" w:rsidRPr="009E0B5C">
        <w:rPr>
          <w:rFonts w:ascii="Times New Roman" w:hAnsi="Times New Roman"/>
          <w:sz w:val="24"/>
          <w:szCs w:val="24"/>
        </w:rPr>
        <w:t xml:space="preserve">наличие структурных барьеров для развития, связанных </w:t>
      </w:r>
      <w:r w:rsidR="001A71F9" w:rsidRPr="009E0B5C">
        <w:rPr>
          <w:rFonts w:ascii="Times New Roman" w:hAnsi="Times New Roman"/>
          <w:sz w:val="24"/>
          <w:szCs w:val="24"/>
        </w:rPr>
        <w:t xml:space="preserve">с искажениями конкурентного ландшафта и стимулов к инвестициям, </w:t>
      </w:r>
      <w:r w:rsidR="001A71F9" w:rsidRPr="009E0B5C">
        <w:rPr>
          <w:rFonts w:ascii="Times New Roman" w:hAnsi="Times New Roman"/>
          <w:sz w:val="24"/>
          <w:szCs w:val="27"/>
        </w:rPr>
        <w:t xml:space="preserve">качеством и эффективностью государственного управления, демографическими тенденциями и </w:t>
      </w:r>
      <w:r w:rsidR="006C3868" w:rsidRPr="009E0B5C">
        <w:rPr>
          <w:rFonts w:ascii="Times New Roman" w:hAnsi="Times New Roman"/>
          <w:sz w:val="24"/>
          <w:szCs w:val="24"/>
        </w:rPr>
        <w:t>развитием человеческого капитала,</w:t>
      </w:r>
      <w:r w:rsidR="001A71F9" w:rsidRPr="009E0B5C">
        <w:rPr>
          <w:rFonts w:ascii="Times New Roman" w:hAnsi="Times New Roman"/>
          <w:sz w:val="24"/>
          <w:szCs w:val="24"/>
        </w:rPr>
        <w:t xml:space="preserve"> и др.</w:t>
      </w:r>
      <w:r w:rsidR="006C3868" w:rsidRPr="009E0B5C">
        <w:rPr>
          <w:rFonts w:ascii="Times New Roman" w:hAnsi="Times New Roman"/>
          <w:sz w:val="24"/>
          <w:szCs w:val="24"/>
        </w:rPr>
        <w:t xml:space="preserve"> </w:t>
      </w:r>
      <w:r w:rsidRPr="009E0B5C">
        <w:rPr>
          <w:rFonts w:ascii="Times New Roman" w:hAnsi="Times New Roman"/>
          <w:sz w:val="24"/>
          <w:szCs w:val="24"/>
        </w:rPr>
        <w:t>В ближайш</w:t>
      </w:r>
      <w:r w:rsidR="00F330C1" w:rsidRPr="009E0B5C">
        <w:rPr>
          <w:rFonts w:ascii="Times New Roman" w:hAnsi="Times New Roman"/>
          <w:sz w:val="24"/>
          <w:szCs w:val="24"/>
        </w:rPr>
        <w:t>и</w:t>
      </w:r>
      <w:r w:rsidRPr="009E0B5C">
        <w:rPr>
          <w:rFonts w:ascii="Times New Roman" w:hAnsi="Times New Roman"/>
          <w:sz w:val="24"/>
          <w:szCs w:val="24"/>
        </w:rPr>
        <w:t xml:space="preserve">е </w:t>
      </w:r>
      <w:r w:rsidR="00F330C1" w:rsidRPr="009E0B5C">
        <w:rPr>
          <w:rFonts w:ascii="Times New Roman" w:hAnsi="Times New Roman"/>
          <w:sz w:val="24"/>
          <w:szCs w:val="24"/>
        </w:rPr>
        <w:t>годы</w:t>
      </w:r>
      <w:r w:rsidRPr="009E0B5C">
        <w:rPr>
          <w:rFonts w:ascii="Times New Roman" w:hAnsi="Times New Roman"/>
          <w:sz w:val="24"/>
          <w:szCs w:val="24"/>
        </w:rPr>
        <w:t xml:space="preserve"> преодоление этих структурных дисбалансов станет основной задачей государственной экономической политики, включая </w:t>
      </w:r>
      <w:proofErr w:type="gramStart"/>
      <w:r w:rsidRPr="009E0B5C">
        <w:rPr>
          <w:rFonts w:ascii="Times New Roman" w:hAnsi="Times New Roman"/>
          <w:sz w:val="24"/>
          <w:szCs w:val="24"/>
        </w:rPr>
        <w:t>бюджетную</w:t>
      </w:r>
      <w:proofErr w:type="gramEnd"/>
      <w:r w:rsidR="00F330C1" w:rsidRPr="009E0B5C">
        <w:rPr>
          <w:rFonts w:ascii="Times New Roman" w:hAnsi="Times New Roman"/>
          <w:sz w:val="24"/>
          <w:szCs w:val="24"/>
        </w:rPr>
        <w:t>.</w:t>
      </w:r>
    </w:p>
    <w:p w:rsidR="00AF6F26" w:rsidRDefault="00071FA4" w:rsidP="0094479F">
      <w:pPr>
        <w:spacing w:before="120" w:after="120"/>
        <w:jc w:val="both"/>
        <w:rPr>
          <w:rFonts w:ascii="Times New Roman" w:hAnsi="Times New Roman"/>
          <w:sz w:val="24"/>
          <w:szCs w:val="24"/>
        </w:rPr>
      </w:pPr>
      <w:r w:rsidRPr="009E0B5C">
        <w:rPr>
          <w:rFonts w:ascii="Times New Roman" w:hAnsi="Times New Roman"/>
          <w:sz w:val="24"/>
          <w:szCs w:val="24"/>
        </w:rPr>
        <w:t>Далее</w:t>
      </w:r>
      <w:r w:rsidR="00AF6F26" w:rsidRPr="009E0B5C">
        <w:rPr>
          <w:rFonts w:ascii="Times New Roman" w:hAnsi="Times New Roman"/>
          <w:sz w:val="24"/>
          <w:szCs w:val="24"/>
        </w:rPr>
        <w:t xml:space="preserve"> представлены основные итоги реализации б</w:t>
      </w:r>
      <w:r w:rsidR="00AF6F26" w:rsidRPr="009E702A">
        <w:rPr>
          <w:rFonts w:ascii="Times New Roman" w:hAnsi="Times New Roman"/>
          <w:sz w:val="24"/>
          <w:szCs w:val="24"/>
        </w:rPr>
        <w:t>юджетной</w:t>
      </w:r>
      <w:r w:rsidR="00AF6F26">
        <w:rPr>
          <w:rFonts w:ascii="Times New Roman" w:hAnsi="Times New Roman"/>
          <w:sz w:val="24"/>
          <w:szCs w:val="24"/>
        </w:rPr>
        <w:t xml:space="preserve">, </w:t>
      </w:r>
      <w:r w:rsidR="00AF6F26" w:rsidRPr="00AF6F26">
        <w:rPr>
          <w:rFonts w:ascii="Times New Roman" w:hAnsi="Times New Roman"/>
          <w:sz w:val="24"/>
          <w:szCs w:val="24"/>
        </w:rPr>
        <w:t>налоговой и таможенно-тарифной</w:t>
      </w:r>
      <w:r w:rsidR="00AF6F26" w:rsidRPr="009E702A">
        <w:rPr>
          <w:rFonts w:ascii="Times New Roman" w:hAnsi="Times New Roman"/>
          <w:sz w:val="24"/>
          <w:szCs w:val="24"/>
        </w:rPr>
        <w:t xml:space="preserve"> политики в 2015-201</w:t>
      </w:r>
      <w:r w:rsidR="00AF6F26">
        <w:rPr>
          <w:rFonts w:ascii="Times New Roman" w:hAnsi="Times New Roman"/>
          <w:sz w:val="24"/>
          <w:szCs w:val="24"/>
        </w:rPr>
        <w:t>7 годах по отдельным целям и направлениям.</w:t>
      </w:r>
    </w:p>
    <w:p w:rsidR="007D7B05" w:rsidRDefault="007D7B05" w:rsidP="00022B60">
      <w:pPr>
        <w:pStyle w:val="20"/>
        <w:numPr>
          <w:ilvl w:val="1"/>
          <w:numId w:val="3"/>
        </w:numPr>
        <w:spacing w:before="240" w:after="240"/>
        <w:rPr>
          <w:rFonts w:ascii="Times New Roman" w:hAnsi="Times New Roman"/>
          <w:sz w:val="28"/>
          <w:szCs w:val="28"/>
        </w:rPr>
      </w:pPr>
      <w:bookmarkStart w:id="8" w:name="_Toc494788025"/>
      <w:r>
        <w:rPr>
          <w:rFonts w:ascii="Times New Roman" w:hAnsi="Times New Roman"/>
          <w:sz w:val="28"/>
          <w:szCs w:val="28"/>
        </w:rPr>
        <w:t>СБАЛАНСИРОВАННОСТЬ И УСТОЙЧИВОСТЬ БЮДЖЕТА</w:t>
      </w:r>
      <w:bookmarkEnd w:id="8"/>
    </w:p>
    <w:p w:rsidR="00241EA5" w:rsidRDefault="00AF6F26" w:rsidP="00AF6F26">
      <w:pPr>
        <w:spacing w:before="120" w:after="120"/>
        <w:jc w:val="both"/>
        <w:rPr>
          <w:rFonts w:ascii="Times New Roman" w:hAnsi="Times New Roman"/>
          <w:sz w:val="24"/>
          <w:szCs w:val="24"/>
        </w:rPr>
      </w:pPr>
      <w:r w:rsidRPr="00241EA5">
        <w:rPr>
          <w:rFonts w:ascii="Times New Roman" w:hAnsi="Times New Roman"/>
          <w:sz w:val="24"/>
          <w:szCs w:val="24"/>
        </w:rPr>
        <w:t xml:space="preserve">В 2015-2017 </w:t>
      </w:r>
      <w:proofErr w:type="spellStart"/>
      <w:proofErr w:type="gramStart"/>
      <w:r w:rsidRPr="00241EA5">
        <w:rPr>
          <w:rFonts w:ascii="Times New Roman" w:hAnsi="Times New Roman"/>
          <w:sz w:val="24"/>
          <w:szCs w:val="24"/>
        </w:rPr>
        <w:t>гг</w:t>
      </w:r>
      <w:proofErr w:type="spellEnd"/>
      <w:proofErr w:type="gramEnd"/>
      <w:r w:rsidRPr="00241EA5">
        <w:rPr>
          <w:rFonts w:ascii="Times New Roman" w:hAnsi="Times New Roman"/>
          <w:sz w:val="24"/>
          <w:szCs w:val="24"/>
        </w:rPr>
        <w:t xml:space="preserve"> происходила </w:t>
      </w:r>
      <w:r w:rsidRPr="004C7351">
        <w:rPr>
          <w:rFonts w:ascii="Times New Roman" w:hAnsi="Times New Roman"/>
          <w:b/>
          <w:sz w:val="24"/>
          <w:szCs w:val="24"/>
        </w:rPr>
        <w:t>подстройка бюджета к новой внешней реальности</w:t>
      </w:r>
      <w:r w:rsidR="00241EA5" w:rsidRPr="00241EA5">
        <w:rPr>
          <w:rFonts w:ascii="Times New Roman" w:hAnsi="Times New Roman"/>
          <w:sz w:val="24"/>
          <w:szCs w:val="24"/>
        </w:rPr>
        <w:t>, а бюджетная политика формировалась исходя из необходимости</w:t>
      </w:r>
      <w:r w:rsidR="004C7351">
        <w:rPr>
          <w:rFonts w:ascii="Times New Roman" w:hAnsi="Times New Roman"/>
          <w:sz w:val="24"/>
          <w:szCs w:val="24"/>
        </w:rPr>
        <w:t>:</w:t>
      </w:r>
      <w:r w:rsidR="00241EA5" w:rsidRPr="00241EA5">
        <w:rPr>
          <w:rFonts w:ascii="Times New Roman" w:hAnsi="Times New Roman"/>
          <w:sz w:val="24"/>
          <w:szCs w:val="24"/>
        </w:rPr>
        <w:t xml:space="preserve"> </w:t>
      </w:r>
      <w:r w:rsidR="004C7351">
        <w:rPr>
          <w:rFonts w:ascii="Times New Roman" w:hAnsi="Times New Roman"/>
          <w:sz w:val="24"/>
          <w:szCs w:val="24"/>
        </w:rPr>
        <w:t xml:space="preserve">(1) </w:t>
      </w:r>
      <w:r w:rsidR="00241EA5" w:rsidRPr="00241EA5">
        <w:rPr>
          <w:rFonts w:ascii="Times New Roman" w:hAnsi="Times New Roman"/>
          <w:sz w:val="24"/>
          <w:szCs w:val="24"/>
        </w:rPr>
        <w:t>с одной стороны</w:t>
      </w:r>
      <w:r w:rsidR="00071FA4">
        <w:rPr>
          <w:rFonts w:ascii="Times New Roman" w:hAnsi="Times New Roman"/>
          <w:sz w:val="24"/>
          <w:szCs w:val="24"/>
        </w:rPr>
        <w:t>,</w:t>
      </w:r>
      <w:r w:rsidR="00241EA5" w:rsidRPr="00241EA5">
        <w:rPr>
          <w:rFonts w:ascii="Times New Roman" w:hAnsi="Times New Roman"/>
          <w:sz w:val="24"/>
          <w:szCs w:val="24"/>
        </w:rPr>
        <w:t xml:space="preserve"> обеспечить </w:t>
      </w:r>
      <w:r w:rsidR="00241EA5" w:rsidRPr="00241EA5">
        <w:rPr>
          <w:rFonts w:ascii="Times New Roman" w:hAnsi="Times New Roman"/>
          <w:sz w:val="24"/>
          <w:szCs w:val="24"/>
          <w:u w:val="single"/>
        </w:rPr>
        <w:t>сбалансированность и устойчивость бюджетной системы</w:t>
      </w:r>
      <w:r w:rsidR="00241EA5" w:rsidRPr="00241EA5">
        <w:rPr>
          <w:rFonts w:ascii="Times New Roman" w:hAnsi="Times New Roman"/>
          <w:sz w:val="24"/>
          <w:szCs w:val="24"/>
        </w:rPr>
        <w:t xml:space="preserve"> в условиях </w:t>
      </w:r>
      <w:r w:rsidR="00641904">
        <w:rPr>
          <w:rFonts w:ascii="Times New Roman" w:hAnsi="Times New Roman"/>
          <w:sz w:val="24"/>
          <w:szCs w:val="24"/>
        </w:rPr>
        <w:t xml:space="preserve">снижения </w:t>
      </w:r>
      <w:r w:rsidR="00241EA5" w:rsidRPr="00241EA5">
        <w:rPr>
          <w:rFonts w:ascii="Times New Roman" w:hAnsi="Times New Roman"/>
          <w:sz w:val="24"/>
          <w:szCs w:val="24"/>
        </w:rPr>
        <w:t>равновесного уровня цен на нефть</w:t>
      </w:r>
      <w:r w:rsidR="004C7351">
        <w:rPr>
          <w:rFonts w:ascii="Times New Roman" w:hAnsi="Times New Roman"/>
          <w:sz w:val="24"/>
          <w:szCs w:val="24"/>
        </w:rPr>
        <w:t>;</w:t>
      </w:r>
      <w:r w:rsidR="00241EA5" w:rsidRPr="00241EA5">
        <w:rPr>
          <w:rFonts w:ascii="Times New Roman" w:hAnsi="Times New Roman"/>
          <w:sz w:val="24"/>
          <w:szCs w:val="24"/>
        </w:rPr>
        <w:t xml:space="preserve"> а </w:t>
      </w:r>
      <w:r w:rsidR="004C7351">
        <w:rPr>
          <w:rFonts w:ascii="Times New Roman" w:hAnsi="Times New Roman"/>
          <w:sz w:val="24"/>
          <w:szCs w:val="24"/>
        </w:rPr>
        <w:t xml:space="preserve">(2) </w:t>
      </w:r>
      <w:r w:rsidR="00241EA5" w:rsidRPr="00241EA5">
        <w:rPr>
          <w:rFonts w:ascii="Times New Roman" w:hAnsi="Times New Roman"/>
          <w:sz w:val="24"/>
          <w:szCs w:val="24"/>
        </w:rPr>
        <w:t>с другой стороны</w:t>
      </w:r>
      <w:r w:rsidR="00071FA4">
        <w:rPr>
          <w:rFonts w:ascii="Times New Roman" w:hAnsi="Times New Roman"/>
          <w:sz w:val="24"/>
          <w:szCs w:val="24"/>
        </w:rPr>
        <w:t>,</w:t>
      </w:r>
      <w:r w:rsidR="00241EA5" w:rsidRPr="00241EA5">
        <w:rPr>
          <w:rFonts w:ascii="Times New Roman" w:hAnsi="Times New Roman"/>
          <w:sz w:val="24"/>
          <w:szCs w:val="24"/>
        </w:rPr>
        <w:t xml:space="preserve"> способствовать формированию макроэкономического равновесия со </w:t>
      </w:r>
      <w:r w:rsidR="00241EA5" w:rsidRPr="00241EA5">
        <w:rPr>
          <w:rFonts w:ascii="Times New Roman" w:hAnsi="Times New Roman"/>
          <w:sz w:val="24"/>
          <w:szCs w:val="24"/>
          <w:u w:val="single"/>
        </w:rPr>
        <w:t>стабильными и предсказуемыми экономическими, налоговыми и финансовыми условиями</w:t>
      </w:r>
      <w:r>
        <w:rPr>
          <w:rFonts w:ascii="Times New Roman" w:hAnsi="Times New Roman"/>
          <w:sz w:val="24"/>
          <w:szCs w:val="24"/>
        </w:rPr>
        <w:t>.</w:t>
      </w:r>
    </w:p>
    <w:p w:rsidR="00641904" w:rsidRDefault="00641904" w:rsidP="00AF6F26">
      <w:pPr>
        <w:spacing w:before="120" w:after="120"/>
        <w:jc w:val="both"/>
        <w:rPr>
          <w:rFonts w:ascii="Times New Roman" w:hAnsi="Times New Roman"/>
          <w:sz w:val="24"/>
          <w:szCs w:val="24"/>
        </w:rPr>
      </w:pPr>
      <w:r>
        <w:rPr>
          <w:rFonts w:ascii="Times New Roman" w:hAnsi="Times New Roman"/>
          <w:sz w:val="24"/>
          <w:szCs w:val="24"/>
        </w:rPr>
        <w:t xml:space="preserve">В части обеспечения </w:t>
      </w:r>
      <w:r w:rsidRPr="0042264E">
        <w:rPr>
          <w:rFonts w:ascii="Times New Roman" w:hAnsi="Times New Roman"/>
          <w:b/>
          <w:sz w:val="24"/>
          <w:szCs w:val="24"/>
        </w:rPr>
        <w:t>бюджетной сбалансированности</w:t>
      </w:r>
      <w:r>
        <w:rPr>
          <w:rFonts w:ascii="Times New Roman" w:hAnsi="Times New Roman"/>
          <w:sz w:val="24"/>
          <w:szCs w:val="24"/>
        </w:rPr>
        <w:t>:</w:t>
      </w:r>
    </w:p>
    <w:p w:rsidR="00641904" w:rsidRDefault="00641904" w:rsidP="009F1CCA">
      <w:pPr>
        <w:pStyle w:val="a9"/>
        <w:numPr>
          <w:ilvl w:val="0"/>
          <w:numId w:val="16"/>
        </w:numPr>
        <w:spacing w:before="120" w:after="120"/>
        <w:ind w:left="357" w:hanging="357"/>
        <w:contextualSpacing w:val="0"/>
        <w:jc w:val="both"/>
        <w:rPr>
          <w:rFonts w:ascii="Times New Roman" w:hAnsi="Times New Roman"/>
          <w:sz w:val="24"/>
          <w:szCs w:val="24"/>
        </w:rPr>
      </w:pPr>
      <w:r>
        <w:rPr>
          <w:rFonts w:ascii="Times New Roman" w:hAnsi="Times New Roman"/>
          <w:sz w:val="24"/>
          <w:szCs w:val="24"/>
        </w:rPr>
        <w:t>Несмотря на падение</w:t>
      </w:r>
      <w:r w:rsidR="00BD1724">
        <w:rPr>
          <w:rFonts w:ascii="Times New Roman" w:hAnsi="Times New Roman"/>
          <w:sz w:val="24"/>
          <w:szCs w:val="24"/>
        </w:rPr>
        <w:t xml:space="preserve"> нефтегазовых доходов </w:t>
      </w:r>
      <w:r w:rsidR="002A4285">
        <w:rPr>
          <w:rFonts w:ascii="Times New Roman" w:hAnsi="Times New Roman"/>
          <w:sz w:val="24"/>
          <w:szCs w:val="24"/>
        </w:rPr>
        <w:t>(до 5,</w:t>
      </w:r>
      <w:r w:rsidR="006F2E70">
        <w:rPr>
          <w:rFonts w:ascii="Times New Roman" w:hAnsi="Times New Roman"/>
          <w:sz w:val="24"/>
          <w:szCs w:val="24"/>
        </w:rPr>
        <w:t>6</w:t>
      </w:r>
      <w:r w:rsidR="002A4285">
        <w:rPr>
          <w:rFonts w:ascii="Times New Roman" w:hAnsi="Times New Roman"/>
          <w:sz w:val="24"/>
          <w:szCs w:val="24"/>
        </w:rPr>
        <w:t>% ВВП в 2016</w:t>
      </w:r>
      <w:r w:rsidR="00F64203">
        <w:rPr>
          <w:rFonts w:ascii="Times New Roman" w:hAnsi="Times New Roman"/>
          <w:sz w:val="24"/>
          <w:szCs w:val="24"/>
        </w:rPr>
        <w:t xml:space="preserve"> </w:t>
      </w:r>
      <w:r w:rsidR="0090498A">
        <w:rPr>
          <w:rFonts w:ascii="Times New Roman" w:hAnsi="Times New Roman"/>
          <w:sz w:val="24"/>
          <w:szCs w:val="24"/>
        </w:rPr>
        <w:t>году</w:t>
      </w:r>
      <w:r w:rsidR="002A4285">
        <w:rPr>
          <w:rFonts w:ascii="Times New Roman" w:hAnsi="Times New Roman"/>
          <w:sz w:val="24"/>
          <w:szCs w:val="24"/>
        </w:rPr>
        <w:t>: -3,8пп к уровню 2014</w:t>
      </w:r>
      <w:r w:rsidR="00F64203">
        <w:rPr>
          <w:rFonts w:ascii="Times New Roman" w:hAnsi="Times New Roman"/>
          <w:sz w:val="24"/>
          <w:szCs w:val="24"/>
        </w:rPr>
        <w:t xml:space="preserve"> года</w:t>
      </w:r>
      <w:r w:rsidR="002A4285">
        <w:rPr>
          <w:rFonts w:ascii="Times New Roman" w:hAnsi="Times New Roman"/>
          <w:sz w:val="24"/>
          <w:szCs w:val="24"/>
        </w:rPr>
        <w:t>)</w:t>
      </w:r>
      <w:r w:rsidR="00071FA4">
        <w:rPr>
          <w:rFonts w:ascii="Times New Roman" w:hAnsi="Times New Roman"/>
          <w:sz w:val="24"/>
          <w:szCs w:val="24"/>
        </w:rPr>
        <w:t>,</w:t>
      </w:r>
      <w:r>
        <w:rPr>
          <w:rFonts w:ascii="Times New Roman" w:hAnsi="Times New Roman"/>
          <w:sz w:val="24"/>
          <w:szCs w:val="24"/>
        </w:rPr>
        <w:t xml:space="preserve"> </w:t>
      </w:r>
      <w:r w:rsidR="00BD1724">
        <w:rPr>
          <w:rFonts w:ascii="Times New Roman" w:hAnsi="Times New Roman"/>
          <w:sz w:val="24"/>
          <w:szCs w:val="24"/>
        </w:rPr>
        <w:t xml:space="preserve">уровень дефицита федерального бюджета </w:t>
      </w:r>
      <w:r w:rsidR="002A4285">
        <w:rPr>
          <w:rFonts w:ascii="Times New Roman" w:hAnsi="Times New Roman"/>
          <w:sz w:val="24"/>
          <w:szCs w:val="24"/>
        </w:rPr>
        <w:t>удалось сохранить под контролем. По итогам 2016 года дефицит федерального бюджета составил 3,4% ВВП, а в текущем году ожидается снижение до 2,</w:t>
      </w:r>
      <w:r w:rsidR="00B759AD" w:rsidRPr="002272A9">
        <w:rPr>
          <w:rFonts w:ascii="Times New Roman" w:hAnsi="Times New Roman"/>
          <w:sz w:val="24"/>
          <w:szCs w:val="24"/>
        </w:rPr>
        <w:t>2</w:t>
      </w:r>
      <w:r w:rsidR="002A4285">
        <w:rPr>
          <w:rFonts w:ascii="Times New Roman" w:hAnsi="Times New Roman"/>
          <w:sz w:val="24"/>
          <w:szCs w:val="24"/>
        </w:rPr>
        <w:t>% ВВП.</w:t>
      </w:r>
    </w:p>
    <w:p w:rsidR="002A4285" w:rsidRDefault="005B2297" w:rsidP="009F1CCA">
      <w:pPr>
        <w:pStyle w:val="a9"/>
        <w:numPr>
          <w:ilvl w:val="0"/>
          <w:numId w:val="16"/>
        </w:numPr>
        <w:spacing w:before="120" w:after="120"/>
        <w:contextualSpacing w:val="0"/>
        <w:jc w:val="both"/>
        <w:rPr>
          <w:rFonts w:ascii="Times New Roman" w:hAnsi="Times New Roman"/>
          <w:sz w:val="24"/>
          <w:szCs w:val="24"/>
        </w:rPr>
      </w:pPr>
      <w:r w:rsidRPr="008C0987">
        <w:rPr>
          <w:noProof/>
          <w:lang w:eastAsia="ru-RU"/>
        </w:rPr>
        <mc:AlternateContent>
          <mc:Choice Requires="wps">
            <w:drawing>
              <wp:anchor distT="45720" distB="45720" distL="114300" distR="114300" simplePos="0" relativeHeight="251658752" behindDoc="0" locked="0" layoutInCell="1" allowOverlap="1" wp14:anchorId="6059D726" wp14:editId="719FB39B">
                <wp:simplePos x="0" y="0"/>
                <wp:positionH relativeFrom="margin">
                  <wp:posOffset>0</wp:posOffset>
                </wp:positionH>
                <wp:positionV relativeFrom="paragraph">
                  <wp:posOffset>1746250</wp:posOffset>
                </wp:positionV>
                <wp:extent cx="5835015" cy="4337050"/>
                <wp:effectExtent l="0" t="0" r="0" b="6350"/>
                <wp:wrapSquare wrapText="bothSides"/>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015" cy="4337050"/>
                        </a:xfrm>
                        <a:prstGeom prst="rect">
                          <a:avLst/>
                        </a:prstGeom>
                        <a:solidFill>
                          <a:schemeClr val="bg1">
                            <a:lumMod val="95000"/>
                          </a:schemeClr>
                        </a:solidFill>
                        <a:ln w="9525">
                          <a:noFill/>
                          <a:miter lim="800000"/>
                          <a:headEnd/>
                          <a:tailEnd/>
                        </a:ln>
                      </wps:spPr>
                      <wps:txbx>
                        <w:txbxContent>
                          <w:p w:rsidR="007E5DFE" w:rsidRPr="00BF1AEF" w:rsidRDefault="007E5DFE" w:rsidP="005B2297">
                            <w:pPr>
                              <w:rPr>
                                <w:rFonts w:ascii="Times New Roman" w:hAnsi="Times New Roman"/>
                                <w:b/>
                                <w:sz w:val="24"/>
                                <w:szCs w:val="24"/>
                              </w:rPr>
                            </w:pPr>
                            <w:r w:rsidRPr="00BF1AEF">
                              <w:rPr>
                                <w:rFonts w:ascii="Times New Roman" w:hAnsi="Times New Roman"/>
                                <w:b/>
                                <w:sz w:val="24"/>
                                <w:szCs w:val="24"/>
                              </w:rPr>
                              <w:t>Фискальная адаптация крупнейших экспортеров нефти в 2015-2017 гг.</w:t>
                            </w:r>
                          </w:p>
                          <w:p w:rsidR="007E5DFE" w:rsidRPr="00BF1AEF" w:rsidRDefault="007E5DFE" w:rsidP="005B2297">
                            <w:pPr>
                              <w:spacing w:before="120" w:after="120"/>
                              <w:jc w:val="both"/>
                              <w:rPr>
                                <w:rFonts w:ascii="Times New Roman" w:hAnsi="Times New Roman"/>
                                <w:sz w:val="20"/>
                                <w:szCs w:val="20"/>
                              </w:rPr>
                            </w:pPr>
                            <w:r w:rsidRPr="00BF1AEF">
                              <w:rPr>
                                <w:rFonts w:ascii="Times New Roman" w:hAnsi="Times New Roman"/>
                                <w:sz w:val="20"/>
                                <w:szCs w:val="20"/>
                              </w:rPr>
                              <w:t>Большинство крупнейших стран-экспортеров нефти, особенно из региона Ближнего Востока, до сих пор не адаптировались к структурному снижению цен на нефть. Поддержание завышенного валютного курса и неустойчиво высокого в новых условиях уровня бюджетных расходов требу</w:t>
                            </w:r>
                            <w:r>
                              <w:rPr>
                                <w:rFonts w:ascii="Times New Roman" w:hAnsi="Times New Roman"/>
                                <w:sz w:val="20"/>
                                <w:szCs w:val="20"/>
                              </w:rPr>
                              <w:t>ю</w:t>
                            </w:r>
                            <w:r w:rsidRPr="00BF1AEF">
                              <w:rPr>
                                <w:rFonts w:ascii="Times New Roman" w:hAnsi="Times New Roman"/>
                                <w:sz w:val="20"/>
                                <w:szCs w:val="20"/>
                              </w:rPr>
                              <w:t>т использования международных резервов и/или привлечения заимствований из-за рубежа. Такая стратегия не может быть устойчивой</w:t>
                            </w:r>
                            <w:r>
                              <w:rPr>
                                <w:rFonts w:ascii="Times New Roman" w:hAnsi="Times New Roman"/>
                                <w:sz w:val="20"/>
                                <w:szCs w:val="20"/>
                              </w:rPr>
                              <w:t>,</w:t>
                            </w:r>
                            <w:r w:rsidRPr="00BF1AEF">
                              <w:rPr>
                                <w:rFonts w:ascii="Times New Roman" w:hAnsi="Times New Roman"/>
                                <w:sz w:val="20"/>
                                <w:szCs w:val="20"/>
                              </w:rPr>
                              <w:t xml:space="preserve"> и по мере исчерпания резервов и потери доступа (доверия) к международным рынкам капитала многим странам еще предстоит принять непростые решения о корректировке курса и консолидации бюджета, измеряемой десятками процентов ВВП, что может быть сопряжено с болезненными кризисными явлениями, нарушениями социальной и экономической стабильности.</w:t>
                            </w:r>
                          </w:p>
                          <w:tbl>
                            <w:tblPr>
                              <w:tblW w:w="9709" w:type="dxa"/>
                              <w:tblInd w:w="-8" w:type="dxa"/>
                              <w:tblCellMar>
                                <w:left w:w="10" w:type="dxa"/>
                                <w:right w:w="10" w:type="dxa"/>
                              </w:tblCellMar>
                              <w:tblLook w:val="04A0" w:firstRow="1" w:lastRow="0" w:firstColumn="1" w:lastColumn="0" w:noHBand="0" w:noVBand="1"/>
                            </w:tblPr>
                            <w:tblGrid>
                              <w:gridCol w:w="10"/>
                              <w:gridCol w:w="4299"/>
                              <w:gridCol w:w="10"/>
                              <w:gridCol w:w="226"/>
                              <w:gridCol w:w="10"/>
                              <w:gridCol w:w="4299"/>
                              <w:gridCol w:w="10"/>
                              <w:gridCol w:w="845"/>
                            </w:tblGrid>
                            <w:tr w:rsidR="007E5DFE" w:rsidRPr="00BF1AEF" w:rsidTr="00425EA0">
                              <w:trPr>
                                <w:gridBefore w:val="1"/>
                                <w:gridAfter w:val="1"/>
                                <w:wBefore w:w="10" w:type="dxa"/>
                                <w:wAfter w:w="845" w:type="dxa"/>
                                <w:trHeight w:val="198"/>
                              </w:trPr>
                              <w:tc>
                                <w:tcPr>
                                  <w:tcW w:w="4309" w:type="dxa"/>
                                  <w:gridSpan w:val="2"/>
                                  <w:shd w:val="clear" w:color="auto" w:fill="auto"/>
                                </w:tcPr>
                                <w:p w:rsidR="007E5DFE" w:rsidRPr="008B3C4E" w:rsidRDefault="007E5DFE" w:rsidP="004E2D5D">
                                  <w:pPr>
                                    <w:rPr>
                                      <w:rFonts w:ascii="Times New Roman" w:hAnsi="Times New Roman"/>
                                      <w:b/>
                                      <w:sz w:val="20"/>
                                      <w:szCs w:val="20"/>
                                    </w:rPr>
                                  </w:pPr>
                                  <w:r>
                                    <w:rPr>
                                      <w:rFonts w:ascii="Times New Roman" w:hAnsi="Times New Roman"/>
                                      <w:b/>
                                      <w:sz w:val="20"/>
                                      <w:szCs w:val="20"/>
                                    </w:rPr>
                                    <w:t xml:space="preserve">Цена нефти, обеспечивающая устойчивость платежного баланса </w:t>
                                  </w:r>
                                </w:p>
                              </w:tc>
                              <w:tc>
                                <w:tcPr>
                                  <w:tcW w:w="236" w:type="dxa"/>
                                  <w:gridSpan w:val="2"/>
                                  <w:shd w:val="clear" w:color="auto" w:fill="auto"/>
                                </w:tcPr>
                                <w:p w:rsidR="007E5DFE" w:rsidRPr="00E65DE3" w:rsidRDefault="007E5DFE" w:rsidP="00B81EF5">
                                  <w:pPr>
                                    <w:rPr>
                                      <w:rFonts w:ascii="Times New Roman" w:hAnsi="Times New Roman"/>
                                    </w:rPr>
                                  </w:pPr>
                                </w:p>
                              </w:tc>
                              <w:tc>
                                <w:tcPr>
                                  <w:tcW w:w="4309" w:type="dxa"/>
                                  <w:gridSpan w:val="2"/>
                                  <w:shd w:val="clear" w:color="auto" w:fill="auto"/>
                                </w:tcPr>
                                <w:p w:rsidR="007E5DFE" w:rsidRPr="008B3C4E" w:rsidRDefault="007E5DFE" w:rsidP="00B81EF5">
                                  <w:pPr>
                                    <w:rPr>
                                      <w:rFonts w:ascii="Times New Roman" w:hAnsi="Times New Roman"/>
                                      <w:b/>
                                      <w:sz w:val="20"/>
                                      <w:szCs w:val="20"/>
                                    </w:rPr>
                                  </w:pPr>
                                  <w:r w:rsidRPr="00956A80">
                                    <w:rPr>
                                      <w:rFonts w:ascii="Times New Roman" w:hAnsi="Times New Roman"/>
                                      <w:b/>
                                      <w:sz w:val="20"/>
                                      <w:szCs w:val="20"/>
                                    </w:rPr>
                                    <w:t xml:space="preserve">Бюджетные параметры </w:t>
                                  </w:r>
                                  <w:r>
                                    <w:rPr>
                                      <w:rFonts w:ascii="Times New Roman" w:hAnsi="Times New Roman"/>
                                      <w:b/>
                                      <w:sz w:val="20"/>
                                      <w:szCs w:val="20"/>
                                    </w:rPr>
                                    <w:t xml:space="preserve">некоторых </w:t>
                                  </w:r>
                                  <w:r w:rsidRPr="00956A80">
                                    <w:rPr>
                                      <w:rFonts w:ascii="Times New Roman" w:hAnsi="Times New Roman"/>
                                      <w:b/>
                                      <w:sz w:val="20"/>
                                      <w:szCs w:val="20"/>
                                    </w:rPr>
                                    <w:t xml:space="preserve">стран с </w:t>
                                  </w:r>
                                  <w:r>
                                    <w:rPr>
                                      <w:rFonts w:ascii="Times New Roman" w:hAnsi="Times New Roman"/>
                                      <w:b/>
                                      <w:sz w:val="20"/>
                                      <w:szCs w:val="20"/>
                                    </w:rPr>
                                    <w:t>экспортеров нефти</w:t>
                                  </w:r>
                                  <w:r w:rsidRPr="00956A80">
                                    <w:rPr>
                                      <w:rFonts w:ascii="Times New Roman" w:hAnsi="Times New Roman"/>
                                      <w:b/>
                                      <w:sz w:val="20"/>
                                      <w:szCs w:val="20"/>
                                    </w:rPr>
                                    <w:t xml:space="preserve"> в 2012-2017 гг.</w:t>
                                  </w:r>
                                </w:p>
                              </w:tc>
                            </w:tr>
                            <w:tr w:rsidR="007E5DFE" w:rsidRPr="00BF1AEF" w:rsidTr="00425EA0">
                              <w:trPr>
                                <w:gridBefore w:val="1"/>
                                <w:wBefore w:w="10" w:type="dxa"/>
                                <w:trHeight w:hRule="exact" w:val="28"/>
                              </w:trPr>
                              <w:tc>
                                <w:tcPr>
                                  <w:tcW w:w="4309" w:type="dxa"/>
                                  <w:gridSpan w:val="2"/>
                                  <w:tcBorders>
                                    <w:bottom w:val="single" w:sz="4" w:space="0" w:color="auto"/>
                                  </w:tcBorders>
                                  <w:shd w:val="clear" w:color="auto" w:fill="auto"/>
                                </w:tcPr>
                                <w:p w:rsidR="007E5DFE" w:rsidRPr="00E65DE3" w:rsidRDefault="007E5DFE" w:rsidP="00B81EF5">
                                  <w:pPr>
                                    <w:rPr>
                                      <w:rFonts w:ascii="Times New Roman" w:hAnsi="Times New Roman"/>
                                    </w:rPr>
                                  </w:pPr>
                                </w:p>
                              </w:tc>
                              <w:tc>
                                <w:tcPr>
                                  <w:tcW w:w="236" w:type="dxa"/>
                                  <w:gridSpan w:val="2"/>
                                  <w:shd w:val="clear" w:color="auto" w:fill="auto"/>
                                </w:tcPr>
                                <w:p w:rsidR="007E5DFE" w:rsidRPr="00E65DE3" w:rsidRDefault="007E5DFE" w:rsidP="00B81EF5">
                                  <w:pPr>
                                    <w:rPr>
                                      <w:rFonts w:ascii="Times New Roman" w:hAnsi="Times New Roman"/>
                                    </w:rPr>
                                  </w:pPr>
                                </w:p>
                              </w:tc>
                              <w:tc>
                                <w:tcPr>
                                  <w:tcW w:w="4309" w:type="dxa"/>
                                  <w:gridSpan w:val="2"/>
                                  <w:tcBorders>
                                    <w:bottom w:val="single" w:sz="4" w:space="0" w:color="auto"/>
                                  </w:tcBorders>
                                  <w:shd w:val="clear" w:color="auto" w:fill="auto"/>
                                </w:tcPr>
                                <w:p w:rsidR="007E5DFE" w:rsidRPr="00E65DE3" w:rsidRDefault="007E5DFE" w:rsidP="00B81EF5">
                                  <w:pPr>
                                    <w:rPr>
                                      <w:rFonts w:ascii="Times New Roman" w:hAnsi="Times New Roman"/>
                                    </w:rPr>
                                  </w:pPr>
                                </w:p>
                              </w:tc>
                              <w:tc>
                                <w:tcPr>
                                  <w:tcW w:w="845" w:type="dxa"/>
                                  <w:shd w:val="clear" w:color="auto" w:fill="auto"/>
                                </w:tcPr>
                                <w:p w:rsidR="007E5DFE" w:rsidRPr="00E65DE3" w:rsidRDefault="007E5DFE" w:rsidP="00B81EF5">
                                  <w:pPr>
                                    <w:rPr>
                                      <w:rFonts w:ascii="Times New Roman" w:hAnsi="Times New Roman"/>
                                    </w:rPr>
                                  </w:pPr>
                                </w:p>
                              </w:tc>
                            </w:tr>
                            <w:tr w:rsidR="007E5DFE" w:rsidRPr="00E65DE3" w:rsidTr="00425EA0">
                              <w:tblPrEx>
                                <w:tblCellMar>
                                  <w:left w:w="108" w:type="dxa"/>
                                  <w:right w:w="108" w:type="dxa"/>
                                </w:tblCellMar>
                              </w:tblPrEx>
                              <w:trPr>
                                <w:gridAfter w:val="2"/>
                                <w:wAfter w:w="855" w:type="dxa"/>
                                <w:trHeight w:val="2200"/>
                              </w:trPr>
                              <w:tc>
                                <w:tcPr>
                                  <w:tcW w:w="4309" w:type="dxa"/>
                                  <w:gridSpan w:val="2"/>
                                  <w:tcBorders>
                                    <w:top w:val="single" w:sz="4" w:space="0" w:color="auto"/>
                                    <w:bottom w:val="single" w:sz="4" w:space="0" w:color="auto"/>
                                  </w:tcBorders>
                                  <w:shd w:val="clear" w:color="auto" w:fill="auto"/>
                                </w:tcPr>
                                <w:p w:rsidR="007E5DFE" w:rsidRPr="00E65DE3" w:rsidRDefault="007E5DFE" w:rsidP="00B81EF5">
                                  <w:pPr>
                                    <w:rPr>
                                      <w:rFonts w:ascii="Times New Roman" w:hAnsi="Times New Roman"/>
                                    </w:rPr>
                                  </w:pPr>
                                  <w:r>
                                    <w:rPr>
                                      <w:noProof/>
                                      <w:lang w:eastAsia="ru-RU"/>
                                    </w:rPr>
                                    <w:drawing>
                                      <wp:inline distT="0" distB="0" distL="0" distR="0" wp14:anchorId="79541631" wp14:editId="29E45568">
                                        <wp:extent cx="2552700" cy="1838325"/>
                                        <wp:effectExtent l="0" t="0" r="0" b="0"/>
                                        <wp:docPr id="19" name="Chart 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7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236" w:type="dxa"/>
                                  <w:gridSpan w:val="2"/>
                                  <w:shd w:val="clear" w:color="auto" w:fill="auto"/>
                                </w:tcPr>
                                <w:p w:rsidR="007E5DFE" w:rsidRPr="00E65DE3" w:rsidRDefault="007E5DFE" w:rsidP="00B81EF5">
                                  <w:pPr>
                                    <w:rPr>
                                      <w:rFonts w:ascii="Times New Roman" w:hAnsi="Times New Roman"/>
                                    </w:rPr>
                                  </w:pPr>
                                </w:p>
                              </w:tc>
                              <w:tc>
                                <w:tcPr>
                                  <w:tcW w:w="4309" w:type="dxa"/>
                                  <w:gridSpan w:val="2"/>
                                  <w:tcBorders>
                                    <w:top w:val="single" w:sz="4" w:space="0" w:color="auto"/>
                                    <w:bottom w:val="single" w:sz="4" w:space="0" w:color="auto"/>
                                  </w:tcBorders>
                                  <w:shd w:val="clear" w:color="auto" w:fill="auto"/>
                                </w:tcPr>
                                <w:p w:rsidR="007E5DFE" w:rsidRPr="00956A80" w:rsidRDefault="007E5DFE" w:rsidP="00B81EF5">
                                  <w:pPr>
                                    <w:rPr>
                                      <w:rFonts w:ascii="Times New Roman" w:hAnsi="Times New Roman"/>
                                      <w:color w:val="003300"/>
                                    </w:rPr>
                                  </w:pPr>
                                  <w:r w:rsidRPr="00956A80">
                                    <w:rPr>
                                      <w:noProof/>
                                      <w:color w:val="003300"/>
                                      <w:lang w:eastAsia="ru-RU"/>
                                    </w:rPr>
                                    <w:drawing>
                                      <wp:inline distT="0" distB="0" distL="0" distR="0" wp14:anchorId="37AD3725" wp14:editId="0B296168">
                                        <wp:extent cx="2567940" cy="1739900"/>
                                        <wp:effectExtent l="0" t="0" r="3810" b="0"/>
                                        <wp:docPr id="20"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7E5DFE" w:rsidRPr="00E65DE3" w:rsidTr="00425EA0">
                              <w:trPr>
                                <w:gridBefore w:val="1"/>
                                <w:gridAfter w:val="1"/>
                                <w:wBefore w:w="10" w:type="dxa"/>
                                <w:wAfter w:w="845" w:type="dxa"/>
                                <w:trHeight w:val="140"/>
                              </w:trPr>
                              <w:tc>
                                <w:tcPr>
                                  <w:tcW w:w="4309" w:type="dxa"/>
                                  <w:gridSpan w:val="2"/>
                                  <w:tcBorders>
                                    <w:top w:val="single" w:sz="4" w:space="0" w:color="auto"/>
                                  </w:tcBorders>
                                  <w:shd w:val="clear" w:color="auto" w:fill="auto"/>
                                </w:tcPr>
                                <w:p w:rsidR="007E5DFE" w:rsidRPr="002042C2" w:rsidRDefault="007E5DFE" w:rsidP="004E2D5D">
                                  <w:pPr>
                                    <w:spacing w:after="240"/>
                                    <w:rPr>
                                      <w:rFonts w:ascii="Times New Roman" w:hAnsi="Times New Roman"/>
                                    </w:rPr>
                                  </w:pPr>
                                  <w:r w:rsidRPr="002F2D98">
                                    <w:rPr>
                                      <w:rFonts w:ascii="Times New Roman" w:hAnsi="Times New Roman"/>
                                      <w:i/>
                                      <w:sz w:val="14"/>
                                      <w:szCs w:val="14"/>
                                    </w:rPr>
                                    <w:t xml:space="preserve">Источник: </w:t>
                                  </w:r>
                                  <w:r>
                                    <w:rPr>
                                      <w:rFonts w:ascii="Times New Roman" w:hAnsi="Times New Roman"/>
                                      <w:i/>
                                      <w:sz w:val="14"/>
                                      <w:szCs w:val="14"/>
                                    </w:rPr>
                                    <w:t>МВФ</w:t>
                                  </w:r>
                                </w:p>
                              </w:tc>
                              <w:tc>
                                <w:tcPr>
                                  <w:tcW w:w="236" w:type="dxa"/>
                                  <w:gridSpan w:val="2"/>
                                  <w:shd w:val="clear" w:color="auto" w:fill="auto"/>
                                </w:tcPr>
                                <w:p w:rsidR="007E5DFE" w:rsidRPr="00802DC4" w:rsidRDefault="007E5DFE" w:rsidP="002042C2">
                                  <w:pPr>
                                    <w:spacing w:after="240"/>
                                    <w:rPr>
                                      <w:rFonts w:ascii="Times New Roman" w:hAnsi="Times New Roman"/>
                                    </w:rPr>
                                  </w:pPr>
                                </w:p>
                              </w:tc>
                              <w:tc>
                                <w:tcPr>
                                  <w:tcW w:w="4309" w:type="dxa"/>
                                  <w:gridSpan w:val="2"/>
                                  <w:tcBorders>
                                    <w:top w:val="single" w:sz="4" w:space="0" w:color="auto"/>
                                  </w:tcBorders>
                                  <w:shd w:val="clear" w:color="auto" w:fill="auto"/>
                                </w:tcPr>
                                <w:p w:rsidR="007E5DFE" w:rsidRPr="002042C2" w:rsidRDefault="007E5DFE" w:rsidP="004E2D5D">
                                  <w:pPr>
                                    <w:spacing w:after="240"/>
                                    <w:rPr>
                                      <w:rFonts w:ascii="Times New Roman" w:hAnsi="Times New Roman"/>
                                      <w:i/>
                                    </w:rPr>
                                  </w:pPr>
                                  <w:r w:rsidRPr="002F2D98">
                                    <w:rPr>
                                      <w:rFonts w:ascii="Times New Roman" w:hAnsi="Times New Roman"/>
                                      <w:i/>
                                      <w:sz w:val="14"/>
                                      <w:szCs w:val="14"/>
                                    </w:rPr>
                                    <w:t xml:space="preserve">Источник: </w:t>
                                  </w:r>
                                  <w:r>
                                    <w:rPr>
                                      <w:rFonts w:ascii="Times New Roman" w:hAnsi="Times New Roman"/>
                                      <w:i/>
                                      <w:sz w:val="14"/>
                                      <w:szCs w:val="14"/>
                                    </w:rPr>
                                    <w:t>МВФ, Минфин России</w:t>
                                  </w:r>
                                </w:p>
                              </w:tc>
                            </w:tr>
                          </w:tbl>
                          <w:p w:rsidR="007E5DFE" w:rsidRDefault="007E5DFE" w:rsidP="005B22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137.5pt;width:459.45pt;height:341.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" fillcolor="#f2f2f2 [3052]" stroked="f">
                <v:textbox>
                  <w:txbxContent>
                    <w:p w:rsidR="007E5DFE" w:rsidRPr="00BF1AEF" w:rsidRDefault="007E5DFE" w:rsidP="005B2297">
                      <w:pPr>
                        <w:rPr>
                          <w:rFonts w:ascii="Times New Roman" w:hAnsi="Times New Roman"/>
                          <w:b/>
                          <w:sz w:val="24"/>
                          <w:szCs w:val="24"/>
                        </w:rPr>
                      </w:pPr>
                      <w:r w:rsidRPr="00BF1AEF">
                        <w:rPr>
                          <w:rFonts w:ascii="Times New Roman" w:hAnsi="Times New Roman"/>
                          <w:b/>
                          <w:sz w:val="24"/>
                          <w:szCs w:val="24"/>
                        </w:rPr>
                        <w:t>Фискальная адаптация крупнейших экспортеров нефти в 2015-2017 гг.</w:t>
                      </w:r>
                    </w:p>
                    <w:p w:rsidR="007E5DFE" w:rsidRPr="00BF1AEF" w:rsidRDefault="007E5DFE" w:rsidP="005B2297">
                      <w:pPr>
                        <w:spacing w:before="120" w:after="120"/>
                        <w:jc w:val="both"/>
                        <w:rPr>
                          <w:rFonts w:ascii="Times New Roman" w:hAnsi="Times New Roman"/>
                          <w:sz w:val="20"/>
                          <w:szCs w:val="20"/>
                        </w:rPr>
                      </w:pPr>
                      <w:r w:rsidRPr="00BF1AEF">
                        <w:rPr>
                          <w:rFonts w:ascii="Times New Roman" w:hAnsi="Times New Roman"/>
                          <w:sz w:val="20"/>
                          <w:szCs w:val="20"/>
                        </w:rPr>
                        <w:t>Большинство крупнейших стран-экспортеров нефти, особенно из региона Ближнего Востока, до сих пор не адаптировались к структурному снижению цен на нефть. Поддержание завышенного валютного курса и неустойчиво высокого в новых условиях уровня бюджетных расходов требу</w:t>
                      </w:r>
                      <w:r>
                        <w:rPr>
                          <w:rFonts w:ascii="Times New Roman" w:hAnsi="Times New Roman"/>
                          <w:sz w:val="20"/>
                          <w:szCs w:val="20"/>
                        </w:rPr>
                        <w:t>ю</w:t>
                      </w:r>
                      <w:r w:rsidRPr="00BF1AEF">
                        <w:rPr>
                          <w:rFonts w:ascii="Times New Roman" w:hAnsi="Times New Roman"/>
                          <w:sz w:val="20"/>
                          <w:szCs w:val="20"/>
                        </w:rPr>
                        <w:t>т использования международных резервов и/или привлечения заимствований из-за рубежа. Такая стратегия не может быть устойчивой</w:t>
                      </w:r>
                      <w:r>
                        <w:rPr>
                          <w:rFonts w:ascii="Times New Roman" w:hAnsi="Times New Roman"/>
                          <w:sz w:val="20"/>
                          <w:szCs w:val="20"/>
                        </w:rPr>
                        <w:t>,</w:t>
                      </w:r>
                      <w:r w:rsidRPr="00BF1AEF">
                        <w:rPr>
                          <w:rFonts w:ascii="Times New Roman" w:hAnsi="Times New Roman"/>
                          <w:sz w:val="20"/>
                          <w:szCs w:val="20"/>
                        </w:rPr>
                        <w:t xml:space="preserve"> и по мере исчерпания резервов и потери доступа (доверия) к международным рынкам капитала многим странам еще предстоит принять непростые решения о корректировке курса и консолидации бюджета, измеряемой десятками процентов ВВП, что может быть сопряжено с болезненными кризисными явлениями, нарушениями социальной и экономической стабильности.</w:t>
                      </w:r>
                    </w:p>
                    <w:tbl>
                      <w:tblPr>
                        <w:tblW w:w="9709" w:type="dxa"/>
                        <w:tblInd w:w="-8" w:type="dxa"/>
                        <w:tblCellMar>
                          <w:left w:w="10" w:type="dxa"/>
                          <w:right w:w="10" w:type="dxa"/>
                        </w:tblCellMar>
                        <w:tblLook w:val="04A0" w:firstRow="1" w:lastRow="0" w:firstColumn="1" w:lastColumn="0" w:noHBand="0" w:noVBand="1"/>
                      </w:tblPr>
                      <w:tblGrid>
                        <w:gridCol w:w="10"/>
                        <w:gridCol w:w="4299"/>
                        <w:gridCol w:w="10"/>
                        <w:gridCol w:w="226"/>
                        <w:gridCol w:w="10"/>
                        <w:gridCol w:w="4299"/>
                        <w:gridCol w:w="10"/>
                        <w:gridCol w:w="845"/>
                      </w:tblGrid>
                      <w:tr w:rsidR="007E5DFE" w:rsidRPr="00BF1AEF" w:rsidTr="00425EA0">
                        <w:trPr>
                          <w:gridBefore w:val="1"/>
                          <w:gridAfter w:val="1"/>
                          <w:wBefore w:w="10" w:type="dxa"/>
                          <w:wAfter w:w="845" w:type="dxa"/>
                          <w:trHeight w:val="198"/>
                        </w:trPr>
                        <w:tc>
                          <w:tcPr>
                            <w:tcW w:w="4309" w:type="dxa"/>
                            <w:gridSpan w:val="2"/>
                            <w:shd w:val="clear" w:color="auto" w:fill="auto"/>
                          </w:tcPr>
                          <w:p w:rsidR="007E5DFE" w:rsidRPr="008B3C4E" w:rsidRDefault="007E5DFE" w:rsidP="004E2D5D">
                            <w:pPr>
                              <w:rPr>
                                <w:rFonts w:ascii="Times New Roman" w:hAnsi="Times New Roman"/>
                                <w:b/>
                                <w:sz w:val="20"/>
                                <w:szCs w:val="20"/>
                              </w:rPr>
                            </w:pPr>
                            <w:r>
                              <w:rPr>
                                <w:rFonts w:ascii="Times New Roman" w:hAnsi="Times New Roman"/>
                                <w:b/>
                                <w:sz w:val="20"/>
                                <w:szCs w:val="20"/>
                              </w:rPr>
                              <w:t xml:space="preserve">Цена нефти, обеспечивающая устойчивость платежного баланса </w:t>
                            </w:r>
                          </w:p>
                        </w:tc>
                        <w:tc>
                          <w:tcPr>
                            <w:tcW w:w="236" w:type="dxa"/>
                            <w:gridSpan w:val="2"/>
                            <w:shd w:val="clear" w:color="auto" w:fill="auto"/>
                          </w:tcPr>
                          <w:p w:rsidR="007E5DFE" w:rsidRPr="00E65DE3" w:rsidRDefault="007E5DFE" w:rsidP="00B81EF5">
                            <w:pPr>
                              <w:rPr>
                                <w:rFonts w:ascii="Times New Roman" w:hAnsi="Times New Roman"/>
                              </w:rPr>
                            </w:pPr>
                          </w:p>
                        </w:tc>
                        <w:tc>
                          <w:tcPr>
                            <w:tcW w:w="4309" w:type="dxa"/>
                            <w:gridSpan w:val="2"/>
                            <w:shd w:val="clear" w:color="auto" w:fill="auto"/>
                          </w:tcPr>
                          <w:p w:rsidR="007E5DFE" w:rsidRPr="008B3C4E" w:rsidRDefault="007E5DFE" w:rsidP="00B81EF5">
                            <w:pPr>
                              <w:rPr>
                                <w:rFonts w:ascii="Times New Roman" w:hAnsi="Times New Roman"/>
                                <w:b/>
                                <w:sz w:val="20"/>
                                <w:szCs w:val="20"/>
                              </w:rPr>
                            </w:pPr>
                            <w:r w:rsidRPr="00956A80">
                              <w:rPr>
                                <w:rFonts w:ascii="Times New Roman" w:hAnsi="Times New Roman"/>
                                <w:b/>
                                <w:sz w:val="20"/>
                                <w:szCs w:val="20"/>
                              </w:rPr>
                              <w:t xml:space="preserve">Бюджетные параметры </w:t>
                            </w:r>
                            <w:r>
                              <w:rPr>
                                <w:rFonts w:ascii="Times New Roman" w:hAnsi="Times New Roman"/>
                                <w:b/>
                                <w:sz w:val="20"/>
                                <w:szCs w:val="20"/>
                              </w:rPr>
                              <w:t xml:space="preserve">некоторых </w:t>
                            </w:r>
                            <w:r w:rsidRPr="00956A80">
                              <w:rPr>
                                <w:rFonts w:ascii="Times New Roman" w:hAnsi="Times New Roman"/>
                                <w:b/>
                                <w:sz w:val="20"/>
                                <w:szCs w:val="20"/>
                              </w:rPr>
                              <w:t xml:space="preserve">стран с </w:t>
                            </w:r>
                            <w:r>
                              <w:rPr>
                                <w:rFonts w:ascii="Times New Roman" w:hAnsi="Times New Roman"/>
                                <w:b/>
                                <w:sz w:val="20"/>
                                <w:szCs w:val="20"/>
                              </w:rPr>
                              <w:t>экспортеров нефти</w:t>
                            </w:r>
                            <w:r w:rsidRPr="00956A80">
                              <w:rPr>
                                <w:rFonts w:ascii="Times New Roman" w:hAnsi="Times New Roman"/>
                                <w:b/>
                                <w:sz w:val="20"/>
                                <w:szCs w:val="20"/>
                              </w:rPr>
                              <w:t xml:space="preserve"> в 2012-2017 гг.</w:t>
                            </w:r>
                          </w:p>
                        </w:tc>
                      </w:tr>
                      <w:tr w:rsidR="007E5DFE" w:rsidRPr="00BF1AEF" w:rsidTr="00425EA0">
                        <w:trPr>
                          <w:gridBefore w:val="1"/>
                          <w:wBefore w:w="10" w:type="dxa"/>
                          <w:trHeight w:hRule="exact" w:val="28"/>
                        </w:trPr>
                        <w:tc>
                          <w:tcPr>
                            <w:tcW w:w="4309" w:type="dxa"/>
                            <w:gridSpan w:val="2"/>
                            <w:tcBorders>
                              <w:bottom w:val="single" w:sz="4" w:space="0" w:color="auto"/>
                            </w:tcBorders>
                            <w:shd w:val="clear" w:color="auto" w:fill="auto"/>
                          </w:tcPr>
                          <w:p w:rsidR="007E5DFE" w:rsidRPr="00E65DE3" w:rsidRDefault="007E5DFE" w:rsidP="00B81EF5">
                            <w:pPr>
                              <w:rPr>
                                <w:rFonts w:ascii="Times New Roman" w:hAnsi="Times New Roman"/>
                              </w:rPr>
                            </w:pPr>
                          </w:p>
                        </w:tc>
                        <w:tc>
                          <w:tcPr>
                            <w:tcW w:w="236" w:type="dxa"/>
                            <w:gridSpan w:val="2"/>
                            <w:shd w:val="clear" w:color="auto" w:fill="auto"/>
                          </w:tcPr>
                          <w:p w:rsidR="007E5DFE" w:rsidRPr="00E65DE3" w:rsidRDefault="007E5DFE" w:rsidP="00B81EF5">
                            <w:pPr>
                              <w:rPr>
                                <w:rFonts w:ascii="Times New Roman" w:hAnsi="Times New Roman"/>
                              </w:rPr>
                            </w:pPr>
                          </w:p>
                        </w:tc>
                        <w:tc>
                          <w:tcPr>
                            <w:tcW w:w="4309" w:type="dxa"/>
                            <w:gridSpan w:val="2"/>
                            <w:tcBorders>
                              <w:bottom w:val="single" w:sz="4" w:space="0" w:color="auto"/>
                            </w:tcBorders>
                            <w:shd w:val="clear" w:color="auto" w:fill="auto"/>
                          </w:tcPr>
                          <w:p w:rsidR="007E5DFE" w:rsidRPr="00E65DE3" w:rsidRDefault="007E5DFE" w:rsidP="00B81EF5">
                            <w:pPr>
                              <w:rPr>
                                <w:rFonts w:ascii="Times New Roman" w:hAnsi="Times New Roman"/>
                              </w:rPr>
                            </w:pPr>
                          </w:p>
                        </w:tc>
                        <w:tc>
                          <w:tcPr>
                            <w:tcW w:w="845" w:type="dxa"/>
                            <w:shd w:val="clear" w:color="auto" w:fill="auto"/>
                          </w:tcPr>
                          <w:p w:rsidR="007E5DFE" w:rsidRPr="00E65DE3" w:rsidRDefault="007E5DFE" w:rsidP="00B81EF5">
                            <w:pPr>
                              <w:rPr>
                                <w:rFonts w:ascii="Times New Roman" w:hAnsi="Times New Roman"/>
                              </w:rPr>
                            </w:pPr>
                          </w:p>
                        </w:tc>
                      </w:tr>
                      <w:tr w:rsidR="007E5DFE" w:rsidRPr="00E65DE3" w:rsidTr="00425EA0">
                        <w:tblPrEx>
                          <w:tblCellMar>
                            <w:left w:w="108" w:type="dxa"/>
                            <w:right w:w="108" w:type="dxa"/>
                          </w:tblCellMar>
                        </w:tblPrEx>
                        <w:trPr>
                          <w:gridAfter w:val="2"/>
                          <w:wAfter w:w="855" w:type="dxa"/>
                          <w:trHeight w:val="2200"/>
                        </w:trPr>
                        <w:tc>
                          <w:tcPr>
                            <w:tcW w:w="4309" w:type="dxa"/>
                            <w:gridSpan w:val="2"/>
                            <w:tcBorders>
                              <w:top w:val="single" w:sz="4" w:space="0" w:color="auto"/>
                              <w:bottom w:val="single" w:sz="4" w:space="0" w:color="auto"/>
                            </w:tcBorders>
                            <w:shd w:val="clear" w:color="auto" w:fill="auto"/>
                          </w:tcPr>
                          <w:p w:rsidR="007E5DFE" w:rsidRPr="00E65DE3" w:rsidRDefault="007E5DFE" w:rsidP="00B81EF5">
                            <w:pPr>
                              <w:rPr>
                                <w:rFonts w:ascii="Times New Roman" w:hAnsi="Times New Roman"/>
                              </w:rPr>
                            </w:pPr>
                            <w:r>
                              <w:rPr>
                                <w:noProof/>
                                <w:lang w:eastAsia="ru-RU"/>
                              </w:rPr>
                              <w:drawing>
                                <wp:inline distT="0" distB="0" distL="0" distR="0" wp14:anchorId="79541631" wp14:editId="29E45568">
                                  <wp:extent cx="2552700" cy="1838325"/>
                                  <wp:effectExtent l="0" t="0" r="0" b="0"/>
                                  <wp:docPr id="19" name="Chart 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7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236" w:type="dxa"/>
                            <w:gridSpan w:val="2"/>
                            <w:shd w:val="clear" w:color="auto" w:fill="auto"/>
                          </w:tcPr>
                          <w:p w:rsidR="007E5DFE" w:rsidRPr="00E65DE3" w:rsidRDefault="007E5DFE" w:rsidP="00B81EF5">
                            <w:pPr>
                              <w:rPr>
                                <w:rFonts w:ascii="Times New Roman" w:hAnsi="Times New Roman"/>
                              </w:rPr>
                            </w:pPr>
                          </w:p>
                        </w:tc>
                        <w:tc>
                          <w:tcPr>
                            <w:tcW w:w="4309" w:type="dxa"/>
                            <w:gridSpan w:val="2"/>
                            <w:tcBorders>
                              <w:top w:val="single" w:sz="4" w:space="0" w:color="auto"/>
                              <w:bottom w:val="single" w:sz="4" w:space="0" w:color="auto"/>
                            </w:tcBorders>
                            <w:shd w:val="clear" w:color="auto" w:fill="auto"/>
                          </w:tcPr>
                          <w:p w:rsidR="007E5DFE" w:rsidRPr="00956A80" w:rsidRDefault="007E5DFE" w:rsidP="00B81EF5">
                            <w:pPr>
                              <w:rPr>
                                <w:rFonts w:ascii="Times New Roman" w:hAnsi="Times New Roman"/>
                                <w:color w:val="003300"/>
                              </w:rPr>
                            </w:pPr>
                            <w:r w:rsidRPr="00956A80">
                              <w:rPr>
                                <w:noProof/>
                                <w:color w:val="003300"/>
                                <w:lang w:eastAsia="ru-RU"/>
                              </w:rPr>
                              <w:drawing>
                                <wp:inline distT="0" distB="0" distL="0" distR="0" wp14:anchorId="37AD3725" wp14:editId="0B296168">
                                  <wp:extent cx="2567940" cy="1739900"/>
                                  <wp:effectExtent l="0" t="0" r="3810" b="0"/>
                                  <wp:docPr id="20"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7E5DFE" w:rsidRPr="00E65DE3" w:rsidTr="00425EA0">
                        <w:trPr>
                          <w:gridBefore w:val="1"/>
                          <w:gridAfter w:val="1"/>
                          <w:wBefore w:w="10" w:type="dxa"/>
                          <w:wAfter w:w="845" w:type="dxa"/>
                          <w:trHeight w:val="140"/>
                        </w:trPr>
                        <w:tc>
                          <w:tcPr>
                            <w:tcW w:w="4309" w:type="dxa"/>
                            <w:gridSpan w:val="2"/>
                            <w:tcBorders>
                              <w:top w:val="single" w:sz="4" w:space="0" w:color="auto"/>
                            </w:tcBorders>
                            <w:shd w:val="clear" w:color="auto" w:fill="auto"/>
                          </w:tcPr>
                          <w:p w:rsidR="007E5DFE" w:rsidRPr="002042C2" w:rsidRDefault="007E5DFE" w:rsidP="004E2D5D">
                            <w:pPr>
                              <w:spacing w:after="240"/>
                              <w:rPr>
                                <w:rFonts w:ascii="Times New Roman" w:hAnsi="Times New Roman"/>
                              </w:rPr>
                            </w:pPr>
                            <w:r w:rsidRPr="002F2D98">
                              <w:rPr>
                                <w:rFonts w:ascii="Times New Roman" w:hAnsi="Times New Roman"/>
                                <w:i/>
                                <w:sz w:val="14"/>
                                <w:szCs w:val="14"/>
                              </w:rPr>
                              <w:t xml:space="preserve">Источник: </w:t>
                            </w:r>
                            <w:r>
                              <w:rPr>
                                <w:rFonts w:ascii="Times New Roman" w:hAnsi="Times New Roman"/>
                                <w:i/>
                                <w:sz w:val="14"/>
                                <w:szCs w:val="14"/>
                              </w:rPr>
                              <w:t>МВФ</w:t>
                            </w:r>
                          </w:p>
                        </w:tc>
                        <w:tc>
                          <w:tcPr>
                            <w:tcW w:w="236" w:type="dxa"/>
                            <w:gridSpan w:val="2"/>
                            <w:shd w:val="clear" w:color="auto" w:fill="auto"/>
                          </w:tcPr>
                          <w:p w:rsidR="007E5DFE" w:rsidRPr="00802DC4" w:rsidRDefault="007E5DFE" w:rsidP="002042C2">
                            <w:pPr>
                              <w:spacing w:after="240"/>
                              <w:rPr>
                                <w:rFonts w:ascii="Times New Roman" w:hAnsi="Times New Roman"/>
                              </w:rPr>
                            </w:pPr>
                          </w:p>
                        </w:tc>
                        <w:tc>
                          <w:tcPr>
                            <w:tcW w:w="4309" w:type="dxa"/>
                            <w:gridSpan w:val="2"/>
                            <w:tcBorders>
                              <w:top w:val="single" w:sz="4" w:space="0" w:color="auto"/>
                            </w:tcBorders>
                            <w:shd w:val="clear" w:color="auto" w:fill="auto"/>
                          </w:tcPr>
                          <w:p w:rsidR="007E5DFE" w:rsidRPr="002042C2" w:rsidRDefault="007E5DFE" w:rsidP="004E2D5D">
                            <w:pPr>
                              <w:spacing w:after="240"/>
                              <w:rPr>
                                <w:rFonts w:ascii="Times New Roman" w:hAnsi="Times New Roman"/>
                                <w:i/>
                              </w:rPr>
                            </w:pPr>
                            <w:r w:rsidRPr="002F2D98">
                              <w:rPr>
                                <w:rFonts w:ascii="Times New Roman" w:hAnsi="Times New Roman"/>
                                <w:i/>
                                <w:sz w:val="14"/>
                                <w:szCs w:val="14"/>
                              </w:rPr>
                              <w:t xml:space="preserve">Источник: </w:t>
                            </w:r>
                            <w:r>
                              <w:rPr>
                                <w:rFonts w:ascii="Times New Roman" w:hAnsi="Times New Roman"/>
                                <w:i/>
                                <w:sz w:val="14"/>
                                <w:szCs w:val="14"/>
                              </w:rPr>
                              <w:t>МВФ, Минфин России</w:t>
                            </w:r>
                          </w:p>
                        </w:tc>
                      </w:tr>
                    </w:tbl>
                    <w:p w:rsidR="007E5DFE" w:rsidRDefault="007E5DFE" w:rsidP="005B2297"/>
                  </w:txbxContent>
                </v:textbox>
                <w10:wrap type="square" anchorx="margin"/>
              </v:shape>
            </w:pict>
          </mc:Fallback>
        </mc:AlternateContent>
      </w:r>
      <w:proofErr w:type="gramStart"/>
      <w:r w:rsidR="002A4285">
        <w:rPr>
          <w:rFonts w:ascii="Times New Roman" w:hAnsi="Times New Roman"/>
          <w:sz w:val="24"/>
          <w:szCs w:val="24"/>
        </w:rPr>
        <w:t xml:space="preserve">Зависимость </w:t>
      </w:r>
      <w:r w:rsidR="0090498A">
        <w:rPr>
          <w:rFonts w:ascii="Times New Roman" w:hAnsi="Times New Roman"/>
          <w:sz w:val="24"/>
          <w:szCs w:val="24"/>
        </w:rPr>
        <w:t xml:space="preserve">федерального </w:t>
      </w:r>
      <w:r w:rsidR="002A4285">
        <w:rPr>
          <w:rFonts w:ascii="Times New Roman" w:hAnsi="Times New Roman"/>
          <w:sz w:val="24"/>
          <w:szCs w:val="24"/>
        </w:rPr>
        <w:t>бюджета от динамики цен на нефть постепенно снижается, о чем свидетельствует сокращение ненефтегазового дефицита (до 8,3% ВВП в 2017</w:t>
      </w:r>
      <w:r w:rsidR="0090498A">
        <w:rPr>
          <w:rFonts w:ascii="Times New Roman" w:hAnsi="Times New Roman"/>
          <w:sz w:val="24"/>
          <w:szCs w:val="24"/>
        </w:rPr>
        <w:t xml:space="preserve"> году</w:t>
      </w:r>
      <w:r w:rsidR="002A4285">
        <w:rPr>
          <w:rFonts w:ascii="Times New Roman" w:hAnsi="Times New Roman"/>
          <w:sz w:val="24"/>
          <w:szCs w:val="24"/>
        </w:rPr>
        <w:t xml:space="preserve">: </w:t>
      </w:r>
      <w:r w:rsidR="0090498A">
        <w:rPr>
          <w:rFonts w:ascii="Times New Roman" w:hAnsi="Times New Roman"/>
          <w:sz w:val="24"/>
          <w:szCs w:val="24"/>
        </w:rPr>
        <w:t>-1,5</w:t>
      </w:r>
      <w:r w:rsidR="002A4285">
        <w:rPr>
          <w:rFonts w:ascii="Times New Roman" w:hAnsi="Times New Roman"/>
          <w:sz w:val="24"/>
          <w:szCs w:val="24"/>
        </w:rPr>
        <w:t xml:space="preserve">пп к </w:t>
      </w:r>
      <w:r w:rsidR="0090498A">
        <w:rPr>
          <w:rFonts w:ascii="Times New Roman" w:hAnsi="Times New Roman"/>
          <w:sz w:val="24"/>
          <w:szCs w:val="24"/>
        </w:rPr>
        <w:t>уровню 2014 года) и снижение балансирующей бюджет</w:t>
      </w:r>
      <w:r w:rsidR="0003367B" w:rsidRPr="0003367B">
        <w:rPr>
          <w:rFonts w:ascii="Times New Roman" w:hAnsi="Times New Roman"/>
          <w:sz w:val="24"/>
          <w:szCs w:val="24"/>
        </w:rPr>
        <w:t xml:space="preserve"> </w:t>
      </w:r>
      <w:r w:rsidR="0003367B">
        <w:rPr>
          <w:rFonts w:ascii="Times New Roman" w:hAnsi="Times New Roman"/>
          <w:sz w:val="24"/>
          <w:szCs w:val="24"/>
        </w:rPr>
        <w:t xml:space="preserve">(на первичном </w:t>
      </w:r>
      <w:r w:rsidR="00F64203">
        <w:rPr>
          <w:rFonts w:ascii="Times New Roman" w:hAnsi="Times New Roman"/>
          <w:sz w:val="24"/>
          <w:szCs w:val="24"/>
        </w:rPr>
        <w:t>у</w:t>
      </w:r>
      <w:r w:rsidR="0003367B">
        <w:rPr>
          <w:rFonts w:ascii="Times New Roman" w:hAnsi="Times New Roman"/>
          <w:sz w:val="24"/>
          <w:szCs w:val="24"/>
        </w:rPr>
        <w:t>ровне)</w:t>
      </w:r>
      <w:r w:rsidR="0090498A">
        <w:rPr>
          <w:rFonts w:ascii="Times New Roman" w:hAnsi="Times New Roman"/>
          <w:sz w:val="24"/>
          <w:szCs w:val="24"/>
        </w:rPr>
        <w:t xml:space="preserve"> цены на нефть с более </w:t>
      </w:r>
      <w:r w:rsidR="002042C2">
        <w:rPr>
          <w:rFonts w:ascii="Times New Roman" w:hAnsi="Times New Roman"/>
          <w:sz w:val="24"/>
          <w:szCs w:val="24"/>
        </w:rPr>
        <w:t xml:space="preserve">100 </w:t>
      </w:r>
      <w:r w:rsidR="00071FA4" w:rsidRPr="00071FA4">
        <w:rPr>
          <w:rFonts w:ascii="Times New Roman" w:hAnsi="Times New Roman"/>
          <w:sz w:val="24"/>
          <w:szCs w:val="24"/>
        </w:rPr>
        <w:t>долларов США за баррель</w:t>
      </w:r>
      <w:r w:rsidR="002042C2">
        <w:rPr>
          <w:rFonts w:ascii="Times New Roman" w:hAnsi="Times New Roman"/>
          <w:sz w:val="24"/>
          <w:szCs w:val="24"/>
        </w:rPr>
        <w:t xml:space="preserve"> в 2014 году до 60-65 </w:t>
      </w:r>
      <w:r w:rsidR="00071FA4" w:rsidRPr="00071FA4">
        <w:rPr>
          <w:rFonts w:ascii="Times New Roman" w:hAnsi="Times New Roman"/>
          <w:sz w:val="24"/>
          <w:szCs w:val="24"/>
        </w:rPr>
        <w:t xml:space="preserve">долларов США за баррель </w:t>
      </w:r>
      <w:r w:rsidR="002042C2">
        <w:rPr>
          <w:rFonts w:ascii="Times New Roman" w:hAnsi="Times New Roman"/>
          <w:sz w:val="24"/>
          <w:szCs w:val="24"/>
        </w:rPr>
        <w:t>в 2017 году.</w:t>
      </w:r>
      <w:proofErr w:type="gramEnd"/>
      <w:r w:rsidR="002042C2">
        <w:rPr>
          <w:rFonts w:ascii="Times New Roman" w:hAnsi="Times New Roman"/>
          <w:sz w:val="24"/>
          <w:szCs w:val="24"/>
        </w:rPr>
        <w:t xml:space="preserve"> Такая динамика выгодно </w:t>
      </w:r>
      <w:r w:rsidR="002042C2" w:rsidRPr="002042C2">
        <w:rPr>
          <w:rFonts w:ascii="Times New Roman" w:hAnsi="Times New Roman"/>
          <w:sz w:val="24"/>
          <w:szCs w:val="24"/>
        </w:rPr>
        <w:t>отлича</w:t>
      </w:r>
      <w:r w:rsidR="002042C2">
        <w:rPr>
          <w:rFonts w:ascii="Times New Roman" w:hAnsi="Times New Roman"/>
          <w:sz w:val="24"/>
          <w:szCs w:val="24"/>
        </w:rPr>
        <w:t>е</w:t>
      </w:r>
      <w:r w:rsidR="002042C2" w:rsidRPr="002042C2">
        <w:rPr>
          <w:rFonts w:ascii="Times New Roman" w:hAnsi="Times New Roman"/>
          <w:sz w:val="24"/>
          <w:szCs w:val="24"/>
        </w:rPr>
        <w:t xml:space="preserve">т Россию от многих сырьевых стран, </w:t>
      </w:r>
      <w:r w:rsidR="002042C2">
        <w:rPr>
          <w:rFonts w:ascii="Times New Roman" w:hAnsi="Times New Roman"/>
          <w:sz w:val="24"/>
          <w:szCs w:val="24"/>
        </w:rPr>
        <w:t>ограниченный прогресс фискальной адаптации которых угрожает болезненным развитием событий в будущем (см. вставку «Фискальная адаптация крупнейших экспортёров нефти»)</w:t>
      </w:r>
      <w:r w:rsidR="00EE3B29">
        <w:rPr>
          <w:rFonts w:ascii="Times New Roman" w:hAnsi="Times New Roman"/>
          <w:sz w:val="24"/>
          <w:szCs w:val="24"/>
        </w:rPr>
        <w:t>.</w:t>
      </w:r>
    </w:p>
    <w:p w:rsidR="00EE3B29" w:rsidRDefault="00EE3B29" w:rsidP="0018348B">
      <w:pPr>
        <w:spacing w:before="120" w:after="120"/>
        <w:jc w:val="both"/>
        <w:rPr>
          <w:rFonts w:ascii="Times New Roman" w:hAnsi="Times New Roman"/>
          <w:sz w:val="24"/>
          <w:szCs w:val="24"/>
        </w:rPr>
      </w:pPr>
      <w:r>
        <w:rPr>
          <w:rFonts w:ascii="Times New Roman" w:hAnsi="Times New Roman"/>
          <w:sz w:val="24"/>
          <w:szCs w:val="24"/>
        </w:rPr>
        <w:t xml:space="preserve">В части создания </w:t>
      </w:r>
      <w:r w:rsidRPr="0042264E">
        <w:rPr>
          <w:rFonts w:ascii="Times New Roman" w:hAnsi="Times New Roman"/>
          <w:b/>
          <w:sz w:val="24"/>
          <w:szCs w:val="24"/>
        </w:rPr>
        <w:t>стабильных и предсказуемых условий</w:t>
      </w:r>
      <w:r>
        <w:rPr>
          <w:rFonts w:ascii="Times New Roman" w:hAnsi="Times New Roman"/>
          <w:sz w:val="24"/>
          <w:szCs w:val="24"/>
        </w:rPr>
        <w:t>:</w:t>
      </w:r>
    </w:p>
    <w:p w:rsidR="00C526CE" w:rsidRDefault="00EE3B29" w:rsidP="009F1CCA">
      <w:pPr>
        <w:pStyle w:val="a9"/>
        <w:numPr>
          <w:ilvl w:val="0"/>
          <w:numId w:val="17"/>
        </w:numPr>
        <w:spacing w:before="120" w:after="120"/>
        <w:contextualSpacing w:val="0"/>
        <w:jc w:val="both"/>
        <w:rPr>
          <w:rFonts w:ascii="Times New Roman" w:hAnsi="Times New Roman"/>
          <w:sz w:val="24"/>
          <w:szCs w:val="24"/>
        </w:rPr>
      </w:pPr>
      <w:r>
        <w:rPr>
          <w:rFonts w:ascii="Times New Roman" w:hAnsi="Times New Roman"/>
          <w:sz w:val="24"/>
          <w:szCs w:val="24"/>
        </w:rPr>
        <w:t xml:space="preserve">В 2016 году осуществлено возвращение к </w:t>
      </w:r>
      <w:r w:rsidRPr="0018348B">
        <w:rPr>
          <w:rFonts w:ascii="Times New Roman" w:hAnsi="Times New Roman"/>
          <w:i/>
          <w:sz w:val="24"/>
          <w:szCs w:val="24"/>
        </w:rPr>
        <w:t>трехлетнему планированию</w:t>
      </w:r>
      <w:r>
        <w:rPr>
          <w:rFonts w:ascii="Times New Roman" w:hAnsi="Times New Roman"/>
          <w:sz w:val="24"/>
          <w:szCs w:val="24"/>
        </w:rPr>
        <w:t xml:space="preserve"> при формировании бюджета. Ясные с</w:t>
      </w:r>
      <w:r w:rsidRPr="00EE3B29">
        <w:rPr>
          <w:rFonts w:ascii="Times New Roman" w:hAnsi="Times New Roman"/>
          <w:sz w:val="24"/>
          <w:szCs w:val="24"/>
        </w:rPr>
        <w:t xml:space="preserve">реднесрочные ориентиры </w:t>
      </w:r>
      <w:r>
        <w:rPr>
          <w:rFonts w:ascii="Times New Roman" w:hAnsi="Times New Roman"/>
          <w:sz w:val="24"/>
          <w:szCs w:val="24"/>
        </w:rPr>
        <w:t xml:space="preserve">бюджетной политики способствовали </w:t>
      </w:r>
      <w:r w:rsidRPr="00EE3B29">
        <w:rPr>
          <w:rFonts w:ascii="Times New Roman" w:hAnsi="Times New Roman"/>
          <w:sz w:val="24"/>
          <w:szCs w:val="24"/>
        </w:rPr>
        <w:t>повыш</w:t>
      </w:r>
      <w:r>
        <w:rPr>
          <w:rFonts w:ascii="Times New Roman" w:hAnsi="Times New Roman"/>
          <w:sz w:val="24"/>
          <w:szCs w:val="24"/>
        </w:rPr>
        <w:t>ению</w:t>
      </w:r>
      <w:r w:rsidRPr="00EE3B29">
        <w:rPr>
          <w:rFonts w:ascii="Times New Roman" w:hAnsi="Times New Roman"/>
          <w:sz w:val="24"/>
          <w:szCs w:val="24"/>
        </w:rPr>
        <w:t xml:space="preserve"> прогнозируемост</w:t>
      </w:r>
      <w:r w:rsidR="0018348B">
        <w:rPr>
          <w:rFonts w:ascii="Times New Roman" w:hAnsi="Times New Roman"/>
          <w:sz w:val="24"/>
          <w:szCs w:val="24"/>
        </w:rPr>
        <w:t>и</w:t>
      </w:r>
      <w:r w:rsidRPr="00EE3B29">
        <w:rPr>
          <w:rFonts w:ascii="Times New Roman" w:hAnsi="Times New Roman"/>
          <w:sz w:val="24"/>
          <w:szCs w:val="24"/>
        </w:rPr>
        <w:t xml:space="preserve"> условий ведения бизнеса</w:t>
      </w:r>
      <w:r>
        <w:rPr>
          <w:rFonts w:ascii="Times New Roman" w:hAnsi="Times New Roman"/>
          <w:sz w:val="24"/>
          <w:szCs w:val="24"/>
        </w:rPr>
        <w:t xml:space="preserve">, что нашло отражение в </w:t>
      </w:r>
      <w:r w:rsidR="0018348B">
        <w:rPr>
          <w:rFonts w:ascii="Times New Roman" w:hAnsi="Times New Roman"/>
          <w:sz w:val="24"/>
          <w:szCs w:val="24"/>
        </w:rPr>
        <w:t>снижении экономической неопределенности, улучшении деловых настроений и восстановлении инвестиционной активности.</w:t>
      </w:r>
    </w:p>
    <w:p w:rsidR="0018348B" w:rsidRPr="00EE3B29" w:rsidRDefault="00182CAD" w:rsidP="009F1CCA">
      <w:pPr>
        <w:pStyle w:val="a9"/>
        <w:numPr>
          <w:ilvl w:val="0"/>
          <w:numId w:val="17"/>
        </w:numPr>
        <w:spacing w:before="120" w:after="120"/>
        <w:contextualSpacing w:val="0"/>
        <w:jc w:val="both"/>
        <w:rPr>
          <w:rFonts w:ascii="Times New Roman" w:hAnsi="Times New Roman"/>
          <w:sz w:val="24"/>
          <w:szCs w:val="24"/>
        </w:rPr>
      </w:pPr>
      <w:r w:rsidRPr="008C0987">
        <w:rPr>
          <w:noProof/>
          <w:lang w:eastAsia="ru-RU"/>
        </w:rPr>
        <mc:AlternateContent>
          <mc:Choice Requires="wps">
            <w:drawing>
              <wp:anchor distT="45720" distB="45720" distL="114300" distR="114300" simplePos="0" relativeHeight="251653632" behindDoc="0" locked="0" layoutInCell="1" allowOverlap="1" wp14:anchorId="16BA233E" wp14:editId="7DE6C495">
                <wp:simplePos x="0" y="0"/>
                <wp:positionH relativeFrom="margin">
                  <wp:posOffset>4445</wp:posOffset>
                </wp:positionH>
                <wp:positionV relativeFrom="paragraph">
                  <wp:posOffset>2573655</wp:posOffset>
                </wp:positionV>
                <wp:extent cx="5763895" cy="5000625"/>
                <wp:effectExtent l="0" t="0" r="8255" b="9525"/>
                <wp:wrapSquare wrapText="bothSides"/>
                <wp:docPr id="10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895" cy="5000625"/>
                        </a:xfrm>
                        <a:prstGeom prst="rect">
                          <a:avLst/>
                        </a:prstGeom>
                        <a:solidFill>
                          <a:schemeClr val="bg1">
                            <a:lumMod val="95000"/>
                          </a:schemeClr>
                        </a:solidFill>
                        <a:ln w="9525">
                          <a:noFill/>
                          <a:miter lim="800000"/>
                          <a:headEnd/>
                          <a:tailEnd/>
                        </a:ln>
                      </wps:spPr>
                      <wps:txbx>
                        <w:txbxContent>
                          <w:p w:rsidR="007E5DFE" w:rsidRDefault="007E5DFE" w:rsidP="007E4E55">
                            <w:pPr>
                              <w:rPr>
                                <w:rFonts w:ascii="Times New Roman" w:hAnsi="Times New Roman"/>
                                <w:b/>
                                <w:sz w:val="24"/>
                                <w:szCs w:val="24"/>
                              </w:rPr>
                            </w:pPr>
                            <w:r w:rsidRPr="00FE5D86">
                              <w:rPr>
                                <w:rFonts w:ascii="Times New Roman" w:hAnsi="Times New Roman"/>
                                <w:b/>
                                <w:sz w:val="24"/>
                                <w:szCs w:val="24"/>
                              </w:rPr>
                              <w:t xml:space="preserve">Международный опыт </w:t>
                            </w:r>
                            <w:r>
                              <w:rPr>
                                <w:rFonts w:ascii="Times New Roman" w:hAnsi="Times New Roman"/>
                                <w:b/>
                                <w:sz w:val="24"/>
                                <w:szCs w:val="24"/>
                              </w:rPr>
                              <w:t xml:space="preserve">фискальных </w:t>
                            </w:r>
                            <w:r w:rsidRPr="00FE5D86">
                              <w:rPr>
                                <w:rFonts w:ascii="Times New Roman" w:hAnsi="Times New Roman"/>
                                <w:b/>
                                <w:sz w:val="24"/>
                                <w:szCs w:val="24"/>
                              </w:rPr>
                              <w:t>консолидаци</w:t>
                            </w:r>
                            <w:r>
                              <w:rPr>
                                <w:rFonts w:ascii="Times New Roman" w:hAnsi="Times New Roman"/>
                                <w:b/>
                                <w:sz w:val="24"/>
                                <w:szCs w:val="24"/>
                              </w:rPr>
                              <w:t>й</w:t>
                            </w:r>
                          </w:p>
                          <w:p w:rsidR="007E5DFE" w:rsidRPr="00EA6B2B" w:rsidRDefault="007E5DFE" w:rsidP="007E4E55">
                            <w:pPr>
                              <w:spacing w:before="120" w:after="120" w:line="240" w:lineRule="auto"/>
                              <w:jc w:val="both"/>
                              <w:rPr>
                                <w:rFonts w:ascii="Times New Roman" w:eastAsia="Times New Roman" w:hAnsi="Times New Roman"/>
                                <w:color w:val="000000"/>
                                <w:sz w:val="20"/>
                                <w:szCs w:val="20"/>
                                <w:lang w:eastAsia="ru-RU"/>
                              </w:rPr>
                            </w:pPr>
                            <w:proofErr w:type="gramStart"/>
                            <w:r w:rsidRPr="00EA6B2B">
                              <w:rPr>
                                <w:rFonts w:ascii="Times New Roman" w:eastAsia="Times New Roman" w:hAnsi="Times New Roman"/>
                                <w:color w:val="000000"/>
                                <w:sz w:val="20"/>
                                <w:szCs w:val="20"/>
                                <w:lang w:eastAsia="ru-RU"/>
                              </w:rPr>
                              <w:t xml:space="preserve">Прецеденты фискальной консолидации, глубокого пересмотра подходов к формированию доходной и приоритетов расходной частей бюджета распространены как в практике зарубежной (Малайзия 1987-90 гг., Чили 1974-79 гг. и 1983-93 гг., Нидерланды 1981-82 гг. и др.), так </w:t>
                            </w:r>
                            <w:r>
                              <w:rPr>
                                <w:rFonts w:ascii="Times New Roman" w:eastAsia="Times New Roman" w:hAnsi="Times New Roman"/>
                                <w:color w:val="000000"/>
                                <w:sz w:val="20"/>
                                <w:szCs w:val="20"/>
                                <w:lang w:eastAsia="ru-RU"/>
                              </w:rPr>
                              <w:t xml:space="preserve">и </w:t>
                            </w:r>
                            <w:r w:rsidRPr="00EA6B2B">
                              <w:rPr>
                                <w:rFonts w:ascii="Times New Roman" w:eastAsia="Times New Roman" w:hAnsi="Times New Roman"/>
                                <w:color w:val="000000"/>
                                <w:sz w:val="20"/>
                                <w:szCs w:val="20"/>
                                <w:lang w:eastAsia="ru-RU"/>
                              </w:rPr>
                              <w:t xml:space="preserve">отечественной экономической политики (стабилизационная политика 1998-99 гг. правительства Примакова </w:t>
                            </w:r>
                            <w:r>
                              <w:rPr>
                                <w:rFonts w:ascii="Times New Roman" w:eastAsia="Times New Roman" w:hAnsi="Times New Roman"/>
                                <w:color w:val="000000"/>
                                <w:sz w:val="20"/>
                                <w:szCs w:val="20"/>
                                <w:lang w:eastAsia="ru-RU"/>
                              </w:rPr>
                              <w:t xml:space="preserve">в новейшей истории; </w:t>
                            </w:r>
                            <w:r w:rsidRPr="00EA6B2B">
                              <w:rPr>
                                <w:rFonts w:ascii="Times New Roman" w:eastAsia="Times New Roman" w:hAnsi="Times New Roman"/>
                                <w:color w:val="000000"/>
                                <w:sz w:val="20"/>
                                <w:szCs w:val="20"/>
                                <w:lang w:eastAsia="ru-RU"/>
                              </w:rPr>
                              <w:t xml:space="preserve">программа </w:t>
                            </w:r>
                            <w:proofErr w:type="spellStart"/>
                            <w:r w:rsidRPr="00EA6B2B">
                              <w:rPr>
                                <w:rFonts w:ascii="Times New Roman" w:eastAsia="Times New Roman" w:hAnsi="Times New Roman"/>
                                <w:color w:val="000000"/>
                                <w:sz w:val="20"/>
                                <w:szCs w:val="20"/>
                                <w:lang w:eastAsia="ru-RU"/>
                              </w:rPr>
                              <w:t>Коковцова</w:t>
                            </w:r>
                            <w:proofErr w:type="spellEnd"/>
                            <w:r w:rsidRPr="00EA6B2B">
                              <w:rPr>
                                <w:rFonts w:ascii="Times New Roman" w:eastAsia="Times New Roman" w:hAnsi="Times New Roman"/>
                                <w:color w:val="000000"/>
                                <w:sz w:val="20"/>
                                <w:szCs w:val="20"/>
                                <w:lang w:eastAsia="ru-RU"/>
                              </w:rPr>
                              <w:t xml:space="preserve"> 1906-</w:t>
                            </w:r>
                            <w:r>
                              <w:rPr>
                                <w:rFonts w:ascii="Times New Roman" w:eastAsia="Times New Roman" w:hAnsi="Times New Roman"/>
                                <w:color w:val="000000"/>
                                <w:sz w:val="20"/>
                                <w:szCs w:val="20"/>
                                <w:lang w:eastAsia="ru-RU"/>
                              </w:rPr>
                              <w:t>19</w:t>
                            </w:r>
                            <w:r w:rsidRPr="00EA6B2B">
                              <w:rPr>
                                <w:rFonts w:ascii="Times New Roman" w:eastAsia="Times New Roman" w:hAnsi="Times New Roman"/>
                                <w:color w:val="000000"/>
                                <w:sz w:val="20"/>
                                <w:szCs w:val="20"/>
                                <w:lang w:eastAsia="ru-RU"/>
                              </w:rPr>
                              <w:t>14 гг.</w:t>
                            </w:r>
                            <w:r>
                              <w:rPr>
                                <w:rFonts w:ascii="Times New Roman" w:eastAsia="Times New Roman" w:hAnsi="Times New Roman"/>
                                <w:color w:val="000000"/>
                                <w:sz w:val="20"/>
                                <w:szCs w:val="20"/>
                                <w:lang w:eastAsia="ru-RU"/>
                              </w:rPr>
                              <w:t xml:space="preserve"> в царской России</w:t>
                            </w:r>
                            <w:r w:rsidRPr="00EA6B2B">
                              <w:rPr>
                                <w:rFonts w:ascii="Times New Roman" w:eastAsia="Times New Roman" w:hAnsi="Times New Roman"/>
                                <w:color w:val="000000"/>
                                <w:sz w:val="20"/>
                                <w:szCs w:val="20"/>
                                <w:lang w:eastAsia="ru-RU"/>
                              </w:rPr>
                              <w:t>).</w:t>
                            </w:r>
                            <w:proofErr w:type="gramEnd"/>
                          </w:p>
                          <w:p w:rsidR="007E5DFE" w:rsidRDefault="007E5DFE" w:rsidP="007E4E55">
                            <w:pPr>
                              <w:spacing w:before="120" w:after="120" w:line="240" w:lineRule="auto"/>
                              <w:jc w:val="both"/>
                              <w:rPr>
                                <w:rFonts w:ascii="Times New Roman" w:eastAsia="Times New Roman" w:hAnsi="Times New Roman"/>
                                <w:color w:val="000000"/>
                                <w:sz w:val="20"/>
                                <w:szCs w:val="20"/>
                                <w:lang w:eastAsia="ru-RU"/>
                              </w:rPr>
                            </w:pPr>
                            <w:r w:rsidRPr="00EA6B2B">
                              <w:rPr>
                                <w:rFonts w:ascii="Times New Roman" w:eastAsia="Times New Roman" w:hAnsi="Times New Roman"/>
                                <w:color w:val="000000"/>
                                <w:sz w:val="20"/>
                                <w:szCs w:val="20"/>
                                <w:lang w:eastAsia="ru-RU"/>
                              </w:rPr>
                              <w:t xml:space="preserve">Катализаторами реформ в бюджетной сфере обычно </w:t>
                            </w:r>
                            <w:r>
                              <w:rPr>
                                <w:rFonts w:ascii="Times New Roman" w:eastAsia="Times New Roman" w:hAnsi="Times New Roman"/>
                                <w:color w:val="000000"/>
                                <w:sz w:val="20"/>
                                <w:szCs w:val="20"/>
                                <w:lang w:eastAsia="ru-RU"/>
                              </w:rPr>
                              <w:t>выступают</w:t>
                            </w:r>
                            <w:r w:rsidRPr="00EA6B2B">
                              <w:rPr>
                                <w:rFonts w:ascii="Times New Roman" w:eastAsia="Times New Roman" w:hAnsi="Times New Roman"/>
                                <w:color w:val="000000"/>
                                <w:sz w:val="20"/>
                                <w:szCs w:val="20"/>
                                <w:lang w:eastAsia="ru-RU"/>
                              </w:rPr>
                              <w:t xml:space="preserve"> неблагоприятные внешние условия или необходимость учета объективных внутренних трендов</w:t>
                            </w:r>
                            <w:r>
                              <w:rPr>
                                <w:rFonts w:ascii="Times New Roman" w:eastAsia="Times New Roman" w:hAnsi="Times New Roman"/>
                                <w:color w:val="000000"/>
                                <w:sz w:val="20"/>
                                <w:szCs w:val="20"/>
                                <w:lang w:eastAsia="ru-RU"/>
                              </w:rPr>
                              <w:t>, в том числе</w:t>
                            </w:r>
                            <w:r w:rsidRPr="00EA6B2B">
                              <w:rPr>
                                <w:rFonts w:ascii="Times New Roman" w:eastAsia="Times New Roman" w:hAnsi="Times New Roman"/>
                                <w:color w:val="000000"/>
                                <w:sz w:val="20"/>
                                <w:szCs w:val="20"/>
                                <w:lang w:eastAsia="ru-RU"/>
                              </w:rPr>
                              <w:t>:</w:t>
                            </w:r>
                          </w:p>
                          <w:p w:rsidR="007E5DFE" w:rsidRDefault="007E5DFE" w:rsidP="009F1CCA">
                            <w:pPr>
                              <w:pStyle w:val="a9"/>
                              <w:numPr>
                                <w:ilvl w:val="0"/>
                                <w:numId w:val="18"/>
                              </w:numPr>
                              <w:spacing w:before="120" w:after="120" w:line="240" w:lineRule="auto"/>
                              <w:ind w:left="340" w:hanging="340"/>
                              <w:contextualSpacing w:val="0"/>
                              <w:jc w:val="both"/>
                              <w:rPr>
                                <w:rFonts w:ascii="Times New Roman" w:eastAsia="Times New Roman" w:hAnsi="Times New Roman"/>
                                <w:color w:val="000000"/>
                                <w:sz w:val="20"/>
                                <w:szCs w:val="20"/>
                                <w:lang w:eastAsia="ru-RU"/>
                              </w:rPr>
                            </w:pPr>
                            <w:r>
                              <w:rPr>
                                <w:rFonts w:ascii="Times New Roman" w:eastAsia="Times New Roman" w:hAnsi="Times New Roman"/>
                                <w:i/>
                                <w:color w:val="000000"/>
                                <w:sz w:val="20"/>
                                <w:szCs w:val="20"/>
                                <w:lang w:eastAsia="ru-RU"/>
                              </w:rPr>
                              <w:t>д</w:t>
                            </w:r>
                            <w:r w:rsidRPr="005C2A14">
                              <w:rPr>
                                <w:rFonts w:ascii="Times New Roman" w:eastAsia="Times New Roman" w:hAnsi="Times New Roman"/>
                                <w:i/>
                                <w:color w:val="000000"/>
                                <w:sz w:val="20"/>
                                <w:szCs w:val="20"/>
                                <w:lang w:eastAsia="ru-RU"/>
                              </w:rPr>
                              <w:t>естабилизация роста цен</w:t>
                            </w:r>
                            <w:r>
                              <w:rPr>
                                <w:rFonts w:ascii="Times New Roman" w:eastAsia="Times New Roman" w:hAnsi="Times New Roman"/>
                                <w:i/>
                                <w:color w:val="000000"/>
                                <w:sz w:val="20"/>
                                <w:szCs w:val="20"/>
                                <w:lang w:eastAsia="ru-RU"/>
                              </w:rPr>
                              <w:t>:</w:t>
                            </w:r>
                            <w:r>
                              <w:rPr>
                                <w:rFonts w:ascii="Times New Roman" w:eastAsia="Times New Roman" w:hAnsi="Times New Roman"/>
                                <w:color w:val="000000"/>
                                <w:sz w:val="20"/>
                                <w:szCs w:val="20"/>
                                <w:lang w:eastAsia="ru-RU"/>
                              </w:rPr>
                              <w:t xml:space="preserve"> в</w:t>
                            </w:r>
                            <w:r w:rsidRPr="0081684B">
                              <w:rPr>
                                <w:rFonts w:ascii="Times New Roman" w:eastAsia="Times New Roman" w:hAnsi="Times New Roman"/>
                                <w:color w:val="000000"/>
                                <w:sz w:val="20"/>
                                <w:szCs w:val="20"/>
                                <w:lang w:eastAsia="ru-RU"/>
                              </w:rPr>
                              <w:t xml:space="preserve"> Австралии в 70-х – начале 80-х инфляция превышала 10%, а безработица с 2% в 1971 году выросла до 10% в 1983 году; в Чили 1964-</w:t>
                            </w:r>
                            <w:r>
                              <w:rPr>
                                <w:rFonts w:ascii="Times New Roman" w:eastAsia="Times New Roman" w:hAnsi="Times New Roman"/>
                                <w:color w:val="000000"/>
                                <w:sz w:val="20"/>
                                <w:szCs w:val="20"/>
                                <w:lang w:eastAsia="ru-RU"/>
                              </w:rPr>
                              <w:t>19</w:t>
                            </w:r>
                            <w:r w:rsidRPr="0081684B">
                              <w:rPr>
                                <w:rFonts w:ascii="Times New Roman" w:eastAsia="Times New Roman" w:hAnsi="Times New Roman"/>
                                <w:color w:val="000000"/>
                                <w:sz w:val="20"/>
                                <w:szCs w:val="20"/>
                                <w:lang w:eastAsia="ru-RU"/>
                              </w:rPr>
                              <w:t>70 гг. инфляция достигала 28% г/г и вышла из-под контроля в начале 1970-х</w:t>
                            </w:r>
                            <w:r>
                              <w:rPr>
                                <w:rFonts w:ascii="Times New Roman" w:eastAsia="Times New Roman" w:hAnsi="Times New Roman"/>
                                <w:color w:val="000000"/>
                                <w:sz w:val="20"/>
                                <w:szCs w:val="20"/>
                                <w:lang w:eastAsia="ru-RU"/>
                              </w:rPr>
                              <w:t>,</w:t>
                            </w:r>
                            <w:r w:rsidRPr="0081684B">
                              <w:rPr>
                                <w:rFonts w:ascii="Times New Roman" w:eastAsia="Times New Roman" w:hAnsi="Times New Roman"/>
                                <w:color w:val="000000"/>
                                <w:sz w:val="20"/>
                                <w:szCs w:val="20"/>
                                <w:lang w:eastAsia="ru-RU"/>
                              </w:rPr>
                              <w:t xml:space="preserve"> несмотря на введение административного </w:t>
                            </w:r>
                            <w:proofErr w:type="gramStart"/>
                            <w:r w:rsidRPr="0081684B">
                              <w:rPr>
                                <w:rFonts w:ascii="Times New Roman" w:eastAsia="Times New Roman" w:hAnsi="Times New Roman"/>
                                <w:color w:val="000000"/>
                                <w:sz w:val="20"/>
                                <w:szCs w:val="20"/>
                                <w:lang w:eastAsia="ru-RU"/>
                              </w:rPr>
                              <w:t>контроля за</w:t>
                            </w:r>
                            <w:proofErr w:type="gramEnd"/>
                            <w:r w:rsidRPr="0081684B">
                              <w:rPr>
                                <w:rFonts w:ascii="Times New Roman" w:eastAsia="Times New Roman" w:hAnsi="Times New Roman"/>
                                <w:color w:val="000000"/>
                                <w:sz w:val="20"/>
                                <w:szCs w:val="20"/>
                                <w:lang w:eastAsia="ru-RU"/>
                              </w:rPr>
                              <w:t xml:space="preserve"> ценами</w:t>
                            </w:r>
                            <w:r>
                              <w:rPr>
                                <w:rFonts w:ascii="Times New Roman" w:eastAsia="Times New Roman" w:hAnsi="Times New Roman"/>
                                <w:color w:val="000000"/>
                                <w:sz w:val="20"/>
                                <w:szCs w:val="20"/>
                                <w:lang w:eastAsia="ru-RU"/>
                              </w:rPr>
                              <w:t>;</w:t>
                            </w:r>
                          </w:p>
                          <w:p w:rsidR="007E5DFE" w:rsidRDefault="007E5DFE" w:rsidP="009F1CCA">
                            <w:pPr>
                              <w:pStyle w:val="a9"/>
                              <w:numPr>
                                <w:ilvl w:val="0"/>
                                <w:numId w:val="18"/>
                              </w:numPr>
                              <w:spacing w:before="120" w:after="120" w:line="240" w:lineRule="auto"/>
                              <w:ind w:left="340" w:hanging="340"/>
                              <w:contextualSpacing w:val="0"/>
                              <w:jc w:val="both"/>
                              <w:rPr>
                                <w:rFonts w:ascii="Times New Roman" w:eastAsia="Times New Roman" w:hAnsi="Times New Roman"/>
                                <w:color w:val="000000"/>
                                <w:sz w:val="20"/>
                                <w:szCs w:val="20"/>
                                <w:lang w:eastAsia="ru-RU"/>
                              </w:rPr>
                            </w:pPr>
                            <w:r w:rsidRPr="005C2A14">
                              <w:rPr>
                                <w:rFonts w:ascii="Times New Roman" w:eastAsia="Times New Roman" w:hAnsi="Times New Roman"/>
                                <w:i/>
                                <w:color w:val="000000"/>
                                <w:sz w:val="20"/>
                                <w:szCs w:val="20"/>
                                <w:lang w:eastAsia="ru-RU"/>
                              </w:rPr>
                              <w:t>хроническое замедление роста</w:t>
                            </w:r>
                            <w:r>
                              <w:rPr>
                                <w:rFonts w:ascii="Times New Roman" w:eastAsia="Times New Roman" w:hAnsi="Times New Roman"/>
                                <w:i/>
                                <w:color w:val="000000"/>
                                <w:sz w:val="20"/>
                                <w:szCs w:val="20"/>
                                <w:lang w:eastAsia="ru-RU"/>
                              </w:rPr>
                              <w:t>:</w:t>
                            </w:r>
                            <w:r>
                              <w:rPr>
                                <w:rFonts w:ascii="Times New Roman" w:eastAsia="Times New Roman" w:hAnsi="Times New Roman"/>
                                <w:color w:val="000000"/>
                                <w:sz w:val="20"/>
                                <w:szCs w:val="20"/>
                                <w:lang w:eastAsia="ru-RU"/>
                              </w:rPr>
                              <w:t xml:space="preserve"> </w:t>
                            </w:r>
                            <w:r w:rsidRPr="0081684B">
                              <w:rPr>
                                <w:rFonts w:ascii="Times New Roman" w:eastAsia="Times New Roman" w:hAnsi="Times New Roman"/>
                                <w:color w:val="000000"/>
                                <w:sz w:val="20"/>
                                <w:szCs w:val="20"/>
                                <w:lang w:eastAsia="ru-RU"/>
                              </w:rPr>
                              <w:t>в конце 1990-х – ранних 2000-х рост в Германии оставался ниже среднего по ЕС, а безработица выросла до 11,3% в 2005 году на фоне растущего дефицита, который на пике в 2005 году достиг 4% ВВП</w:t>
                            </w:r>
                            <w:r>
                              <w:rPr>
                                <w:rFonts w:ascii="Times New Roman" w:eastAsia="Times New Roman" w:hAnsi="Times New Roman"/>
                                <w:color w:val="000000"/>
                                <w:sz w:val="20"/>
                                <w:szCs w:val="20"/>
                                <w:lang w:eastAsia="ru-RU"/>
                              </w:rPr>
                              <w:t>;</w:t>
                            </w:r>
                          </w:p>
                          <w:p w:rsidR="007E5DFE" w:rsidRPr="00182CAD" w:rsidRDefault="007E5DFE" w:rsidP="009F1CCA">
                            <w:pPr>
                              <w:pStyle w:val="a9"/>
                              <w:numPr>
                                <w:ilvl w:val="0"/>
                                <w:numId w:val="18"/>
                              </w:numPr>
                              <w:spacing w:before="120" w:after="120" w:line="240" w:lineRule="auto"/>
                              <w:ind w:left="340" w:hanging="340"/>
                              <w:contextualSpacing w:val="0"/>
                              <w:jc w:val="both"/>
                              <w:rPr>
                                <w:rFonts w:ascii="Times New Roman" w:eastAsia="Times New Roman" w:hAnsi="Times New Roman"/>
                                <w:color w:val="000000"/>
                                <w:sz w:val="20"/>
                                <w:szCs w:val="20"/>
                                <w:lang w:eastAsia="ru-RU"/>
                              </w:rPr>
                            </w:pPr>
                            <w:r w:rsidRPr="005C2A14">
                              <w:rPr>
                                <w:rFonts w:ascii="Times New Roman" w:eastAsia="Times New Roman" w:hAnsi="Times New Roman"/>
                                <w:i/>
                                <w:color w:val="000000"/>
                                <w:sz w:val="20"/>
                                <w:szCs w:val="20"/>
                                <w:lang w:eastAsia="ru-RU"/>
                              </w:rPr>
                              <w:t>рост государственного долга и доли расходов по его обслуживанию</w:t>
                            </w:r>
                            <w:r w:rsidRPr="00182CAD">
                              <w:rPr>
                                <w:rFonts w:ascii="Times New Roman" w:eastAsia="Times New Roman" w:hAnsi="Times New Roman"/>
                                <w:i/>
                                <w:color w:val="000000"/>
                                <w:sz w:val="20"/>
                                <w:szCs w:val="20"/>
                                <w:lang w:eastAsia="ru-RU"/>
                              </w:rPr>
                              <w:t xml:space="preserve">: </w:t>
                            </w:r>
                            <w:r w:rsidRPr="00182CAD">
                              <w:rPr>
                                <w:rFonts w:ascii="Times New Roman" w:eastAsia="Times New Roman" w:hAnsi="Times New Roman"/>
                                <w:color w:val="000000"/>
                                <w:sz w:val="20"/>
                                <w:szCs w:val="20"/>
                                <w:lang w:eastAsia="ru-RU"/>
                              </w:rPr>
                              <w:t xml:space="preserve">в 2010-2011 годах большинство стран </w:t>
                            </w:r>
                            <w:r>
                              <w:rPr>
                                <w:rFonts w:ascii="Times New Roman" w:eastAsia="Times New Roman" w:hAnsi="Times New Roman"/>
                                <w:color w:val="000000"/>
                                <w:sz w:val="20"/>
                                <w:szCs w:val="20"/>
                                <w:lang w:eastAsia="ru-RU"/>
                              </w:rPr>
                              <w:t xml:space="preserve">ЕС </w:t>
                            </w:r>
                            <w:r w:rsidRPr="00182CAD">
                              <w:rPr>
                                <w:rFonts w:ascii="Times New Roman" w:eastAsia="Times New Roman" w:hAnsi="Times New Roman"/>
                                <w:color w:val="000000"/>
                                <w:sz w:val="20"/>
                                <w:szCs w:val="20"/>
                                <w:lang w:eastAsia="ru-RU"/>
                              </w:rPr>
                              <w:t>были вынуждены начать реализацию мер фискальной консолидации для соответствия кр</w:t>
                            </w:r>
                            <w:r>
                              <w:rPr>
                                <w:rFonts w:ascii="Times New Roman" w:eastAsia="Times New Roman" w:hAnsi="Times New Roman"/>
                                <w:color w:val="000000"/>
                                <w:sz w:val="20"/>
                                <w:szCs w:val="20"/>
                                <w:lang w:eastAsia="ru-RU"/>
                              </w:rPr>
                              <w:t>итериям Маастрихтского договора.</w:t>
                            </w:r>
                          </w:p>
                          <w:p w:rsidR="007E5DFE" w:rsidRDefault="007E5DFE" w:rsidP="007E4E55">
                            <w:pPr>
                              <w:spacing w:before="120" w:after="120" w:line="240" w:lineRule="auto"/>
                              <w:jc w:val="both"/>
                              <w:rPr>
                                <w:rFonts w:ascii="Times New Roman" w:eastAsia="Times New Roman" w:hAnsi="Times New Roman"/>
                                <w:color w:val="000000"/>
                                <w:sz w:val="20"/>
                                <w:szCs w:val="20"/>
                                <w:lang w:eastAsia="ru-RU"/>
                              </w:rPr>
                            </w:pPr>
                            <w:r w:rsidRPr="00EA6B2B">
                              <w:rPr>
                                <w:rFonts w:ascii="Times New Roman" w:eastAsia="Times New Roman" w:hAnsi="Times New Roman"/>
                                <w:color w:val="000000"/>
                                <w:sz w:val="20"/>
                                <w:szCs w:val="20"/>
                                <w:lang w:eastAsia="ru-RU"/>
                              </w:rPr>
                              <w:t>Международный опыт говорит о том, что фискальная консолидация стимулирует на среднесрочном горизонте устойчивый рост экономики за счет более эффективного распределения капитала и труд</w:t>
                            </w:r>
                            <w:r>
                              <w:rPr>
                                <w:rFonts w:ascii="Times New Roman" w:eastAsia="Times New Roman" w:hAnsi="Times New Roman"/>
                                <w:color w:val="000000"/>
                                <w:sz w:val="20"/>
                                <w:szCs w:val="20"/>
                                <w:lang w:eastAsia="ru-RU"/>
                              </w:rPr>
                              <w:t xml:space="preserve">овых ресурсов в экономике, </w:t>
                            </w:r>
                            <w:r w:rsidRPr="00EA6B2B">
                              <w:rPr>
                                <w:rFonts w:ascii="Times New Roman" w:eastAsia="Times New Roman" w:hAnsi="Times New Roman"/>
                                <w:color w:val="000000"/>
                                <w:sz w:val="20"/>
                                <w:szCs w:val="20"/>
                                <w:lang w:eastAsia="ru-RU"/>
                              </w:rPr>
                              <w:t xml:space="preserve">снижения </w:t>
                            </w:r>
                            <w:r>
                              <w:rPr>
                                <w:rFonts w:ascii="Times New Roman" w:eastAsia="Times New Roman" w:hAnsi="Times New Roman"/>
                                <w:color w:val="000000"/>
                                <w:sz w:val="20"/>
                                <w:szCs w:val="20"/>
                                <w:lang w:eastAsia="ru-RU"/>
                              </w:rPr>
                              <w:t xml:space="preserve">неопределенности и </w:t>
                            </w:r>
                            <w:r w:rsidRPr="00EA6B2B">
                              <w:rPr>
                                <w:rFonts w:ascii="Times New Roman" w:eastAsia="Times New Roman" w:hAnsi="Times New Roman"/>
                                <w:color w:val="000000"/>
                                <w:sz w:val="20"/>
                                <w:szCs w:val="20"/>
                                <w:lang w:eastAsia="ru-RU"/>
                              </w:rPr>
                              <w:t>реальных процентных ставок</w:t>
                            </w:r>
                            <w:r>
                              <w:rPr>
                                <w:rFonts w:ascii="Times New Roman" w:eastAsia="Times New Roman" w:hAnsi="Times New Roman"/>
                                <w:color w:val="000000"/>
                                <w:sz w:val="20"/>
                                <w:szCs w:val="20"/>
                                <w:lang w:eastAsia="ru-RU"/>
                              </w:rPr>
                              <w:t>.</w:t>
                            </w:r>
                            <w:r w:rsidRPr="00EA6B2B">
                              <w:rPr>
                                <w:rFonts w:ascii="Times New Roman" w:eastAsia="Times New Roman" w:hAnsi="Times New Roman"/>
                                <w:color w:val="000000"/>
                                <w:sz w:val="20"/>
                                <w:szCs w:val="20"/>
                                <w:lang w:eastAsia="ru-RU"/>
                              </w:rPr>
                              <w:t xml:space="preserve"> Эти выводы справедливы для широкого перечня сравнимых с Россией развивающихся экономик с развитым сырьевым сектором: Чили, Мексика</w:t>
                            </w:r>
                            <w:r>
                              <w:rPr>
                                <w:rFonts w:ascii="Times New Roman" w:eastAsia="Times New Roman" w:hAnsi="Times New Roman"/>
                                <w:color w:val="000000"/>
                                <w:sz w:val="20"/>
                                <w:szCs w:val="20"/>
                                <w:lang w:eastAsia="ru-RU"/>
                              </w:rPr>
                              <w:t>,</w:t>
                            </w:r>
                            <w:r w:rsidRPr="00EA6B2B">
                              <w:rPr>
                                <w:rFonts w:ascii="Times New Roman" w:eastAsia="Times New Roman" w:hAnsi="Times New Roman"/>
                                <w:color w:val="000000"/>
                                <w:sz w:val="20"/>
                                <w:szCs w:val="20"/>
                                <w:lang w:eastAsia="ru-RU"/>
                              </w:rPr>
                              <w:t xml:space="preserve"> Малайзия</w:t>
                            </w:r>
                            <w:r>
                              <w:rPr>
                                <w:rFonts w:ascii="Times New Roman" w:eastAsia="Times New Roman" w:hAnsi="Times New Roman"/>
                                <w:color w:val="000000"/>
                                <w:sz w:val="20"/>
                                <w:szCs w:val="20"/>
                                <w:lang w:eastAsia="ru-RU"/>
                              </w:rPr>
                              <w:t>.</w:t>
                            </w:r>
                          </w:p>
                          <w:p w:rsidR="007E5DFE" w:rsidRDefault="007E5DFE" w:rsidP="007E4E55">
                            <w:pPr>
                              <w:spacing w:before="120" w:after="12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При этом в краткосрочном периоде</w:t>
                            </w:r>
                            <w:r w:rsidRPr="00EA6B2B">
                              <w:rPr>
                                <w:rFonts w:ascii="Times New Roman" w:eastAsia="Times New Roman" w:hAnsi="Times New Roman"/>
                                <w:color w:val="000000"/>
                                <w:sz w:val="20"/>
                                <w:szCs w:val="20"/>
                                <w:lang w:eastAsia="ru-RU"/>
                              </w:rPr>
                              <w:t xml:space="preserve"> оценка результатов программ по переходу на траекторию сбалансированности бюджета связана с большими сложностями. Подстройка часто является вынужденной, происход</w:t>
                            </w:r>
                            <w:r>
                              <w:rPr>
                                <w:rFonts w:ascii="Times New Roman" w:eastAsia="Times New Roman" w:hAnsi="Times New Roman"/>
                                <w:color w:val="000000"/>
                                <w:sz w:val="20"/>
                                <w:szCs w:val="20"/>
                                <w:lang w:eastAsia="ru-RU"/>
                              </w:rPr>
                              <w:t>и</w:t>
                            </w:r>
                            <w:r w:rsidRPr="00EA6B2B">
                              <w:rPr>
                                <w:rFonts w:ascii="Times New Roman" w:eastAsia="Times New Roman" w:hAnsi="Times New Roman"/>
                                <w:color w:val="000000"/>
                                <w:sz w:val="20"/>
                                <w:szCs w:val="20"/>
                                <w:lang w:eastAsia="ru-RU"/>
                              </w:rPr>
                              <w:t>т на фоне неблагоприятных внешних шоков (падения цен</w:t>
                            </w:r>
                            <w:r>
                              <w:rPr>
                                <w:rFonts w:ascii="Times New Roman" w:eastAsia="Times New Roman" w:hAnsi="Times New Roman"/>
                                <w:color w:val="000000"/>
                                <w:sz w:val="20"/>
                                <w:szCs w:val="20"/>
                                <w:lang w:eastAsia="ru-RU"/>
                              </w:rPr>
                              <w:t xml:space="preserve"> по</w:t>
                            </w:r>
                            <w:r w:rsidRPr="00EA6B2B">
                              <w:rPr>
                                <w:rFonts w:ascii="Times New Roman" w:eastAsia="Times New Roman" w:hAnsi="Times New Roman"/>
                                <w:color w:val="000000"/>
                                <w:sz w:val="20"/>
                                <w:szCs w:val="20"/>
                                <w:lang w:eastAsia="ru-RU"/>
                              </w:rPr>
                              <w:t xml:space="preserve"> ключевы</w:t>
                            </w:r>
                            <w:r>
                              <w:rPr>
                                <w:rFonts w:ascii="Times New Roman" w:eastAsia="Times New Roman" w:hAnsi="Times New Roman"/>
                                <w:color w:val="000000"/>
                                <w:sz w:val="20"/>
                                <w:szCs w:val="20"/>
                                <w:lang w:eastAsia="ru-RU"/>
                              </w:rPr>
                              <w:t>м</w:t>
                            </w:r>
                            <w:r w:rsidRPr="00EA6B2B">
                              <w:rPr>
                                <w:rFonts w:ascii="Times New Roman" w:eastAsia="Times New Roman" w:hAnsi="Times New Roman"/>
                                <w:color w:val="000000"/>
                                <w:sz w:val="20"/>
                                <w:szCs w:val="20"/>
                                <w:lang w:eastAsia="ru-RU"/>
                              </w:rPr>
                              <w:t xml:space="preserve"> экспортны</w:t>
                            </w:r>
                            <w:r>
                              <w:rPr>
                                <w:rFonts w:ascii="Times New Roman" w:eastAsia="Times New Roman" w:hAnsi="Times New Roman"/>
                                <w:color w:val="000000"/>
                                <w:sz w:val="20"/>
                                <w:szCs w:val="20"/>
                                <w:lang w:eastAsia="ru-RU"/>
                              </w:rPr>
                              <w:t>м</w:t>
                            </w:r>
                            <w:r w:rsidRPr="00EA6B2B">
                              <w:rPr>
                                <w:rFonts w:ascii="Times New Roman" w:eastAsia="Times New Roman" w:hAnsi="Times New Roman"/>
                                <w:color w:val="000000"/>
                                <w:sz w:val="20"/>
                                <w:szCs w:val="20"/>
                                <w:lang w:eastAsia="ru-RU"/>
                              </w:rPr>
                              <w:t xml:space="preserve"> позици</w:t>
                            </w:r>
                            <w:r>
                              <w:rPr>
                                <w:rFonts w:ascii="Times New Roman" w:eastAsia="Times New Roman" w:hAnsi="Times New Roman"/>
                                <w:color w:val="000000"/>
                                <w:sz w:val="20"/>
                                <w:szCs w:val="20"/>
                                <w:lang w:eastAsia="ru-RU"/>
                              </w:rPr>
                              <w:t>ям</w:t>
                            </w:r>
                            <w:r w:rsidRPr="00EA6B2B">
                              <w:rPr>
                                <w:rFonts w:ascii="Times New Roman" w:eastAsia="Times New Roman" w:hAnsi="Times New Roman"/>
                                <w:color w:val="000000"/>
                                <w:sz w:val="20"/>
                                <w:szCs w:val="20"/>
                                <w:lang w:eastAsia="ru-RU"/>
                              </w:rPr>
                              <w:t>), финансовых кризисов (шоков денежно-кредитной политики), дестабилизации внутреннего рынка в результате обострения секторальных диспропорций, вызванных</w:t>
                            </w:r>
                            <w:r>
                              <w:rPr>
                                <w:rFonts w:ascii="Times New Roman" w:eastAsia="Times New Roman" w:hAnsi="Times New Roman"/>
                                <w:color w:val="000000"/>
                                <w:sz w:val="20"/>
                                <w:szCs w:val="20"/>
                                <w:lang w:eastAsia="ru-RU"/>
                              </w:rPr>
                              <w:t>,</w:t>
                            </w:r>
                            <w:r w:rsidRPr="00EA6B2B">
                              <w:rPr>
                                <w:rFonts w:ascii="Times New Roman" w:eastAsia="Times New Roman" w:hAnsi="Times New Roman"/>
                                <w:color w:val="000000"/>
                                <w:sz w:val="20"/>
                                <w:szCs w:val="20"/>
                                <w:lang w:eastAsia="ru-RU"/>
                              </w:rPr>
                              <w:t xml:space="preserve"> в числе прочего</w:t>
                            </w:r>
                            <w:r>
                              <w:rPr>
                                <w:rFonts w:ascii="Times New Roman" w:eastAsia="Times New Roman" w:hAnsi="Times New Roman"/>
                                <w:color w:val="000000"/>
                                <w:sz w:val="20"/>
                                <w:szCs w:val="20"/>
                                <w:lang w:eastAsia="ru-RU"/>
                              </w:rPr>
                              <w:t>,</w:t>
                            </w:r>
                            <w:r w:rsidRPr="00EA6B2B">
                              <w:rPr>
                                <w:rFonts w:ascii="Times New Roman" w:eastAsia="Times New Roman" w:hAnsi="Times New Roman"/>
                                <w:color w:val="000000"/>
                                <w:sz w:val="20"/>
                                <w:szCs w:val="20"/>
                                <w:lang w:eastAsia="ru-RU"/>
                              </w:rPr>
                              <w:t xml:space="preserve"> накопленными ошибками экономической политики.</w:t>
                            </w:r>
                          </w:p>
                          <w:p w:rsidR="007E5DFE" w:rsidRDefault="007E5DFE" w:rsidP="007E4E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pt;margin-top:202.65pt;width:453.85pt;height:393.75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" fillcolor="#f2f2f2 [3052]" stroked="f">
                <v:textbox>
                  <w:txbxContent>
                    <w:p w:rsidR="007E5DFE" w:rsidRDefault="007E5DFE" w:rsidP="007E4E55">
                      <w:pPr>
                        <w:rPr>
                          <w:rFonts w:ascii="Times New Roman" w:hAnsi="Times New Roman"/>
                          <w:b/>
                          <w:sz w:val="24"/>
                          <w:szCs w:val="24"/>
                        </w:rPr>
                      </w:pPr>
                      <w:r w:rsidRPr="00FE5D86">
                        <w:rPr>
                          <w:rFonts w:ascii="Times New Roman" w:hAnsi="Times New Roman"/>
                          <w:b/>
                          <w:sz w:val="24"/>
                          <w:szCs w:val="24"/>
                        </w:rPr>
                        <w:t xml:space="preserve">Международный опыт </w:t>
                      </w:r>
                      <w:r>
                        <w:rPr>
                          <w:rFonts w:ascii="Times New Roman" w:hAnsi="Times New Roman"/>
                          <w:b/>
                          <w:sz w:val="24"/>
                          <w:szCs w:val="24"/>
                        </w:rPr>
                        <w:t xml:space="preserve">фискальных </w:t>
                      </w:r>
                      <w:r w:rsidRPr="00FE5D86">
                        <w:rPr>
                          <w:rFonts w:ascii="Times New Roman" w:hAnsi="Times New Roman"/>
                          <w:b/>
                          <w:sz w:val="24"/>
                          <w:szCs w:val="24"/>
                        </w:rPr>
                        <w:t>консолидаци</w:t>
                      </w:r>
                      <w:r>
                        <w:rPr>
                          <w:rFonts w:ascii="Times New Roman" w:hAnsi="Times New Roman"/>
                          <w:b/>
                          <w:sz w:val="24"/>
                          <w:szCs w:val="24"/>
                        </w:rPr>
                        <w:t>й</w:t>
                      </w:r>
                    </w:p>
                    <w:p w:rsidR="007E5DFE" w:rsidRPr="00EA6B2B" w:rsidRDefault="007E5DFE" w:rsidP="007E4E55">
                      <w:pPr>
                        <w:spacing w:before="120" w:after="120" w:line="240" w:lineRule="auto"/>
                        <w:jc w:val="both"/>
                        <w:rPr>
                          <w:rFonts w:ascii="Times New Roman" w:eastAsia="Times New Roman" w:hAnsi="Times New Roman"/>
                          <w:color w:val="000000"/>
                          <w:sz w:val="20"/>
                          <w:szCs w:val="20"/>
                          <w:lang w:eastAsia="ru-RU"/>
                        </w:rPr>
                      </w:pPr>
                      <w:proofErr w:type="gramStart"/>
                      <w:r w:rsidRPr="00EA6B2B">
                        <w:rPr>
                          <w:rFonts w:ascii="Times New Roman" w:eastAsia="Times New Roman" w:hAnsi="Times New Roman"/>
                          <w:color w:val="000000"/>
                          <w:sz w:val="20"/>
                          <w:szCs w:val="20"/>
                          <w:lang w:eastAsia="ru-RU"/>
                        </w:rPr>
                        <w:t xml:space="preserve">Прецеденты фискальной консолидации, глубокого пересмотра подходов к формированию доходной и приоритетов расходной частей бюджета распространены как в практике зарубежной (Малайзия 1987-90 гг., Чили 1974-79 гг. и 1983-93 гг., Нидерланды 1981-82 гг. и др.), так </w:t>
                      </w:r>
                      <w:r>
                        <w:rPr>
                          <w:rFonts w:ascii="Times New Roman" w:eastAsia="Times New Roman" w:hAnsi="Times New Roman"/>
                          <w:color w:val="000000"/>
                          <w:sz w:val="20"/>
                          <w:szCs w:val="20"/>
                          <w:lang w:eastAsia="ru-RU"/>
                        </w:rPr>
                        <w:t xml:space="preserve">и </w:t>
                      </w:r>
                      <w:r w:rsidRPr="00EA6B2B">
                        <w:rPr>
                          <w:rFonts w:ascii="Times New Roman" w:eastAsia="Times New Roman" w:hAnsi="Times New Roman"/>
                          <w:color w:val="000000"/>
                          <w:sz w:val="20"/>
                          <w:szCs w:val="20"/>
                          <w:lang w:eastAsia="ru-RU"/>
                        </w:rPr>
                        <w:t xml:space="preserve">отечественной экономической политики (стабилизационная политика 1998-99 гг. правительства Примакова </w:t>
                      </w:r>
                      <w:r>
                        <w:rPr>
                          <w:rFonts w:ascii="Times New Roman" w:eastAsia="Times New Roman" w:hAnsi="Times New Roman"/>
                          <w:color w:val="000000"/>
                          <w:sz w:val="20"/>
                          <w:szCs w:val="20"/>
                          <w:lang w:eastAsia="ru-RU"/>
                        </w:rPr>
                        <w:t xml:space="preserve">в новейшей истории; </w:t>
                      </w:r>
                      <w:r w:rsidRPr="00EA6B2B">
                        <w:rPr>
                          <w:rFonts w:ascii="Times New Roman" w:eastAsia="Times New Roman" w:hAnsi="Times New Roman"/>
                          <w:color w:val="000000"/>
                          <w:sz w:val="20"/>
                          <w:szCs w:val="20"/>
                          <w:lang w:eastAsia="ru-RU"/>
                        </w:rPr>
                        <w:t xml:space="preserve">программа </w:t>
                      </w:r>
                      <w:proofErr w:type="spellStart"/>
                      <w:r w:rsidRPr="00EA6B2B">
                        <w:rPr>
                          <w:rFonts w:ascii="Times New Roman" w:eastAsia="Times New Roman" w:hAnsi="Times New Roman"/>
                          <w:color w:val="000000"/>
                          <w:sz w:val="20"/>
                          <w:szCs w:val="20"/>
                          <w:lang w:eastAsia="ru-RU"/>
                        </w:rPr>
                        <w:t>Коковцова</w:t>
                      </w:r>
                      <w:proofErr w:type="spellEnd"/>
                      <w:r w:rsidRPr="00EA6B2B">
                        <w:rPr>
                          <w:rFonts w:ascii="Times New Roman" w:eastAsia="Times New Roman" w:hAnsi="Times New Roman"/>
                          <w:color w:val="000000"/>
                          <w:sz w:val="20"/>
                          <w:szCs w:val="20"/>
                          <w:lang w:eastAsia="ru-RU"/>
                        </w:rPr>
                        <w:t xml:space="preserve"> 1906-</w:t>
                      </w:r>
                      <w:r>
                        <w:rPr>
                          <w:rFonts w:ascii="Times New Roman" w:eastAsia="Times New Roman" w:hAnsi="Times New Roman"/>
                          <w:color w:val="000000"/>
                          <w:sz w:val="20"/>
                          <w:szCs w:val="20"/>
                          <w:lang w:eastAsia="ru-RU"/>
                        </w:rPr>
                        <w:t>19</w:t>
                      </w:r>
                      <w:r w:rsidRPr="00EA6B2B">
                        <w:rPr>
                          <w:rFonts w:ascii="Times New Roman" w:eastAsia="Times New Roman" w:hAnsi="Times New Roman"/>
                          <w:color w:val="000000"/>
                          <w:sz w:val="20"/>
                          <w:szCs w:val="20"/>
                          <w:lang w:eastAsia="ru-RU"/>
                        </w:rPr>
                        <w:t>14 гг.</w:t>
                      </w:r>
                      <w:r>
                        <w:rPr>
                          <w:rFonts w:ascii="Times New Roman" w:eastAsia="Times New Roman" w:hAnsi="Times New Roman"/>
                          <w:color w:val="000000"/>
                          <w:sz w:val="20"/>
                          <w:szCs w:val="20"/>
                          <w:lang w:eastAsia="ru-RU"/>
                        </w:rPr>
                        <w:t xml:space="preserve"> в царской России</w:t>
                      </w:r>
                      <w:r w:rsidRPr="00EA6B2B">
                        <w:rPr>
                          <w:rFonts w:ascii="Times New Roman" w:eastAsia="Times New Roman" w:hAnsi="Times New Roman"/>
                          <w:color w:val="000000"/>
                          <w:sz w:val="20"/>
                          <w:szCs w:val="20"/>
                          <w:lang w:eastAsia="ru-RU"/>
                        </w:rPr>
                        <w:t>).</w:t>
                      </w:r>
                      <w:proofErr w:type="gramEnd"/>
                    </w:p>
                    <w:p w:rsidR="007E5DFE" w:rsidRDefault="007E5DFE" w:rsidP="007E4E55">
                      <w:pPr>
                        <w:spacing w:before="120" w:after="120" w:line="240" w:lineRule="auto"/>
                        <w:jc w:val="both"/>
                        <w:rPr>
                          <w:rFonts w:ascii="Times New Roman" w:eastAsia="Times New Roman" w:hAnsi="Times New Roman"/>
                          <w:color w:val="000000"/>
                          <w:sz w:val="20"/>
                          <w:szCs w:val="20"/>
                          <w:lang w:eastAsia="ru-RU"/>
                        </w:rPr>
                      </w:pPr>
                      <w:r w:rsidRPr="00EA6B2B">
                        <w:rPr>
                          <w:rFonts w:ascii="Times New Roman" w:eastAsia="Times New Roman" w:hAnsi="Times New Roman"/>
                          <w:color w:val="000000"/>
                          <w:sz w:val="20"/>
                          <w:szCs w:val="20"/>
                          <w:lang w:eastAsia="ru-RU"/>
                        </w:rPr>
                        <w:t xml:space="preserve">Катализаторами реформ в бюджетной сфере обычно </w:t>
                      </w:r>
                      <w:r>
                        <w:rPr>
                          <w:rFonts w:ascii="Times New Roman" w:eastAsia="Times New Roman" w:hAnsi="Times New Roman"/>
                          <w:color w:val="000000"/>
                          <w:sz w:val="20"/>
                          <w:szCs w:val="20"/>
                          <w:lang w:eastAsia="ru-RU"/>
                        </w:rPr>
                        <w:t>выступают</w:t>
                      </w:r>
                      <w:r w:rsidRPr="00EA6B2B">
                        <w:rPr>
                          <w:rFonts w:ascii="Times New Roman" w:eastAsia="Times New Roman" w:hAnsi="Times New Roman"/>
                          <w:color w:val="000000"/>
                          <w:sz w:val="20"/>
                          <w:szCs w:val="20"/>
                          <w:lang w:eastAsia="ru-RU"/>
                        </w:rPr>
                        <w:t xml:space="preserve"> неблагоприятные внешние условия или необходимость учета объективных внутренних трендов</w:t>
                      </w:r>
                      <w:r>
                        <w:rPr>
                          <w:rFonts w:ascii="Times New Roman" w:eastAsia="Times New Roman" w:hAnsi="Times New Roman"/>
                          <w:color w:val="000000"/>
                          <w:sz w:val="20"/>
                          <w:szCs w:val="20"/>
                          <w:lang w:eastAsia="ru-RU"/>
                        </w:rPr>
                        <w:t>, в том числе</w:t>
                      </w:r>
                      <w:r w:rsidRPr="00EA6B2B">
                        <w:rPr>
                          <w:rFonts w:ascii="Times New Roman" w:eastAsia="Times New Roman" w:hAnsi="Times New Roman"/>
                          <w:color w:val="000000"/>
                          <w:sz w:val="20"/>
                          <w:szCs w:val="20"/>
                          <w:lang w:eastAsia="ru-RU"/>
                        </w:rPr>
                        <w:t>:</w:t>
                      </w:r>
                    </w:p>
                    <w:p w:rsidR="007E5DFE" w:rsidRDefault="007E5DFE" w:rsidP="009F1CCA">
                      <w:pPr>
                        <w:pStyle w:val="a9"/>
                        <w:numPr>
                          <w:ilvl w:val="0"/>
                          <w:numId w:val="18"/>
                        </w:numPr>
                        <w:spacing w:before="120" w:after="120" w:line="240" w:lineRule="auto"/>
                        <w:ind w:left="340" w:hanging="340"/>
                        <w:contextualSpacing w:val="0"/>
                        <w:jc w:val="both"/>
                        <w:rPr>
                          <w:rFonts w:ascii="Times New Roman" w:eastAsia="Times New Roman" w:hAnsi="Times New Roman"/>
                          <w:color w:val="000000"/>
                          <w:sz w:val="20"/>
                          <w:szCs w:val="20"/>
                          <w:lang w:eastAsia="ru-RU"/>
                        </w:rPr>
                      </w:pPr>
                      <w:r>
                        <w:rPr>
                          <w:rFonts w:ascii="Times New Roman" w:eastAsia="Times New Roman" w:hAnsi="Times New Roman"/>
                          <w:i/>
                          <w:color w:val="000000"/>
                          <w:sz w:val="20"/>
                          <w:szCs w:val="20"/>
                          <w:lang w:eastAsia="ru-RU"/>
                        </w:rPr>
                        <w:t>д</w:t>
                      </w:r>
                      <w:r w:rsidRPr="005C2A14">
                        <w:rPr>
                          <w:rFonts w:ascii="Times New Roman" w:eastAsia="Times New Roman" w:hAnsi="Times New Roman"/>
                          <w:i/>
                          <w:color w:val="000000"/>
                          <w:sz w:val="20"/>
                          <w:szCs w:val="20"/>
                          <w:lang w:eastAsia="ru-RU"/>
                        </w:rPr>
                        <w:t>естабилизация роста цен</w:t>
                      </w:r>
                      <w:r>
                        <w:rPr>
                          <w:rFonts w:ascii="Times New Roman" w:eastAsia="Times New Roman" w:hAnsi="Times New Roman"/>
                          <w:i/>
                          <w:color w:val="000000"/>
                          <w:sz w:val="20"/>
                          <w:szCs w:val="20"/>
                          <w:lang w:eastAsia="ru-RU"/>
                        </w:rPr>
                        <w:t>:</w:t>
                      </w:r>
                      <w:r>
                        <w:rPr>
                          <w:rFonts w:ascii="Times New Roman" w:eastAsia="Times New Roman" w:hAnsi="Times New Roman"/>
                          <w:color w:val="000000"/>
                          <w:sz w:val="20"/>
                          <w:szCs w:val="20"/>
                          <w:lang w:eastAsia="ru-RU"/>
                        </w:rPr>
                        <w:t xml:space="preserve"> в</w:t>
                      </w:r>
                      <w:r w:rsidRPr="0081684B">
                        <w:rPr>
                          <w:rFonts w:ascii="Times New Roman" w:eastAsia="Times New Roman" w:hAnsi="Times New Roman"/>
                          <w:color w:val="000000"/>
                          <w:sz w:val="20"/>
                          <w:szCs w:val="20"/>
                          <w:lang w:eastAsia="ru-RU"/>
                        </w:rPr>
                        <w:t xml:space="preserve"> Австралии в 70-х – начале 80-х инфляция превышала 10%, а безработица с 2% в 1971 году выросла до 10% в 1983 году; в Чили 1964-</w:t>
                      </w:r>
                      <w:r>
                        <w:rPr>
                          <w:rFonts w:ascii="Times New Roman" w:eastAsia="Times New Roman" w:hAnsi="Times New Roman"/>
                          <w:color w:val="000000"/>
                          <w:sz w:val="20"/>
                          <w:szCs w:val="20"/>
                          <w:lang w:eastAsia="ru-RU"/>
                        </w:rPr>
                        <w:t>19</w:t>
                      </w:r>
                      <w:r w:rsidRPr="0081684B">
                        <w:rPr>
                          <w:rFonts w:ascii="Times New Roman" w:eastAsia="Times New Roman" w:hAnsi="Times New Roman"/>
                          <w:color w:val="000000"/>
                          <w:sz w:val="20"/>
                          <w:szCs w:val="20"/>
                          <w:lang w:eastAsia="ru-RU"/>
                        </w:rPr>
                        <w:t>70 гг. инфляция достигала 28% г/г и вышла из-под контроля в начале 1970-х</w:t>
                      </w:r>
                      <w:r>
                        <w:rPr>
                          <w:rFonts w:ascii="Times New Roman" w:eastAsia="Times New Roman" w:hAnsi="Times New Roman"/>
                          <w:color w:val="000000"/>
                          <w:sz w:val="20"/>
                          <w:szCs w:val="20"/>
                          <w:lang w:eastAsia="ru-RU"/>
                        </w:rPr>
                        <w:t>,</w:t>
                      </w:r>
                      <w:r w:rsidRPr="0081684B">
                        <w:rPr>
                          <w:rFonts w:ascii="Times New Roman" w:eastAsia="Times New Roman" w:hAnsi="Times New Roman"/>
                          <w:color w:val="000000"/>
                          <w:sz w:val="20"/>
                          <w:szCs w:val="20"/>
                          <w:lang w:eastAsia="ru-RU"/>
                        </w:rPr>
                        <w:t xml:space="preserve"> несмотря на введение административного </w:t>
                      </w:r>
                      <w:proofErr w:type="gramStart"/>
                      <w:r w:rsidRPr="0081684B">
                        <w:rPr>
                          <w:rFonts w:ascii="Times New Roman" w:eastAsia="Times New Roman" w:hAnsi="Times New Roman"/>
                          <w:color w:val="000000"/>
                          <w:sz w:val="20"/>
                          <w:szCs w:val="20"/>
                          <w:lang w:eastAsia="ru-RU"/>
                        </w:rPr>
                        <w:t>контроля за</w:t>
                      </w:r>
                      <w:proofErr w:type="gramEnd"/>
                      <w:r w:rsidRPr="0081684B">
                        <w:rPr>
                          <w:rFonts w:ascii="Times New Roman" w:eastAsia="Times New Roman" w:hAnsi="Times New Roman"/>
                          <w:color w:val="000000"/>
                          <w:sz w:val="20"/>
                          <w:szCs w:val="20"/>
                          <w:lang w:eastAsia="ru-RU"/>
                        </w:rPr>
                        <w:t xml:space="preserve"> ценами</w:t>
                      </w:r>
                      <w:r>
                        <w:rPr>
                          <w:rFonts w:ascii="Times New Roman" w:eastAsia="Times New Roman" w:hAnsi="Times New Roman"/>
                          <w:color w:val="000000"/>
                          <w:sz w:val="20"/>
                          <w:szCs w:val="20"/>
                          <w:lang w:eastAsia="ru-RU"/>
                        </w:rPr>
                        <w:t>;</w:t>
                      </w:r>
                    </w:p>
                    <w:p w:rsidR="007E5DFE" w:rsidRDefault="007E5DFE" w:rsidP="009F1CCA">
                      <w:pPr>
                        <w:pStyle w:val="a9"/>
                        <w:numPr>
                          <w:ilvl w:val="0"/>
                          <w:numId w:val="18"/>
                        </w:numPr>
                        <w:spacing w:before="120" w:after="120" w:line="240" w:lineRule="auto"/>
                        <w:ind w:left="340" w:hanging="340"/>
                        <w:contextualSpacing w:val="0"/>
                        <w:jc w:val="both"/>
                        <w:rPr>
                          <w:rFonts w:ascii="Times New Roman" w:eastAsia="Times New Roman" w:hAnsi="Times New Roman"/>
                          <w:color w:val="000000"/>
                          <w:sz w:val="20"/>
                          <w:szCs w:val="20"/>
                          <w:lang w:eastAsia="ru-RU"/>
                        </w:rPr>
                      </w:pPr>
                      <w:r w:rsidRPr="005C2A14">
                        <w:rPr>
                          <w:rFonts w:ascii="Times New Roman" w:eastAsia="Times New Roman" w:hAnsi="Times New Roman"/>
                          <w:i/>
                          <w:color w:val="000000"/>
                          <w:sz w:val="20"/>
                          <w:szCs w:val="20"/>
                          <w:lang w:eastAsia="ru-RU"/>
                        </w:rPr>
                        <w:t>хроническое замедление роста</w:t>
                      </w:r>
                      <w:r>
                        <w:rPr>
                          <w:rFonts w:ascii="Times New Roman" w:eastAsia="Times New Roman" w:hAnsi="Times New Roman"/>
                          <w:i/>
                          <w:color w:val="000000"/>
                          <w:sz w:val="20"/>
                          <w:szCs w:val="20"/>
                          <w:lang w:eastAsia="ru-RU"/>
                        </w:rPr>
                        <w:t>:</w:t>
                      </w:r>
                      <w:r>
                        <w:rPr>
                          <w:rFonts w:ascii="Times New Roman" w:eastAsia="Times New Roman" w:hAnsi="Times New Roman"/>
                          <w:color w:val="000000"/>
                          <w:sz w:val="20"/>
                          <w:szCs w:val="20"/>
                          <w:lang w:eastAsia="ru-RU"/>
                        </w:rPr>
                        <w:t xml:space="preserve"> </w:t>
                      </w:r>
                      <w:r w:rsidRPr="0081684B">
                        <w:rPr>
                          <w:rFonts w:ascii="Times New Roman" w:eastAsia="Times New Roman" w:hAnsi="Times New Roman"/>
                          <w:color w:val="000000"/>
                          <w:sz w:val="20"/>
                          <w:szCs w:val="20"/>
                          <w:lang w:eastAsia="ru-RU"/>
                        </w:rPr>
                        <w:t>в конце 1990-х – ранних 2000-х рост в Германии оставался ниже среднего по ЕС, а безработица выросла до 11,3% в 2005 году на фоне растущего дефицита, который на пике в 2005 году достиг 4% ВВП</w:t>
                      </w:r>
                      <w:r>
                        <w:rPr>
                          <w:rFonts w:ascii="Times New Roman" w:eastAsia="Times New Roman" w:hAnsi="Times New Roman"/>
                          <w:color w:val="000000"/>
                          <w:sz w:val="20"/>
                          <w:szCs w:val="20"/>
                          <w:lang w:eastAsia="ru-RU"/>
                        </w:rPr>
                        <w:t>;</w:t>
                      </w:r>
                    </w:p>
                    <w:p w:rsidR="007E5DFE" w:rsidRPr="00182CAD" w:rsidRDefault="007E5DFE" w:rsidP="009F1CCA">
                      <w:pPr>
                        <w:pStyle w:val="a9"/>
                        <w:numPr>
                          <w:ilvl w:val="0"/>
                          <w:numId w:val="18"/>
                        </w:numPr>
                        <w:spacing w:before="120" w:after="120" w:line="240" w:lineRule="auto"/>
                        <w:ind w:left="340" w:hanging="340"/>
                        <w:contextualSpacing w:val="0"/>
                        <w:jc w:val="both"/>
                        <w:rPr>
                          <w:rFonts w:ascii="Times New Roman" w:eastAsia="Times New Roman" w:hAnsi="Times New Roman"/>
                          <w:color w:val="000000"/>
                          <w:sz w:val="20"/>
                          <w:szCs w:val="20"/>
                          <w:lang w:eastAsia="ru-RU"/>
                        </w:rPr>
                      </w:pPr>
                      <w:r w:rsidRPr="005C2A14">
                        <w:rPr>
                          <w:rFonts w:ascii="Times New Roman" w:eastAsia="Times New Roman" w:hAnsi="Times New Roman"/>
                          <w:i/>
                          <w:color w:val="000000"/>
                          <w:sz w:val="20"/>
                          <w:szCs w:val="20"/>
                          <w:lang w:eastAsia="ru-RU"/>
                        </w:rPr>
                        <w:t>рост государственного долга и доли расходов по его обслуживанию</w:t>
                      </w:r>
                      <w:r w:rsidRPr="00182CAD">
                        <w:rPr>
                          <w:rFonts w:ascii="Times New Roman" w:eastAsia="Times New Roman" w:hAnsi="Times New Roman"/>
                          <w:i/>
                          <w:color w:val="000000"/>
                          <w:sz w:val="20"/>
                          <w:szCs w:val="20"/>
                          <w:lang w:eastAsia="ru-RU"/>
                        </w:rPr>
                        <w:t xml:space="preserve">: </w:t>
                      </w:r>
                      <w:r w:rsidRPr="00182CAD">
                        <w:rPr>
                          <w:rFonts w:ascii="Times New Roman" w:eastAsia="Times New Roman" w:hAnsi="Times New Roman"/>
                          <w:color w:val="000000"/>
                          <w:sz w:val="20"/>
                          <w:szCs w:val="20"/>
                          <w:lang w:eastAsia="ru-RU"/>
                        </w:rPr>
                        <w:t xml:space="preserve">в 2010-2011 годах большинство стран </w:t>
                      </w:r>
                      <w:r>
                        <w:rPr>
                          <w:rFonts w:ascii="Times New Roman" w:eastAsia="Times New Roman" w:hAnsi="Times New Roman"/>
                          <w:color w:val="000000"/>
                          <w:sz w:val="20"/>
                          <w:szCs w:val="20"/>
                          <w:lang w:eastAsia="ru-RU"/>
                        </w:rPr>
                        <w:t xml:space="preserve">ЕС </w:t>
                      </w:r>
                      <w:r w:rsidRPr="00182CAD">
                        <w:rPr>
                          <w:rFonts w:ascii="Times New Roman" w:eastAsia="Times New Roman" w:hAnsi="Times New Roman"/>
                          <w:color w:val="000000"/>
                          <w:sz w:val="20"/>
                          <w:szCs w:val="20"/>
                          <w:lang w:eastAsia="ru-RU"/>
                        </w:rPr>
                        <w:t>были вынуждены начать реализацию мер фискальной консолидации для соответствия кр</w:t>
                      </w:r>
                      <w:r>
                        <w:rPr>
                          <w:rFonts w:ascii="Times New Roman" w:eastAsia="Times New Roman" w:hAnsi="Times New Roman"/>
                          <w:color w:val="000000"/>
                          <w:sz w:val="20"/>
                          <w:szCs w:val="20"/>
                          <w:lang w:eastAsia="ru-RU"/>
                        </w:rPr>
                        <w:t>итериям Маастрихтского договора.</w:t>
                      </w:r>
                    </w:p>
                    <w:p w:rsidR="007E5DFE" w:rsidRDefault="007E5DFE" w:rsidP="007E4E55">
                      <w:pPr>
                        <w:spacing w:before="120" w:after="120" w:line="240" w:lineRule="auto"/>
                        <w:jc w:val="both"/>
                        <w:rPr>
                          <w:rFonts w:ascii="Times New Roman" w:eastAsia="Times New Roman" w:hAnsi="Times New Roman"/>
                          <w:color w:val="000000"/>
                          <w:sz w:val="20"/>
                          <w:szCs w:val="20"/>
                          <w:lang w:eastAsia="ru-RU"/>
                        </w:rPr>
                      </w:pPr>
                      <w:r w:rsidRPr="00EA6B2B">
                        <w:rPr>
                          <w:rFonts w:ascii="Times New Roman" w:eastAsia="Times New Roman" w:hAnsi="Times New Roman"/>
                          <w:color w:val="000000"/>
                          <w:sz w:val="20"/>
                          <w:szCs w:val="20"/>
                          <w:lang w:eastAsia="ru-RU"/>
                        </w:rPr>
                        <w:t>Международный опыт говорит о том, что фискальная консолидация стимулирует на среднесрочном горизонте устойчивый рост экономики за счет более эффективного распределения капитала и труд</w:t>
                      </w:r>
                      <w:r>
                        <w:rPr>
                          <w:rFonts w:ascii="Times New Roman" w:eastAsia="Times New Roman" w:hAnsi="Times New Roman"/>
                          <w:color w:val="000000"/>
                          <w:sz w:val="20"/>
                          <w:szCs w:val="20"/>
                          <w:lang w:eastAsia="ru-RU"/>
                        </w:rPr>
                        <w:t xml:space="preserve">овых ресурсов в экономике, </w:t>
                      </w:r>
                      <w:r w:rsidRPr="00EA6B2B">
                        <w:rPr>
                          <w:rFonts w:ascii="Times New Roman" w:eastAsia="Times New Roman" w:hAnsi="Times New Roman"/>
                          <w:color w:val="000000"/>
                          <w:sz w:val="20"/>
                          <w:szCs w:val="20"/>
                          <w:lang w:eastAsia="ru-RU"/>
                        </w:rPr>
                        <w:t xml:space="preserve">снижения </w:t>
                      </w:r>
                      <w:r>
                        <w:rPr>
                          <w:rFonts w:ascii="Times New Roman" w:eastAsia="Times New Roman" w:hAnsi="Times New Roman"/>
                          <w:color w:val="000000"/>
                          <w:sz w:val="20"/>
                          <w:szCs w:val="20"/>
                          <w:lang w:eastAsia="ru-RU"/>
                        </w:rPr>
                        <w:t xml:space="preserve">неопределенности и </w:t>
                      </w:r>
                      <w:r w:rsidRPr="00EA6B2B">
                        <w:rPr>
                          <w:rFonts w:ascii="Times New Roman" w:eastAsia="Times New Roman" w:hAnsi="Times New Roman"/>
                          <w:color w:val="000000"/>
                          <w:sz w:val="20"/>
                          <w:szCs w:val="20"/>
                          <w:lang w:eastAsia="ru-RU"/>
                        </w:rPr>
                        <w:t>реальных процентных ставок</w:t>
                      </w:r>
                      <w:r>
                        <w:rPr>
                          <w:rFonts w:ascii="Times New Roman" w:eastAsia="Times New Roman" w:hAnsi="Times New Roman"/>
                          <w:color w:val="000000"/>
                          <w:sz w:val="20"/>
                          <w:szCs w:val="20"/>
                          <w:lang w:eastAsia="ru-RU"/>
                        </w:rPr>
                        <w:t>.</w:t>
                      </w:r>
                      <w:r w:rsidRPr="00EA6B2B">
                        <w:rPr>
                          <w:rFonts w:ascii="Times New Roman" w:eastAsia="Times New Roman" w:hAnsi="Times New Roman"/>
                          <w:color w:val="000000"/>
                          <w:sz w:val="20"/>
                          <w:szCs w:val="20"/>
                          <w:lang w:eastAsia="ru-RU"/>
                        </w:rPr>
                        <w:t xml:space="preserve"> Эти выводы справедливы для широкого перечня сравнимых с Россией развивающихся экономик с развитым сырьевым сектором: Чили, Мексика</w:t>
                      </w:r>
                      <w:r>
                        <w:rPr>
                          <w:rFonts w:ascii="Times New Roman" w:eastAsia="Times New Roman" w:hAnsi="Times New Roman"/>
                          <w:color w:val="000000"/>
                          <w:sz w:val="20"/>
                          <w:szCs w:val="20"/>
                          <w:lang w:eastAsia="ru-RU"/>
                        </w:rPr>
                        <w:t>,</w:t>
                      </w:r>
                      <w:r w:rsidRPr="00EA6B2B">
                        <w:rPr>
                          <w:rFonts w:ascii="Times New Roman" w:eastAsia="Times New Roman" w:hAnsi="Times New Roman"/>
                          <w:color w:val="000000"/>
                          <w:sz w:val="20"/>
                          <w:szCs w:val="20"/>
                          <w:lang w:eastAsia="ru-RU"/>
                        </w:rPr>
                        <w:t xml:space="preserve"> Малайзия</w:t>
                      </w:r>
                      <w:r>
                        <w:rPr>
                          <w:rFonts w:ascii="Times New Roman" w:eastAsia="Times New Roman" w:hAnsi="Times New Roman"/>
                          <w:color w:val="000000"/>
                          <w:sz w:val="20"/>
                          <w:szCs w:val="20"/>
                          <w:lang w:eastAsia="ru-RU"/>
                        </w:rPr>
                        <w:t>.</w:t>
                      </w:r>
                    </w:p>
                    <w:p w:rsidR="007E5DFE" w:rsidRDefault="007E5DFE" w:rsidP="007E4E55">
                      <w:pPr>
                        <w:spacing w:before="120" w:after="12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При этом в краткосрочном периоде</w:t>
                      </w:r>
                      <w:r w:rsidRPr="00EA6B2B">
                        <w:rPr>
                          <w:rFonts w:ascii="Times New Roman" w:eastAsia="Times New Roman" w:hAnsi="Times New Roman"/>
                          <w:color w:val="000000"/>
                          <w:sz w:val="20"/>
                          <w:szCs w:val="20"/>
                          <w:lang w:eastAsia="ru-RU"/>
                        </w:rPr>
                        <w:t xml:space="preserve"> оценка результатов программ по переходу на траекторию сбалансированности бюджета связана с большими сложностями. Подстройка часто является вынужденной, происход</w:t>
                      </w:r>
                      <w:r>
                        <w:rPr>
                          <w:rFonts w:ascii="Times New Roman" w:eastAsia="Times New Roman" w:hAnsi="Times New Roman"/>
                          <w:color w:val="000000"/>
                          <w:sz w:val="20"/>
                          <w:szCs w:val="20"/>
                          <w:lang w:eastAsia="ru-RU"/>
                        </w:rPr>
                        <w:t>и</w:t>
                      </w:r>
                      <w:r w:rsidRPr="00EA6B2B">
                        <w:rPr>
                          <w:rFonts w:ascii="Times New Roman" w:eastAsia="Times New Roman" w:hAnsi="Times New Roman"/>
                          <w:color w:val="000000"/>
                          <w:sz w:val="20"/>
                          <w:szCs w:val="20"/>
                          <w:lang w:eastAsia="ru-RU"/>
                        </w:rPr>
                        <w:t>т на фоне неблагоприятных внешних шоков (падения цен</w:t>
                      </w:r>
                      <w:r>
                        <w:rPr>
                          <w:rFonts w:ascii="Times New Roman" w:eastAsia="Times New Roman" w:hAnsi="Times New Roman"/>
                          <w:color w:val="000000"/>
                          <w:sz w:val="20"/>
                          <w:szCs w:val="20"/>
                          <w:lang w:eastAsia="ru-RU"/>
                        </w:rPr>
                        <w:t xml:space="preserve"> по</w:t>
                      </w:r>
                      <w:r w:rsidRPr="00EA6B2B">
                        <w:rPr>
                          <w:rFonts w:ascii="Times New Roman" w:eastAsia="Times New Roman" w:hAnsi="Times New Roman"/>
                          <w:color w:val="000000"/>
                          <w:sz w:val="20"/>
                          <w:szCs w:val="20"/>
                          <w:lang w:eastAsia="ru-RU"/>
                        </w:rPr>
                        <w:t xml:space="preserve"> ключевы</w:t>
                      </w:r>
                      <w:r>
                        <w:rPr>
                          <w:rFonts w:ascii="Times New Roman" w:eastAsia="Times New Roman" w:hAnsi="Times New Roman"/>
                          <w:color w:val="000000"/>
                          <w:sz w:val="20"/>
                          <w:szCs w:val="20"/>
                          <w:lang w:eastAsia="ru-RU"/>
                        </w:rPr>
                        <w:t>м</w:t>
                      </w:r>
                      <w:r w:rsidRPr="00EA6B2B">
                        <w:rPr>
                          <w:rFonts w:ascii="Times New Roman" w:eastAsia="Times New Roman" w:hAnsi="Times New Roman"/>
                          <w:color w:val="000000"/>
                          <w:sz w:val="20"/>
                          <w:szCs w:val="20"/>
                          <w:lang w:eastAsia="ru-RU"/>
                        </w:rPr>
                        <w:t xml:space="preserve"> экспортны</w:t>
                      </w:r>
                      <w:r>
                        <w:rPr>
                          <w:rFonts w:ascii="Times New Roman" w:eastAsia="Times New Roman" w:hAnsi="Times New Roman"/>
                          <w:color w:val="000000"/>
                          <w:sz w:val="20"/>
                          <w:szCs w:val="20"/>
                          <w:lang w:eastAsia="ru-RU"/>
                        </w:rPr>
                        <w:t>м</w:t>
                      </w:r>
                      <w:r w:rsidRPr="00EA6B2B">
                        <w:rPr>
                          <w:rFonts w:ascii="Times New Roman" w:eastAsia="Times New Roman" w:hAnsi="Times New Roman"/>
                          <w:color w:val="000000"/>
                          <w:sz w:val="20"/>
                          <w:szCs w:val="20"/>
                          <w:lang w:eastAsia="ru-RU"/>
                        </w:rPr>
                        <w:t xml:space="preserve"> позици</w:t>
                      </w:r>
                      <w:r>
                        <w:rPr>
                          <w:rFonts w:ascii="Times New Roman" w:eastAsia="Times New Roman" w:hAnsi="Times New Roman"/>
                          <w:color w:val="000000"/>
                          <w:sz w:val="20"/>
                          <w:szCs w:val="20"/>
                          <w:lang w:eastAsia="ru-RU"/>
                        </w:rPr>
                        <w:t>ям</w:t>
                      </w:r>
                      <w:r w:rsidRPr="00EA6B2B">
                        <w:rPr>
                          <w:rFonts w:ascii="Times New Roman" w:eastAsia="Times New Roman" w:hAnsi="Times New Roman"/>
                          <w:color w:val="000000"/>
                          <w:sz w:val="20"/>
                          <w:szCs w:val="20"/>
                          <w:lang w:eastAsia="ru-RU"/>
                        </w:rPr>
                        <w:t>), финансовых кризисов (шоков денежно-кредитной политики), дестабилизации внутреннего рынка в результате обострения секторальных диспропорций, вызванных</w:t>
                      </w:r>
                      <w:r>
                        <w:rPr>
                          <w:rFonts w:ascii="Times New Roman" w:eastAsia="Times New Roman" w:hAnsi="Times New Roman"/>
                          <w:color w:val="000000"/>
                          <w:sz w:val="20"/>
                          <w:szCs w:val="20"/>
                          <w:lang w:eastAsia="ru-RU"/>
                        </w:rPr>
                        <w:t>,</w:t>
                      </w:r>
                      <w:r w:rsidRPr="00EA6B2B">
                        <w:rPr>
                          <w:rFonts w:ascii="Times New Roman" w:eastAsia="Times New Roman" w:hAnsi="Times New Roman"/>
                          <w:color w:val="000000"/>
                          <w:sz w:val="20"/>
                          <w:szCs w:val="20"/>
                          <w:lang w:eastAsia="ru-RU"/>
                        </w:rPr>
                        <w:t xml:space="preserve"> в числе прочего</w:t>
                      </w:r>
                      <w:r>
                        <w:rPr>
                          <w:rFonts w:ascii="Times New Roman" w:eastAsia="Times New Roman" w:hAnsi="Times New Roman"/>
                          <w:color w:val="000000"/>
                          <w:sz w:val="20"/>
                          <w:szCs w:val="20"/>
                          <w:lang w:eastAsia="ru-RU"/>
                        </w:rPr>
                        <w:t>,</w:t>
                      </w:r>
                      <w:r w:rsidRPr="00EA6B2B">
                        <w:rPr>
                          <w:rFonts w:ascii="Times New Roman" w:eastAsia="Times New Roman" w:hAnsi="Times New Roman"/>
                          <w:color w:val="000000"/>
                          <w:sz w:val="20"/>
                          <w:szCs w:val="20"/>
                          <w:lang w:eastAsia="ru-RU"/>
                        </w:rPr>
                        <w:t xml:space="preserve"> накопленными ошибками экономической политики.</w:t>
                      </w:r>
                    </w:p>
                    <w:p w:rsidR="007E5DFE" w:rsidRDefault="007E5DFE" w:rsidP="007E4E55"/>
                  </w:txbxContent>
                </v:textbox>
                <w10:wrap type="square" anchorx="margin"/>
              </v:shape>
            </w:pict>
          </mc:Fallback>
        </mc:AlternateContent>
      </w:r>
      <w:r w:rsidR="00071FA4" w:rsidRPr="00071FA4">
        <w:rPr>
          <w:rFonts w:ascii="Times New Roman" w:hAnsi="Times New Roman"/>
          <w:sz w:val="24"/>
          <w:szCs w:val="24"/>
        </w:rPr>
        <w:t xml:space="preserve"> </w:t>
      </w:r>
      <w:r w:rsidR="00071FA4">
        <w:rPr>
          <w:rFonts w:ascii="Times New Roman" w:hAnsi="Times New Roman"/>
          <w:sz w:val="24"/>
          <w:szCs w:val="24"/>
        </w:rPr>
        <w:t xml:space="preserve">Формирование федерального бюджета на 2017-2019 гг. осуществлялось на основе </w:t>
      </w:r>
      <w:r w:rsidR="00071FA4" w:rsidRPr="009E0B5C">
        <w:rPr>
          <w:rFonts w:ascii="Times New Roman" w:hAnsi="Times New Roman"/>
          <w:i/>
          <w:sz w:val="24"/>
          <w:szCs w:val="24"/>
        </w:rPr>
        <w:t>программы фискальной консолидации</w:t>
      </w:r>
      <w:r w:rsidR="00071FA4" w:rsidRPr="009E0B5C">
        <w:rPr>
          <w:rFonts w:ascii="Times New Roman" w:hAnsi="Times New Roman"/>
          <w:sz w:val="24"/>
          <w:szCs w:val="24"/>
        </w:rPr>
        <w:t>, предусматривающей постепенное сокращение ненефтегазового дефицита (на 2,8пп до 6,6% ВВП в 2019 году). При этом</w:t>
      </w:r>
      <w:proofErr w:type="gramStart"/>
      <w:r w:rsidR="00071FA4" w:rsidRPr="009E0B5C">
        <w:rPr>
          <w:rFonts w:ascii="Times New Roman" w:hAnsi="Times New Roman"/>
          <w:sz w:val="24"/>
          <w:szCs w:val="24"/>
        </w:rPr>
        <w:t>,</w:t>
      </w:r>
      <w:proofErr w:type="gramEnd"/>
      <w:r w:rsidR="00071FA4" w:rsidRPr="009E0B5C">
        <w:rPr>
          <w:rFonts w:ascii="Times New Roman" w:hAnsi="Times New Roman"/>
          <w:sz w:val="24"/>
          <w:szCs w:val="24"/>
        </w:rPr>
        <w:t xml:space="preserve"> в соответствии с лучшей мировой практикой (см. вставку «Международный опыт фискальных консолидаций»), структура этой программы сбалансирована между мерами по увеличению доходов и мерами по оптимизации</w:t>
      </w:r>
      <w:r w:rsidR="00071FA4">
        <w:rPr>
          <w:rFonts w:ascii="Times New Roman" w:hAnsi="Times New Roman"/>
          <w:sz w:val="24"/>
          <w:szCs w:val="24"/>
        </w:rPr>
        <w:t xml:space="preserve"> расходов (в пропорции 1/3 к 2/3), причем меры по мобилизации доходов не предусматривают роста налоговой нагрузки, а сосредоточены на повышении собираемости и отдачи от государственных активов. Такая структура программы консолидации </w:t>
      </w:r>
      <w:r w:rsidR="00071FA4" w:rsidRPr="007E4E55">
        <w:rPr>
          <w:rFonts w:ascii="Times New Roman" w:hAnsi="Times New Roman"/>
          <w:sz w:val="24"/>
          <w:szCs w:val="24"/>
        </w:rPr>
        <w:t>миним</w:t>
      </w:r>
      <w:r w:rsidR="00071FA4">
        <w:rPr>
          <w:rFonts w:ascii="Times New Roman" w:hAnsi="Times New Roman"/>
          <w:sz w:val="24"/>
          <w:szCs w:val="24"/>
        </w:rPr>
        <w:t>изирует возможные отрицательные</w:t>
      </w:r>
      <w:r w:rsidR="00071FA4" w:rsidRPr="007E4E55">
        <w:rPr>
          <w:rFonts w:ascii="Times New Roman" w:hAnsi="Times New Roman"/>
          <w:sz w:val="24"/>
          <w:szCs w:val="24"/>
        </w:rPr>
        <w:t xml:space="preserve"> </w:t>
      </w:r>
      <w:r w:rsidR="00071FA4">
        <w:rPr>
          <w:rFonts w:ascii="Times New Roman" w:hAnsi="Times New Roman"/>
          <w:sz w:val="24"/>
          <w:szCs w:val="24"/>
        </w:rPr>
        <w:t xml:space="preserve">последствия </w:t>
      </w:r>
      <w:r w:rsidR="00071FA4" w:rsidRPr="007E4E55">
        <w:rPr>
          <w:rFonts w:ascii="Times New Roman" w:hAnsi="Times New Roman"/>
          <w:sz w:val="24"/>
          <w:szCs w:val="24"/>
        </w:rPr>
        <w:t xml:space="preserve">в краткосрочной перспективе </w:t>
      </w:r>
      <w:r w:rsidR="00071FA4">
        <w:rPr>
          <w:rFonts w:ascii="Times New Roman" w:hAnsi="Times New Roman"/>
          <w:sz w:val="24"/>
          <w:szCs w:val="24"/>
        </w:rPr>
        <w:t xml:space="preserve">и способствует </w:t>
      </w:r>
      <w:r w:rsidR="00071FA4" w:rsidRPr="007E4E55">
        <w:rPr>
          <w:rFonts w:ascii="Times New Roman" w:hAnsi="Times New Roman"/>
          <w:sz w:val="24"/>
          <w:szCs w:val="24"/>
        </w:rPr>
        <w:t>ускорени</w:t>
      </w:r>
      <w:r w:rsidR="00071FA4">
        <w:rPr>
          <w:rFonts w:ascii="Times New Roman" w:hAnsi="Times New Roman"/>
          <w:sz w:val="24"/>
          <w:szCs w:val="24"/>
        </w:rPr>
        <w:t>ю</w:t>
      </w:r>
      <w:r w:rsidR="00071FA4" w:rsidRPr="007E4E55">
        <w:rPr>
          <w:rFonts w:ascii="Times New Roman" w:hAnsi="Times New Roman"/>
          <w:sz w:val="24"/>
          <w:szCs w:val="24"/>
        </w:rPr>
        <w:t xml:space="preserve"> потенциальных темпов роста на среднесрочном горизонте</w:t>
      </w:r>
      <w:r w:rsidR="00071FA4">
        <w:rPr>
          <w:rFonts w:ascii="Times New Roman" w:hAnsi="Times New Roman"/>
          <w:sz w:val="24"/>
          <w:szCs w:val="24"/>
        </w:rPr>
        <w:t>.</w:t>
      </w:r>
    </w:p>
    <w:p w:rsidR="007E4E55" w:rsidRDefault="00DD360F" w:rsidP="0018348B">
      <w:pPr>
        <w:spacing w:before="120" w:after="120"/>
        <w:jc w:val="both"/>
        <w:rPr>
          <w:rFonts w:ascii="Times New Roman" w:hAnsi="Times New Roman"/>
          <w:sz w:val="24"/>
          <w:szCs w:val="24"/>
        </w:rPr>
      </w:pPr>
      <w:r w:rsidRPr="008C0987">
        <w:rPr>
          <w:noProof/>
          <w:lang w:eastAsia="ru-RU"/>
        </w:rPr>
        <mc:AlternateContent>
          <mc:Choice Requires="wps">
            <w:drawing>
              <wp:anchor distT="45720" distB="45720" distL="114300" distR="114300" simplePos="0" relativeHeight="251654656" behindDoc="0" locked="0" layoutInCell="1" allowOverlap="1" wp14:anchorId="191077C6" wp14:editId="27CFB322">
                <wp:simplePos x="0" y="0"/>
                <wp:positionH relativeFrom="margin">
                  <wp:posOffset>13970</wp:posOffset>
                </wp:positionH>
                <wp:positionV relativeFrom="paragraph">
                  <wp:posOffset>-63500</wp:posOffset>
                </wp:positionV>
                <wp:extent cx="5763895" cy="8848725"/>
                <wp:effectExtent l="0" t="0" r="8255" b="9525"/>
                <wp:wrapSquare wrapText="bothSides"/>
                <wp:docPr id="10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895" cy="8848725"/>
                        </a:xfrm>
                        <a:prstGeom prst="rect">
                          <a:avLst/>
                        </a:prstGeom>
                        <a:solidFill>
                          <a:schemeClr val="bg1">
                            <a:lumMod val="95000"/>
                          </a:schemeClr>
                        </a:solidFill>
                        <a:ln w="9525">
                          <a:noFill/>
                          <a:miter lim="800000"/>
                          <a:headEnd/>
                          <a:tailEnd/>
                        </a:ln>
                      </wps:spPr>
                      <wps:txbx>
                        <w:txbxContent>
                          <w:p w:rsidR="007E5DFE" w:rsidRDefault="007E5DFE" w:rsidP="00DD360F">
                            <w:pPr>
                              <w:spacing w:before="120" w:after="12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Ориентируясь на богатый международный опыт, можно выделить четыре основных принципа, соблюдение которых позволило странам, проводящим масштабные бюджетные реформы (консолидации), </w:t>
                            </w:r>
                            <w:r w:rsidRPr="00EA6B2B">
                              <w:rPr>
                                <w:rFonts w:ascii="Times New Roman" w:eastAsia="Times New Roman" w:hAnsi="Times New Roman"/>
                                <w:color w:val="000000"/>
                                <w:sz w:val="20"/>
                                <w:szCs w:val="20"/>
                                <w:lang w:eastAsia="ru-RU"/>
                              </w:rPr>
                              <w:t xml:space="preserve">сгладить </w:t>
                            </w:r>
                            <w:r>
                              <w:rPr>
                                <w:rFonts w:ascii="Times New Roman" w:eastAsia="Times New Roman" w:hAnsi="Times New Roman"/>
                                <w:color w:val="000000"/>
                                <w:sz w:val="20"/>
                                <w:szCs w:val="20"/>
                                <w:lang w:eastAsia="ru-RU"/>
                              </w:rPr>
                              <w:t>отрицательный краткосрочный импульс на экономический рост в</w:t>
                            </w:r>
                            <w:r w:rsidRPr="00EA6B2B">
                              <w:rPr>
                                <w:rFonts w:ascii="Times New Roman" w:eastAsia="Times New Roman" w:hAnsi="Times New Roman"/>
                                <w:color w:val="000000"/>
                                <w:sz w:val="20"/>
                                <w:szCs w:val="20"/>
                                <w:lang w:eastAsia="ru-RU"/>
                              </w:rPr>
                              <w:t xml:space="preserve"> течени</w:t>
                            </w:r>
                            <w:r>
                              <w:rPr>
                                <w:rFonts w:ascii="Times New Roman" w:eastAsia="Times New Roman" w:hAnsi="Times New Roman"/>
                                <w:color w:val="000000"/>
                                <w:sz w:val="20"/>
                                <w:szCs w:val="20"/>
                                <w:lang w:eastAsia="ru-RU"/>
                              </w:rPr>
                              <w:t>е</w:t>
                            </w:r>
                            <w:r w:rsidRPr="00EA6B2B">
                              <w:rPr>
                                <w:rFonts w:ascii="Times New Roman" w:eastAsia="Times New Roman" w:hAnsi="Times New Roman"/>
                                <w:color w:val="000000"/>
                                <w:sz w:val="20"/>
                                <w:szCs w:val="20"/>
                                <w:lang w:eastAsia="ru-RU"/>
                              </w:rPr>
                              <w:t xml:space="preserve"> переходного периода</w:t>
                            </w:r>
                            <w:r>
                              <w:rPr>
                                <w:rFonts w:ascii="Times New Roman" w:eastAsia="Times New Roman" w:hAnsi="Times New Roman"/>
                                <w:color w:val="000000"/>
                                <w:sz w:val="20"/>
                                <w:szCs w:val="20"/>
                                <w:lang w:eastAsia="ru-RU"/>
                              </w:rPr>
                              <w:t>:</w:t>
                            </w:r>
                          </w:p>
                          <w:p w:rsidR="007E5DFE" w:rsidRDefault="007E5DFE" w:rsidP="009F1CCA">
                            <w:pPr>
                              <w:pStyle w:val="a9"/>
                              <w:numPr>
                                <w:ilvl w:val="0"/>
                                <w:numId w:val="19"/>
                              </w:numPr>
                              <w:spacing w:before="120" w:after="120" w:line="240" w:lineRule="auto"/>
                              <w:contextualSpacing w:val="0"/>
                              <w:jc w:val="both"/>
                              <w:rPr>
                                <w:rFonts w:ascii="Times New Roman" w:eastAsia="Times New Roman" w:hAnsi="Times New Roman"/>
                                <w:color w:val="000000"/>
                                <w:sz w:val="20"/>
                                <w:szCs w:val="20"/>
                                <w:lang w:eastAsia="ru-RU"/>
                              </w:rPr>
                            </w:pPr>
                            <w:r w:rsidRPr="005C2A14">
                              <w:rPr>
                                <w:rFonts w:ascii="Times New Roman" w:eastAsia="Times New Roman" w:hAnsi="Times New Roman"/>
                                <w:b/>
                                <w:color w:val="000000"/>
                                <w:sz w:val="20"/>
                                <w:szCs w:val="20"/>
                                <w:lang w:eastAsia="ru-RU"/>
                              </w:rPr>
                              <w:t xml:space="preserve">Оптимизация расходов менее болезненна по сравнению с </w:t>
                            </w:r>
                            <w:r>
                              <w:rPr>
                                <w:rFonts w:ascii="Times New Roman" w:eastAsia="Times New Roman" w:hAnsi="Times New Roman"/>
                                <w:b/>
                                <w:color w:val="000000"/>
                                <w:sz w:val="20"/>
                                <w:szCs w:val="20"/>
                                <w:lang w:eastAsia="ru-RU"/>
                              </w:rPr>
                              <w:t>повышением</w:t>
                            </w:r>
                            <w:r w:rsidRPr="005C2A14">
                              <w:rPr>
                                <w:rFonts w:ascii="Times New Roman" w:eastAsia="Times New Roman" w:hAnsi="Times New Roman"/>
                                <w:b/>
                                <w:color w:val="000000"/>
                                <w:sz w:val="20"/>
                                <w:szCs w:val="20"/>
                                <w:lang w:eastAsia="ru-RU"/>
                              </w:rPr>
                              <w:t xml:space="preserve"> налоговой нагрузки</w:t>
                            </w:r>
                            <w:r w:rsidRPr="005C2A14">
                              <w:rPr>
                                <w:rFonts w:ascii="Times New Roman" w:eastAsia="Times New Roman" w:hAnsi="Times New Roman"/>
                                <w:color w:val="000000"/>
                                <w:sz w:val="20"/>
                                <w:szCs w:val="20"/>
                                <w:lang w:eastAsia="ru-RU"/>
                              </w:rPr>
                              <w:t>. Увеличение налоговой нагрузки обычно более значительно искажает функционирование отдельных отраслей и рынков. Кроме того, повышенная нагрузка имеет тенденцию сдерживать рост наиболее эффективных секторов, перераспределяя средства в пользу текущего потребления и субсидий менее самостоятельным производствам. Предпочтения правительства в пользу повышения налогов повыша</w:t>
                            </w:r>
                            <w:r>
                              <w:rPr>
                                <w:rFonts w:ascii="Times New Roman" w:eastAsia="Times New Roman" w:hAnsi="Times New Roman"/>
                                <w:color w:val="000000"/>
                                <w:sz w:val="20"/>
                                <w:szCs w:val="20"/>
                                <w:lang w:eastAsia="ru-RU"/>
                              </w:rPr>
                              <w:t>ю</w:t>
                            </w:r>
                            <w:r w:rsidRPr="005C2A14">
                              <w:rPr>
                                <w:rFonts w:ascii="Times New Roman" w:eastAsia="Times New Roman" w:hAnsi="Times New Roman"/>
                                <w:color w:val="000000"/>
                                <w:sz w:val="20"/>
                                <w:szCs w:val="20"/>
                                <w:lang w:eastAsia="ru-RU"/>
                              </w:rPr>
                              <w:t>т неопределенность относительно будущей конфигурации налоговой системы, привод</w:t>
                            </w:r>
                            <w:r>
                              <w:rPr>
                                <w:rFonts w:ascii="Times New Roman" w:eastAsia="Times New Roman" w:hAnsi="Times New Roman"/>
                                <w:color w:val="000000"/>
                                <w:sz w:val="20"/>
                                <w:szCs w:val="20"/>
                                <w:lang w:eastAsia="ru-RU"/>
                              </w:rPr>
                              <w:t>я</w:t>
                            </w:r>
                            <w:r w:rsidRPr="005C2A14">
                              <w:rPr>
                                <w:rFonts w:ascii="Times New Roman" w:eastAsia="Times New Roman" w:hAnsi="Times New Roman"/>
                                <w:color w:val="000000"/>
                                <w:sz w:val="20"/>
                                <w:szCs w:val="20"/>
                                <w:lang w:eastAsia="ru-RU"/>
                              </w:rPr>
                              <w:t>т к росту реальных процентных ставок и сжатию инвестиционной активности.</w:t>
                            </w:r>
                          </w:p>
                          <w:p w:rsidR="007E5DFE" w:rsidRPr="009E0B5C" w:rsidRDefault="007E5DFE" w:rsidP="009F1CCA">
                            <w:pPr>
                              <w:pStyle w:val="a9"/>
                              <w:numPr>
                                <w:ilvl w:val="0"/>
                                <w:numId w:val="20"/>
                              </w:numPr>
                              <w:spacing w:before="120" w:after="120" w:line="240" w:lineRule="auto"/>
                              <w:contextualSpacing w:val="0"/>
                              <w:jc w:val="both"/>
                              <w:rPr>
                                <w:rFonts w:ascii="Times New Roman" w:eastAsia="Times New Roman" w:hAnsi="Times New Roman"/>
                                <w:color w:val="000000"/>
                                <w:sz w:val="20"/>
                                <w:szCs w:val="20"/>
                                <w:lang w:eastAsia="ru-RU"/>
                              </w:rPr>
                            </w:pPr>
                            <w:r w:rsidRPr="00FC358D">
                              <w:rPr>
                                <w:rFonts w:ascii="Times New Roman" w:eastAsia="Times New Roman" w:hAnsi="Times New Roman"/>
                                <w:b/>
                                <w:color w:val="000000"/>
                                <w:sz w:val="20"/>
                                <w:szCs w:val="20"/>
                                <w:lang w:eastAsia="ru-RU"/>
                              </w:rPr>
                              <w:t xml:space="preserve">Структурные реформы позволяют достичь устойчивого баланса бюджета. </w:t>
                            </w:r>
                            <w:r w:rsidRPr="00FC358D">
                              <w:rPr>
                                <w:rFonts w:ascii="Times New Roman" w:eastAsia="Times New Roman" w:hAnsi="Times New Roman"/>
                                <w:color w:val="000000"/>
                                <w:sz w:val="20"/>
                                <w:szCs w:val="20"/>
                                <w:lang w:eastAsia="ru-RU"/>
                              </w:rPr>
                              <w:t xml:space="preserve">Несмотря на то, что рост доходов (например, приватизационных) способен обеспечить баланс на целый ряд лет, несоответствие расходов и доходов часто вызвано структурными факторами: ухудшением условий торговли, демографическим трендами. </w:t>
                            </w:r>
                            <w:proofErr w:type="gramStart"/>
                            <w:r w:rsidRPr="00FC358D">
                              <w:rPr>
                                <w:rFonts w:ascii="Times New Roman" w:eastAsia="Times New Roman" w:hAnsi="Times New Roman"/>
                                <w:color w:val="000000"/>
                                <w:sz w:val="20"/>
                                <w:szCs w:val="20"/>
                                <w:lang w:eastAsia="ru-RU"/>
                              </w:rPr>
                              <w:t>Ответом на такие вызовы могут быть лишь структурные реформы, восстанавливающие равновесие между обязательствами и источниками доходов: стимулирование предложения труда путем перераспределения налогового бремени с доходов в пользу налогов на потребление (в Германии налог на доходы физлиц в 2005 г. понижен с 48% до 42%, НДС повышен в 2007 с 16% до 19%), реформа пенсионной системы (повышение пенсионного возраста, переход к</w:t>
                            </w:r>
                            <w:proofErr w:type="gramEnd"/>
                            <w:r w:rsidRPr="00FC358D">
                              <w:rPr>
                                <w:rFonts w:ascii="Times New Roman" w:eastAsia="Times New Roman" w:hAnsi="Times New Roman"/>
                                <w:color w:val="000000"/>
                                <w:sz w:val="20"/>
                                <w:szCs w:val="20"/>
                                <w:lang w:eastAsia="ru-RU"/>
                              </w:rPr>
                              <w:t xml:space="preserve"> накопительной и страховой пенсии), приватизация с целью либерализации и создания новых рынков (в Чили число госкомпаний снизилось с 595 в 1973 до 38 в 2000), </w:t>
                            </w:r>
                            <w:r w:rsidRPr="009E0B5C">
                              <w:rPr>
                                <w:rFonts w:ascii="Times New Roman" w:eastAsia="Times New Roman" w:hAnsi="Times New Roman"/>
                                <w:color w:val="000000"/>
                                <w:sz w:val="20"/>
                                <w:szCs w:val="20"/>
                                <w:lang w:eastAsia="ru-RU"/>
                              </w:rPr>
                              <w:t>реформа медицинского обслуживания (в Германии было проведено увеличение участия граждан в оплате услуг, ограничение бесплатной стоматологии).</w:t>
                            </w:r>
                          </w:p>
                          <w:p w:rsidR="007E5DFE" w:rsidRDefault="007E5DFE" w:rsidP="009F1CCA">
                            <w:pPr>
                              <w:pStyle w:val="a9"/>
                              <w:numPr>
                                <w:ilvl w:val="0"/>
                                <w:numId w:val="20"/>
                              </w:numPr>
                              <w:spacing w:before="120" w:after="120" w:line="240" w:lineRule="auto"/>
                              <w:contextualSpacing w:val="0"/>
                              <w:jc w:val="both"/>
                              <w:rPr>
                                <w:rFonts w:ascii="Times New Roman" w:eastAsia="Times New Roman" w:hAnsi="Times New Roman"/>
                                <w:color w:val="000000"/>
                                <w:sz w:val="20"/>
                                <w:szCs w:val="20"/>
                                <w:lang w:eastAsia="ru-RU"/>
                              </w:rPr>
                            </w:pPr>
                            <w:r w:rsidRPr="009E0B5C">
                              <w:rPr>
                                <w:rFonts w:ascii="Times New Roman" w:eastAsia="Times New Roman" w:hAnsi="Times New Roman"/>
                                <w:b/>
                                <w:color w:val="000000"/>
                                <w:sz w:val="20"/>
                                <w:szCs w:val="20"/>
                                <w:lang w:eastAsia="ru-RU"/>
                              </w:rPr>
                              <w:t xml:space="preserve">Широкая общественная поддержка. </w:t>
                            </w:r>
                            <w:r w:rsidRPr="009E0B5C">
                              <w:rPr>
                                <w:rFonts w:ascii="Times New Roman" w:eastAsia="Times New Roman" w:hAnsi="Times New Roman"/>
                                <w:color w:val="000000"/>
                                <w:sz w:val="20"/>
                                <w:szCs w:val="20"/>
                                <w:lang w:eastAsia="ru-RU"/>
                              </w:rPr>
                              <w:t>Меры по сокращению расходов могут быть неустойчивыми, если не являются результатом общественного консенсуса и не пользуются широкой поддержкой. Вместе с тем международный опыт говорит о том</w:t>
                            </w:r>
                            <w:r w:rsidRPr="00FC358D">
                              <w:rPr>
                                <w:rFonts w:ascii="Times New Roman" w:eastAsia="Times New Roman" w:hAnsi="Times New Roman"/>
                                <w:color w:val="000000"/>
                                <w:sz w:val="20"/>
                                <w:szCs w:val="20"/>
                                <w:lang w:eastAsia="ru-RU"/>
                              </w:rPr>
                              <w:t xml:space="preserve">, что возможно найти баланс между издержками от сокращения расходов (социальных и субсидий) и </w:t>
                            </w:r>
                            <w:r>
                              <w:rPr>
                                <w:rFonts w:ascii="Times New Roman" w:eastAsia="Times New Roman" w:hAnsi="Times New Roman"/>
                                <w:color w:val="000000"/>
                                <w:sz w:val="20"/>
                                <w:szCs w:val="20"/>
                                <w:lang w:eastAsia="ru-RU"/>
                              </w:rPr>
                              <w:t xml:space="preserve">интересами всех </w:t>
                            </w:r>
                            <w:r w:rsidRPr="00FC358D">
                              <w:rPr>
                                <w:rFonts w:ascii="Times New Roman" w:eastAsia="Times New Roman" w:hAnsi="Times New Roman"/>
                                <w:color w:val="000000"/>
                                <w:sz w:val="20"/>
                                <w:szCs w:val="20"/>
                                <w:lang w:eastAsia="ru-RU"/>
                              </w:rPr>
                              <w:t>заинтересованных сторон. Например, в 1987 г</w:t>
                            </w:r>
                            <w:r>
                              <w:rPr>
                                <w:rFonts w:ascii="Times New Roman" w:eastAsia="Times New Roman" w:hAnsi="Times New Roman"/>
                                <w:color w:val="000000"/>
                                <w:sz w:val="20"/>
                                <w:szCs w:val="20"/>
                                <w:lang w:eastAsia="ru-RU"/>
                              </w:rPr>
                              <w:t>оду</w:t>
                            </w:r>
                            <w:r w:rsidRPr="00FC358D">
                              <w:rPr>
                                <w:rFonts w:ascii="Times New Roman" w:eastAsia="Times New Roman" w:hAnsi="Times New Roman"/>
                                <w:color w:val="000000"/>
                                <w:sz w:val="20"/>
                                <w:szCs w:val="20"/>
                                <w:lang w:eastAsia="ru-RU"/>
                              </w:rPr>
                              <w:t xml:space="preserve"> правительство Ирландии достигло договоренности с профсоюзами о том, что сдержанный рост номинальных заработных плат в госсекторе будет частично компенсирован снижением подоходного налога, договор в Германии подразумевал более высокую занятость в обмен на пониженный рост заработных плат.</w:t>
                            </w:r>
                          </w:p>
                          <w:p w:rsidR="007E5DFE" w:rsidRDefault="007E5DFE" w:rsidP="009F1CCA">
                            <w:pPr>
                              <w:pStyle w:val="a9"/>
                              <w:numPr>
                                <w:ilvl w:val="0"/>
                                <w:numId w:val="20"/>
                              </w:numPr>
                              <w:spacing w:before="120" w:after="120" w:line="240" w:lineRule="auto"/>
                              <w:ind w:left="357" w:hanging="357"/>
                              <w:contextualSpacing w:val="0"/>
                              <w:jc w:val="both"/>
                              <w:rPr>
                                <w:rFonts w:ascii="Times New Roman" w:eastAsia="Times New Roman" w:hAnsi="Times New Roman"/>
                                <w:color w:val="000000"/>
                                <w:sz w:val="20"/>
                                <w:szCs w:val="20"/>
                                <w:lang w:eastAsia="ru-RU"/>
                              </w:rPr>
                            </w:pPr>
                            <w:r w:rsidRPr="00FC358D">
                              <w:rPr>
                                <w:rFonts w:ascii="Times New Roman" w:eastAsia="Times New Roman" w:hAnsi="Times New Roman"/>
                                <w:b/>
                                <w:color w:val="000000"/>
                                <w:sz w:val="20"/>
                                <w:szCs w:val="20"/>
                                <w:lang w:eastAsia="ru-RU"/>
                              </w:rPr>
                              <w:t xml:space="preserve">Тесная координация фискальной и денежно-кредитной политики. </w:t>
                            </w:r>
                            <w:r w:rsidRPr="00BF1AEF">
                              <w:rPr>
                                <w:rFonts w:ascii="Times New Roman" w:eastAsia="Times New Roman" w:hAnsi="Times New Roman"/>
                                <w:color w:val="000000"/>
                                <w:sz w:val="20"/>
                                <w:szCs w:val="20"/>
                                <w:lang w:eastAsia="ru-RU"/>
                              </w:rPr>
                              <w:t>В условиях близких к нулю и отрицательных процентных став</w:t>
                            </w:r>
                            <w:r>
                              <w:rPr>
                                <w:rFonts w:ascii="Times New Roman" w:eastAsia="Times New Roman" w:hAnsi="Times New Roman"/>
                                <w:color w:val="000000"/>
                                <w:sz w:val="20"/>
                                <w:szCs w:val="20"/>
                                <w:lang w:eastAsia="ru-RU"/>
                              </w:rPr>
                              <w:t>о</w:t>
                            </w:r>
                            <w:r w:rsidRPr="00BF1AEF">
                              <w:rPr>
                                <w:rFonts w:ascii="Times New Roman" w:eastAsia="Times New Roman" w:hAnsi="Times New Roman"/>
                                <w:color w:val="000000"/>
                                <w:sz w:val="20"/>
                                <w:szCs w:val="20"/>
                                <w:lang w:eastAsia="ru-RU"/>
                              </w:rPr>
                              <w:t xml:space="preserve">к фискальная консолидация в развитых экономиках проходит болезненно, сокращение государственных расходов может быть в незначительной мере компенсировано смягчением финансовых условий. Напротив, если сокращение спроса госсектора, в том числе пересмотр инвестиционных программ, оказывает </w:t>
                            </w:r>
                            <w:proofErr w:type="spellStart"/>
                            <w:r w:rsidRPr="00BF1AEF">
                              <w:rPr>
                                <w:rFonts w:ascii="Times New Roman" w:eastAsia="Times New Roman" w:hAnsi="Times New Roman"/>
                                <w:color w:val="000000"/>
                                <w:sz w:val="20"/>
                                <w:szCs w:val="20"/>
                                <w:lang w:eastAsia="ru-RU"/>
                              </w:rPr>
                              <w:t>дезинфляционное</w:t>
                            </w:r>
                            <w:proofErr w:type="spellEnd"/>
                            <w:r w:rsidRPr="00BF1AEF">
                              <w:rPr>
                                <w:rFonts w:ascii="Times New Roman" w:eastAsia="Times New Roman" w:hAnsi="Times New Roman"/>
                                <w:color w:val="000000"/>
                                <w:sz w:val="20"/>
                                <w:szCs w:val="20"/>
                                <w:lang w:eastAsia="ru-RU"/>
                              </w:rPr>
                              <w:t xml:space="preserve"> влияние и способствует достижению целей денежно-кредитной политики, то есть возможность смягчения последней пропорционально фискальной консолидации, способствуя быстрой и мягкой перестройке экономики</w:t>
                            </w:r>
                            <w:r>
                              <w:rPr>
                                <w:rFonts w:ascii="Times New Roman" w:eastAsia="Times New Roman" w:hAnsi="Times New Roman"/>
                                <w:color w:val="000000"/>
                                <w:sz w:val="20"/>
                                <w:szCs w:val="20"/>
                                <w:lang w:eastAsia="ru-RU"/>
                              </w:rPr>
                              <w:t>.</w:t>
                            </w:r>
                          </w:p>
                          <w:tbl>
                            <w:tblPr>
                              <w:tblStyle w:val="Smalltable"/>
                              <w:tblW w:w="6548" w:type="dxa"/>
                              <w:tblInd w:w="1120" w:type="dxa"/>
                              <w:tblLook w:val="04A0" w:firstRow="1" w:lastRow="0" w:firstColumn="1" w:lastColumn="0" w:noHBand="0" w:noVBand="1"/>
                            </w:tblPr>
                            <w:tblGrid>
                              <w:gridCol w:w="6729"/>
                              <w:gridCol w:w="62"/>
                            </w:tblGrid>
                            <w:tr w:rsidR="007E5DFE" w:rsidRPr="00E65DE3" w:rsidTr="005A0337">
                              <w:trPr>
                                <w:gridAfter w:val="1"/>
                                <w:wAfter w:w="62" w:type="dxa"/>
                                <w:trHeight w:val="198"/>
                              </w:trPr>
                              <w:tc>
                                <w:tcPr>
                                  <w:tcW w:w="6486" w:type="dxa"/>
                                  <w:shd w:val="clear" w:color="auto" w:fill="auto"/>
                                </w:tcPr>
                                <w:p w:rsidR="007E5DFE" w:rsidRPr="008B3C4E" w:rsidRDefault="007E5DFE" w:rsidP="0056787A">
                                  <w:pPr>
                                    <w:pStyle w:val="GraphTitle"/>
                                    <w:rPr>
                                      <w:rFonts w:ascii="Times New Roman" w:hAnsi="Times New Roman" w:cs="Times New Roman"/>
                                      <w:b/>
                                      <w:sz w:val="20"/>
                                      <w:szCs w:val="20"/>
                                      <w:lang w:val="ru-RU"/>
                                    </w:rPr>
                                  </w:pPr>
                                  <w:r>
                                    <w:rPr>
                                      <w:rFonts w:ascii="Times New Roman" w:hAnsi="Times New Roman" w:cs="Times New Roman"/>
                                      <w:b/>
                                      <w:sz w:val="20"/>
                                      <w:szCs w:val="20"/>
                                      <w:lang w:val="ru-RU"/>
                                    </w:rPr>
                                    <w:t>О</w:t>
                                  </w:r>
                                  <w:r w:rsidRPr="0056787A">
                                    <w:rPr>
                                      <w:rFonts w:ascii="Times New Roman" w:hAnsi="Times New Roman" w:cs="Times New Roman"/>
                                      <w:b/>
                                      <w:sz w:val="20"/>
                                      <w:szCs w:val="20"/>
                                      <w:lang w:val="ru-RU"/>
                                    </w:rPr>
                                    <w:t>тклик ВВП на фискальную консолидацию</w:t>
                                  </w:r>
                                  <w:r>
                                    <w:rPr>
                                      <w:rFonts w:ascii="Times New Roman" w:hAnsi="Times New Roman" w:cs="Times New Roman"/>
                                      <w:b/>
                                      <w:sz w:val="20"/>
                                      <w:szCs w:val="20"/>
                                      <w:lang w:val="ru-RU"/>
                                    </w:rPr>
                                    <w:t>*</w:t>
                                  </w:r>
                                </w:p>
                              </w:tc>
                            </w:tr>
                            <w:tr w:rsidR="007E5DFE" w:rsidRPr="00E65DE3" w:rsidTr="005A0337">
                              <w:trPr>
                                <w:trHeight w:hRule="exact" w:val="28"/>
                              </w:trPr>
                              <w:tc>
                                <w:tcPr>
                                  <w:tcW w:w="6486" w:type="dxa"/>
                                  <w:tcBorders>
                                    <w:bottom w:val="single" w:sz="4" w:space="0" w:color="auto"/>
                                  </w:tcBorders>
                                  <w:shd w:val="clear" w:color="auto" w:fill="auto"/>
                                </w:tcPr>
                                <w:p w:rsidR="007E5DFE" w:rsidRPr="00E65DE3" w:rsidRDefault="007E5DFE" w:rsidP="002102D9">
                                  <w:pPr>
                                    <w:pStyle w:val="TabText"/>
                                    <w:rPr>
                                      <w:rFonts w:ascii="Times New Roman" w:hAnsi="Times New Roman" w:cs="Times New Roman"/>
                                      <w:lang w:val="ru-RU"/>
                                    </w:rPr>
                                  </w:pPr>
                                </w:p>
                              </w:tc>
                              <w:tc>
                                <w:tcPr>
                                  <w:tcW w:w="62" w:type="dxa"/>
                                  <w:shd w:val="clear" w:color="auto" w:fill="auto"/>
                                </w:tcPr>
                                <w:p w:rsidR="007E5DFE" w:rsidRPr="00E65DE3" w:rsidRDefault="007E5DFE" w:rsidP="002102D9">
                                  <w:pPr>
                                    <w:pStyle w:val="TabText"/>
                                    <w:rPr>
                                      <w:rFonts w:ascii="Times New Roman" w:hAnsi="Times New Roman" w:cs="Times New Roman"/>
                                      <w:lang w:val="ru-RU"/>
                                    </w:rPr>
                                  </w:pPr>
                                </w:p>
                              </w:tc>
                            </w:tr>
                            <w:tr w:rsidR="007E5DFE" w:rsidRPr="00E65DE3" w:rsidTr="005A0337">
                              <w:tblPrEx>
                                <w:tblCellMar>
                                  <w:left w:w="108" w:type="dxa"/>
                                  <w:right w:w="108" w:type="dxa"/>
                                </w:tblCellMar>
                              </w:tblPrEx>
                              <w:trPr>
                                <w:gridAfter w:val="1"/>
                                <w:wAfter w:w="62" w:type="dxa"/>
                                <w:trHeight w:val="2200"/>
                              </w:trPr>
                              <w:tc>
                                <w:tcPr>
                                  <w:tcW w:w="6486" w:type="dxa"/>
                                  <w:tcBorders>
                                    <w:top w:val="single" w:sz="4" w:space="0" w:color="auto"/>
                                    <w:bottom w:val="single" w:sz="4" w:space="0" w:color="auto"/>
                                  </w:tcBorders>
                                  <w:shd w:val="clear" w:color="auto" w:fill="auto"/>
                                  <w:tcMar>
                                    <w:left w:w="0" w:type="nil"/>
                                    <w:right w:w="0" w:type="nil"/>
                                  </w:tcMar>
                                </w:tcPr>
                                <w:p w:rsidR="007E5DFE" w:rsidRPr="00E65DE3" w:rsidRDefault="007E5DFE" w:rsidP="002102D9">
                                  <w:pPr>
                                    <w:pStyle w:val="TabText"/>
                                    <w:rPr>
                                      <w:rFonts w:ascii="Times New Roman" w:hAnsi="Times New Roman" w:cs="Times New Roman"/>
                                      <w:lang w:val="ru-RU"/>
                                    </w:rPr>
                                  </w:pPr>
                                  <w:r>
                                    <w:rPr>
                                      <w:noProof/>
                                      <w:lang w:val="ru-RU" w:bidi="ar-SA"/>
                                    </w:rPr>
                                    <w:drawing>
                                      <wp:inline distT="0" distB="0" distL="0" distR="0" wp14:anchorId="575678E0" wp14:editId="2B681E7D">
                                        <wp:extent cx="4136065" cy="1796902"/>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7E5DFE" w:rsidRPr="00961161" w:rsidTr="005A0337">
                              <w:trPr>
                                <w:gridAfter w:val="1"/>
                                <w:wAfter w:w="62" w:type="dxa"/>
                                <w:trHeight w:val="198"/>
                              </w:trPr>
                              <w:tc>
                                <w:tcPr>
                                  <w:tcW w:w="6486" w:type="dxa"/>
                                  <w:tcBorders>
                                    <w:top w:val="single" w:sz="4" w:space="0" w:color="auto"/>
                                  </w:tcBorders>
                                  <w:shd w:val="clear" w:color="auto" w:fill="auto"/>
                                </w:tcPr>
                                <w:p w:rsidR="007E5DFE" w:rsidRPr="00CA0816" w:rsidRDefault="007E5DFE" w:rsidP="00CA0816">
                                  <w:pPr>
                                    <w:spacing w:after="0" w:line="0" w:lineRule="atLeast"/>
                                    <w:rPr>
                                      <w:rFonts w:ascii="Times New Roman" w:hAnsi="Times New Roman"/>
                                      <w:i/>
                                      <w:sz w:val="14"/>
                                      <w:szCs w:val="14"/>
                                      <w:lang w:val="ru-RU"/>
                                    </w:rPr>
                                  </w:pPr>
                                  <w:r w:rsidRPr="00CA0816">
                                    <w:rPr>
                                      <w:rFonts w:ascii="Times New Roman" w:hAnsi="Times New Roman"/>
                                      <w:i/>
                                      <w:sz w:val="14"/>
                                      <w:szCs w:val="14"/>
                                      <w:lang w:val="ru-RU"/>
                                    </w:rPr>
                                    <w:t>* на типичном примере (все эпизоды консолидации по выборке из 14 стран ОЭСР в период с 1978 по 2009)</w:t>
                                  </w:r>
                                </w:p>
                                <w:p w:rsidR="007E5DFE" w:rsidRPr="00961161" w:rsidRDefault="007E5DFE" w:rsidP="00CA0816">
                                  <w:pPr>
                                    <w:spacing w:after="0" w:line="0" w:lineRule="atLeast"/>
                                    <w:rPr>
                                      <w:rFonts w:ascii="Times New Roman" w:eastAsia="Calibri" w:hAnsi="Times New Roman"/>
                                      <w:i/>
                                      <w:lang w:val="ru-RU"/>
                                    </w:rPr>
                                  </w:pPr>
                                  <w:proofErr w:type="spellStart"/>
                                  <w:r w:rsidRPr="00CA0816">
                                    <w:rPr>
                                      <w:rFonts w:ascii="Times New Roman" w:hAnsi="Times New Roman"/>
                                      <w:i/>
                                      <w:sz w:val="14"/>
                                      <w:szCs w:val="14"/>
                                    </w:rPr>
                                    <w:t>Источник</w:t>
                                  </w:r>
                                  <w:proofErr w:type="spellEnd"/>
                                  <w:r w:rsidRPr="00CA0816">
                                    <w:rPr>
                                      <w:rFonts w:ascii="Times New Roman" w:hAnsi="Times New Roman"/>
                                      <w:i/>
                                      <w:sz w:val="14"/>
                                      <w:szCs w:val="14"/>
                                    </w:rPr>
                                    <w:t>: МВФ</w:t>
                                  </w:r>
                                </w:p>
                              </w:tc>
                            </w:tr>
                          </w:tbl>
                          <w:p w:rsidR="007E5DFE" w:rsidRPr="00FC358D" w:rsidRDefault="007E5DFE" w:rsidP="007E4E55">
                            <w:pPr>
                              <w:spacing w:before="120" w:after="120" w:line="240" w:lineRule="auto"/>
                              <w:jc w:val="both"/>
                              <w:rPr>
                                <w:rFonts w:ascii="Times New Roman" w:eastAsia="Times New Roman" w:hAnsi="Times New Roman"/>
                                <w:color w:val="000000"/>
                                <w:sz w:val="20"/>
                                <w:szCs w:val="20"/>
                                <w:lang w:eastAsia="ru-R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1pt;margin-top:-5pt;width:453.85pt;height:696.75pt;z-index:25165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" fillcolor="#f2f2f2 [3052]" stroked="f">
                <v:textbox>
                  <w:txbxContent>
                    <w:p w:rsidR="007E5DFE" w:rsidRDefault="007E5DFE" w:rsidP="00DD360F">
                      <w:pPr>
                        <w:spacing w:before="120" w:after="12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Ориентируясь на богатый международный опыт, можно выделить четыре основных принципа, соблюдение которых позволило странам, проводящим масштабные бюджетные реформы (консолидации), </w:t>
                      </w:r>
                      <w:r w:rsidRPr="00EA6B2B">
                        <w:rPr>
                          <w:rFonts w:ascii="Times New Roman" w:eastAsia="Times New Roman" w:hAnsi="Times New Roman"/>
                          <w:color w:val="000000"/>
                          <w:sz w:val="20"/>
                          <w:szCs w:val="20"/>
                          <w:lang w:eastAsia="ru-RU"/>
                        </w:rPr>
                        <w:t xml:space="preserve">сгладить </w:t>
                      </w:r>
                      <w:r>
                        <w:rPr>
                          <w:rFonts w:ascii="Times New Roman" w:eastAsia="Times New Roman" w:hAnsi="Times New Roman"/>
                          <w:color w:val="000000"/>
                          <w:sz w:val="20"/>
                          <w:szCs w:val="20"/>
                          <w:lang w:eastAsia="ru-RU"/>
                        </w:rPr>
                        <w:t>отрицательный краткосрочный импульс на экономический рост в</w:t>
                      </w:r>
                      <w:r w:rsidRPr="00EA6B2B">
                        <w:rPr>
                          <w:rFonts w:ascii="Times New Roman" w:eastAsia="Times New Roman" w:hAnsi="Times New Roman"/>
                          <w:color w:val="000000"/>
                          <w:sz w:val="20"/>
                          <w:szCs w:val="20"/>
                          <w:lang w:eastAsia="ru-RU"/>
                        </w:rPr>
                        <w:t xml:space="preserve"> течени</w:t>
                      </w:r>
                      <w:r>
                        <w:rPr>
                          <w:rFonts w:ascii="Times New Roman" w:eastAsia="Times New Roman" w:hAnsi="Times New Roman"/>
                          <w:color w:val="000000"/>
                          <w:sz w:val="20"/>
                          <w:szCs w:val="20"/>
                          <w:lang w:eastAsia="ru-RU"/>
                        </w:rPr>
                        <w:t>е</w:t>
                      </w:r>
                      <w:r w:rsidRPr="00EA6B2B">
                        <w:rPr>
                          <w:rFonts w:ascii="Times New Roman" w:eastAsia="Times New Roman" w:hAnsi="Times New Roman"/>
                          <w:color w:val="000000"/>
                          <w:sz w:val="20"/>
                          <w:szCs w:val="20"/>
                          <w:lang w:eastAsia="ru-RU"/>
                        </w:rPr>
                        <w:t xml:space="preserve"> переходного периода</w:t>
                      </w:r>
                      <w:r>
                        <w:rPr>
                          <w:rFonts w:ascii="Times New Roman" w:eastAsia="Times New Roman" w:hAnsi="Times New Roman"/>
                          <w:color w:val="000000"/>
                          <w:sz w:val="20"/>
                          <w:szCs w:val="20"/>
                          <w:lang w:eastAsia="ru-RU"/>
                        </w:rPr>
                        <w:t>:</w:t>
                      </w:r>
                    </w:p>
                    <w:p w:rsidR="007E5DFE" w:rsidRDefault="007E5DFE" w:rsidP="009F1CCA">
                      <w:pPr>
                        <w:pStyle w:val="a9"/>
                        <w:numPr>
                          <w:ilvl w:val="0"/>
                          <w:numId w:val="19"/>
                        </w:numPr>
                        <w:spacing w:before="120" w:after="120" w:line="240" w:lineRule="auto"/>
                        <w:contextualSpacing w:val="0"/>
                        <w:jc w:val="both"/>
                        <w:rPr>
                          <w:rFonts w:ascii="Times New Roman" w:eastAsia="Times New Roman" w:hAnsi="Times New Roman"/>
                          <w:color w:val="000000"/>
                          <w:sz w:val="20"/>
                          <w:szCs w:val="20"/>
                          <w:lang w:eastAsia="ru-RU"/>
                        </w:rPr>
                      </w:pPr>
                      <w:r w:rsidRPr="005C2A14">
                        <w:rPr>
                          <w:rFonts w:ascii="Times New Roman" w:eastAsia="Times New Roman" w:hAnsi="Times New Roman"/>
                          <w:b/>
                          <w:color w:val="000000"/>
                          <w:sz w:val="20"/>
                          <w:szCs w:val="20"/>
                          <w:lang w:eastAsia="ru-RU"/>
                        </w:rPr>
                        <w:t xml:space="preserve">Оптимизация расходов менее болезненна по сравнению с </w:t>
                      </w:r>
                      <w:r>
                        <w:rPr>
                          <w:rFonts w:ascii="Times New Roman" w:eastAsia="Times New Roman" w:hAnsi="Times New Roman"/>
                          <w:b/>
                          <w:color w:val="000000"/>
                          <w:sz w:val="20"/>
                          <w:szCs w:val="20"/>
                          <w:lang w:eastAsia="ru-RU"/>
                        </w:rPr>
                        <w:t>повышением</w:t>
                      </w:r>
                      <w:r w:rsidRPr="005C2A14">
                        <w:rPr>
                          <w:rFonts w:ascii="Times New Roman" w:eastAsia="Times New Roman" w:hAnsi="Times New Roman"/>
                          <w:b/>
                          <w:color w:val="000000"/>
                          <w:sz w:val="20"/>
                          <w:szCs w:val="20"/>
                          <w:lang w:eastAsia="ru-RU"/>
                        </w:rPr>
                        <w:t xml:space="preserve"> налоговой нагрузки</w:t>
                      </w:r>
                      <w:r w:rsidRPr="005C2A14">
                        <w:rPr>
                          <w:rFonts w:ascii="Times New Roman" w:eastAsia="Times New Roman" w:hAnsi="Times New Roman"/>
                          <w:color w:val="000000"/>
                          <w:sz w:val="20"/>
                          <w:szCs w:val="20"/>
                          <w:lang w:eastAsia="ru-RU"/>
                        </w:rPr>
                        <w:t>. Увеличение налоговой нагрузки обычно более значительно искажает функционирование отдельных отраслей и рынков. Кроме того, повышенная нагрузка имеет тенденцию сдерживать рост наиболее эффективных секторов, перераспределяя средства в пользу текущего потребления и субсидий менее самостоятельным производствам. Предпочтения правительства в пользу повышения налогов повыша</w:t>
                      </w:r>
                      <w:r>
                        <w:rPr>
                          <w:rFonts w:ascii="Times New Roman" w:eastAsia="Times New Roman" w:hAnsi="Times New Roman"/>
                          <w:color w:val="000000"/>
                          <w:sz w:val="20"/>
                          <w:szCs w:val="20"/>
                          <w:lang w:eastAsia="ru-RU"/>
                        </w:rPr>
                        <w:t>ю</w:t>
                      </w:r>
                      <w:r w:rsidRPr="005C2A14">
                        <w:rPr>
                          <w:rFonts w:ascii="Times New Roman" w:eastAsia="Times New Roman" w:hAnsi="Times New Roman"/>
                          <w:color w:val="000000"/>
                          <w:sz w:val="20"/>
                          <w:szCs w:val="20"/>
                          <w:lang w:eastAsia="ru-RU"/>
                        </w:rPr>
                        <w:t>т неопределенность относительно будущей конфигурации налоговой системы, привод</w:t>
                      </w:r>
                      <w:r>
                        <w:rPr>
                          <w:rFonts w:ascii="Times New Roman" w:eastAsia="Times New Roman" w:hAnsi="Times New Roman"/>
                          <w:color w:val="000000"/>
                          <w:sz w:val="20"/>
                          <w:szCs w:val="20"/>
                          <w:lang w:eastAsia="ru-RU"/>
                        </w:rPr>
                        <w:t>я</w:t>
                      </w:r>
                      <w:r w:rsidRPr="005C2A14">
                        <w:rPr>
                          <w:rFonts w:ascii="Times New Roman" w:eastAsia="Times New Roman" w:hAnsi="Times New Roman"/>
                          <w:color w:val="000000"/>
                          <w:sz w:val="20"/>
                          <w:szCs w:val="20"/>
                          <w:lang w:eastAsia="ru-RU"/>
                        </w:rPr>
                        <w:t>т к росту реальных процентных ставок и сжатию инвестиционной активности.</w:t>
                      </w:r>
                    </w:p>
                    <w:p w:rsidR="007E5DFE" w:rsidRPr="009E0B5C" w:rsidRDefault="007E5DFE" w:rsidP="009F1CCA">
                      <w:pPr>
                        <w:pStyle w:val="a9"/>
                        <w:numPr>
                          <w:ilvl w:val="0"/>
                          <w:numId w:val="20"/>
                        </w:numPr>
                        <w:spacing w:before="120" w:after="120" w:line="240" w:lineRule="auto"/>
                        <w:contextualSpacing w:val="0"/>
                        <w:jc w:val="both"/>
                        <w:rPr>
                          <w:rFonts w:ascii="Times New Roman" w:eastAsia="Times New Roman" w:hAnsi="Times New Roman"/>
                          <w:color w:val="000000"/>
                          <w:sz w:val="20"/>
                          <w:szCs w:val="20"/>
                          <w:lang w:eastAsia="ru-RU"/>
                        </w:rPr>
                      </w:pPr>
                      <w:r w:rsidRPr="00FC358D">
                        <w:rPr>
                          <w:rFonts w:ascii="Times New Roman" w:eastAsia="Times New Roman" w:hAnsi="Times New Roman"/>
                          <w:b/>
                          <w:color w:val="000000"/>
                          <w:sz w:val="20"/>
                          <w:szCs w:val="20"/>
                          <w:lang w:eastAsia="ru-RU"/>
                        </w:rPr>
                        <w:t xml:space="preserve">Структурные реформы позволяют достичь устойчивого баланса бюджета. </w:t>
                      </w:r>
                      <w:r w:rsidRPr="00FC358D">
                        <w:rPr>
                          <w:rFonts w:ascii="Times New Roman" w:eastAsia="Times New Roman" w:hAnsi="Times New Roman"/>
                          <w:color w:val="000000"/>
                          <w:sz w:val="20"/>
                          <w:szCs w:val="20"/>
                          <w:lang w:eastAsia="ru-RU"/>
                        </w:rPr>
                        <w:t xml:space="preserve">Несмотря на то, что рост доходов (например, приватизационных) способен обеспечить баланс на целый ряд лет, несоответствие расходов и доходов часто вызвано структурными факторами: ухудшением условий торговли, демографическим трендами. </w:t>
                      </w:r>
                      <w:proofErr w:type="gramStart"/>
                      <w:r w:rsidRPr="00FC358D">
                        <w:rPr>
                          <w:rFonts w:ascii="Times New Roman" w:eastAsia="Times New Roman" w:hAnsi="Times New Roman"/>
                          <w:color w:val="000000"/>
                          <w:sz w:val="20"/>
                          <w:szCs w:val="20"/>
                          <w:lang w:eastAsia="ru-RU"/>
                        </w:rPr>
                        <w:t>Ответом на такие вызовы могут быть лишь структурные реформы, восстанавливающие равновесие между обязательствами и источниками доходов: стимулирование предложения труда путем перераспределения налогового бремени с доходов в пользу налогов на потребление (в Германии налог на доходы физлиц в 2005 г. понижен с 48% до 42%, НДС повышен в 2007 с 16% до 19%), реформа пенсионной системы (повышение пенсионного возраста, переход к</w:t>
                      </w:r>
                      <w:proofErr w:type="gramEnd"/>
                      <w:r w:rsidRPr="00FC358D">
                        <w:rPr>
                          <w:rFonts w:ascii="Times New Roman" w:eastAsia="Times New Roman" w:hAnsi="Times New Roman"/>
                          <w:color w:val="000000"/>
                          <w:sz w:val="20"/>
                          <w:szCs w:val="20"/>
                          <w:lang w:eastAsia="ru-RU"/>
                        </w:rPr>
                        <w:t xml:space="preserve"> накопительной и страховой пенсии), приватизация с целью либерализации и создания новых рынков (в Чили число госкомпаний снизилось с 595 в 1973 до 38 в 2000), </w:t>
                      </w:r>
                      <w:r w:rsidRPr="009E0B5C">
                        <w:rPr>
                          <w:rFonts w:ascii="Times New Roman" w:eastAsia="Times New Roman" w:hAnsi="Times New Roman"/>
                          <w:color w:val="000000"/>
                          <w:sz w:val="20"/>
                          <w:szCs w:val="20"/>
                          <w:lang w:eastAsia="ru-RU"/>
                        </w:rPr>
                        <w:t>реформа медицинского обслуживания (в Германии было проведено увеличение участия граждан в оплате услуг, ограничение бесплатной стоматологии).</w:t>
                      </w:r>
                    </w:p>
                    <w:p w:rsidR="007E5DFE" w:rsidRDefault="007E5DFE" w:rsidP="009F1CCA">
                      <w:pPr>
                        <w:pStyle w:val="a9"/>
                        <w:numPr>
                          <w:ilvl w:val="0"/>
                          <w:numId w:val="20"/>
                        </w:numPr>
                        <w:spacing w:before="120" w:after="120" w:line="240" w:lineRule="auto"/>
                        <w:contextualSpacing w:val="0"/>
                        <w:jc w:val="both"/>
                        <w:rPr>
                          <w:rFonts w:ascii="Times New Roman" w:eastAsia="Times New Roman" w:hAnsi="Times New Roman"/>
                          <w:color w:val="000000"/>
                          <w:sz w:val="20"/>
                          <w:szCs w:val="20"/>
                          <w:lang w:eastAsia="ru-RU"/>
                        </w:rPr>
                      </w:pPr>
                      <w:r w:rsidRPr="009E0B5C">
                        <w:rPr>
                          <w:rFonts w:ascii="Times New Roman" w:eastAsia="Times New Roman" w:hAnsi="Times New Roman"/>
                          <w:b/>
                          <w:color w:val="000000"/>
                          <w:sz w:val="20"/>
                          <w:szCs w:val="20"/>
                          <w:lang w:eastAsia="ru-RU"/>
                        </w:rPr>
                        <w:t xml:space="preserve">Широкая общественная поддержка. </w:t>
                      </w:r>
                      <w:r w:rsidRPr="009E0B5C">
                        <w:rPr>
                          <w:rFonts w:ascii="Times New Roman" w:eastAsia="Times New Roman" w:hAnsi="Times New Roman"/>
                          <w:color w:val="000000"/>
                          <w:sz w:val="20"/>
                          <w:szCs w:val="20"/>
                          <w:lang w:eastAsia="ru-RU"/>
                        </w:rPr>
                        <w:t>Меры по сокращению расходов могут быть неустойчивыми, если не являются результатом общественного консенсуса и не пользуются широкой поддержкой. Вместе с тем международный опыт говорит о том</w:t>
                      </w:r>
                      <w:r w:rsidRPr="00FC358D">
                        <w:rPr>
                          <w:rFonts w:ascii="Times New Roman" w:eastAsia="Times New Roman" w:hAnsi="Times New Roman"/>
                          <w:color w:val="000000"/>
                          <w:sz w:val="20"/>
                          <w:szCs w:val="20"/>
                          <w:lang w:eastAsia="ru-RU"/>
                        </w:rPr>
                        <w:t xml:space="preserve">, что возможно найти баланс между издержками от сокращения расходов (социальных и субсидий) и </w:t>
                      </w:r>
                      <w:r>
                        <w:rPr>
                          <w:rFonts w:ascii="Times New Roman" w:eastAsia="Times New Roman" w:hAnsi="Times New Roman"/>
                          <w:color w:val="000000"/>
                          <w:sz w:val="20"/>
                          <w:szCs w:val="20"/>
                          <w:lang w:eastAsia="ru-RU"/>
                        </w:rPr>
                        <w:t xml:space="preserve">интересами всех </w:t>
                      </w:r>
                      <w:r w:rsidRPr="00FC358D">
                        <w:rPr>
                          <w:rFonts w:ascii="Times New Roman" w:eastAsia="Times New Roman" w:hAnsi="Times New Roman"/>
                          <w:color w:val="000000"/>
                          <w:sz w:val="20"/>
                          <w:szCs w:val="20"/>
                          <w:lang w:eastAsia="ru-RU"/>
                        </w:rPr>
                        <w:t>заинтересованных сторон. Например, в 1987 г</w:t>
                      </w:r>
                      <w:r>
                        <w:rPr>
                          <w:rFonts w:ascii="Times New Roman" w:eastAsia="Times New Roman" w:hAnsi="Times New Roman"/>
                          <w:color w:val="000000"/>
                          <w:sz w:val="20"/>
                          <w:szCs w:val="20"/>
                          <w:lang w:eastAsia="ru-RU"/>
                        </w:rPr>
                        <w:t>оду</w:t>
                      </w:r>
                      <w:r w:rsidRPr="00FC358D">
                        <w:rPr>
                          <w:rFonts w:ascii="Times New Roman" w:eastAsia="Times New Roman" w:hAnsi="Times New Roman"/>
                          <w:color w:val="000000"/>
                          <w:sz w:val="20"/>
                          <w:szCs w:val="20"/>
                          <w:lang w:eastAsia="ru-RU"/>
                        </w:rPr>
                        <w:t xml:space="preserve"> правительство Ирландии достигло договоренности с профсоюзами о том, что сдержанный рост номинальных заработных плат в госсекторе будет частично компенсирован снижением подоходного налога, договор в Германии подразумевал более высокую занятость в обмен на пониженный рост заработных плат.</w:t>
                      </w:r>
                    </w:p>
                    <w:p w:rsidR="007E5DFE" w:rsidRDefault="007E5DFE" w:rsidP="009F1CCA">
                      <w:pPr>
                        <w:pStyle w:val="a9"/>
                        <w:numPr>
                          <w:ilvl w:val="0"/>
                          <w:numId w:val="20"/>
                        </w:numPr>
                        <w:spacing w:before="120" w:after="120" w:line="240" w:lineRule="auto"/>
                        <w:ind w:left="357" w:hanging="357"/>
                        <w:contextualSpacing w:val="0"/>
                        <w:jc w:val="both"/>
                        <w:rPr>
                          <w:rFonts w:ascii="Times New Roman" w:eastAsia="Times New Roman" w:hAnsi="Times New Roman"/>
                          <w:color w:val="000000"/>
                          <w:sz w:val="20"/>
                          <w:szCs w:val="20"/>
                          <w:lang w:eastAsia="ru-RU"/>
                        </w:rPr>
                      </w:pPr>
                      <w:r w:rsidRPr="00FC358D">
                        <w:rPr>
                          <w:rFonts w:ascii="Times New Roman" w:eastAsia="Times New Roman" w:hAnsi="Times New Roman"/>
                          <w:b/>
                          <w:color w:val="000000"/>
                          <w:sz w:val="20"/>
                          <w:szCs w:val="20"/>
                          <w:lang w:eastAsia="ru-RU"/>
                        </w:rPr>
                        <w:t xml:space="preserve">Тесная координация фискальной и денежно-кредитной политики. </w:t>
                      </w:r>
                      <w:r w:rsidRPr="00BF1AEF">
                        <w:rPr>
                          <w:rFonts w:ascii="Times New Roman" w:eastAsia="Times New Roman" w:hAnsi="Times New Roman"/>
                          <w:color w:val="000000"/>
                          <w:sz w:val="20"/>
                          <w:szCs w:val="20"/>
                          <w:lang w:eastAsia="ru-RU"/>
                        </w:rPr>
                        <w:t>В условиях близких к нулю и отрицательных процентных став</w:t>
                      </w:r>
                      <w:r>
                        <w:rPr>
                          <w:rFonts w:ascii="Times New Roman" w:eastAsia="Times New Roman" w:hAnsi="Times New Roman"/>
                          <w:color w:val="000000"/>
                          <w:sz w:val="20"/>
                          <w:szCs w:val="20"/>
                          <w:lang w:eastAsia="ru-RU"/>
                        </w:rPr>
                        <w:t>о</w:t>
                      </w:r>
                      <w:r w:rsidRPr="00BF1AEF">
                        <w:rPr>
                          <w:rFonts w:ascii="Times New Roman" w:eastAsia="Times New Roman" w:hAnsi="Times New Roman"/>
                          <w:color w:val="000000"/>
                          <w:sz w:val="20"/>
                          <w:szCs w:val="20"/>
                          <w:lang w:eastAsia="ru-RU"/>
                        </w:rPr>
                        <w:t xml:space="preserve">к фискальная консолидация в развитых экономиках проходит болезненно, сокращение государственных расходов может быть в незначительной мере компенсировано смягчением финансовых условий. Напротив, если сокращение спроса госсектора, в том числе пересмотр инвестиционных программ, оказывает </w:t>
                      </w:r>
                      <w:proofErr w:type="spellStart"/>
                      <w:r w:rsidRPr="00BF1AEF">
                        <w:rPr>
                          <w:rFonts w:ascii="Times New Roman" w:eastAsia="Times New Roman" w:hAnsi="Times New Roman"/>
                          <w:color w:val="000000"/>
                          <w:sz w:val="20"/>
                          <w:szCs w:val="20"/>
                          <w:lang w:eastAsia="ru-RU"/>
                        </w:rPr>
                        <w:t>дезинфляционное</w:t>
                      </w:r>
                      <w:proofErr w:type="spellEnd"/>
                      <w:r w:rsidRPr="00BF1AEF">
                        <w:rPr>
                          <w:rFonts w:ascii="Times New Roman" w:eastAsia="Times New Roman" w:hAnsi="Times New Roman"/>
                          <w:color w:val="000000"/>
                          <w:sz w:val="20"/>
                          <w:szCs w:val="20"/>
                          <w:lang w:eastAsia="ru-RU"/>
                        </w:rPr>
                        <w:t xml:space="preserve"> влияние и способствует достижению целей денежно-кредитной политики, то есть возможность смягчения последней пропорционально фискальной консолидации, способствуя быстрой и мягкой перестройке экономики</w:t>
                      </w:r>
                      <w:r>
                        <w:rPr>
                          <w:rFonts w:ascii="Times New Roman" w:eastAsia="Times New Roman" w:hAnsi="Times New Roman"/>
                          <w:color w:val="000000"/>
                          <w:sz w:val="20"/>
                          <w:szCs w:val="20"/>
                          <w:lang w:eastAsia="ru-RU"/>
                        </w:rPr>
                        <w:t>.</w:t>
                      </w:r>
                    </w:p>
                    <w:tbl>
                      <w:tblPr>
                        <w:tblStyle w:val="Smalltable"/>
                        <w:tblW w:w="6548" w:type="dxa"/>
                        <w:tblInd w:w="1120" w:type="dxa"/>
                        <w:tblLook w:val="04A0" w:firstRow="1" w:lastRow="0" w:firstColumn="1" w:lastColumn="0" w:noHBand="0" w:noVBand="1"/>
                      </w:tblPr>
                      <w:tblGrid>
                        <w:gridCol w:w="6729"/>
                        <w:gridCol w:w="62"/>
                      </w:tblGrid>
                      <w:tr w:rsidR="007E5DFE" w:rsidRPr="00E65DE3" w:rsidTr="005A0337">
                        <w:trPr>
                          <w:gridAfter w:val="1"/>
                          <w:wAfter w:w="62" w:type="dxa"/>
                          <w:trHeight w:val="198"/>
                        </w:trPr>
                        <w:tc>
                          <w:tcPr>
                            <w:tcW w:w="6486" w:type="dxa"/>
                            <w:shd w:val="clear" w:color="auto" w:fill="auto"/>
                          </w:tcPr>
                          <w:p w:rsidR="007E5DFE" w:rsidRPr="008B3C4E" w:rsidRDefault="007E5DFE" w:rsidP="0056787A">
                            <w:pPr>
                              <w:pStyle w:val="GraphTitle"/>
                              <w:rPr>
                                <w:rFonts w:ascii="Times New Roman" w:hAnsi="Times New Roman" w:cs="Times New Roman"/>
                                <w:b/>
                                <w:sz w:val="20"/>
                                <w:szCs w:val="20"/>
                                <w:lang w:val="ru-RU"/>
                              </w:rPr>
                            </w:pPr>
                            <w:r>
                              <w:rPr>
                                <w:rFonts w:ascii="Times New Roman" w:hAnsi="Times New Roman" w:cs="Times New Roman"/>
                                <w:b/>
                                <w:sz w:val="20"/>
                                <w:szCs w:val="20"/>
                                <w:lang w:val="ru-RU"/>
                              </w:rPr>
                              <w:t>О</w:t>
                            </w:r>
                            <w:r w:rsidRPr="0056787A">
                              <w:rPr>
                                <w:rFonts w:ascii="Times New Roman" w:hAnsi="Times New Roman" w:cs="Times New Roman"/>
                                <w:b/>
                                <w:sz w:val="20"/>
                                <w:szCs w:val="20"/>
                                <w:lang w:val="ru-RU"/>
                              </w:rPr>
                              <w:t>тклик ВВП на фискальную консолидацию</w:t>
                            </w:r>
                            <w:r>
                              <w:rPr>
                                <w:rFonts w:ascii="Times New Roman" w:hAnsi="Times New Roman" w:cs="Times New Roman"/>
                                <w:b/>
                                <w:sz w:val="20"/>
                                <w:szCs w:val="20"/>
                                <w:lang w:val="ru-RU"/>
                              </w:rPr>
                              <w:t>*</w:t>
                            </w:r>
                          </w:p>
                        </w:tc>
                      </w:tr>
                      <w:tr w:rsidR="007E5DFE" w:rsidRPr="00E65DE3" w:rsidTr="005A0337">
                        <w:trPr>
                          <w:trHeight w:hRule="exact" w:val="28"/>
                        </w:trPr>
                        <w:tc>
                          <w:tcPr>
                            <w:tcW w:w="6486" w:type="dxa"/>
                            <w:tcBorders>
                              <w:bottom w:val="single" w:sz="4" w:space="0" w:color="auto"/>
                            </w:tcBorders>
                            <w:shd w:val="clear" w:color="auto" w:fill="auto"/>
                          </w:tcPr>
                          <w:p w:rsidR="007E5DFE" w:rsidRPr="00E65DE3" w:rsidRDefault="007E5DFE" w:rsidP="002102D9">
                            <w:pPr>
                              <w:pStyle w:val="TabText"/>
                              <w:rPr>
                                <w:rFonts w:ascii="Times New Roman" w:hAnsi="Times New Roman" w:cs="Times New Roman"/>
                                <w:lang w:val="ru-RU"/>
                              </w:rPr>
                            </w:pPr>
                          </w:p>
                        </w:tc>
                        <w:tc>
                          <w:tcPr>
                            <w:tcW w:w="62" w:type="dxa"/>
                            <w:shd w:val="clear" w:color="auto" w:fill="auto"/>
                          </w:tcPr>
                          <w:p w:rsidR="007E5DFE" w:rsidRPr="00E65DE3" w:rsidRDefault="007E5DFE" w:rsidP="002102D9">
                            <w:pPr>
                              <w:pStyle w:val="TabText"/>
                              <w:rPr>
                                <w:rFonts w:ascii="Times New Roman" w:hAnsi="Times New Roman" w:cs="Times New Roman"/>
                                <w:lang w:val="ru-RU"/>
                              </w:rPr>
                            </w:pPr>
                          </w:p>
                        </w:tc>
                      </w:tr>
                      <w:tr w:rsidR="007E5DFE" w:rsidRPr="00E65DE3" w:rsidTr="005A0337">
                        <w:tblPrEx>
                          <w:tblCellMar>
                            <w:left w:w="108" w:type="dxa"/>
                            <w:right w:w="108" w:type="dxa"/>
                          </w:tblCellMar>
                        </w:tblPrEx>
                        <w:trPr>
                          <w:gridAfter w:val="1"/>
                          <w:wAfter w:w="62" w:type="dxa"/>
                          <w:trHeight w:val="2200"/>
                        </w:trPr>
                        <w:tc>
                          <w:tcPr>
                            <w:tcW w:w="6486" w:type="dxa"/>
                            <w:tcBorders>
                              <w:top w:val="single" w:sz="4" w:space="0" w:color="auto"/>
                              <w:bottom w:val="single" w:sz="4" w:space="0" w:color="auto"/>
                            </w:tcBorders>
                            <w:shd w:val="clear" w:color="auto" w:fill="auto"/>
                            <w:tcMar>
                              <w:left w:w="0" w:type="nil"/>
                              <w:right w:w="0" w:type="nil"/>
                            </w:tcMar>
                          </w:tcPr>
                          <w:p w:rsidR="007E5DFE" w:rsidRPr="00E65DE3" w:rsidRDefault="007E5DFE" w:rsidP="002102D9">
                            <w:pPr>
                              <w:pStyle w:val="TabText"/>
                              <w:rPr>
                                <w:rFonts w:ascii="Times New Roman" w:hAnsi="Times New Roman" w:cs="Times New Roman"/>
                                <w:lang w:val="ru-RU"/>
                              </w:rPr>
                            </w:pPr>
                            <w:r>
                              <w:rPr>
                                <w:noProof/>
                                <w:lang w:val="ru-RU" w:bidi="ar-SA"/>
                              </w:rPr>
                              <w:drawing>
                                <wp:inline distT="0" distB="0" distL="0" distR="0" wp14:anchorId="575678E0" wp14:editId="2B681E7D">
                                  <wp:extent cx="4136065" cy="1796902"/>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7E5DFE" w:rsidRPr="00961161" w:rsidTr="005A0337">
                        <w:trPr>
                          <w:gridAfter w:val="1"/>
                          <w:wAfter w:w="62" w:type="dxa"/>
                          <w:trHeight w:val="198"/>
                        </w:trPr>
                        <w:tc>
                          <w:tcPr>
                            <w:tcW w:w="6486" w:type="dxa"/>
                            <w:tcBorders>
                              <w:top w:val="single" w:sz="4" w:space="0" w:color="auto"/>
                            </w:tcBorders>
                            <w:shd w:val="clear" w:color="auto" w:fill="auto"/>
                          </w:tcPr>
                          <w:p w:rsidR="007E5DFE" w:rsidRPr="00CA0816" w:rsidRDefault="007E5DFE" w:rsidP="00CA0816">
                            <w:pPr>
                              <w:spacing w:after="0" w:line="0" w:lineRule="atLeast"/>
                              <w:rPr>
                                <w:rFonts w:ascii="Times New Roman" w:hAnsi="Times New Roman"/>
                                <w:i/>
                                <w:sz w:val="14"/>
                                <w:szCs w:val="14"/>
                                <w:lang w:val="ru-RU"/>
                              </w:rPr>
                            </w:pPr>
                            <w:r w:rsidRPr="00CA0816">
                              <w:rPr>
                                <w:rFonts w:ascii="Times New Roman" w:hAnsi="Times New Roman"/>
                                <w:i/>
                                <w:sz w:val="14"/>
                                <w:szCs w:val="14"/>
                                <w:lang w:val="ru-RU"/>
                              </w:rPr>
                              <w:t>* на типичном примере (все эпизоды консолидации по выборке из 14 стран ОЭСР в период с 1978 по 2009)</w:t>
                            </w:r>
                          </w:p>
                          <w:p w:rsidR="007E5DFE" w:rsidRPr="00961161" w:rsidRDefault="007E5DFE" w:rsidP="00CA0816">
                            <w:pPr>
                              <w:spacing w:after="0" w:line="0" w:lineRule="atLeast"/>
                              <w:rPr>
                                <w:rFonts w:ascii="Times New Roman" w:eastAsia="Calibri" w:hAnsi="Times New Roman"/>
                                <w:i/>
                                <w:lang w:val="ru-RU"/>
                              </w:rPr>
                            </w:pPr>
                            <w:proofErr w:type="spellStart"/>
                            <w:r w:rsidRPr="00CA0816">
                              <w:rPr>
                                <w:rFonts w:ascii="Times New Roman" w:hAnsi="Times New Roman"/>
                                <w:i/>
                                <w:sz w:val="14"/>
                                <w:szCs w:val="14"/>
                              </w:rPr>
                              <w:t>Источник</w:t>
                            </w:r>
                            <w:proofErr w:type="spellEnd"/>
                            <w:r w:rsidRPr="00CA0816">
                              <w:rPr>
                                <w:rFonts w:ascii="Times New Roman" w:hAnsi="Times New Roman"/>
                                <w:i/>
                                <w:sz w:val="14"/>
                                <w:szCs w:val="14"/>
                              </w:rPr>
                              <w:t>: МВФ</w:t>
                            </w:r>
                          </w:p>
                        </w:tc>
                      </w:tr>
                    </w:tbl>
                    <w:p w:rsidR="007E5DFE" w:rsidRPr="00FC358D" w:rsidRDefault="007E5DFE" w:rsidP="007E4E55">
                      <w:pPr>
                        <w:spacing w:before="120" w:after="120" w:line="240" w:lineRule="auto"/>
                        <w:jc w:val="both"/>
                        <w:rPr>
                          <w:rFonts w:ascii="Times New Roman" w:eastAsia="Times New Roman" w:hAnsi="Times New Roman"/>
                          <w:color w:val="000000"/>
                          <w:sz w:val="20"/>
                          <w:szCs w:val="20"/>
                          <w:lang w:eastAsia="ru-RU"/>
                        </w:rPr>
                      </w:pPr>
                    </w:p>
                  </w:txbxContent>
                </v:textbox>
                <w10:wrap type="square" anchorx="margin"/>
              </v:shape>
            </w:pict>
          </mc:Fallback>
        </mc:AlternateContent>
      </w:r>
    </w:p>
    <w:p w:rsidR="00071FA4" w:rsidRPr="007D7B05" w:rsidRDefault="00071FA4" w:rsidP="00071FA4">
      <w:pPr>
        <w:spacing w:before="120" w:after="120"/>
        <w:jc w:val="both"/>
        <w:rPr>
          <w:rFonts w:ascii="Times New Roman" w:hAnsi="Times New Roman"/>
          <w:sz w:val="24"/>
          <w:szCs w:val="24"/>
        </w:rPr>
      </w:pPr>
      <w:r>
        <w:rPr>
          <w:rFonts w:ascii="Times New Roman" w:hAnsi="Times New Roman"/>
          <w:sz w:val="24"/>
          <w:szCs w:val="24"/>
        </w:rPr>
        <w:t>П</w:t>
      </w:r>
      <w:r w:rsidRPr="00AF6F26">
        <w:rPr>
          <w:rFonts w:ascii="Times New Roman" w:hAnsi="Times New Roman"/>
          <w:sz w:val="24"/>
          <w:szCs w:val="24"/>
        </w:rPr>
        <w:t xml:space="preserve">ри этом </w:t>
      </w:r>
      <w:r>
        <w:rPr>
          <w:rFonts w:ascii="Times New Roman" w:hAnsi="Times New Roman"/>
          <w:sz w:val="24"/>
          <w:szCs w:val="24"/>
        </w:rPr>
        <w:t xml:space="preserve">траектория фискальной консолидации тесно скоординирована с динамикой делового цикла и денежно-кредитной политикой, что позволяет достичь оптимальных результатов. </w:t>
      </w:r>
      <w:proofErr w:type="gramStart"/>
      <w:r>
        <w:rPr>
          <w:rFonts w:ascii="Times New Roman" w:hAnsi="Times New Roman"/>
          <w:sz w:val="24"/>
          <w:szCs w:val="24"/>
        </w:rPr>
        <w:t>Так, период существенн</w:t>
      </w:r>
      <w:r w:rsidR="00C33DD3">
        <w:rPr>
          <w:rFonts w:ascii="Times New Roman" w:hAnsi="Times New Roman"/>
          <w:sz w:val="24"/>
          <w:szCs w:val="24"/>
        </w:rPr>
        <w:t xml:space="preserve">ого сжатия частного спроса во 2 полугодии 2014-  1 полугодии </w:t>
      </w:r>
      <w:r>
        <w:rPr>
          <w:rFonts w:ascii="Times New Roman" w:hAnsi="Times New Roman"/>
          <w:sz w:val="24"/>
          <w:szCs w:val="24"/>
        </w:rPr>
        <w:t>2016 гг. характеризовался скромными масштабами сокращения дефицита (ненефтегазовый дефицит сократился до 9,1% ВВП к 2016 году – всего на 0,7п.п. к уровню 2014 года), а с началом восстановительной фазы делового цикла темпы консолидации должны увеличит</w:t>
      </w:r>
      <w:r w:rsidR="00BC1336">
        <w:rPr>
          <w:rFonts w:ascii="Times New Roman" w:hAnsi="Times New Roman"/>
          <w:sz w:val="24"/>
          <w:szCs w:val="24"/>
        </w:rPr>
        <w:t>ь</w:t>
      </w:r>
      <w:r>
        <w:rPr>
          <w:rFonts w:ascii="Times New Roman" w:hAnsi="Times New Roman"/>
          <w:sz w:val="24"/>
          <w:szCs w:val="24"/>
        </w:rPr>
        <w:t>ся (в среднем до 0,9п.п.</w:t>
      </w:r>
      <w:proofErr w:type="gramEnd"/>
      <w:r>
        <w:rPr>
          <w:rFonts w:ascii="Times New Roman" w:hAnsi="Times New Roman"/>
          <w:sz w:val="24"/>
          <w:szCs w:val="24"/>
        </w:rPr>
        <w:t xml:space="preserve"> </w:t>
      </w:r>
      <w:proofErr w:type="gramStart"/>
      <w:r>
        <w:rPr>
          <w:rFonts w:ascii="Times New Roman" w:hAnsi="Times New Roman"/>
          <w:sz w:val="24"/>
          <w:szCs w:val="24"/>
        </w:rPr>
        <w:t>ВВП в год в период 2017-2019</w:t>
      </w:r>
      <w:r w:rsidR="00A909DA">
        <w:rPr>
          <w:rFonts w:ascii="Times New Roman" w:hAnsi="Times New Roman"/>
          <w:sz w:val="24"/>
          <w:szCs w:val="24"/>
        </w:rPr>
        <w:t xml:space="preserve"> годов</w:t>
      </w:r>
      <w:r>
        <w:rPr>
          <w:rFonts w:ascii="Times New Roman" w:hAnsi="Times New Roman"/>
          <w:sz w:val="24"/>
          <w:szCs w:val="24"/>
        </w:rPr>
        <w:t>).</w:t>
      </w:r>
      <w:proofErr w:type="gramEnd"/>
      <w:r>
        <w:rPr>
          <w:rFonts w:ascii="Times New Roman" w:hAnsi="Times New Roman"/>
          <w:sz w:val="24"/>
          <w:szCs w:val="24"/>
        </w:rPr>
        <w:t xml:space="preserve"> Это будет способствовать стабилизации инфляционных ожиданий у целевых ориентиров, расширяя возможности для смягчения денежно-кредитной политики.</w:t>
      </w:r>
    </w:p>
    <w:p w:rsidR="005765AE" w:rsidRPr="00115E1A" w:rsidRDefault="009072F4" w:rsidP="00115E1A">
      <w:pPr>
        <w:pStyle w:val="20"/>
        <w:numPr>
          <w:ilvl w:val="1"/>
          <w:numId w:val="3"/>
        </w:numPr>
        <w:spacing w:before="240" w:after="240"/>
        <w:rPr>
          <w:rFonts w:ascii="Times New Roman" w:hAnsi="Times New Roman"/>
          <w:sz w:val="28"/>
          <w:szCs w:val="28"/>
        </w:rPr>
      </w:pPr>
      <w:bookmarkStart w:id="9" w:name="_Toc494788026"/>
      <w:r w:rsidRPr="009072F4">
        <w:rPr>
          <w:rFonts w:ascii="Times New Roman" w:hAnsi="Times New Roman"/>
          <w:sz w:val="28"/>
          <w:szCs w:val="28"/>
        </w:rPr>
        <w:t>СТРУКТУРН</w:t>
      </w:r>
      <w:r>
        <w:rPr>
          <w:rFonts w:ascii="Times New Roman" w:hAnsi="Times New Roman"/>
          <w:sz w:val="28"/>
          <w:szCs w:val="28"/>
        </w:rPr>
        <w:t>АЯ</w:t>
      </w:r>
      <w:r w:rsidRPr="009072F4">
        <w:rPr>
          <w:rFonts w:ascii="Times New Roman" w:hAnsi="Times New Roman"/>
          <w:sz w:val="28"/>
          <w:szCs w:val="28"/>
        </w:rPr>
        <w:t xml:space="preserve"> ТРАНСФОРМАЦИ</w:t>
      </w:r>
      <w:r>
        <w:rPr>
          <w:rFonts w:ascii="Times New Roman" w:hAnsi="Times New Roman"/>
          <w:sz w:val="28"/>
          <w:szCs w:val="28"/>
        </w:rPr>
        <w:t>Я</w:t>
      </w:r>
      <w:r w:rsidRPr="009072F4">
        <w:rPr>
          <w:rFonts w:ascii="Times New Roman" w:hAnsi="Times New Roman"/>
          <w:sz w:val="28"/>
          <w:szCs w:val="28"/>
        </w:rPr>
        <w:t xml:space="preserve"> ЭКОНОМИКИ</w:t>
      </w:r>
      <w:bookmarkEnd w:id="9"/>
    </w:p>
    <w:p w:rsidR="00A442B0" w:rsidRDefault="00E85535" w:rsidP="00B7665C">
      <w:pPr>
        <w:spacing w:before="120" w:after="120"/>
        <w:jc w:val="both"/>
        <w:rPr>
          <w:rFonts w:ascii="Times New Roman" w:hAnsi="Times New Roman"/>
          <w:sz w:val="24"/>
          <w:szCs w:val="24"/>
        </w:rPr>
      </w:pPr>
      <w:r w:rsidRPr="00A358C5">
        <w:rPr>
          <w:rFonts w:ascii="Times New Roman" w:hAnsi="Times New Roman"/>
          <w:sz w:val="24"/>
          <w:szCs w:val="24"/>
        </w:rPr>
        <w:t>Программа</w:t>
      </w:r>
      <w:r w:rsidR="00A358C5">
        <w:rPr>
          <w:rFonts w:ascii="Times New Roman" w:hAnsi="Times New Roman"/>
          <w:sz w:val="24"/>
          <w:szCs w:val="24"/>
        </w:rPr>
        <w:t xml:space="preserve"> </w:t>
      </w:r>
      <w:r>
        <w:rPr>
          <w:rFonts w:ascii="Times New Roman" w:hAnsi="Times New Roman"/>
          <w:sz w:val="24"/>
          <w:szCs w:val="24"/>
        </w:rPr>
        <w:t xml:space="preserve">фискальной консолидации построена на основополагающем принципе, что все расходные обязательства должны финансироваться (1) не в ущерб макроэкономической стабильности и предсказуемости и (2) в рамках текущей – не низкой для добросовестных налогоплательщиков – налоговой нагрузки. </w:t>
      </w:r>
      <w:r w:rsidRPr="00E85535">
        <w:rPr>
          <w:rFonts w:ascii="Times New Roman" w:hAnsi="Times New Roman"/>
          <w:sz w:val="24"/>
          <w:szCs w:val="24"/>
        </w:rPr>
        <w:t xml:space="preserve">Такой подход создает стимул для </w:t>
      </w:r>
      <w:r>
        <w:rPr>
          <w:rFonts w:ascii="Times New Roman" w:hAnsi="Times New Roman"/>
          <w:sz w:val="24"/>
          <w:szCs w:val="24"/>
        </w:rPr>
        <w:t xml:space="preserve">выработки мер </w:t>
      </w:r>
      <w:r w:rsidRPr="00E85535">
        <w:rPr>
          <w:rFonts w:ascii="Times New Roman" w:hAnsi="Times New Roman"/>
          <w:sz w:val="24"/>
          <w:szCs w:val="24"/>
        </w:rPr>
        <w:t>с ненулевой суммой</w:t>
      </w:r>
      <w:r w:rsidR="00BC3E9C">
        <w:rPr>
          <w:rFonts w:ascii="Times New Roman" w:hAnsi="Times New Roman"/>
          <w:sz w:val="24"/>
          <w:szCs w:val="24"/>
        </w:rPr>
        <w:t xml:space="preserve"> – </w:t>
      </w:r>
      <w:r>
        <w:rPr>
          <w:rFonts w:ascii="Times New Roman" w:hAnsi="Times New Roman"/>
          <w:sz w:val="24"/>
          <w:szCs w:val="24"/>
        </w:rPr>
        <w:t xml:space="preserve">таких как </w:t>
      </w:r>
      <w:r w:rsidRPr="00E85535">
        <w:rPr>
          <w:rFonts w:ascii="Times New Roman" w:hAnsi="Times New Roman"/>
          <w:sz w:val="24"/>
          <w:szCs w:val="24"/>
        </w:rPr>
        <w:t>повышение собираемости</w:t>
      </w:r>
      <w:r>
        <w:rPr>
          <w:rFonts w:ascii="Times New Roman" w:hAnsi="Times New Roman"/>
          <w:sz w:val="24"/>
          <w:szCs w:val="24"/>
        </w:rPr>
        <w:t xml:space="preserve"> налогов и отдачи от государственных активов</w:t>
      </w:r>
      <w:r w:rsidRPr="00E85535">
        <w:rPr>
          <w:rFonts w:ascii="Times New Roman" w:hAnsi="Times New Roman"/>
          <w:sz w:val="24"/>
          <w:szCs w:val="24"/>
        </w:rPr>
        <w:t xml:space="preserve">, сокращение неэффективных расходов </w:t>
      </w:r>
      <w:r>
        <w:rPr>
          <w:rFonts w:ascii="Times New Roman" w:hAnsi="Times New Roman"/>
          <w:sz w:val="24"/>
          <w:szCs w:val="24"/>
        </w:rPr>
        <w:t>(как прямых, так и встроенных в структуру налоговой системы)</w:t>
      </w:r>
      <w:r w:rsidR="00BC3E9C">
        <w:rPr>
          <w:rFonts w:ascii="Times New Roman" w:hAnsi="Times New Roman"/>
          <w:sz w:val="24"/>
          <w:szCs w:val="24"/>
        </w:rPr>
        <w:t xml:space="preserve">. Такие </w:t>
      </w:r>
      <w:r w:rsidR="00BC3E9C" w:rsidRPr="00BC3E9C">
        <w:rPr>
          <w:rFonts w:ascii="Times New Roman" w:hAnsi="Times New Roman"/>
          <w:sz w:val="24"/>
          <w:szCs w:val="24"/>
        </w:rPr>
        <w:t xml:space="preserve">меры не только обеспечивают положительный эффект с фискальной точки зрения, но и </w:t>
      </w:r>
      <w:r w:rsidR="00BC3E9C" w:rsidRPr="00BC3E9C">
        <w:rPr>
          <w:rFonts w:ascii="Times New Roman" w:hAnsi="Times New Roman"/>
          <w:b/>
          <w:i/>
          <w:sz w:val="24"/>
          <w:szCs w:val="24"/>
        </w:rPr>
        <w:t>способствуют созданию положительных структурных изменений</w:t>
      </w:r>
      <w:r w:rsidR="003825AF" w:rsidRPr="003825AF">
        <w:rPr>
          <w:rFonts w:ascii="Times New Roman" w:hAnsi="Times New Roman"/>
          <w:sz w:val="24"/>
          <w:szCs w:val="24"/>
        </w:rPr>
        <w:t xml:space="preserve"> – </w:t>
      </w:r>
      <w:r w:rsidR="003825AF">
        <w:rPr>
          <w:rFonts w:ascii="Times New Roman" w:hAnsi="Times New Roman"/>
          <w:sz w:val="24"/>
          <w:szCs w:val="24"/>
        </w:rPr>
        <w:t>то есть структурной трансформации экономики</w:t>
      </w:r>
      <w:r w:rsidR="00BC3E9C">
        <w:rPr>
          <w:rFonts w:ascii="Times New Roman" w:hAnsi="Times New Roman"/>
          <w:sz w:val="24"/>
          <w:szCs w:val="24"/>
        </w:rPr>
        <w:t>.</w:t>
      </w:r>
    </w:p>
    <w:p w:rsidR="003825AF" w:rsidRPr="00243609" w:rsidRDefault="00362181" w:rsidP="003B3A8D">
      <w:pPr>
        <w:spacing w:before="120" w:after="120"/>
        <w:jc w:val="both"/>
        <w:rPr>
          <w:rFonts w:ascii="Times New Roman" w:hAnsi="Times New Roman"/>
          <w:b/>
          <w:sz w:val="24"/>
          <w:szCs w:val="24"/>
        </w:rPr>
      </w:pPr>
      <w:r w:rsidRPr="003825AF">
        <w:rPr>
          <w:rFonts w:ascii="Times New Roman" w:hAnsi="Times New Roman"/>
          <w:b/>
          <w:sz w:val="24"/>
          <w:szCs w:val="24"/>
        </w:rPr>
        <w:t>СОКРАЩЕНИЕ ТЕНЕВОГО СЕКТОРА</w:t>
      </w:r>
      <w:r>
        <w:rPr>
          <w:rFonts w:ascii="Times New Roman" w:hAnsi="Times New Roman"/>
          <w:b/>
          <w:sz w:val="24"/>
          <w:szCs w:val="24"/>
        </w:rPr>
        <w:t xml:space="preserve"> И</w:t>
      </w:r>
      <w:r w:rsidRPr="003825AF">
        <w:rPr>
          <w:rFonts w:ascii="Times New Roman" w:hAnsi="Times New Roman"/>
          <w:b/>
          <w:sz w:val="24"/>
          <w:szCs w:val="24"/>
        </w:rPr>
        <w:t xml:space="preserve"> </w:t>
      </w:r>
      <w:r w:rsidR="003825AF" w:rsidRPr="003825AF">
        <w:rPr>
          <w:rFonts w:ascii="Times New Roman" w:hAnsi="Times New Roman"/>
          <w:b/>
          <w:sz w:val="24"/>
          <w:szCs w:val="24"/>
        </w:rPr>
        <w:t>ПОВЫШЕНИЕ СОБИРАЕМОСТИ</w:t>
      </w:r>
    </w:p>
    <w:p w:rsidR="00B91B2C" w:rsidRDefault="003825AF" w:rsidP="003825AF">
      <w:pPr>
        <w:spacing w:before="120" w:after="120"/>
        <w:jc w:val="both"/>
        <w:rPr>
          <w:rFonts w:ascii="Times New Roman" w:hAnsi="Times New Roman"/>
          <w:sz w:val="24"/>
          <w:szCs w:val="24"/>
        </w:rPr>
      </w:pPr>
      <w:r>
        <w:rPr>
          <w:rFonts w:ascii="Times New Roman" w:hAnsi="Times New Roman"/>
          <w:sz w:val="24"/>
          <w:szCs w:val="24"/>
        </w:rPr>
        <w:t>Отдельный пласт мер в консолидационном пакете направлен на</w:t>
      </w:r>
      <w:r w:rsidR="00E034CA">
        <w:rPr>
          <w:rFonts w:ascii="Times New Roman" w:hAnsi="Times New Roman"/>
          <w:sz w:val="24"/>
          <w:szCs w:val="24"/>
        </w:rPr>
        <w:t xml:space="preserve"> качественное изменение администрирования доходных поступлений и повышение собираемости налогов. Такие меры не только способствуют наполняемости доходов бюджета, но также позволяют устранить н</w:t>
      </w:r>
      <w:r w:rsidR="00E034CA" w:rsidRPr="003B3A8D">
        <w:rPr>
          <w:rFonts w:ascii="Times New Roman" w:hAnsi="Times New Roman"/>
          <w:sz w:val="24"/>
          <w:szCs w:val="24"/>
        </w:rPr>
        <w:t>еравные конкурентные условия</w:t>
      </w:r>
      <w:r w:rsidR="00E034CA">
        <w:rPr>
          <w:rFonts w:ascii="Times New Roman" w:hAnsi="Times New Roman"/>
          <w:sz w:val="24"/>
          <w:szCs w:val="24"/>
        </w:rPr>
        <w:t xml:space="preserve">, являющиеся одним из факторов, ограничивающих рост </w:t>
      </w:r>
      <w:r w:rsidR="00E034CA" w:rsidRPr="003B3A8D">
        <w:rPr>
          <w:rFonts w:ascii="Times New Roman" w:hAnsi="Times New Roman"/>
          <w:sz w:val="24"/>
          <w:szCs w:val="24"/>
        </w:rPr>
        <w:t xml:space="preserve">производительности труда и </w:t>
      </w:r>
      <w:r w:rsidR="00E034CA">
        <w:rPr>
          <w:rFonts w:ascii="Times New Roman" w:hAnsi="Times New Roman"/>
          <w:sz w:val="24"/>
          <w:szCs w:val="24"/>
        </w:rPr>
        <w:t xml:space="preserve">сдерживающих процессы </w:t>
      </w:r>
      <w:r w:rsidR="00E034CA" w:rsidRPr="003B3A8D">
        <w:rPr>
          <w:rFonts w:ascii="Times New Roman" w:hAnsi="Times New Roman"/>
          <w:sz w:val="24"/>
          <w:szCs w:val="24"/>
        </w:rPr>
        <w:t>модернизации</w:t>
      </w:r>
      <w:r w:rsidR="00E034CA">
        <w:rPr>
          <w:rFonts w:ascii="Times New Roman" w:hAnsi="Times New Roman"/>
          <w:sz w:val="24"/>
          <w:szCs w:val="24"/>
        </w:rPr>
        <w:t xml:space="preserve"> и внедрения </w:t>
      </w:r>
      <w:r w:rsidR="00E034CA" w:rsidRPr="003B3A8D">
        <w:rPr>
          <w:rFonts w:ascii="Times New Roman" w:hAnsi="Times New Roman"/>
          <w:sz w:val="24"/>
          <w:szCs w:val="24"/>
        </w:rPr>
        <w:t>инноваций</w:t>
      </w:r>
      <w:r w:rsidR="00E034CA">
        <w:rPr>
          <w:rFonts w:ascii="Times New Roman" w:hAnsi="Times New Roman"/>
          <w:sz w:val="24"/>
          <w:szCs w:val="24"/>
        </w:rPr>
        <w:t xml:space="preserve">. </w:t>
      </w:r>
      <w:r w:rsidR="00CC3396">
        <w:rPr>
          <w:rFonts w:ascii="Times New Roman" w:hAnsi="Times New Roman"/>
          <w:sz w:val="24"/>
          <w:szCs w:val="24"/>
        </w:rPr>
        <w:t xml:space="preserve">В противном случае </w:t>
      </w:r>
      <w:r w:rsidR="00E034CA">
        <w:rPr>
          <w:rFonts w:ascii="Times New Roman" w:hAnsi="Times New Roman"/>
          <w:sz w:val="24"/>
          <w:szCs w:val="24"/>
        </w:rPr>
        <w:t>д</w:t>
      </w:r>
      <w:r w:rsidR="00E034CA" w:rsidRPr="003B3A8D">
        <w:rPr>
          <w:rFonts w:ascii="Times New Roman" w:hAnsi="Times New Roman"/>
          <w:sz w:val="24"/>
          <w:szCs w:val="24"/>
        </w:rPr>
        <w:t>ефицитные ресурсы (трудовые и капитальные) замораживаются у неэффективных собственников</w:t>
      </w:r>
      <w:r w:rsidR="00E034CA">
        <w:rPr>
          <w:rFonts w:ascii="Times New Roman" w:hAnsi="Times New Roman"/>
          <w:sz w:val="24"/>
          <w:szCs w:val="24"/>
        </w:rPr>
        <w:t xml:space="preserve"> и </w:t>
      </w:r>
      <w:r w:rsidR="00E034CA" w:rsidRPr="003B3A8D">
        <w:rPr>
          <w:rFonts w:ascii="Times New Roman" w:hAnsi="Times New Roman"/>
          <w:sz w:val="24"/>
          <w:szCs w:val="24"/>
        </w:rPr>
        <w:t>менеджеров</w:t>
      </w:r>
      <w:r w:rsidR="00E034CA">
        <w:rPr>
          <w:rFonts w:ascii="Times New Roman" w:hAnsi="Times New Roman"/>
          <w:sz w:val="24"/>
          <w:szCs w:val="24"/>
        </w:rPr>
        <w:t>, получающих конкурентные преимущества за счет недобросовестного поведения</w:t>
      </w:r>
      <w:r w:rsidR="00E034CA" w:rsidRPr="003B3A8D">
        <w:rPr>
          <w:rFonts w:ascii="Times New Roman" w:hAnsi="Times New Roman"/>
          <w:sz w:val="24"/>
          <w:szCs w:val="24"/>
        </w:rPr>
        <w:t>.</w:t>
      </w:r>
    </w:p>
    <w:p w:rsidR="003825AF" w:rsidRDefault="00071FA4" w:rsidP="003825AF">
      <w:pPr>
        <w:spacing w:before="120" w:after="120"/>
        <w:jc w:val="both"/>
        <w:rPr>
          <w:rFonts w:ascii="Times New Roman" w:hAnsi="Times New Roman"/>
          <w:sz w:val="24"/>
          <w:szCs w:val="24"/>
        </w:rPr>
      </w:pPr>
      <w:r>
        <w:rPr>
          <w:rFonts w:ascii="Times New Roman" w:hAnsi="Times New Roman"/>
          <w:b/>
          <w:sz w:val="24"/>
          <w:szCs w:val="24"/>
        </w:rPr>
        <w:t>О</w:t>
      </w:r>
      <w:r w:rsidRPr="00A04031">
        <w:rPr>
          <w:rFonts w:ascii="Times New Roman" w:hAnsi="Times New Roman"/>
          <w:b/>
          <w:sz w:val="24"/>
          <w:szCs w:val="24"/>
        </w:rPr>
        <w:t>беспечени</w:t>
      </w:r>
      <w:r>
        <w:rPr>
          <w:rFonts w:ascii="Times New Roman" w:hAnsi="Times New Roman"/>
          <w:b/>
          <w:sz w:val="24"/>
          <w:szCs w:val="24"/>
        </w:rPr>
        <w:t>е</w:t>
      </w:r>
      <w:r w:rsidRPr="00A04031">
        <w:rPr>
          <w:rFonts w:ascii="Times New Roman" w:hAnsi="Times New Roman"/>
          <w:b/>
          <w:sz w:val="24"/>
          <w:szCs w:val="24"/>
        </w:rPr>
        <w:t xml:space="preserve"> равных конкурентных условий</w:t>
      </w:r>
      <w:r>
        <w:rPr>
          <w:rFonts w:ascii="Times New Roman" w:hAnsi="Times New Roman"/>
          <w:b/>
          <w:sz w:val="24"/>
          <w:szCs w:val="24"/>
        </w:rPr>
        <w:t xml:space="preserve"> </w:t>
      </w:r>
      <w:r w:rsidRPr="00A04031">
        <w:rPr>
          <w:rFonts w:ascii="Times New Roman" w:hAnsi="Times New Roman"/>
          <w:sz w:val="24"/>
          <w:szCs w:val="24"/>
        </w:rPr>
        <w:t>для</w:t>
      </w:r>
      <w:r>
        <w:rPr>
          <w:rFonts w:ascii="Times New Roman" w:hAnsi="Times New Roman"/>
          <w:sz w:val="24"/>
          <w:szCs w:val="24"/>
        </w:rPr>
        <w:t xml:space="preserve"> различных групп экономических агентов</w:t>
      </w:r>
      <w:r w:rsidRPr="00A04031">
        <w:rPr>
          <w:rFonts w:ascii="Times New Roman" w:hAnsi="Times New Roman"/>
          <w:sz w:val="24"/>
          <w:szCs w:val="24"/>
        </w:rPr>
        <w:t>,</w:t>
      </w:r>
      <w:r>
        <w:rPr>
          <w:rFonts w:ascii="Times New Roman" w:hAnsi="Times New Roman"/>
          <w:sz w:val="24"/>
          <w:szCs w:val="24"/>
        </w:rPr>
        <w:t xml:space="preserve"> таким образом, способствует повышению эффективности распределения ресурсов в экономике и расширению ее потенциала. При этом необходимо придерживаться главного подхода – соблюдения такого баланса между мерами административного (</w:t>
      </w:r>
      <w:proofErr w:type="spellStart"/>
      <w:r>
        <w:rPr>
          <w:rFonts w:ascii="Times New Roman" w:hAnsi="Times New Roman"/>
          <w:sz w:val="24"/>
          <w:szCs w:val="24"/>
        </w:rPr>
        <w:t>санкционного</w:t>
      </w:r>
      <w:proofErr w:type="spellEnd"/>
      <w:r>
        <w:rPr>
          <w:rFonts w:ascii="Times New Roman" w:hAnsi="Times New Roman"/>
          <w:sz w:val="24"/>
          <w:szCs w:val="24"/>
        </w:rPr>
        <w:t xml:space="preserve">) и побудительного (стимулирующего) характера, при котором повышение нагрузки и рисков ведения «серых» практик происходит на фоне </w:t>
      </w:r>
      <w:r w:rsidRPr="00B91B2C">
        <w:rPr>
          <w:rFonts w:ascii="Times New Roman" w:hAnsi="Times New Roman"/>
          <w:b/>
          <w:sz w:val="24"/>
          <w:szCs w:val="24"/>
        </w:rPr>
        <w:t>снижения издержек для легального бизнеса</w:t>
      </w:r>
      <w:r w:rsidRPr="00B91B2C">
        <w:rPr>
          <w:rFonts w:ascii="Times New Roman" w:hAnsi="Times New Roman"/>
          <w:sz w:val="24"/>
          <w:szCs w:val="24"/>
        </w:rPr>
        <w:t>.</w:t>
      </w:r>
    </w:p>
    <w:p w:rsidR="00F569CB" w:rsidRDefault="008A336C" w:rsidP="00F569CB">
      <w:pPr>
        <w:jc w:val="both"/>
        <w:rPr>
          <w:rFonts w:ascii="Times New Roman" w:hAnsi="Times New Roman"/>
          <w:sz w:val="24"/>
          <w:szCs w:val="28"/>
        </w:rPr>
      </w:pPr>
      <w:r w:rsidRPr="008A336C">
        <w:rPr>
          <w:rFonts w:ascii="Times New Roman" w:hAnsi="Times New Roman"/>
          <w:sz w:val="24"/>
          <w:szCs w:val="28"/>
        </w:rPr>
        <w:t>Применение новых информационных технологий в налоговом администрировании за последние годы наглядно демонстрирует существенный потенциал расширения налогооблагаемой базы и повышения доходных поступлений без</w:t>
      </w:r>
      <w:r w:rsidR="001E7666">
        <w:rPr>
          <w:rFonts w:ascii="Times New Roman" w:hAnsi="Times New Roman"/>
          <w:sz w:val="24"/>
          <w:szCs w:val="28"/>
        </w:rPr>
        <w:t xml:space="preserve"> увеличения налогового бремени</w:t>
      </w:r>
      <w:r w:rsidR="00440131">
        <w:rPr>
          <w:rFonts w:ascii="Times New Roman" w:hAnsi="Times New Roman"/>
          <w:sz w:val="24"/>
          <w:szCs w:val="28"/>
        </w:rPr>
        <w:t>:</w:t>
      </w:r>
    </w:p>
    <w:p w:rsidR="007300D6" w:rsidRPr="009128A0" w:rsidRDefault="00362181" w:rsidP="009F1CCA">
      <w:pPr>
        <w:pStyle w:val="a9"/>
        <w:numPr>
          <w:ilvl w:val="0"/>
          <w:numId w:val="21"/>
        </w:numPr>
        <w:spacing w:before="120" w:after="120"/>
        <w:ind w:left="357" w:hanging="357"/>
        <w:contextualSpacing w:val="0"/>
        <w:jc w:val="both"/>
        <w:rPr>
          <w:rFonts w:ascii="Times New Roman" w:hAnsi="Times New Roman"/>
          <w:sz w:val="24"/>
          <w:szCs w:val="24"/>
        </w:rPr>
      </w:pPr>
      <w:proofErr w:type="gramStart"/>
      <w:r w:rsidRPr="00046C30">
        <w:rPr>
          <w:rFonts w:ascii="Times New Roman" w:hAnsi="Times New Roman"/>
          <w:i/>
          <w:sz w:val="24"/>
          <w:szCs w:val="24"/>
        </w:rPr>
        <w:t>Внедрение системы АСК-НДС</w:t>
      </w:r>
      <w:r>
        <w:rPr>
          <w:rFonts w:ascii="Times New Roman" w:hAnsi="Times New Roman"/>
          <w:sz w:val="24"/>
          <w:szCs w:val="24"/>
        </w:rPr>
        <w:t xml:space="preserve"> (АСК-НДС-2)</w:t>
      </w:r>
      <w:r w:rsidR="00951CD2" w:rsidRPr="009128A0">
        <w:rPr>
          <w:rFonts w:ascii="Times New Roman" w:hAnsi="Times New Roman"/>
          <w:sz w:val="24"/>
          <w:szCs w:val="24"/>
        </w:rPr>
        <w:t>, которая в своей основе сопоставляет информацию из выставленных и полученных счетов-фактур,</w:t>
      </w:r>
      <w:r w:rsidR="00B14B94" w:rsidRPr="009128A0">
        <w:rPr>
          <w:rFonts w:ascii="Times New Roman" w:hAnsi="Times New Roman"/>
          <w:sz w:val="24"/>
          <w:szCs w:val="24"/>
        </w:rPr>
        <w:t xml:space="preserve"> </w:t>
      </w:r>
      <w:r w:rsidR="00951CD2" w:rsidRPr="009128A0">
        <w:rPr>
          <w:rFonts w:ascii="Times New Roman" w:hAnsi="Times New Roman"/>
          <w:sz w:val="24"/>
          <w:szCs w:val="24"/>
        </w:rPr>
        <w:t>позволило</w:t>
      </w:r>
      <w:r w:rsidR="00B14B94" w:rsidRPr="009128A0">
        <w:rPr>
          <w:rFonts w:ascii="Times New Roman" w:hAnsi="Times New Roman"/>
          <w:sz w:val="24"/>
          <w:szCs w:val="24"/>
        </w:rPr>
        <w:t>, несмотря на экономический спа</w:t>
      </w:r>
      <w:r w:rsidR="00B14B94">
        <w:rPr>
          <w:rFonts w:ascii="Times New Roman" w:hAnsi="Times New Roman"/>
          <w:sz w:val="24"/>
          <w:szCs w:val="24"/>
        </w:rPr>
        <w:t>д,</w:t>
      </w:r>
      <w:r w:rsidR="00951CD2" w:rsidRPr="009128A0">
        <w:rPr>
          <w:rFonts w:ascii="Times New Roman" w:hAnsi="Times New Roman"/>
          <w:sz w:val="24"/>
          <w:szCs w:val="24"/>
        </w:rPr>
        <w:t xml:space="preserve"> </w:t>
      </w:r>
      <w:r w:rsidR="00ED6B0A">
        <w:rPr>
          <w:rFonts w:ascii="Times New Roman" w:hAnsi="Times New Roman"/>
          <w:sz w:val="24"/>
          <w:szCs w:val="24"/>
        </w:rPr>
        <w:t>существенно (</w:t>
      </w:r>
      <w:r w:rsidR="007300D6" w:rsidRPr="009128A0">
        <w:rPr>
          <w:rFonts w:ascii="Times New Roman" w:hAnsi="Times New Roman"/>
          <w:sz w:val="24"/>
          <w:szCs w:val="24"/>
        </w:rPr>
        <w:t>почти на 0,5п</w:t>
      </w:r>
      <w:r w:rsidR="00071FA4">
        <w:rPr>
          <w:rFonts w:ascii="Times New Roman" w:hAnsi="Times New Roman"/>
          <w:sz w:val="24"/>
          <w:szCs w:val="24"/>
        </w:rPr>
        <w:t>.</w:t>
      </w:r>
      <w:r w:rsidR="007300D6" w:rsidRPr="009128A0">
        <w:rPr>
          <w:rFonts w:ascii="Times New Roman" w:hAnsi="Times New Roman"/>
          <w:sz w:val="24"/>
          <w:szCs w:val="24"/>
        </w:rPr>
        <w:t>п</w:t>
      </w:r>
      <w:r w:rsidR="00071FA4">
        <w:rPr>
          <w:rFonts w:ascii="Times New Roman" w:hAnsi="Times New Roman"/>
          <w:sz w:val="24"/>
          <w:szCs w:val="24"/>
        </w:rPr>
        <w:t>.</w:t>
      </w:r>
      <w:proofErr w:type="gramEnd"/>
      <w:r w:rsidR="007300D6" w:rsidRPr="009128A0">
        <w:rPr>
          <w:rFonts w:ascii="Times New Roman" w:hAnsi="Times New Roman"/>
          <w:sz w:val="24"/>
          <w:szCs w:val="24"/>
        </w:rPr>
        <w:t xml:space="preserve"> </w:t>
      </w:r>
      <w:proofErr w:type="gramStart"/>
      <w:r w:rsidR="007300D6" w:rsidRPr="009128A0">
        <w:rPr>
          <w:rFonts w:ascii="Times New Roman" w:hAnsi="Times New Roman"/>
          <w:sz w:val="24"/>
          <w:szCs w:val="24"/>
        </w:rPr>
        <w:t>ВВП</w:t>
      </w:r>
      <w:r w:rsidR="00ED6B0A">
        <w:rPr>
          <w:rFonts w:ascii="Times New Roman" w:hAnsi="Times New Roman"/>
          <w:sz w:val="24"/>
          <w:szCs w:val="24"/>
        </w:rPr>
        <w:t>)</w:t>
      </w:r>
      <w:r w:rsidR="00A909DA" w:rsidRPr="00A909DA">
        <w:rPr>
          <w:rFonts w:ascii="Times New Roman" w:hAnsi="Times New Roman"/>
          <w:sz w:val="24"/>
          <w:szCs w:val="24"/>
        </w:rPr>
        <w:t xml:space="preserve"> </w:t>
      </w:r>
      <w:r w:rsidR="00A909DA" w:rsidRPr="009128A0">
        <w:rPr>
          <w:rFonts w:ascii="Times New Roman" w:hAnsi="Times New Roman"/>
          <w:sz w:val="24"/>
          <w:szCs w:val="24"/>
        </w:rPr>
        <w:t>повысить собираемость</w:t>
      </w:r>
      <w:r w:rsidR="00B14B94">
        <w:rPr>
          <w:rFonts w:ascii="Times New Roman" w:hAnsi="Times New Roman"/>
          <w:sz w:val="24"/>
          <w:szCs w:val="24"/>
        </w:rPr>
        <w:t xml:space="preserve">: поступления НДС </w:t>
      </w:r>
      <w:r w:rsidR="00ED6B0A">
        <w:rPr>
          <w:rFonts w:ascii="Times New Roman" w:hAnsi="Times New Roman"/>
          <w:sz w:val="24"/>
          <w:szCs w:val="24"/>
        </w:rPr>
        <w:t xml:space="preserve">увеличились с 5,4% от конечного внутреннего спроса (налогооблагаемая база НДС по экономике в целом) </w:t>
      </w:r>
      <w:r w:rsidR="00B14B94">
        <w:rPr>
          <w:rFonts w:ascii="Times New Roman" w:hAnsi="Times New Roman"/>
          <w:sz w:val="24"/>
          <w:szCs w:val="24"/>
        </w:rPr>
        <w:t xml:space="preserve">в 2014 году </w:t>
      </w:r>
      <w:r w:rsidR="00ED6B0A">
        <w:rPr>
          <w:rFonts w:ascii="Times New Roman" w:hAnsi="Times New Roman"/>
          <w:sz w:val="24"/>
          <w:szCs w:val="24"/>
        </w:rPr>
        <w:t>до 5,9% в 2016 году</w:t>
      </w:r>
      <w:r w:rsidR="009128A0">
        <w:rPr>
          <w:rFonts w:ascii="Times New Roman" w:hAnsi="Times New Roman"/>
          <w:sz w:val="24"/>
          <w:szCs w:val="24"/>
        </w:rPr>
        <w:t>.</w:t>
      </w:r>
      <w:proofErr w:type="gramEnd"/>
      <w:r w:rsidR="009128A0">
        <w:rPr>
          <w:rFonts w:ascii="Times New Roman" w:hAnsi="Times New Roman"/>
          <w:sz w:val="24"/>
          <w:szCs w:val="24"/>
        </w:rPr>
        <w:t xml:space="preserve"> За период с начала 2017 года поступления НДС также </w:t>
      </w:r>
      <w:r w:rsidR="00B14B94">
        <w:rPr>
          <w:rFonts w:ascii="Times New Roman" w:hAnsi="Times New Roman"/>
          <w:sz w:val="24"/>
          <w:szCs w:val="24"/>
        </w:rPr>
        <w:t>растут опережающими</w:t>
      </w:r>
      <w:r>
        <w:rPr>
          <w:rFonts w:ascii="Times New Roman" w:hAnsi="Times New Roman"/>
          <w:sz w:val="24"/>
          <w:szCs w:val="24"/>
        </w:rPr>
        <w:t xml:space="preserve"> </w:t>
      </w:r>
      <w:r w:rsidR="00A909DA">
        <w:rPr>
          <w:rFonts w:ascii="Times New Roman" w:hAnsi="Times New Roman"/>
          <w:sz w:val="24"/>
          <w:szCs w:val="24"/>
        </w:rPr>
        <w:t>(</w:t>
      </w:r>
      <w:r>
        <w:rPr>
          <w:rFonts w:ascii="Times New Roman" w:hAnsi="Times New Roman"/>
          <w:sz w:val="24"/>
          <w:szCs w:val="24"/>
        </w:rPr>
        <w:t>+</w:t>
      </w:r>
      <w:r w:rsidR="00AC3587">
        <w:rPr>
          <w:rFonts w:ascii="Times New Roman" w:hAnsi="Times New Roman"/>
          <w:sz w:val="24"/>
          <w:szCs w:val="24"/>
        </w:rPr>
        <w:t>11,1</w:t>
      </w:r>
      <w:r w:rsidR="00C33DD3">
        <w:rPr>
          <w:rFonts w:ascii="Times New Roman" w:hAnsi="Times New Roman"/>
          <w:sz w:val="24"/>
          <w:szCs w:val="24"/>
        </w:rPr>
        <w:t xml:space="preserve">% г/г в 1 полугодии </w:t>
      </w:r>
      <w:r>
        <w:rPr>
          <w:rFonts w:ascii="Times New Roman" w:hAnsi="Times New Roman"/>
          <w:sz w:val="24"/>
          <w:szCs w:val="24"/>
        </w:rPr>
        <w:t>2017</w:t>
      </w:r>
      <w:r w:rsidR="00C33DD3">
        <w:rPr>
          <w:rFonts w:ascii="Times New Roman" w:hAnsi="Times New Roman"/>
          <w:sz w:val="24"/>
          <w:szCs w:val="24"/>
        </w:rPr>
        <w:t xml:space="preserve"> г.</w:t>
      </w:r>
      <w:r>
        <w:rPr>
          <w:rFonts w:ascii="Times New Roman" w:hAnsi="Times New Roman"/>
          <w:sz w:val="24"/>
          <w:szCs w:val="24"/>
        </w:rPr>
        <w:t>)</w:t>
      </w:r>
      <w:r w:rsidR="00B14B94">
        <w:rPr>
          <w:rFonts w:ascii="Times New Roman" w:hAnsi="Times New Roman"/>
          <w:sz w:val="24"/>
          <w:szCs w:val="24"/>
        </w:rPr>
        <w:t xml:space="preserve"> </w:t>
      </w:r>
      <w:r w:rsidR="00ED6B0A">
        <w:rPr>
          <w:rFonts w:ascii="Times New Roman" w:hAnsi="Times New Roman"/>
          <w:sz w:val="24"/>
          <w:szCs w:val="24"/>
        </w:rPr>
        <w:t>по сравнению конечным внутренним спросом</w:t>
      </w:r>
      <w:r>
        <w:rPr>
          <w:rFonts w:ascii="Times New Roman" w:hAnsi="Times New Roman"/>
          <w:sz w:val="24"/>
          <w:szCs w:val="24"/>
        </w:rPr>
        <w:t xml:space="preserve"> (+</w:t>
      </w:r>
      <w:r w:rsidR="00A24035">
        <w:rPr>
          <w:rFonts w:ascii="Times New Roman" w:hAnsi="Times New Roman"/>
          <w:sz w:val="24"/>
          <w:szCs w:val="24"/>
        </w:rPr>
        <w:t>6,7</w:t>
      </w:r>
      <w:r w:rsidR="00C33DD3">
        <w:rPr>
          <w:rFonts w:ascii="Times New Roman" w:hAnsi="Times New Roman"/>
          <w:sz w:val="24"/>
          <w:szCs w:val="24"/>
        </w:rPr>
        <w:t xml:space="preserve">% г/г в 1 полугодии </w:t>
      </w:r>
      <w:r>
        <w:rPr>
          <w:rFonts w:ascii="Times New Roman" w:hAnsi="Times New Roman"/>
          <w:sz w:val="24"/>
          <w:szCs w:val="24"/>
        </w:rPr>
        <w:t>2017</w:t>
      </w:r>
      <w:r w:rsidR="00C33DD3">
        <w:rPr>
          <w:rFonts w:ascii="Times New Roman" w:hAnsi="Times New Roman"/>
          <w:sz w:val="24"/>
          <w:szCs w:val="24"/>
        </w:rPr>
        <w:t xml:space="preserve"> г.</w:t>
      </w:r>
      <w:r>
        <w:rPr>
          <w:rFonts w:ascii="Times New Roman" w:hAnsi="Times New Roman"/>
          <w:sz w:val="24"/>
          <w:szCs w:val="24"/>
        </w:rPr>
        <w:t>)</w:t>
      </w:r>
      <w:r w:rsidR="00ED6B0A">
        <w:rPr>
          <w:rFonts w:ascii="Times New Roman" w:hAnsi="Times New Roman"/>
          <w:sz w:val="24"/>
          <w:szCs w:val="24"/>
        </w:rPr>
        <w:t xml:space="preserve"> </w:t>
      </w:r>
      <w:r w:rsidR="00B14B94">
        <w:rPr>
          <w:rFonts w:ascii="Times New Roman" w:hAnsi="Times New Roman"/>
          <w:sz w:val="24"/>
          <w:szCs w:val="24"/>
        </w:rPr>
        <w:t>темпами.</w:t>
      </w:r>
    </w:p>
    <w:p w:rsidR="0078400F" w:rsidRPr="0078400F" w:rsidRDefault="00951CD2" w:rsidP="009F1CCA">
      <w:pPr>
        <w:pStyle w:val="a9"/>
        <w:numPr>
          <w:ilvl w:val="0"/>
          <w:numId w:val="21"/>
        </w:numPr>
        <w:spacing w:before="120" w:after="120"/>
        <w:contextualSpacing w:val="0"/>
        <w:jc w:val="both"/>
        <w:rPr>
          <w:rFonts w:ascii="Times New Roman" w:hAnsi="Times New Roman"/>
          <w:sz w:val="24"/>
          <w:szCs w:val="24"/>
        </w:rPr>
      </w:pPr>
      <w:r w:rsidRPr="00046C30">
        <w:rPr>
          <w:rFonts w:ascii="Times New Roman" w:hAnsi="Times New Roman"/>
          <w:i/>
          <w:sz w:val="24"/>
          <w:szCs w:val="24"/>
        </w:rPr>
        <w:t>Внедрение систем</w:t>
      </w:r>
      <w:r w:rsidR="0078400F" w:rsidRPr="00046C30">
        <w:rPr>
          <w:rFonts w:ascii="Times New Roman" w:hAnsi="Times New Roman"/>
          <w:i/>
          <w:sz w:val="24"/>
          <w:szCs w:val="24"/>
        </w:rPr>
        <w:t xml:space="preserve"> </w:t>
      </w:r>
      <w:proofErr w:type="spellStart"/>
      <w:r w:rsidR="0078400F" w:rsidRPr="00046C30">
        <w:rPr>
          <w:rFonts w:ascii="Times New Roman" w:hAnsi="Times New Roman"/>
          <w:i/>
          <w:sz w:val="24"/>
          <w:szCs w:val="24"/>
        </w:rPr>
        <w:t>прослеживаемости</w:t>
      </w:r>
      <w:proofErr w:type="spellEnd"/>
      <w:r w:rsidRPr="009128A0">
        <w:rPr>
          <w:rFonts w:ascii="Times New Roman" w:hAnsi="Times New Roman"/>
          <w:sz w:val="24"/>
          <w:szCs w:val="24"/>
        </w:rPr>
        <w:t xml:space="preserve"> </w:t>
      </w:r>
      <w:r w:rsidR="0078400F">
        <w:rPr>
          <w:rFonts w:ascii="Times New Roman" w:hAnsi="Times New Roman"/>
          <w:sz w:val="24"/>
          <w:szCs w:val="24"/>
        </w:rPr>
        <w:t>(</w:t>
      </w:r>
      <w:proofErr w:type="gramStart"/>
      <w:r w:rsidR="002C6B7D">
        <w:rPr>
          <w:rFonts w:ascii="Times New Roman" w:hAnsi="Times New Roman"/>
          <w:sz w:val="24"/>
          <w:szCs w:val="28"/>
        </w:rPr>
        <w:t>контроля за</w:t>
      </w:r>
      <w:proofErr w:type="gramEnd"/>
      <w:r w:rsidR="002C6B7D">
        <w:rPr>
          <w:rFonts w:ascii="Times New Roman" w:hAnsi="Times New Roman"/>
          <w:sz w:val="24"/>
          <w:szCs w:val="28"/>
        </w:rPr>
        <w:t xml:space="preserve"> производством и оборотом</w:t>
      </w:r>
      <w:r w:rsidR="0078400F">
        <w:rPr>
          <w:rFonts w:ascii="Times New Roman" w:hAnsi="Times New Roman"/>
          <w:sz w:val="24"/>
          <w:szCs w:val="28"/>
        </w:rPr>
        <w:t>)</w:t>
      </w:r>
      <w:r w:rsidR="002C6B7D">
        <w:rPr>
          <w:rFonts w:ascii="Times New Roman" w:hAnsi="Times New Roman"/>
          <w:sz w:val="24"/>
          <w:szCs w:val="28"/>
        </w:rPr>
        <w:t xml:space="preserve"> </w:t>
      </w:r>
      <w:r w:rsidR="0078400F">
        <w:rPr>
          <w:rFonts w:ascii="Times New Roman" w:hAnsi="Times New Roman"/>
          <w:sz w:val="24"/>
          <w:szCs w:val="28"/>
        </w:rPr>
        <w:t xml:space="preserve">позволило существенно сократить </w:t>
      </w:r>
      <w:r w:rsidR="00046C30">
        <w:rPr>
          <w:rFonts w:ascii="Times New Roman" w:hAnsi="Times New Roman"/>
          <w:sz w:val="24"/>
          <w:szCs w:val="28"/>
        </w:rPr>
        <w:t xml:space="preserve">долю теневого сектора на отдельных рынках: </w:t>
      </w:r>
    </w:p>
    <w:p w:rsidR="00ED6B0A" w:rsidRDefault="00D7167B" w:rsidP="009F1CCA">
      <w:pPr>
        <w:pStyle w:val="a9"/>
        <w:numPr>
          <w:ilvl w:val="1"/>
          <w:numId w:val="21"/>
        </w:numPr>
        <w:spacing w:before="120" w:after="120"/>
        <w:ind w:left="697" w:hanging="357"/>
        <w:contextualSpacing w:val="0"/>
        <w:jc w:val="both"/>
        <w:rPr>
          <w:rFonts w:ascii="Times New Roman" w:hAnsi="Times New Roman"/>
          <w:sz w:val="24"/>
          <w:szCs w:val="24"/>
        </w:rPr>
      </w:pPr>
      <w:r>
        <w:rPr>
          <w:rFonts w:ascii="Times New Roman" w:hAnsi="Times New Roman"/>
          <w:sz w:val="24"/>
          <w:szCs w:val="28"/>
        </w:rPr>
        <w:t>Развертывание системы</w:t>
      </w:r>
      <w:r w:rsidR="00046C30">
        <w:rPr>
          <w:rFonts w:ascii="Times New Roman" w:hAnsi="Times New Roman"/>
          <w:sz w:val="24"/>
          <w:szCs w:val="28"/>
        </w:rPr>
        <w:t xml:space="preserve"> </w:t>
      </w:r>
      <w:r w:rsidR="00951CD2" w:rsidRPr="009128A0">
        <w:rPr>
          <w:rFonts w:ascii="Times New Roman" w:hAnsi="Times New Roman"/>
          <w:sz w:val="24"/>
          <w:szCs w:val="24"/>
        </w:rPr>
        <w:t xml:space="preserve">ЕГАИС </w:t>
      </w:r>
      <w:r>
        <w:rPr>
          <w:rFonts w:ascii="Times New Roman" w:hAnsi="Times New Roman"/>
          <w:sz w:val="24"/>
          <w:szCs w:val="24"/>
        </w:rPr>
        <w:t xml:space="preserve">в 2016 году </w:t>
      </w:r>
      <w:r w:rsidR="00936784">
        <w:rPr>
          <w:rFonts w:ascii="Times New Roman" w:hAnsi="Times New Roman"/>
          <w:sz w:val="24"/>
          <w:szCs w:val="24"/>
        </w:rPr>
        <w:t>практически пресекл</w:t>
      </w:r>
      <w:r>
        <w:rPr>
          <w:rFonts w:ascii="Times New Roman" w:hAnsi="Times New Roman"/>
          <w:sz w:val="24"/>
          <w:szCs w:val="24"/>
        </w:rPr>
        <w:t>о</w:t>
      </w:r>
      <w:r w:rsidR="00936784">
        <w:rPr>
          <w:rFonts w:ascii="Times New Roman" w:hAnsi="Times New Roman"/>
          <w:sz w:val="24"/>
          <w:szCs w:val="24"/>
        </w:rPr>
        <w:t xml:space="preserve"> возможность реализации нелегально произведенного алкоголя в розничных магазинах. Как результат</w:t>
      </w:r>
      <w:r w:rsidR="00071FA4">
        <w:rPr>
          <w:rFonts w:ascii="Times New Roman" w:hAnsi="Times New Roman"/>
          <w:sz w:val="24"/>
          <w:szCs w:val="24"/>
        </w:rPr>
        <w:t>,</w:t>
      </w:r>
      <w:r w:rsidR="00936784">
        <w:rPr>
          <w:rFonts w:ascii="Times New Roman" w:hAnsi="Times New Roman"/>
          <w:sz w:val="24"/>
          <w:szCs w:val="24"/>
        </w:rPr>
        <w:t xml:space="preserve"> </w:t>
      </w:r>
      <w:r>
        <w:rPr>
          <w:rFonts w:ascii="Times New Roman" w:hAnsi="Times New Roman"/>
          <w:sz w:val="24"/>
          <w:szCs w:val="24"/>
        </w:rPr>
        <w:t xml:space="preserve">на </w:t>
      </w:r>
      <w:r w:rsidRPr="00180B0E">
        <w:rPr>
          <w:rFonts w:ascii="Times New Roman" w:hAnsi="Times New Roman"/>
          <w:sz w:val="24"/>
          <w:szCs w:val="24"/>
        </w:rPr>
        <w:t xml:space="preserve">фоне </w:t>
      </w:r>
      <w:proofErr w:type="spellStart"/>
      <w:r w:rsidRPr="00180B0E">
        <w:rPr>
          <w:rFonts w:ascii="Times New Roman" w:hAnsi="Times New Roman"/>
          <w:sz w:val="24"/>
          <w:szCs w:val="24"/>
        </w:rPr>
        <w:t>стагнирующих</w:t>
      </w:r>
      <w:proofErr w:type="spellEnd"/>
      <w:r w:rsidRPr="00180B0E">
        <w:rPr>
          <w:rFonts w:ascii="Times New Roman" w:hAnsi="Times New Roman"/>
          <w:sz w:val="24"/>
          <w:szCs w:val="24"/>
        </w:rPr>
        <w:t xml:space="preserve"> объемов потребления </w:t>
      </w:r>
      <w:r w:rsidR="00951CD2" w:rsidRPr="00180B0E">
        <w:rPr>
          <w:rFonts w:ascii="Times New Roman" w:hAnsi="Times New Roman"/>
          <w:sz w:val="24"/>
          <w:szCs w:val="24"/>
        </w:rPr>
        <w:t xml:space="preserve">поступление </w:t>
      </w:r>
      <w:r w:rsidR="00C25115">
        <w:rPr>
          <w:rFonts w:ascii="Times New Roman" w:hAnsi="Times New Roman"/>
          <w:sz w:val="24"/>
          <w:szCs w:val="24"/>
        </w:rPr>
        <w:t xml:space="preserve">в консолидированный бюджет </w:t>
      </w:r>
      <w:r w:rsidR="00951CD2" w:rsidRPr="00180B0E">
        <w:rPr>
          <w:rFonts w:ascii="Times New Roman" w:hAnsi="Times New Roman"/>
          <w:sz w:val="24"/>
          <w:szCs w:val="24"/>
        </w:rPr>
        <w:t xml:space="preserve">акцизов по крепкому алкоголю </w:t>
      </w:r>
      <w:r w:rsidR="00243609" w:rsidRPr="00180B0E">
        <w:rPr>
          <w:rFonts w:ascii="Times New Roman" w:hAnsi="Times New Roman"/>
          <w:sz w:val="24"/>
          <w:szCs w:val="24"/>
        </w:rPr>
        <w:t xml:space="preserve">выросло </w:t>
      </w:r>
      <w:r w:rsidR="00951CD2" w:rsidRPr="00180B0E">
        <w:rPr>
          <w:rFonts w:ascii="Times New Roman" w:hAnsi="Times New Roman"/>
          <w:sz w:val="24"/>
          <w:szCs w:val="24"/>
        </w:rPr>
        <w:t>на 28%</w:t>
      </w:r>
      <w:r w:rsidRPr="00180B0E">
        <w:rPr>
          <w:rFonts w:ascii="Times New Roman" w:hAnsi="Times New Roman"/>
          <w:sz w:val="24"/>
          <w:szCs w:val="24"/>
        </w:rPr>
        <w:t xml:space="preserve"> в 2016 году и более чем на </w:t>
      </w:r>
      <w:r w:rsidR="005D7DFB">
        <w:rPr>
          <w:rFonts w:ascii="Times New Roman" w:hAnsi="Times New Roman"/>
          <w:sz w:val="24"/>
          <w:szCs w:val="24"/>
        </w:rPr>
        <w:t>21</w:t>
      </w:r>
      <w:r w:rsidRPr="00180B0E">
        <w:rPr>
          <w:rFonts w:ascii="Times New Roman" w:hAnsi="Times New Roman"/>
          <w:sz w:val="24"/>
          <w:szCs w:val="24"/>
        </w:rPr>
        <w:t xml:space="preserve">% </w:t>
      </w:r>
      <w:r w:rsidR="00936784" w:rsidRPr="00180B0E">
        <w:rPr>
          <w:rFonts w:ascii="Times New Roman" w:hAnsi="Times New Roman"/>
          <w:sz w:val="24"/>
          <w:szCs w:val="24"/>
        </w:rPr>
        <w:t>в январе-</w:t>
      </w:r>
      <w:r w:rsidR="005D7DFB">
        <w:rPr>
          <w:rFonts w:ascii="Times New Roman" w:hAnsi="Times New Roman"/>
          <w:sz w:val="24"/>
          <w:szCs w:val="24"/>
        </w:rPr>
        <w:t xml:space="preserve">июне </w:t>
      </w:r>
      <w:r w:rsidRPr="00180B0E">
        <w:rPr>
          <w:rFonts w:ascii="Times New Roman" w:hAnsi="Times New Roman"/>
          <w:sz w:val="24"/>
          <w:szCs w:val="24"/>
        </w:rPr>
        <w:t xml:space="preserve">2017 года. </w:t>
      </w:r>
      <w:r w:rsidR="002C6B7D" w:rsidRPr="00180B0E">
        <w:rPr>
          <w:rFonts w:ascii="Times New Roman" w:hAnsi="Times New Roman"/>
          <w:sz w:val="24"/>
          <w:szCs w:val="24"/>
        </w:rPr>
        <w:t>Этому</w:t>
      </w:r>
      <w:r w:rsidR="00071FA4" w:rsidRPr="00180B0E">
        <w:rPr>
          <w:rFonts w:ascii="Times New Roman" w:hAnsi="Times New Roman"/>
          <w:sz w:val="24"/>
          <w:szCs w:val="24"/>
        </w:rPr>
        <w:t>,</w:t>
      </w:r>
      <w:r w:rsidR="002C6B7D" w:rsidRPr="00180B0E">
        <w:rPr>
          <w:rFonts w:ascii="Times New Roman" w:hAnsi="Times New Roman"/>
          <w:sz w:val="24"/>
          <w:szCs w:val="24"/>
        </w:rPr>
        <w:t xml:space="preserve"> </w:t>
      </w:r>
      <w:r w:rsidR="003F2244" w:rsidRPr="00180B0E">
        <w:rPr>
          <w:rFonts w:ascii="Times New Roman" w:hAnsi="Times New Roman"/>
          <w:sz w:val="24"/>
          <w:szCs w:val="24"/>
        </w:rPr>
        <w:t>среди прочего</w:t>
      </w:r>
      <w:r w:rsidR="00071FA4" w:rsidRPr="00180B0E">
        <w:rPr>
          <w:rFonts w:ascii="Times New Roman" w:hAnsi="Times New Roman"/>
          <w:sz w:val="24"/>
          <w:szCs w:val="24"/>
        </w:rPr>
        <w:t>,</w:t>
      </w:r>
      <w:r w:rsidR="003F2244" w:rsidRPr="00180B0E">
        <w:rPr>
          <w:rFonts w:ascii="Times New Roman" w:hAnsi="Times New Roman"/>
          <w:sz w:val="24"/>
          <w:szCs w:val="24"/>
        </w:rPr>
        <w:t xml:space="preserve"> </w:t>
      </w:r>
      <w:r w:rsidR="002C6B7D" w:rsidRPr="00180B0E">
        <w:rPr>
          <w:rFonts w:ascii="Times New Roman" w:hAnsi="Times New Roman"/>
          <w:sz w:val="24"/>
          <w:szCs w:val="24"/>
        </w:rPr>
        <w:t>способствовало усиление контроля над незаконным оборотом а</w:t>
      </w:r>
      <w:r w:rsidR="002C6B7D" w:rsidRPr="002C6B7D">
        <w:rPr>
          <w:rFonts w:ascii="Times New Roman" w:hAnsi="Times New Roman"/>
          <w:sz w:val="24"/>
          <w:szCs w:val="24"/>
        </w:rPr>
        <w:t>лкоголя</w:t>
      </w:r>
      <w:r w:rsidR="002C6B7D">
        <w:rPr>
          <w:rFonts w:ascii="Times New Roman" w:hAnsi="Times New Roman"/>
          <w:sz w:val="24"/>
          <w:szCs w:val="24"/>
        </w:rPr>
        <w:t xml:space="preserve"> </w:t>
      </w:r>
      <w:r w:rsidR="003F2244">
        <w:rPr>
          <w:rFonts w:ascii="Times New Roman" w:hAnsi="Times New Roman"/>
          <w:sz w:val="24"/>
          <w:szCs w:val="24"/>
        </w:rPr>
        <w:t xml:space="preserve">со стороны региональных властей – </w:t>
      </w:r>
      <w:r w:rsidR="002C6B7D">
        <w:rPr>
          <w:rFonts w:ascii="Times New Roman" w:hAnsi="Times New Roman"/>
          <w:sz w:val="24"/>
          <w:szCs w:val="24"/>
        </w:rPr>
        <w:t xml:space="preserve">в том числе благодаря </w:t>
      </w:r>
      <w:r w:rsidR="002C6B7D" w:rsidRPr="002C6B7D">
        <w:rPr>
          <w:rFonts w:ascii="Times New Roman" w:hAnsi="Times New Roman"/>
          <w:sz w:val="24"/>
          <w:szCs w:val="24"/>
        </w:rPr>
        <w:t>частичн</w:t>
      </w:r>
      <w:r w:rsidR="002C6B7D">
        <w:rPr>
          <w:rFonts w:ascii="Times New Roman" w:hAnsi="Times New Roman"/>
          <w:sz w:val="24"/>
          <w:szCs w:val="24"/>
        </w:rPr>
        <w:t>ому переходу</w:t>
      </w:r>
      <w:r w:rsidR="002C6B7D" w:rsidRPr="002C6B7D">
        <w:rPr>
          <w:rFonts w:ascii="Times New Roman" w:hAnsi="Times New Roman"/>
          <w:sz w:val="24"/>
          <w:szCs w:val="24"/>
        </w:rPr>
        <w:t xml:space="preserve"> </w:t>
      </w:r>
      <w:r w:rsidR="002C6B7D">
        <w:rPr>
          <w:rFonts w:ascii="Times New Roman" w:hAnsi="Times New Roman"/>
          <w:sz w:val="24"/>
          <w:szCs w:val="24"/>
        </w:rPr>
        <w:t xml:space="preserve">на </w:t>
      </w:r>
      <w:r w:rsidR="002C6B7D" w:rsidRPr="002C6B7D">
        <w:rPr>
          <w:rFonts w:ascii="Times New Roman" w:hAnsi="Times New Roman"/>
          <w:sz w:val="24"/>
          <w:szCs w:val="24"/>
        </w:rPr>
        <w:t>распределени</w:t>
      </w:r>
      <w:r w:rsidR="002C6B7D">
        <w:rPr>
          <w:rFonts w:ascii="Times New Roman" w:hAnsi="Times New Roman"/>
          <w:sz w:val="24"/>
          <w:szCs w:val="24"/>
        </w:rPr>
        <w:t>е</w:t>
      </w:r>
      <w:r w:rsidR="002C6B7D" w:rsidRPr="002C6B7D">
        <w:rPr>
          <w:rFonts w:ascii="Times New Roman" w:hAnsi="Times New Roman"/>
          <w:sz w:val="24"/>
          <w:szCs w:val="24"/>
        </w:rPr>
        <w:t xml:space="preserve"> доходов от акцизов между регионами пропорционально объемам продаж в системе ЕГАИС</w:t>
      </w:r>
      <w:r w:rsidR="002C6B7D">
        <w:rPr>
          <w:rFonts w:ascii="Times New Roman" w:hAnsi="Times New Roman"/>
          <w:sz w:val="24"/>
          <w:szCs w:val="24"/>
        </w:rPr>
        <w:t>.</w:t>
      </w:r>
    </w:p>
    <w:p w:rsidR="00951CD2" w:rsidRPr="00D7167B" w:rsidRDefault="00951CD2" w:rsidP="009F1CCA">
      <w:pPr>
        <w:pStyle w:val="a9"/>
        <w:numPr>
          <w:ilvl w:val="1"/>
          <w:numId w:val="21"/>
        </w:numPr>
        <w:spacing w:before="120" w:after="120"/>
        <w:ind w:left="697" w:hanging="357"/>
        <w:contextualSpacing w:val="0"/>
        <w:jc w:val="both"/>
        <w:rPr>
          <w:rFonts w:ascii="Times New Roman" w:hAnsi="Times New Roman"/>
          <w:sz w:val="24"/>
          <w:szCs w:val="28"/>
        </w:rPr>
      </w:pPr>
      <w:r w:rsidRPr="00D7167B">
        <w:rPr>
          <w:rFonts w:ascii="Times New Roman" w:hAnsi="Times New Roman"/>
          <w:sz w:val="24"/>
          <w:szCs w:val="28"/>
        </w:rPr>
        <w:t xml:space="preserve">Внедрение системы </w:t>
      </w:r>
      <w:r w:rsidR="00C00E6E" w:rsidRPr="00D7167B">
        <w:rPr>
          <w:rFonts w:ascii="Times New Roman" w:hAnsi="Times New Roman"/>
          <w:sz w:val="24"/>
          <w:szCs w:val="28"/>
        </w:rPr>
        <w:t>маркировки</w:t>
      </w:r>
      <w:r w:rsidRPr="00D7167B">
        <w:rPr>
          <w:rFonts w:ascii="Times New Roman" w:hAnsi="Times New Roman"/>
          <w:sz w:val="24"/>
          <w:szCs w:val="28"/>
        </w:rPr>
        <w:t xml:space="preserve"> товаров из меха в </w:t>
      </w:r>
      <w:r w:rsidR="00D7167B">
        <w:rPr>
          <w:rFonts w:ascii="Times New Roman" w:hAnsi="Times New Roman"/>
          <w:sz w:val="24"/>
          <w:szCs w:val="28"/>
        </w:rPr>
        <w:t xml:space="preserve">2016 </w:t>
      </w:r>
      <w:r w:rsidRPr="00D7167B">
        <w:rPr>
          <w:rFonts w:ascii="Times New Roman" w:hAnsi="Times New Roman"/>
          <w:sz w:val="24"/>
          <w:szCs w:val="28"/>
        </w:rPr>
        <w:t xml:space="preserve">году привело к увеличению легального оборота этих изделий </w:t>
      </w:r>
      <w:r w:rsidR="00C00E6E" w:rsidRPr="00D7167B">
        <w:rPr>
          <w:rFonts w:ascii="Times New Roman" w:hAnsi="Times New Roman"/>
          <w:sz w:val="24"/>
          <w:szCs w:val="28"/>
        </w:rPr>
        <w:t>почти в 6 раз.</w:t>
      </w:r>
    </w:p>
    <w:p w:rsidR="0094040E" w:rsidRPr="0094040E" w:rsidRDefault="00185377" w:rsidP="009F1CCA">
      <w:pPr>
        <w:pStyle w:val="a9"/>
        <w:numPr>
          <w:ilvl w:val="0"/>
          <w:numId w:val="21"/>
        </w:numPr>
        <w:spacing w:before="120" w:after="120"/>
        <w:ind w:left="357" w:hanging="357"/>
        <w:contextualSpacing w:val="0"/>
        <w:jc w:val="both"/>
        <w:rPr>
          <w:rFonts w:ascii="Times New Roman" w:hAnsi="Times New Roman"/>
          <w:sz w:val="24"/>
          <w:szCs w:val="24"/>
        </w:rPr>
      </w:pPr>
      <w:proofErr w:type="gramStart"/>
      <w:r w:rsidRPr="00D7167B">
        <w:rPr>
          <w:rFonts w:ascii="Times New Roman" w:hAnsi="Times New Roman"/>
          <w:i/>
          <w:sz w:val="24"/>
          <w:szCs w:val="24"/>
        </w:rPr>
        <w:t>И</w:t>
      </w:r>
      <w:r w:rsidR="00E90CDA" w:rsidRPr="00D7167B">
        <w:rPr>
          <w:rFonts w:ascii="Times New Roman" w:hAnsi="Times New Roman"/>
          <w:i/>
          <w:sz w:val="24"/>
          <w:szCs w:val="24"/>
        </w:rPr>
        <w:t>нтеграци</w:t>
      </w:r>
      <w:r w:rsidRPr="00D7167B">
        <w:rPr>
          <w:rFonts w:ascii="Times New Roman" w:hAnsi="Times New Roman"/>
          <w:i/>
          <w:sz w:val="24"/>
          <w:szCs w:val="24"/>
        </w:rPr>
        <w:t>я</w:t>
      </w:r>
      <w:r w:rsidR="00E90CDA" w:rsidRPr="00E90CDA">
        <w:rPr>
          <w:rFonts w:ascii="Times New Roman" w:hAnsi="Times New Roman"/>
          <w:sz w:val="24"/>
          <w:szCs w:val="24"/>
        </w:rPr>
        <w:t xml:space="preserve"> информационных систем и систем управления рисками </w:t>
      </w:r>
      <w:r w:rsidR="00E90CDA" w:rsidRPr="00D7167B">
        <w:rPr>
          <w:rFonts w:ascii="Times New Roman" w:hAnsi="Times New Roman"/>
          <w:i/>
          <w:sz w:val="24"/>
          <w:szCs w:val="24"/>
        </w:rPr>
        <w:t>налоговой и таможенной служб</w:t>
      </w:r>
      <w:r w:rsidR="00E90CDA" w:rsidRPr="00E90CDA">
        <w:rPr>
          <w:rFonts w:ascii="Times New Roman" w:hAnsi="Times New Roman"/>
          <w:sz w:val="24"/>
          <w:szCs w:val="24"/>
        </w:rPr>
        <w:t xml:space="preserve"> обеспечит мониторинг движения товаров от этапа таможенного оформления до реализации конечному потребителю и позволит повысить собираемость налогов и таможен</w:t>
      </w:r>
      <w:r w:rsidR="0094040E">
        <w:rPr>
          <w:rFonts w:ascii="Times New Roman" w:hAnsi="Times New Roman"/>
          <w:sz w:val="24"/>
          <w:szCs w:val="24"/>
        </w:rPr>
        <w:t>ных платежей в 2017-2018 годах.</w:t>
      </w:r>
      <w:proofErr w:type="gramEnd"/>
    </w:p>
    <w:tbl>
      <w:tblPr>
        <w:tblStyle w:val="Smalltable"/>
        <w:tblW w:w="10363" w:type="dxa"/>
        <w:tblInd w:w="-823" w:type="dxa"/>
        <w:tblLayout w:type="fixed"/>
        <w:tblLook w:val="04A0" w:firstRow="1" w:lastRow="0" w:firstColumn="1" w:lastColumn="0" w:noHBand="0" w:noVBand="1"/>
      </w:tblPr>
      <w:tblGrid>
        <w:gridCol w:w="5104"/>
        <w:gridCol w:w="220"/>
        <w:gridCol w:w="14"/>
        <w:gridCol w:w="4869"/>
        <w:gridCol w:w="76"/>
        <w:gridCol w:w="80"/>
      </w:tblGrid>
      <w:tr w:rsidR="006F0FD8" w:rsidRPr="008823F8" w:rsidTr="00FE308E">
        <w:trPr>
          <w:gridAfter w:val="2"/>
          <w:wAfter w:w="156" w:type="dxa"/>
          <w:trHeight w:val="198"/>
        </w:trPr>
        <w:tc>
          <w:tcPr>
            <w:tcW w:w="5104" w:type="dxa"/>
            <w:shd w:val="clear" w:color="auto" w:fill="auto"/>
          </w:tcPr>
          <w:p w:rsidR="006F0FD8" w:rsidRPr="008823F8" w:rsidRDefault="00F318C6" w:rsidP="00F738A8">
            <w:pPr>
              <w:suppressAutoHyphens/>
              <w:spacing w:before="120" w:after="40"/>
              <w:rPr>
                <w:rFonts w:ascii="Times New Roman" w:hAnsi="Times New Roman"/>
                <w:b/>
                <w:sz w:val="24"/>
                <w:szCs w:val="24"/>
                <w:lang w:val="ru-RU" w:bidi="ml-IN"/>
              </w:rPr>
            </w:pPr>
            <w:r>
              <w:rPr>
                <w:rFonts w:ascii="Times New Roman" w:hAnsi="Times New Roman"/>
                <w:b/>
                <w:sz w:val="24"/>
                <w:szCs w:val="24"/>
                <w:lang w:val="ru-RU" w:bidi="ml-IN"/>
              </w:rPr>
              <w:t>С</w:t>
            </w:r>
            <w:r w:rsidR="006F0FD8">
              <w:rPr>
                <w:rFonts w:ascii="Times New Roman" w:hAnsi="Times New Roman"/>
                <w:b/>
                <w:sz w:val="24"/>
                <w:szCs w:val="24"/>
                <w:lang w:val="ru-RU" w:bidi="ml-IN"/>
              </w:rPr>
              <w:t>обираемост</w:t>
            </w:r>
            <w:r>
              <w:rPr>
                <w:rFonts w:ascii="Times New Roman" w:hAnsi="Times New Roman"/>
                <w:b/>
                <w:sz w:val="24"/>
                <w:szCs w:val="24"/>
                <w:lang w:val="ru-RU" w:bidi="ml-IN"/>
              </w:rPr>
              <w:t>ь</w:t>
            </w:r>
            <w:r w:rsidR="006F0FD8">
              <w:rPr>
                <w:rFonts w:ascii="Times New Roman" w:hAnsi="Times New Roman"/>
                <w:b/>
                <w:sz w:val="24"/>
                <w:szCs w:val="24"/>
                <w:lang w:val="ru-RU" w:bidi="ml-IN"/>
              </w:rPr>
              <w:t xml:space="preserve"> НДС</w:t>
            </w:r>
          </w:p>
        </w:tc>
        <w:tc>
          <w:tcPr>
            <w:tcW w:w="220" w:type="dxa"/>
            <w:shd w:val="clear" w:color="auto" w:fill="auto"/>
          </w:tcPr>
          <w:p w:rsidR="006F0FD8" w:rsidRPr="008823F8" w:rsidRDefault="006F0FD8" w:rsidP="00F738A8">
            <w:pPr>
              <w:suppressAutoHyphens/>
              <w:spacing w:before="120" w:after="40"/>
              <w:rPr>
                <w:rFonts w:ascii="Times New Roman" w:hAnsi="Times New Roman"/>
                <w:sz w:val="24"/>
                <w:szCs w:val="24"/>
                <w:lang w:val="ru-RU" w:bidi="ml-IN"/>
              </w:rPr>
            </w:pPr>
          </w:p>
        </w:tc>
        <w:tc>
          <w:tcPr>
            <w:tcW w:w="4883" w:type="dxa"/>
            <w:gridSpan w:val="2"/>
            <w:shd w:val="clear" w:color="auto" w:fill="auto"/>
          </w:tcPr>
          <w:p w:rsidR="006F0FD8" w:rsidRPr="00180B0E" w:rsidRDefault="006F0FD8" w:rsidP="00FE308E">
            <w:pPr>
              <w:suppressAutoHyphens/>
              <w:spacing w:before="120" w:after="40"/>
              <w:rPr>
                <w:rFonts w:ascii="Times New Roman" w:hAnsi="Times New Roman"/>
                <w:b/>
                <w:sz w:val="24"/>
                <w:szCs w:val="24"/>
                <w:lang w:val="ru-RU" w:bidi="ml-IN"/>
              </w:rPr>
            </w:pPr>
            <w:r w:rsidRPr="00180B0E">
              <w:rPr>
                <w:rFonts w:ascii="Times New Roman" w:hAnsi="Times New Roman"/>
                <w:b/>
                <w:sz w:val="24"/>
                <w:szCs w:val="24"/>
                <w:lang w:val="ru-RU" w:bidi="ml-IN"/>
              </w:rPr>
              <w:t>Поступление акцизов на крепкий алкоголь</w:t>
            </w:r>
          </w:p>
        </w:tc>
      </w:tr>
      <w:tr w:rsidR="006F0FD8" w:rsidRPr="008823F8" w:rsidTr="00FE308E">
        <w:trPr>
          <w:gridAfter w:val="1"/>
          <w:wAfter w:w="80" w:type="dxa"/>
          <w:trHeight w:hRule="exact" w:val="28"/>
        </w:trPr>
        <w:tc>
          <w:tcPr>
            <w:tcW w:w="5104" w:type="dxa"/>
            <w:tcBorders>
              <w:bottom w:val="single" w:sz="4" w:space="0" w:color="auto"/>
            </w:tcBorders>
            <w:shd w:val="clear" w:color="auto" w:fill="auto"/>
          </w:tcPr>
          <w:p w:rsidR="006F0FD8" w:rsidRPr="006F0FD8" w:rsidRDefault="006F0FD8" w:rsidP="00F738A8">
            <w:pPr>
              <w:rPr>
                <w:rFonts w:ascii="Times New Roman" w:hAnsi="Times New Roman"/>
                <w:lang w:val="ru-RU" w:bidi="ml-IN"/>
              </w:rPr>
            </w:pPr>
          </w:p>
        </w:tc>
        <w:tc>
          <w:tcPr>
            <w:tcW w:w="220" w:type="dxa"/>
            <w:shd w:val="clear" w:color="auto" w:fill="auto"/>
          </w:tcPr>
          <w:p w:rsidR="006F0FD8" w:rsidRPr="006F0FD8" w:rsidRDefault="006F0FD8" w:rsidP="00F738A8">
            <w:pPr>
              <w:rPr>
                <w:rFonts w:ascii="Times New Roman" w:hAnsi="Times New Roman"/>
                <w:lang w:val="ru-RU" w:bidi="ml-IN"/>
              </w:rPr>
            </w:pPr>
          </w:p>
        </w:tc>
        <w:tc>
          <w:tcPr>
            <w:tcW w:w="4883" w:type="dxa"/>
            <w:gridSpan w:val="2"/>
            <w:tcBorders>
              <w:bottom w:val="single" w:sz="4" w:space="0" w:color="auto"/>
            </w:tcBorders>
            <w:shd w:val="clear" w:color="auto" w:fill="auto"/>
          </w:tcPr>
          <w:p w:rsidR="006F0FD8" w:rsidRPr="00180B0E" w:rsidRDefault="006F0FD8" w:rsidP="00F738A8">
            <w:pPr>
              <w:rPr>
                <w:rFonts w:ascii="Times New Roman" w:hAnsi="Times New Roman"/>
                <w:lang w:val="ru-RU" w:bidi="ml-IN"/>
              </w:rPr>
            </w:pPr>
          </w:p>
        </w:tc>
        <w:tc>
          <w:tcPr>
            <w:tcW w:w="76" w:type="dxa"/>
            <w:shd w:val="clear" w:color="auto" w:fill="auto"/>
          </w:tcPr>
          <w:p w:rsidR="006F0FD8" w:rsidRPr="006F0FD8" w:rsidRDefault="006F0FD8" w:rsidP="00F738A8">
            <w:pPr>
              <w:rPr>
                <w:rFonts w:ascii="Times New Roman" w:hAnsi="Times New Roman"/>
                <w:lang w:val="ru-RU" w:bidi="ml-IN"/>
              </w:rPr>
            </w:pPr>
          </w:p>
        </w:tc>
      </w:tr>
      <w:tr w:rsidR="006F0FD8" w:rsidRPr="008823F8" w:rsidTr="00FE308E">
        <w:tblPrEx>
          <w:tblCellMar>
            <w:left w:w="108" w:type="dxa"/>
            <w:right w:w="108" w:type="dxa"/>
          </w:tblCellMar>
        </w:tblPrEx>
        <w:trPr>
          <w:trHeight w:val="2200"/>
        </w:trPr>
        <w:tc>
          <w:tcPr>
            <w:tcW w:w="5104" w:type="dxa"/>
            <w:tcBorders>
              <w:top w:val="single" w:sz="4" w:space="0" w:color="auto"/>
              <w:bottom w:val="single" w:sz="4" w:space="0" w:color="auto"/>
            </w:tcBorders>
            <w:shd w:val="clear" w:color="auto" w:fill="auto"/>
            <w:tcMar>
              <w:left w:w="0" w:type="nil"/>
              <w:right w:w="0" w:type="nil"/>
            </w:tcMar>
            <w:vAlign w:val="center"/>
          </w:tcPr>
          <w:p w:rsidR="006F0FD8" w:rsidRPr="002A1206" w:rsidRDefault="00C2399C" w:rsidP="00F318C6">
            <w:pPr>
              <w:jc w:val="left"/>
              <w:rPr>
                <w:rFonts w:ascii="Times New Roman" w:hAnsi="Times New Roman"/>
                <w:lang w:val="ru-RU" w:bidi="ml-IN"/>
              </w:rPr>
            </w:pPr>
            <w:r>
              <w:rPr>
                <w:noProof/>
                <w:lang w:eastAsia="ru-RU"/>
              </w:rPr>
              <w:drawing>
                <wp:inline distT="0" distB="0" distL="0" distR="0" wp14:anchorId="6617EEC6" wp14:editId="3F301073">
                  <wp:extent cx="3391786" cy="2530549"/>
                  <wp:effectExtent l="0" t="0" r="0" b="3175"/>
                  <wp:docPr id="1037" name="Диаграмма 10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234" w:type="dxa"/>
            <w:gridSpan w:val="2"/>
            <w:shd w:val="clear" w:color="auto" w:fill="auto"/>
            <w:tcMar>
              <w:left w:w="0" w:type="nil"/>
              <w:right w:w="0" w:type="nil"/>
            </w:tcMar>
          </w:tcPr>
          <w:p w:rsidR="006F0FD8" w:rsidRPr="002A1206" w:rsidRDefault="006F0FD8" w:rsidP="00F738A8">
            <w:pPr>
              <w:rPr>
                <w:rFonts w:ascii="Times New Roman" w:hAnsi="Times New Roman"/>
                <w:lang w:val="ru-RU" w:bidi="ml-IN"/>
              </w:rPr>
            </w:pPr>
          </w:p>
        </w:tc>
        <w:tc>
          <w:tcPr>
            <w:tcW w:w="5025" w:type="dxa"/>
            <w:gridSpan w:val="3"/>
            <w:tcBorders>
              <w:top w:val="single" w:sz="4" w:space="0" w:color="auto"/>
              <w:bottom w:val="single" w:sz="4" w:space="0" w:color="auto"/>
            </w:tcBorders>
            <w:shd w:val="clear" w:color="auto" w:fill="auto"/>
            <w:tcMar>
              <w:left w:w="0" w:type="nil"/>
              <w:right w:w="0" w:type="nil"/>
            </w:tcMar>
            <w:vAlign w:val="center"/>
          </w:tcPr>
          <w:p w:rsidR="006F0FD8" w:rsidRPr="00180B0E" w:rsidRDefault="00C2399C" w:rsidP="00FE308E">
            <w:pPr>
              <w:jc w:val="left"/>
              <w:rPr>
                <w:rFonts w:ascii="Times New Roman" w:eastAsia="Calibri" w:hAnsi="Times New Roman"/>
                <w:lang w:val="ru-RU" w:bidi="ml-IN"/>
              </w:rPr>
            </w:pPr>
            <w:r>
              <w:rPr>
                <w:noProof/>
                <w:lang w:eastAsia="ru-RU"/>
              </w:rPr>
              <w:t xml:space="preserve"> </w:t>
            </w:r>
            <w:r w:rsidR="00FE308E">
              <w:rPr>
                <w:noProof/>
                <w:lang w:eastAsia="ru-RU"/>
              </w:rPr>
              <w:drawing>
                <wp:inline distT="0" distB="0" distL="0" distR="0" wp14:anchorId="31F3E28C" wp14:editId="7446D55F">
                  <wp:extent cx="3125972" cy="2424224"/>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6F0FD8" w:rsidRPr="008823F8" w:rsidTr="00FE308E">
        <w:trPr>
          <w:gridAfter w:val="2"/>
          <w:wAfter w:w="156" w:type="dxa"/>
          <w:trHeight w:val="198"/>
        </w:trPr>
        <w:tc>
          <w:tcPr>
            <w:tcW w:w="5104" w:type="dxa"/>
            <w:tcBorders>
              <w:top w:val="single" w:sz="4" w:space="0" w:color="auto"/>
            </w:tcBorders>
            <w:shd w:val="clear" w:color="auto" w:fill="auto"/>
          </w:tcPr>
          <w:p w:rsidR="006F0FD8" w:rsidRPr="006F0FD8" w:rsidRDefault="006F0FD8" w:rsidP="00F738A8">
            <w:pPr>
              <w:suppressAutoHyphens/>
              <w:spacing w:after="240" w:line="160" w:lineRule="atLeast"/>
              <w:rPr>
                <w:rFonts w:ascii="Times New Roman" w:hAnsi="Times New Roman"/>
                <w:i/>
                <w:sz w:val="14"/>
                <w:szCs w:val="14"/>
                <w:lang w:val="ru-RU" w:bidi="ml-IN"/>
              </w:rPr>
            </w:pPr>
            <w:r w:rsidRPr="006F0FD8">
              <w:rPr>
                <w:rFonts w:ascii="Times New Roman" w:hAnsi="Times New Roman"/>
                <w:i/>
                <w:sz w:val="14"/>
                <w:szCs w:val="14"/>
                <w:lang w:val="ru-RU" w:bidi="ml-IN"/>
              </w:rPr>
              <w:t>Источник:</w:t>
            </w:r>
            <w:r w:rsidRPr="006F0FD8">
              <w:rPr>
                <w:rFonts w:ascii="Times New Roman" w:hAnsi="Times New Roman"/>
                <w:i/>
                <w:sz w:val="14"/>
                <w:szCs w:val="14"/>
                <w:lang w:val="en-GB" w:bidi="ml-IN"/>
              </w:rPr>
              <w:t> </w:t>
            </w:r>
            <w:r w:rsidRPr="006F0FD8">
              <w:rPr>
                <w:rFonts w:ascii="Times New Roman" w:hAnsi="Times New Roman"/>
                <w:i/>
                <w:sz w:val="14"/>
                <w:szCs w:val="14"/>
                <w:lang w:val="ru-RU" w:bidi="ml-IN"/>
              </w:rPr>
              <w:t>Росстат</w:t>
            </w:r>
            <w:r>
              <w:rPr>
                <w:rFonts w:ascii="Times New Roman" w:hAnsi="Times New Roman"/>
                <w:i/>
                <w:sz w:val="14"/>
                <w:szCs w:val="14"/>
                <w:lang w:val="ru-RU" w:bidi="ml-IN"/>
              </w:rPr>
              <w:t>, Федеральное Казначейство</w:t>
            </w:r>
          </w:p>
        </w:tc>
        <w:tc>
          <w:tcPr>
            <w:tcW w:w="220" w:type="dxa"/>
            <w:shd w:val="clear" w:color="auto" w:fill="auto"/>
          </w:tcPr>
          <w:p w:rsidR="006F0FD8" w:rsidRPr="006F0FD8" w:rsidRDefault="006F0FD8" w:rsidP="00F738A8">
            <w:pPr>
              <w:suppressAutoHyphens/>
              <w:spacing w:after="240" w:line="160" w:lineRule="atLeast"/>
              <w:rPr>
                <w:rFonts w:ascii="Times New Roman" w:hAnsi="Times New Roman"/>
                <w:sz w:val="14"/>
                <w:szCs w:val="14"/>
                <w:lang w:val="ru-RU" w:bidi="ml-IN"/>
              </w:rPr>
            </w:pPr>
          </w:p>
        </w:tc>
        <w:tc>
          <w:tcPr>
            <w:tcW w:w="4883" w:type="dxa"/>
            <w:gridSpan w:val="2"/>
            <w:tcBorders>
              <w:top w:val="single" w:sz="4" w:space="0" w:color="auto"/>
            </w:tcBorders>
            <w:shd w:val="clear" w:color="auto" w:fill="auto"/>
          </w:tcPr>
          <w:p w:rsidR="006F0FD8" w:rsidRPr="006F0FD8" w:rsidRDefault="006F0FD8" w:rsidP="00F738A8">
            <w:pPr>
              <w:suppressAutoHyphens/>
              <w:spacing w:after="240" w:line="160" w:lineRule="atLeast"/>
              <w:rPr>
                <w:rFonts w:ascii="Times New Roman" w:hAnsi="Times New Roman"/>
                <w:i/>
                <w:sz w:val="14"/>
                <w:szCs w:val="14"/>
                <w:lang w:bidi="ml-IN"/>
              </w:rPr>
            </w:pPr>
            <w:r w:rsidRPr="006F0FD8">
              <w:rPr>
                <w:rFonts w:ascii="Times New Roman" w:hAnsi="Times New Roman"/>
                <w:i/>
                <w:sz w:val="14"/>
                <w:szCs w:val="14"/>
                <w:lang w:val="ru-RU" w:bidi="ml-IN"/>
              </w:rPr>
              <w:t>Источник:</w:t>
            </w:r>
            <w:r w:rsidRPr="006F0FD8">
              <w:rPr>
                <w:rFonts w:ascii="Times New Roman" w:hAnsi="Times New Roman"/>
                <w:i/>
                <w:sz w:val="14"/>
                <w:szCs w:val="14"/>
                <w:lang w:val="en-GB" w:bidi="ml-IN"/>
              </w:rPr>
              <w:t> </w:t>
            </w:r>
            <w:r>
              <w:rPr>
                <w:rFonts w:ascii="Times New Roman" w:hAnsi="Times New Roman"/>
                <w:i/>
                <w:sz w:val="14"/>
                <w:szCs w:val="14"/>
                <w:lang w:val="ru-RU" w:bidi="ml-IN"/>
              </w:rPr>
              <w:t>Федеральное Казначейство</w:t>
            </w:r>
          </w:p>
        </w:tc>
      </w:tr>
    </w:tbl>
    <w:p w:rsidR="009824AB" w:rsidRPr="00E90CDA" w:rsidRDefault="009824AB" w:rsidP="009824AB">
      <w:pPr>
        <w:jc w:val="both"/>
        <w:rPr>
          <w:rFonts w:ascii="Times New Roman" w:hAnsi="Times New Roman"/>
          <w:sz w:val="24"/>
          <w:szCs w:val="28"/>
        </w:rPr>
      </w:pPr>
      <w:r w:rsidRPr="00E90CDA">
        <w:rPr>
          <w:rFonts w:ascii="Times New Roman" w:hAnsi="Times New Roman"/>
          <w:sz w:val="24"/>
          <w:szCs w:val="28"/>
        </w:rPr>
        <w:t xml:space="preserve">В 2017 году продолжается работа по созданию (уточнению) нормативно-правовой базы, необходимой для дальнейшего </w:t>
      </w:r>
      <w:r>
        <w:rPr>
          <w:rFonts w:ascii="Times New Roman" w:hAnsi="Times New Roman"/>
          <w:sz w:val="24"/>
          <w:szCs w:val="28"/>
        </w:rPr>
        <w:t>сокращения теневого сектора:</w:t>
      </w:r>
    </w:p>
    <w:p w:rsidR="009824AB" w:rsidRPr="00E90CDA" w:rsidRDefault="009824AB" w:rsidP="009824AB">
      <w:pPr>
        <w:pStyle w:val="a9"/>
        <w:numPr>
          <w:ilvl w:val="0"/>
          <w:numId w:val="21"/>
        </w:numPr>
        <w:spacing w:before="120" w:after="120"/>
        <w:ind w:left="357" w:hanging="357"/>
        <w:contextualSpacing w:val="0"/>
        <w:jc w:val="both"/>
        <w:rPr>
          <w:rFonts w:ascii="Times New Roman" w:hAnsi="Times New Roman"/>
          <w:sz w:val="24"/>
          <w:szCs w:val="24"/>
        </w:rPr>
      </w:pPr>
      <w:r>
        <w:rPr>
          <w:rFonts w:ascii="Times New Roman" w:hAnsi="Times New Roman"/>
          <w:sz w:val="24"/>
          <w:szCs w:val="24"/>
        </w:rPr>
        <w:t>В</w:t>
      </w:r>
      <w:r w:rsidRPr="00E90CDA">
        <w:rPr>
          <w:rFonts w:ascii="Times New Roman" w:hAnsi="Times New Roman"/>
          <w:sz w:val="24"/>
          <w:szCs w:val="24"/>
        </w:rPr>
        <w:t xml:space="preserve"> целях получения информации обо всех розничных продажах в стране </w:t>
      </w:r>
      <w:r>
        <w:rPr>
          <w:rFonts w:ascii="Times New Roman" w:hAnsi="Times New Roman"/>
          <w:sz w:val="24"/>
          <w:szCs w:val="24"/>
        </w:rPr>
        <w:t>п</w:t>
      </w:r>
      <w:r w:rsidRPr="00E90CDA">
        <w:rPr>
          <w:rFonts w:ascii="Times New Roman" w:hAnsi="Times New Roman"/>
          <w:sz w:val="24"/>
          <w:szCs w:val="24"/>
        </w:rPr>
        <w:t xml:space="preserve">риняты законодательные нормы, предусматривающие полный охват розничной торговой </w:t>
      </w:r>
      <w:r>
        <w:rPr>
          <w:rFonts w:ascii="Times New Roman" w:hAnsi="Times New Roman"/>
          <w:sz w:val="24"/>
          <w:szCs w:val="24"/>
        </w:rPr>
        <w:t>сет</w:t>
      </w:r>
      <w:r w:rsidR="00F059E6">
        <w:rPr>
          <w:rFonts w:ascii="Times New Roman" w:hAnsi="Times New Roman"/>
          <w:sz w:val="24"/>
          <w:szCs w:val="24"/>
        </w:rPr>
        <w:t>и</w:t>
      </w:r>
      <w:r w:rsidRPr="00E90CDA">
        <w:rPr>
          <w:rFonts w:ascii="Times New Roman" w:hAnsi="Times New Roman"/>
          <w:sz w:val="24"/>
          <w:szCs w:val="24"/>
        </w:rPr>
        <w:t xml:space="preserve"> контрольно-кассовой техникой, обеспечивающей онлайн-передачу данных на сервера </w:t>
      </w:r>
      <w:r>
        <w:rPr>
          <w:rFonts w:ascii="Times New Roman" w:hAnsi="Times New Roman"/>
          <w:sz w:val="24"/>
          <w:szCs w:val="24"/>
        </w:rPr>
        <w:t>налоговой службы.</w:t>
      </w:r>
    </w:p>
    <w:p w:rsidR="009824AB" w:rsidRDefault="009824AB" w:rsidP="009824AB">
      <w:pPr>
        <w:pStyle w:val="a9"/>
        <w:numPr>
          <w:ilvl w:val="0"/>
          <w:numId w:val="21"/>
        </w:numPr>
        <w:spacing w:before="120" w:after="120"/>
        <w:ind w:left="357" w:hanging="357"/>
        <w:contextualSpacing w:val="0"/>
        <w:jc w:val="both"/>
        <w:rPr>
          <w:rFonts w:ascii="Times New Roman" w:hAnsi="Times New Roman"/>
          <w:sz w:val="24"/>
          <w:szCs w:val="24"/>
        </w:rPr>
      </w:pPr>
      <w:r>
        <w:rPr>
          <w:rFonts w:ascii="Times New Roman" w:hAnsi="Times New Roman"/>
          <w:sz w:val="24"/>
          <w:szCs w:val="24"/>
        </w:rPr>
        <w:t>В</w:t>
      </w:r>
      <w:r w:rsidRPr="00E90CDA">
        <w:rPr>
          <w:rFonts w:ascii="Times New Roman" w:hAnsi="Times New Roman"/>
          <w:sz w:val="24"/>
          <w:szCs w:val="24"/>
        </w:rPr>
        <w:t xml:space="preserve"> целях вовлечения в официальную экономику </w:t>
      </w:r>
      <w:r>
        <w:rPr>
          <w:rFonts w:ascii="Times New Roman" w:hAnsi="Times New Roman"/>
          <w:sz w:val="24"/>
          <w:szCs w:val="24"/>
        </w:rPr>
        <w:t xml:space="preserve">граждан, </w:t>
      </w:r>
      <w:r w:rsidRPr="00E90CDA">
        <w:rPr>
          <w:rFonts w:ascii="Times New Roman" w:hAnsi="Times New Roman"/>
          <w:sz w:val="24"/>
          <w:szCs w:val="24"/>
        </w:rPr>
        <w:t>осуществляющи</w:t>
      </w:r>
      <w:r>
        <w:rPr>
          <w:rFonts w:ascii="Times New Roman" w:hAnsi="Times New Roman"/>
          <w:sz w:val="24"/>
          <w:szCs w:val="24"/>
        </w:rPr>
        <w:t>х</w:t>
      </w:r>
      <w:r w:rsidRPr="00E90CDA">
        <w:rPr>
          <w:rFonts w:ascii="Times New Roman" w:hAnsi="Times New Roman"/>
          <w:sz w:val="24"/>
          <w:szCs w:val="24"/>
        </w:rPr>
        <w:t xml:space="preserve"> деятельность в качестве репетиторов, сиделок, уборщиков жилых помещений и домработниц</w:t>
      </w:r>
      <w:r>
        <w:rPr>
          <w:rFonts w:ascii="Times New Roman" w:hAnsi="Times New Roman"/>
          <w:sz w:val="24"/>
          <w:szCs w:val="24"/>
        </w:rPr>
        <w:t xml:space="preserve">, эти категории </w:t>
      </w:r>
      <w:proofErr w:type="spellStart"/>
      <w:r w:rsidRPr="00E90CDA">
        <w:rPr>
          <w:rFonts w:ascii="Times New Roman" w:hAnsi="Times New Roman"/>
          <w:sz w:val="24"/>
          <w:szCs w:val="24"/>
        </w:rPr>
        <w:t>самозаняты</w:t>
      </w:r>
      <w:r>
        <w:rPr>
          <w:rFonts w:ascii="Times New Roman" w:hAnsi="Times New Roman"/>
          <w:sz w:val="24"/>
          <w:szCs w:val="24"/>
        </w:rPr>
        <w:t>х</w:t>
      </w:r>
      <w:proofErr w:type="spellEnd"/>
      <w:r w:rsidRPr="00E90CDA">
        <w:rPr>
          <w:rFonts w:ascii="Times New Roman" w:hAnsi="Times New Roman"/>
          <w:sz w:val="24"/>
          <w:szCs w:val="24"/>
        </w:rPr>
        <w:t xml:space="preserve"> </w:t>
      </w:r>
      <w:r>
        <w:rPr>
          <w:rFonts w:ascii="Times New Roman" w:hAnsi="Times New Roman"/>
          <w:sz w:val="24"/>
          <w:szCs w:val="24"/>
        </w:rPr>
        <w:t>были о</w:t>
      </w:r>
      <w:r w:rsidRPr="00E90CDA">
        <w:rPr>
          <w:rFonts w:ascii="Times New Roman" w:hAnsi="Times New Roman"/>
          <w:sz w:val="24"/>
          <w:szCs w:val="24"/>
        </w:rPr>
        <w:t>свобождены от уплаты НДФЛ</w:t>
      </w:r>
      <w:r>
        <w:rPr>
          <w:rFonts w:ascii="Times New Roman" w:hAnsi="Times New Roman"/>
          <w:sz w:val="24"/>
          <w:szCs w:val="24"/>
        </w:rPr>
        <w:t>.</w:t>
      </w:r>
    </w:p>
    <w:p w:rsidR="00CF4D21" w:rsidRPr="00E90CDA" w:rsidRDefault="00CF4D21" w:rsidP="009824AB">
      <w:pPr>
        <w:pStyle w:val="a9"/>
        <w:numPr>
          <w:ilvl w:val="0"/>
          <w:numId w:val="21"/>
        </w:numPr>
        <w:spacing w:before="120" w:after="120"/>
        <w:ind w:left="357" w:hanging="357"/>
        <w:contextualSpacing w:val="0"/>
        <w:jc w:val="both"/>
        <w:rPr>
          <w:rFonts w:ascii="Times New Roman" w:hAnsi="Times New Roman"/>
          <w:sz w:val="24"/>
          <w:szCs w:val="24"/>
        </w:rPr>
      </w:pPr>
      <w:r w:rsidRPr="0017441D">
        <w:rPr>
          <w:rFonts w:ascii="Times New Roman" w:hAnsi="Times New Roman"/>
          <w:sz w:val="24"/>
          <w:szCs w:val="24"/>
        </w:rPr>
        <w:t>В целях снижения нагрузк</w:t>
      </w:r>
      <w:r>
        <w:rPr>
          <w:rFonts w:ascii="Times New Roman" w:hAnsi="Times New Roman"/>
          <w:sz w:val="24"/>
          <w:szCs w:val="24"/>
        </w:rPr>
        <w:t>и</w:t>
      </w:r>
      <w:r w:rsidRPr="0017441D">
        <w:rPr>
          <w:rFonts w:ascii="Times New Roman" w:hAnsi="Times New Roman"/>
          <w:sz w:val="24"/>
          <w:szCs w:val="24"/>
        </w:rPr>
        <w:t xml:space="preserve"> на малый бизнес было проведено упрощение правил бухгалтерского учета для субъектов малого предпринимательства</w:t>
      </w:r>
    </w:p>
    <w:p w:rsidR="009824AB" w:rsidRDefault="009824AB" w:rsidP="009824AB">
      <w:pPr>
        <w:pStyle w:val="a9"/>
        <w:numPr>
          <w:ilvl w:val="0"/>
          <w:numId w:val="21"/>
        </w:numPr>
        <w:spacing w:before="120" w:after="120"/>
        <w:ind w:left="357" w:hanging="357"/>
        <w:contextualSpacing w:val="0"/>
        <w:jc w:val="both"/>
        <w:rPr>
          <w:rFonts w:ascii="Times New Roman" w:hAnsi="Times New Roman"/>
          <w:sz w:val="24"/>
          <w:szCs w:val="24"/>
        </w:rPr>
      </w:pPr>
      <w:r>
        <w:rPr>
          <w:rFonts w:ascii="Times New Roman" w:hAnsi="Times New Roman"/>
          <w:sz w:val="24"/>
          <w:szCs w:val="24"/>
        </w:rPr>
        <w:t>В</w:t>
      </w:r>
      <w:r w:rsidRPr="00E90CDA">
        <w:rPr>
          <w:rFonts w:ascii="Times New Roman" w:hAnsi="Times New Roman"/>
          <w:sz w:val="24"/>
          <w:szCs w:val="24"/>
        </w:rPr>
        <w:t xml:space="preserve"> рамках </w:t>
      </w:r>
      <w:r>
        <w:rPr>
          <w:rFonts w:ascii="Times New Roman" w:hAnsi="Times New Roman"/>
          <w:sz w:val="24"/>
          <w:szCs w:val="24"/>
        </w:rPr>
        <w:t xml:space="preserve">усиления межгосударственного взаимодействия </w:t>
      </w:r>
      <w:r w:rsidRPr="00E90CDA">
        <w:rPr>
          <w:rFonts w:ascii="Times New Roman" w:hAnsi="Times New Roman"/>
          <w:sz w:val="24"/>
          <w:szCs w:val="24"/>
        </w:rPr>
        <w:t xml:space="preserve">налоговых администраций подписано </w:t>
      </w:r>
      <w:r>
        <w:rPr>
          <w:rFonts w:ascii="Times New Roman" w:hAnsi="Times New Roman"/>
          <w:sz w:val="24"/>
          <w:szCs w:val="24"/>
        </w:rPr>
        <w:t>с</w:t>
      </w:r>
      <w:r w:rsidRPr="00E90CDA">
        <w:rPr>
          <w:rFonts w:ascii="Times New Roman" w:hAnsi="Times New Roman"/>
          <w:sz w:val="24"/>
          <w:szCs w:val="24"/>
        </w:rPr>
        <w:t xml:space="preserve">оглашение об автоматическом обмене </w:t>
      </w:r>
      <w:proofErr w:type="spellStart"/>
      <w:r w:rsidRPr="00E90CDA">
        <w:rPr>
          <w:rFonts w:ascii="Times New Roman" w:hAnsi="Times New Roman"/>
          <w:sz w:val="24"/>
          <w:szCs w:val="24"/>
        </w:rPr>
        <w:t>страновыми</w:t>
      </w:r>
      <w:proofErr w:type="spellEnd"/>
      <w:r w:rsidRPr="00E90CDA">
        <w:rPr>
          <w:rFonts w:ascii="Times New Roman" w:hAnsi="Times New Roman"/>
          <w:sz w:val="24"/>
          <w:szCs w:val="24"/>
        </w:rPr>
        <w:t xml:space="preserve"> отчетами </w:t>
      </w:r>
      <w:r>
        <w:rPr>
          <w:rFonts w:ascii="Times New Roman" w:hAnsi="Times New Roman"/>
          <w:sz w:val="24"/>
          <w:szCs w:val="24"/>
        </w:rPr>
        <w:t xml:space="preserve">и </w:t>
      </w:r>
      <w:r w:rsidRPr="00E90CDA">
        <w:rPr>
          <w:rFonts w:ascii="Times New Roman" w:hAnsi="Times New Roman"/>
          <w:sz w:val="24"/>
          <w:szCs w:val="24"/>
        </w:rPr>
        <w:t xml:space="preserve">финансовой информацией </w:t>
      </w:r>
      <w:r>
        <w:rPr>
          <w:rFonts w:ascii="Times New Roman" w:hAnsi="Times New Roman"/>
          <w:sz w:val="24"/>
          <w:szCs w:val="24"/>
        </w:rPr>
        <w:t xml:space="preserve">по налоговым делам, </w:t>
      </w:r>
      <w:proofErr w:type="gramStart"/>
      <w:r>
        <w:rPr>
          <w:rFonts w:ascii="Times New Roman" w:hAnsi="Times New Roman"/>
          <w:sz w:val="24"/>
          <w:szCs w:val="24"/>
        </w:rPr>
        <w:t>который</w:t>
      </w:r>
      <w:proofErr w:type="gramEnd"/>
      <w:r>
        <w:rPr>
          <w:rFonts w:ascii="Times New Roman" w:hAnsi="Times New Roman"/>
          <w:sz w:val="24"/>
          <w:szCs w:val="24"/>
        </w:rPr>
        <w:t xml:space="preserve"> планируется начать </w:t>
      </w:r>
      <w:r w:rsidRPr="00E90CDA">
        <w:rPr>
          <w:rFonts w:ascii="Times New Roman" w:hAnsi="Times New Roman"/>
          <w:sz w:val="24"/>
          <w:szCs w:val="24"/>
        </w:rPr>
        <w:t>с 2018 года</w:t>
      </w:r>
      <w:r>
        <w:rPr>
          <w:rFonts w:ascii="Times New Roman" w:hAnsi="Times New Roman"/>
          <w:sz w:val="24"/>
          <w:szCs w:val="24"/>
        </w:rPr>
        <w:t>.</w:t>
      </w:r>
    </w:p>
    <w:p w:rsidR="00CF4D21" w:rsidRDefault="00CF4D21" w:rsidP="00202C9E">
      <w:pPr>
        <w:pStyle w:val="a9"/>
        <w:numPr>
          <w:ilvl w:val="0"/>
          <w:numId w:val="21"/>
        </w:numPr>
        <w:spacing w:before="120" w:after="120"/>
        <w:ind w:left="357" w:hanging="357"/>
        <w:contextualSpacing w:val="0"/>
        <w:jc w:val="both"/>
        <w:rPr>
          <w:rFonts w:ascii="Times New Roman" w:hAnsi="Times New Roman"/>
          <w:sz w:val="24"/>
          <w:szCs w:val="24"/>
        </w:rPr>
      </w:pPr>
      <w:r>
        <w:rPr>
          <w:rFonts w:ascii="Times New Roman" w:hAnsi="Times New Roman"/>
          <w:sz w:val="24"/>
          <w:szCs w:val="24"/>
        </w:rPr>
        <w:t>В</w:t>
      </w:r>
      <w:r w:rsidRPr="009A0F3F">
        <w:rPr>
          <w:rFonts w:ascii="Times New Roman" w:hAnsi="Times New Roman"/>
          <w:sz w:val="24"/>
          <w:szCs w:val="24"/>
        </w:rPr>
        <w:t xml:space="preserve"> целях создания действенного механизма пресечения использования низконалоговых юрисдикций для создания необоснованных преференций и получения необоснованной налоговой выгоды</w:t>
      </w:r>
      <w:r>
        <w:rPr>
          <w:rFonts w:ascii="Times New Roman" w:hAnsi="Times New Roman"/>
          <w:sz w:val="24"/>
          <w:szCs w:val="24"/>
        </w:rPr>
        <w:t xml:space="preserve"> был введен </w:t>
      </w:r>
      <w:r w:rsidRPr="005D7DFB">
        <w:rPr>
          <w:rFonts w:ascii="Times New Roman" w:hAnsi="Times New Roman"/>
          <w:i/>
          <w:sz w:val="24"/>
          <w:szCs w:val="24"/>
        </w:rPr>
        <w:t>институт контролируемых иностранных компаний</w:t>
      </w:r>
      <w:r w:rsidRPr="009A0F3F">
        <w:rPr>
          <w:rFonts w:ascii="Times New Roman" w:hAnsi="Times New Roman"/>
          <w:sz w:val="24"/>
          <w:szCs w:val="24"/>
        </w:rPr>
        <w:t>.</w:t>
      </w:r>
    </w:p>
    <w:p w:rsidR="00C00E6E" w:rsidRDefault="00AE5572" w:rsidP="00C2399C">
      <w:pPr>
        <w:spacing w:before="120" w:after="120"/>
        <w:jc w:val="both"/>
        <w:rPr>
          <w:rFonts w:ascii="Times New Roman" w:hAnsi="Times New Roman"/>
          <w:sz w:val="24"/>
          <w:szCs w:val="28"/>
        </w:rPr>
      </w:pPr>
      <w:r>
        <w:rPr>
          <w:rFonts w:ascii="Times New Roman" w:hAnsi="Times New Roman"/>
          <w:sz w:val="24"/>
          <w:szCs w:val="28"/>
        </w:rPr>
        <w:t>В</w:t>
      </w:r>
      <w:r w:rsidR="00C00E6E" w:rsidRPr="00C00E6E">
        <w:rPr>
          <w:rFonts w:ascii="Times New Roman" w:hAnsi="Times New Roman"/>
          <w:sz w:val="24"/>
          <w:szCs w:val="28"/>
        </w:rPr>
        <w:t>о многом</w:t>
      </w:r>
      <w:r>
        <w:rPr>
          <w:rFonts w:ascii="Times New Roman" w:hAnsi="Times New Roman"/>
          <w:sz w:val="24"/>
          <w:szCs w:val="28"/>
        </w:rPr>
        <w:t>,</w:t>
      </w:r>
      <w:r w:rsidR="00C00E6E" w:rsidRPr="00C00E6E">
        <w:rPr>
          <w:rFonts w:ascii="Times New Roman" w:hAnsi="Times New Roman"/>
          <w:sz w:val="24"/>
          <w:szCs w:val="28"/>
        </w:rPr>
        <w:t xml:space="preserve"> именно </w:t>
      </w:r>
      <w:r w:rsidR="00C00E6E" w:rsidRPr="00E90CDA">
        <w:rPr>
          <w:rFonts w:ascii="Times New Roman" w:hAnsi="Times New Roman"/>
          <w:i/>
          <w:sz w:val="24"/>
          <w:szCs w:val="28"/>
        </w:rPr>
        <w:t>результаты усилий по выводу экономики</w:t>
      </w:r>
      <w:r w:rsidR="00E90CDA" w:rsidRPr="00E90CDA">
        <w:rPr>
          <w:rFonts w:ascii="Times New Roman" w:hAnsi="Times New Roman"/>
          <w:i/>
          <w:sz w:val="24"/>
          <w:szCs w:val="28"/>
        </w:rPr>
        <w:t xml:space="preserve"> и отдельных отраслей/рынков</w:t>
      </w:r>
      <w:r w:rsidR="00C00E6E" w:rsidRPr="00E90CDA">
        <w:rPr>
          <w:rFonts w:ascii="Times New Roman" w:hAnsi="Times New Roman"/>
          <w:i/>
          <w:sz w:val="24"/>
          <w:szCs w:val="28"/>
        </w:rPr>
        <w:t xml:space="preserve"> из тени позволили избежать</w:t>
      </w:r>
      <w:r w:rsidR="00C00E6E" w:rsidRPr="00C00E6E">
        <w:rPr>
          <w:rFonts w:ascii="Times New Roman" w:hAnsi="Times New Roman"/>
          <w:sz w:val="24"/>
          <w:szCs w:val="28"/>
        </w:rPr>
        <w:t xml:space="preserve"> </w:t>
      </w:r>
      <w:r w:rsidR="00C00E6E" w:rsidRPr="00E90CDA">
        <w:rPr>
          <w:rFonts w:ascii="Times New Roman" w:hAnsi="Times New Roman"/>
          <w:i/>
          <w:sz w:val="24"/>
          <w:szCs w:val="28"/>
        </w:rPr>
        <w:t>повышени</w:t>
      </w:r>
      <w:r w:rsidR="00362181">
        <w:rPr>
          <w:rFonts w:ascii="Times New Roman" w:hAnsi="Times New Roman"/>
          <w:i/>
          <w:sz w:val="24"/>
          <w:szCs w:val="28"/>
        </w:rPr>
        <w:t>я</w:t>
      </w:r>
      <w:r w:rsidR="00C00E6E" w:rsidRPr="00E90CDA">
        <w:rPr>
          <w:rFonts w:ascii="Times New Roman" w:hAnsi="Times New Roman"/>
          <w:i/>
          <w:sz w:val="24"/>
          <w:szCs w:val="28"/>
        </w:rPr>
        <w:t xml:space="preserve"> уровня налоговой нагрузки</w:t>
      </w:r>
      <w:r w:rsidR="002C6B7D">
        <w:rPr>
          <w:rFonts w:ascii="Times New Roman" w:hAnsi="Times New Roman"/>
          <w:sz w:val="24"/>
          <w:szCs w:val="28"/>
        </w:rPr>
        <w:t xml:space="preserve"> в </w:t>
      </w:r>
      <w:r w:rsidR="00362181">
        <w:rPr>
          <w:rFonts w:ascii="Times New Roman" w:hAnsi="Times New Roman"/>
          <w:sz w:val="24"/>
          <w:szCs w:val="28"/>
        </w:rPr>
        <w:t>период подстройки бюджета к снижению рентных нефтегазовых доходов</w:t>
      </w:r>
      <w:r w:rsidR="002C6B7D">
        <w:rPr>
          <w:rFonts w:ascii="Times New Roman" w:hAnsi="Times New Roman"/>
          <w:sz w:val="24"/>
          <w:szCs w:val="28"/>
        </w:rPr>
        <w:t>.</w:t>
      </w:r>
    </w:p>
    <w:p w:rsidR="0080282A" w:rsidRPr="0080282A" w:rsidRDefault="0080282A" w:rsidP="00F569CB">
      <w:pPr>
        <w:jc w:val="both"/>
        <w:rPr>
          <w:rFonts w:ascii="Times New Roman" w:hAnsi="Times New Roman"/>
          <w:b/>
          <w:sz w:val="24"/>
          <w:szCs w:val="24"/>
        </w:rPr>
      </w:pPr>
      <w:r>
        <w:rPr>
          <w:rFonts w:ascii="Times New Roman" w:hAnsi="Times New Roman"/>
          <w:b/>
          <w:sz w:val="24"/>
          <w:szCs w:val="24"/>
        </w:rPr>
        <w:t>ВНЕДРЕНИЕ</w:t>
      </w:r>
      <w:r w:rsidRPr="0080282A">
        <w:rPr>
          <w:rFonts w:ascii="Times New Roman" w:hAnsi="Times New Roman"/>
          <w:b/>
          <w:sz w:val="24"/>
          <w:szCs w:val="24"/>
        </w:rPr>
        <w:t xml:space="preserve"> ПРОЕКТН</w:t>
      </w:r>
      <w:r w:rsidR="00BD03CB">
        <w:rPr>
          <w:rFonts w:ascii="Times New Roman" w:hAnsi="Times New Roman"/>
          <w:b/>
          <w:sz w:val="24"/>
          <w:szCs w:val="24"/>
        </w:rPr>
        <w:t>Ы</w:t>
      </w:r>
      <w:r>
        <w:rPr>
          <w:rFonts w:ascii="Times New Roman" w:hAnsi="Times New Roman"/>
          <w:b/>
          <w:sz w:val="24"/>
          <w:szCs w:val="24"/>
        </w:rPr>
        <w:t>Х</w:t>
      </w:r>
      <w:r w:rsidRPr="0080282A">
        <w:rPr>
          <w:rFonts w:ascii="Times New Roman" w:hAnsi="Times New Roman"/>
          <w:b/>
          <w:sz w:val="24"/>
          <w:szCs w:val="24"/>
        </w:rPr>
        <w:t xml:space="preserve"> ПРИНЦИПОВ </w:t>
      </w:r>
      <w:r>
        <w:rPr>
          <w:rFonts w:ascii="Times New Roman" w:hAnsi="Times New Roman"/>
          <w:b/>
          <w:sz w:val="24"/>
          <w:szCs w:val="24"/>
        </w:rPr>
        <w:t>УПРАВЛЕНИЯ</w:t>
      </w:r>
    </w:p>
    <w:p w:rsidR="00694983" w:rsidRDefault="00694983" w:rsidP="00694983">
      <w:pPr>
        <w:jc w:val="both"/>
        <w:rPr>
          <w:rFonts w:ascii="Times New Roman" w:hAnsi="Times New Roman"/>
          <w:sz w:val="24"/>
          <w:szCs w:val="24"/>
        </w:rPr>
      </w:pPr>
      <w:r>
        <w:rPr>
          <w:rFonts w:ascii="Times New Roman" w:hAnsi="Times New Roman"/>
          <w:sz w:val="24"/>
          <w:szCs w:val="24"/>
        </w:rPr>
        <w:t>П</w:t>
      </w:r>
      <w:r w:rsidRPr="007145FB">
        <w:rPr>
          <w:rFonts w:ascii="Times New Roman" w:hAnsi="Times New Roman"/>
          <w:sz w:val="24"/>
          <w:szCs w:val="24"/>
        </w:rPr>
        <w:t>реодолени</w:t>
      </w:r>
      <w:r>
        <w:rPr>
          <w:rFonts w:ascii="Times New Roman" w:hAnsi="Times New Roman"/>
          <w:sz w:val="24"/>
          <w:szCs w:val="24"/>
        </w:rPr>
        <w:t>е</w:t>
      </w:r>
      <w:r w:rsidRPr="007145FB">
        <w:rPr>
          <w:rFonts w:ascii="Times New Roman" w:hAnsi="Times New Roman"/>
          <w:sz w:val="24"/>
          <w:szCs w:val="24"/>
        </w:rPr>
        <w:t xml:space="preserve"> </w:t>
      </w:r>
      <w:r>
        <w:rPr>
          <w:rFonts w:ascii="Times New Roman" w:hAnsi="Times New Roman"/>
          <w:sz w:val="24"/>
          <w:szCs w:val="24"/>
        </w:rPr>
        <w:t>структурных барьеров роста экономики,</w:t>
      </w:r>
      <w:r w:rsidRPr="006C3868">
        <w:rPr>
          <w:rFonts w:ascii="Times New Roman" w:hAnsi="Times New Roman"/>
          <w:sz w:val="24"/>
          <w:szCs w:val="24"/>
        </w:rPr>
        <w:t xml:space="preserve"> связанных с </w:t>
      </w:r>
      <w:r>
        <w:rPr>
          <w:rFonts w:ascii="Times New Roman" w:hAnsi="Times New Roman"/>
          <w:sz w:val="24"/>
          <w:szCs w:val="24"/>
        </w:rPr>
        <w:t xml:space="preserve">демографическими вызовами и развитием </w:t>
      </w:r>
      <w:r w:rsidRPr="006C3868">
        <w:rPr>
          <w:rFonts w:ascii="Times New Roman" w:hAnsi="Times New Roman"/>
          <w:sz w:val="24"/>
          <w:szCs w:val="24"/>
        </w:rPr>
        <w:t>человеческого капитала, искажениями конкурентного ландшафта и стимулов к инвестициям</w:t>
      </w:r>
      <w:r>
        <w:rPr>
          <w:rFonts w:ascii="Times New Roman" w:hAnsi="Times New Roman"/>
          <w:sz w:val="24"/>
          <w:szCs w:val="24"/>
        </w:rPr>
        <w:t xml:space="preserve"> в условиях сохранения бюджетных ограничений, требует качественного изменения подходов к реализации государственной политики.</w:t>
      </w:r>
    </w:p>
    <w:p w:rsidR="00694983" w:rsidRDefault="00694983" w:rsidP="00694983">
      <w:pPr>
        <w:jc w:val="both"/>
        <w:rPr>
          <w:rFonts w:ascii="Times New Roman" w:hAnsi="Times New Roman"/>
          <w:sz w:val="24"/>
          <w:szCs w:val="24"/>
        </w:rPr>
      </w:pPr>
      <w:r w:rsidRPr="00C66BFA">
        <w:rPr>
          <w:rFonts w:ascii="Times New Roman" w:hAnsi="Times New Roman"/>
          <w:sz w:val="24"/>
          <w:szCs w:val="24"/>
        </w:rPr>
        <w:t>Основой ста</w:t>
      </w:r>
      <w:r>
        <w:rPr>
          <w:rFonts w:ascii="Times New Roman" w:hAnsi="Times New Roman"/>
          <w:sz w:val="24"/>
          <w:szCs w:val="24"/>
        </w:rPr>
        <w:t xml:space="preserve">новится </w:t>
      </w:r>
      <w:r w:rsidRPr="00C66BFA">
        <w:rPr>
          <w:rFonts w:ascii="Times New Roman" w:hAnsi="Times New Roman"/>
          <w:b/>
          <w:sz w:val="24"/>
          <w:szCs w:val="24"/>
        </w:rPr>
        <w:t>проектный подход</w:t>
      </w:r>
      <w:r w:rsidRPr="00C66BFA">
        <w:rPr>
          <w:rFonts w:ascii="Times New Roman" w:hAnsi="Times New Roman"/>
          <w:sz w:val="24"/>
          <w:szCs w:val="24"/>
        </w:rPr>
        <w:t xml:space="preserve">, для реализации которого </w:t>
      </w:r>
      <w:r w:rsidR="009A0F3F">
        <w:rPr>
          <w:rFonts w:ascii="Times New Roman" w:hAnsi="Times New Roman"/>
          <w:sz w:val="24"/>
          <w:szCs w:val="24"/>
        </w:rPr>
        <w:t xml:space="preserve">будет использован внедренный </w:t>
      </w:r>
      <w:r w:rsidRPr="00C66BFA">
        <w:rPr>
          <w:rFonts w:ascii="Times New Roman" w:hAnsi="Times New Roman"/>
          <w:sz w:val="24"/>
          <w:szCs w:val="24"/>
        </w:rPr>
        <w:t xml:space="preserve">в свое время институт госпрограмм. Сейчас, однако, потенциал применения проектных принципов управления госпрограммами реализован далеко не в полном объеме. В целях постепенного перехода к проектным принципам </w:t>
      </w:r>
      <w:r>
        <w:rPr>
          <w:rFonts w:ascii="Times New Roman" w:hAnsi="Times New Roman"/>
          <w:sz w:val="24"/>
          <w:szCs w:val="24"/>
        </w:rPr>
        <w:t xml:space="preserve">в </w:t>
      </w:r>
      <w:proofErr w:type="spellStart"/>
      <w:r>
        <w:rPr>
          <w:rFonts w:ascii="Times New Roman" w:hAnsi="Times New Roman"/>
          <w:sz w:val="24"/>
          <w:szCs w:val="24"/>
        </w:rPr>
        <w:t>гос</w:t>
      </w:r>
      <w:r w:rsidRPr="00C66BFA">
        <w:rPr>
          <w:rFonts w:ascii="Times New Roman" w:hAnsi="Times New Roman"/>
          <w:sz w:val="24"/>
          <w:szCs w:val="24"/>
        </w:rPr>
        <w:t>управлени</w:t>
      </w:r>
      <w:r>
        <w:rPr>
          <w:rFonts w:ascii="Times New Roman" w:hAnsi="Times New Roman"/>
          <w:sz w:val="24"/>
          <w:szCs w:val="24"/>
        </w:rPr>
        <w:t>и</w:t>
      </w:r>
      <w:proofErr w:type="spellEnd"/>
      <w:r w:rsidRPr="00C66BFA">
        <w:rPr>
          <w:rFonts w:ascii="Times New Roman" w:hAnsi="Times New Roman"/>
          <w:sz w:val="24"/>
          <w:szCs w:val="24"/>
        </w:rPr>
        <w:t xml:space="preserve"> </w:t>
      </w:r>
      <w:r>
        <w:rPr>
          <w:rFonts w:ascii="Times New Roman" w:hAnsi="Times New Roman"/>
          <w:sz w:val="24"/>
          <w:szCs w:val="24"/>
        </w:rPr>
        <w:t xml:space="preserve">в 2016 году </w:t>
      </w:r>
      <w:r w:rsidRPr="00C66BFA">
        <w:rPr>
          <w:rFonts w:ascii="Times New Roman" w:hAnsi="Times New Roman"/>
          <w:sz w:val="24"/>
          <w:szCs w:val="24"/>
        </w:rPr>
        <w:t>была начата ра</w:t>
      </w:r>
      <w:r>
        <w:rPr>
          <w:rFonts w:ascii="Times New Roman" w:hAnsi="Times New Roman"/>
          <w:sz w:val="24"/>
          <w:szCs w:val="24"/>
        </w:rPr>
        <w:t xml:space="preserve">бота по реализации </w:t>
      </w:r>
      <w:r w:rsidRPr="00C66BFA">
        <w:rPr>
          <w:rFonts w:ascii="Times New Roman" w:hAnsi="Times New Roman"/>
          <w:i/>
          <w:sz w:val="24"/>
          <w:szCs w:val="24"/>
        </w:rPr>
        <w:t>приоритетны</w:t>
      </w:r>
      <w:r>
        <w:rPr>
          <w:rFonts w:ascii="Times New Roman" w:hAnsi="Times New Roman"/>
          <w:i/>
          <w:sz w:val="24"/>
          <w:szCs w:val="24"/>
        </w:rPr>
        <w:t>х</w:t>
      </w:r>
      <w:r w:rsidRPr="00C66BFA">
        <w:rPr>
          <w:rFonts w:ascii="Times New Roman" w:hAnsi="Times New Roman"/>
          <w:i/>
          <w:sz w:val="24"/>
          <w:szCs w:val="24"/>
        </w:rPr>
        <w:t xml:space="preserve"> проект</w:t>
      </w:r>
      <w:r>
        <w:rPr>
          <w:rFonts w:ascii="Times New Roman" w:hAnsi="Times New Roman"/>
          <w:i/>
          <w:sz w:val="24"/>
          <w:szCs w:val="24"/>
        </w:rPr>
        <w:t>ов</w:t>
      </w:r>
      <w:r>
        <w:rPr>
          <w:rFonts w:ascii="Times New Roman" w:hAnsi="Times New Roman"/>
          <w:sz w:val="24"/>
          <w:szCs w:val="24"/>
        </w:rPr>
        <w:t xml:space="preserve"> в </w:t>
      </w:r>
      <w:r w:rsidRPr="00C66BFA">
        <w:rPr>
          <w:rFonts w:ascii="Times New Roman" w:hAnsi="Times New Roman"/>
          <w:sz w:val="24"/>
          <w:szCs w:val="24"/>
        </w:rPr>
        <w:t xml:space="preserve">рамках 11 ключевых </w:t>
      </w:r>
      <w:r>
        <w:rPr>
          <w:rFonts w:ascii="Times New Roman" w:hAnsi="Times New Roman"/>
          <w:sz w:val="24"/>
          <w:szCs w:val="24"/>
        </w:rPr>
        <w:t xml:space="preserve">приоритетных направлений, отобранных </w:t>
      </w:r>
      <w:r>
        <w:rPr>
          <w:rFonts w:ascii="Times New Roman" w:hAnsi="Times New Roman"/>
          <w:color w:val="000000"/>
          <w:sz w:val="24"/>
        </w:rPr>
        <w:t xml:space="preserve">Советом </w:t>
      </w:r>
      <w:r w:rsidRPr="00C66BFA">
        <w:rPr>
          <w:rFonts w:ascii="Times New Roman" w:hAnsi="Times New Roman"/>
          <w:color w:val="000000"/>
          <w:sz w:val="24"/>
        </w:rPr>
        <w:t>при Президенте Российской Федерации по стратегическому развитию и приоритетным проектам</w:t>
      </w:r>
      <w:r>
        <w:rPr>
          <w:rFonts w:ascii="Times New Roman" w:hAnsi="Times New Roman"/>
          <w:sz w:val="24"/>
          <w:szCs w:val="24"/>
        </w:rPr>
        <w:t>.</w:t>
      </w:r>
    </w:p>
    <w:p w:rsidR="00694983" w:rsidRPr="006860B5" w:rsidRDefault="00694983" w:rsidP="00694983">
      <w:pPr>
        <w:jc w:val="both"/>
        <w:rPr>
          <w:rFonts w:ascii="Times New Roman" w:hAnsi="Times New Roman"/>
          <w:color w:val="000000"/>
          <w:sz w:val="24"/>
        </w:rPr>
      </w:pPr>
      <w:r>
        <w:rPr>
          <w:rFonts w:ascii="Times New Roman" w:hAnsi="Times New Roman"/>
          <w:color w:val="000000"/>
          <w:sz w:val="24"/>
        </w:rPr>
        <w:t>П</w:t>
      </w:r>
      <w:r w:rsidRPr="00C66BFA">
        <w:rPr>
          <w:rFonts w:ascii="Times New Roman" w:hAnsi="Times New Roman"/>
          <w:color w:val="000000"/>
          <w:sz w:val="24"/>
        </w:rPr>
        <w:t>риоритетны</w:t>
      </w:r>
      <w:r>
        <w:rPr>
          <w:rFonts w:ascii="Times New Roman" w:hAnsi="Times New Roman"/>
          <w:color w:val="000000"/>
          <w:sz w:val="24"/>
        </w:rPr>
        <w:t>е</w:t>
      </w:r>
      <w:r w:rsidRPr="00C66BFA">
        <w:rPr>
          <w:rFonts w:ascii="Times New Roman" w:hAnsi="Times New Roman"/>
          <w:color w:val="000000"/>
          <w:sz w:val="24"/>
        </w:rPr>
        <w:t xml:space="preserve"> проект</w:t>
      </w:r>
      <w:r>
        <w:rPr>
          <w:rFonts w:ascii="Times New Roman" w:hAnsi="Times New Roman"/>
          <w:color w:val="000000"/>
          <w:sz w:val="24"/>
        </w:rPr>
        <w:t xml:space="preserve">ы </w:t>
      </w:r>
      <w:r w:rsidRPr="006860B5">
        <w:rPr>
          <w:rFonts w:ascii="Times New Roman" w:hAnsi="Times New Roman"/>
          <w:color w:val="000000"/>
          <w:sz w:val="24"/>
        </w:rPr>
        <w:t>(программ</w:t>
      </w:r>
      <w:r>
        <w:rPr>
          <w:rFonts w:ascii="Times New Roman" w:hAnsi="Times New Roman"/>
          <w:color w:val="000000"/>
          <w:sz w:val="24"/>
        </w:rPr>
        <w:t>ы</w:t>
      </w:r>
      <w:r w:rsidRPr="006860B5">
        <w:rPr>
          <w:rFonts w:ascii="Times New Roman" w:hAnsi="Times New Roman"/>
          <w:color w:val="000000"/>
          <w:sz w:val="24"/>
        </w:rPr>
        <w:t>) являю</w:t>
      </w:r>
      <w:r>
        <w:rPr>
          <w:rFonts w:ascii="Times New Roman" w:hAnsi="Times New Roman"/>
          <w:color w:val="000000"/>
          <w:sz w:val="24"/>
        </w:rPr>
        <w:t>т</w:t>
      </w:r>
      <w:r w:rsidRPr="006860B5">
        <w:rPr>
          <w:rFonts w:ascii="Times New Roman" w:hAnsi="Times New Roman"/>
          <w:color w:val="000000"/>
          <w:sz w:val="24"/>
        </w:rPr>
        <w:t>ся структурными элементами государственных программ и</w:t>
      </w:r>
      <w:r>
        <w:rPr>
          <w:rFonts w:ascii="Times New Roman" w:hAnsi="Times New Roman"/>
          <w:color w:val="000000"/>
          <w:sz w:val="24"/>
        </w:rPr>
        <w:t>,</w:t>
      </w:r>
      <w:r w:rsidRPr="006860B5">
        <w:rPr>
          <w:rFonts w:ascii="Times New Roman" w:hAnsi="Times New Roman"/>
          <w:color w:val="000000"/>
          <w:sz w:val="24"/>
        </w:rPr>
        <w:t xml:space="preserve"> в то же время</w:t>
      </w:r>
      <w:r>
        <w:rPr>
          <w:rFonts w:ascii="Times New Roman" w:hAnsi="Times New Roman"/>
          <w:color w:val="000000"/>
          <w:sz w:val="24"/>
        </w:rPr>
        <w:t>,</w:t>
      </w:r>
      <w:r w:rsidRPr="006860B5">
        <w:rPr>
          <w:rFonts w:ascii="Times New Roman" w:hAnsi="Times New Roman"/>
          <w:color w:val="000000"/>
          <w:sz w:val="24"/>
        </w:rPr>
        <w:t xml:space="preserve"> обладаю</w:t>
      </w:r>
      <w:r>
        <w:rPr>
          <w:rFonts w:ascii="Times New Roman" w:hAnsi="Times New Roman"/>
          <w:color w:val="000000"/>
          <w:sz w:val="24"/>
        </w:rPr>
        <w:t>т</w:t>
      </w:r>
      <w:r w:rsidRPr="006860B5">
        <w:rPr>
          <w:rFonts w:ascii="Times New Roman" w:hAnsi="Times New Roman"/>
          <w:color w:val="000000"/>
          <w:sz w:val="24"/>
        </w:rPr>
        <w:t xml:space="preserve"> </w:t>
      </w:r>
      <w:r w:rsidRPr="00C66BFA">
        <w:rPr>
          <w:rFonts w:ascii="Times New Roman" w:hAnsi="Times New Roman"/>
          <w:color w:val="000000"/>
          <w:sz w:val="24"/>
          <w:u w:val="single"/>
        </w:rPr>
        <w:t>рядом существенных особенностей</w:t>
      </w:r>
      <w:r w:rsidRPr="006860B5">
        <w:rPr>
          <w:rFonts w:ascii="Times New Roman" w:hAnsi="Times New Roman"/>
          <w:color w:val="000000"/>
          <w:sz w:val="24"/>
        </w:rPr>
        <w:t>:</w:t>
      </w:r>
    </w:p>
    <w:p w:rsidR="00F569CB" w:rsidRPr="00743287" w:rsidRDefault="00F569CB" w:rsidP="009F1CCA">
      <w:pPr>
        <w:pStyle w:val="a9"/>
        <w:numPr>
          <w:ilvl w:val="0"/>
          <w:numId w:val="22"/>
        </w:numPr>
        <w:spacing w:before="120" w:after="120"/>
        <w:ind w:left="357" w:hanging="357"/>
        <w:contextualSpacing w:val="0"/>
        <w:jc w:val="both"/>
        <w:rPr>
          <w:rFonts w:ascii="Times New Roman" w:hAnsi="Times New Roman"/>
          <w:color w:val="000000"/>
          <w:sz w:val="24"/>
        </w:rPr>
      </w:pPr>
      <w:r w:rsidRPr="00743287">
        <w:rPr>
          <w:rFonts w:ascii="Times New Roman" w:hAnsi="Times New Roman"/>
          <w:color w:val="000000"/>
          <w:sz w:val="24"/>
        </w:rPr>
        <w:t>наличие индивидуального для каждого проекта набора конкретных измеримых целей;</w:t>
      </w:r>
    </w:p>
    <w:p w:rsidR="00F569CB" w:rsidRPr="00743287" w:rsidRDefault="00F569CB" w:rsidP="009F1CCA">
      <w:pPr>
        <w:pStyle w:val="a9"/>
        <w:numPr>
          <w:ilvl w:val="0"/>
          <w:numId w:val="22"/>
        </w:numPr>
        <w:spacing w:before="120" w:after="120"/>
        <w:ind w:left="357" w:hanging="357"/>
        <w:contextualSpacing w:val="0"/>
        <w:jc w:val="both"/>
        <w:rPr>
          <w:rFonts w:ascii="Times New Roman" w:hAnsi="Times New Roman"/>
          <w:color w:val="000000"/>
          <w:sz w:val="24"/>
        </w:rPr>
      </w:pPr>
      <w:r w:rsidRPr="00743287">
        <w:rPr>
          <w:rFonts w:ascii="Times New Roman" w:hAnsi="Times New Roman"/>
          <w:color w:val="000000"/>
          <w:sz w:val="24"/>
        </w:rPr>
        <w:t>концентрация управленческих усилий и бюджетных ассигнований на тех мероприятиях государственных программ, которые обеспечивают максимальный вклад в достижение ключевых приоритетов государственной политики в соответствующих отраслях;</w:t>
      </w:r>
    </w:p>
    <w:p w:rsidR="00F569CB" w:rsidRPr="00743287" w:rsidRDefault="00F569CB" w:rsidP="009F1CCA">
      <w:pPr>
        <w:pStyle w:val="a9"/>
        <w:numPr>
          <w:ilvl w:val="0"/>
          <w:numId w:val="22"/>
        </w:numPr>
        <w:spacing w:before="120" w:after="120"/>
        <w:ind w:left="357" w:hanging="357"/>
        <w:contextualSpacing w:val="0"/>
        <w:jc w:val="both"/>
        <w:rPr>
          <w:rFonts w:ascii="Times New Roman" w:hAnsi="Times New Roman"/>
          <w:color w:val="000000"/>
          <w:sz w:val="24"/>
        </w:rPr>
      </w:pPr>
      <w:r w:rsidRPr="00743287">
        <w:rPr>
          <w:rFonts w:ascii="Times New Roman" w:hAnsi="Times New Roman"/>
          <w:color w:val="000000"/>
          <w:sz w:val="24"/>
        </w:rPr>
        <w:t xml:space="preserve">наличие особой системы управления, предусматривающей постоянное участие руководства Правительства </w:t>
      </w:r>
      <w:r w:rsidR="00C33DD3">
        <w:rPr>
          <w:rFonts w:ascii="Times New Roman" w:hAnsi="Times New Roman"/>
          <w:color w:val="000000"/>
          <w:sz w:val="24"/>
        </w:rPr>
        <w:t xml:space="preserve">Российской Федерации </w:t>
      </w:r>
      <w:r w:rsidRPr="00743287">
        <w:rPr>
          <w:rFonts w:ascii="Times New Roman" w:hAnsi="Times New Roman"/>
          <w:color w:val="000000"/>
          <w:sz w:val="24"/>
        </w:rPr>
        <w:t>и соответствующих органов исполнительной власти, а также ускоренный порядок принятия управленческих решений;</w:t>
      </w:r>
    </w:p>
    <w:p w:rsidR="00F569CB" w:rsidRPr="00743287" w:rsidRDefault="00F569CB" w:rsidP="009F1CCA">
      <w:pPr>
        <w:pStyle w:val="a9"/>
        <w:numPr>
          <w:ilvl w:val="0"/>
          <w:numId w:val="22"/>
        </w:numPr>
        <w:spacing w:before="120" w:after="120"/>
        <w:ind w:left="357" w:hanging="357"/>
        <w:contextualSpacing w:val="0"/>
        <w:jc w:val="both"/>
        <w:rPr>
          <w:rFonts w:ascii="Times New Roman" w:hAnsi="Times New Roman"/>
          <w:color w:val="000000"/>
          <w:sz w:val="24"/>
        </w:rPr>
      </w:pPr>
      <w:r w:rsidRPr="00743287">
        <w:rPr>
          <w:rFonts w:ascii="Times New Roman" w:hAnsi="Times New Roman"/>
          <w:color w:val="000000"/>
          <w:sz w:val="24"/>
        </w:rPr>
        <w:t>тесная увязка процедур финансирования с общими управленческими процедурами в рамках проекта (например, лимиты бюджетных обязательств не могут быть доведены до утверждения сводного плана реализации проекта).</w:t>
      </w:r>
    </w:p>
    <w:p w:rsidR="00180B0E" w:rsidRPr="00180B0E" w:rsidRDefault="00180B0E" w:rsidP="00180B0E">
      <w:pPr>
        <w:jc w:val="both"/>
        <w:rPr>
          <w:rFonts w:ascii="Times New Roman" w:hAnsi="Times New Roman"/>
          <w:color w:val="000000"/>
          <w:sz w:val="24"/>
        </w:rPr>
      </w:pPr>
      <w:r w:rsidRPr="00180B0E">
        <w:rPr>
          <w:rFonts w:ascii="Times New Roman" w:hAnsi="Times New Roman"/>
          <w:color w:val="000000"/>
          <w:sz w:val="24"/>
        </w:rPr>
        <w:t xml:space="preserve">К настоящему времени разработаны и утверждены методические документы по вопросам: подготовки паспорта, сводного и рабочего плана; мониторинга; оценки реализации; подготовки предложения, реализации и управления изменениями; завершения приоритетного проекта (программы) и др. </w:t>
      </w:r>
    </w:p>
    <w:p w:rsidR="00592E1B" w:rsidRPr="00592E1B" w:rsidRDefault="00180B0E" w:rsidP="00180B0E">
      <w:pPr>
        <w:jc w:val="both"/>
        <w:rPr>
          <w:rFonts w:ascii="Times New Roman" w:hAnsi="Times New Roman"/>
          <w:color w:val="000000"/>
          <w:sz w:val="24"/>
        </w:rPr>
      </w:pPr>
      <w:r w:rsidRPr="00180B0E">
        <w:rPr>
          <w:rFonts w:ascii="Times New Roman" w:hAnsi="Times New Roman"/>
          <w:color w:val="000000"/>
          <w:sz w:val="24"/>
        </w:rPr>
        <w:t xml:space="preserve">По состоянию на 1 июля 2017 года президиумом Совета при Президенте Российской Федерации по стратегическому развитию и приоритетным </w:t>
      </w:r>
      <w:r w:rsidR="00ED0186">
        <w:rPr>
          <w:rFonts w:ascii="Times New Roman" w:hAnsi="Times New Roman"/>
          <w:color w:val="000000"/>
          <w:sz w:val="24"/>
        </w:rPr>
        <w:t xml:space="preserve">проектам </w:t>
      </w:r>
      <w:r w:rsidRPr="00180B0E">
        <w:rPr>
          <w:rFonts w:ascii="Times New Roman" w:hAnsi="Times New Roman"/>
          <w:color w:val="000000"/>
          <w:sz w:val="24"/>
        </w:rPr>
        <w:t>утверждены паспорта 22 приоритетных проектов (программ). Приоритетные проекты (программы) интегрированы в структуру государственных программ в качестве их структурных элементов, а бюджетные ассигнования, направляемые на реализацию приоритетных проектов (программ), обособлены отдельными кодами бюджетной классификации</w:t>
      </w:r>
      <w:r w:rsidR="00592E1B" w:rsidRPr="00592E1B">
        <w:rPr>
          <w:rFonts w:ascii="Times New Roman" w:hAnsi="Times New Roman"/>
          <w:color w:val="000000"/>
          <w:sz w:val="24"/>
        </w:rPr>
        <w:t>.</w:t>
      </w:r>
    </w:p>
    <w:p w:rsidR="004E2069" w:rsidRDefault="004E2069" w:rsidP="00A93529">
      <w:pPr>
        <w:pStyle w:val="20"/>
        <w:numPr>
          <w:ilvl w:val="1"/>
          <w:numId w:val="3"/>
        </w:numPr>
        <w:spacing w:before="240" w:after="240"/>
        <w:rPr>
          <w:rFonts w:ascii="Times New Roman" w:hAnsi="Times New Roman"/>
          <w:sz w:val="28"/>
          <w:szCs w:val="28"/>
        </w:rPr>
      </w:pPr>
      <w:bookmarkStart w:id="10" w:name="_Toc494788027"/>
      <w:r w:rsidRPr="00A93529">
        <w:rPr>
          <w:rFonts w:ascii="Times New Roman" w:hAnsi="Times New Roman"/>
          <w:sz w:val="28"/>
          <w:szCs w:val="28"/>
        </w:rPr>
        <w:t xml:space="preserve">ОБЕСПЕЧЕНИЕ </w:t>
      </w:r>
      <w:proofErr w:type="gramStart"/>
      <w:r w:rsidRPr="00A93529">
        <w:rPr>
          <w:rFonts w:ascii="Times New Roman" w:hAnsi="Times New Roman"/>
          <w:sz w:val="28"/>
          <w:szCs w:val="28"/>
        </w:rPr>
        <w:t>МЕЖРЕГИОНАЛЬНОЙ</w:t>
      </w:r>
      <w:proofErr w:type="gramEnd"/>
      <w:r w:rsidRPr="00A93529">
        <w:rPr>
          <w:rFonts w:ascii="Times New Roman" w:hAnsi="Times New Roman"/>
          <w:sz w:val="28"/>
          <w:szCs w:val="28"/>
        </w:rPr>
        <w:t xml:space="preserve"> ИНКЛЮЗИВНОСТИ</w:t>
      </w:r>
      <w:bookmarkEnd w:id="10"/>
    </w:p>
    <w:p w:rsidR="001D6445" w:rsidRDefault="001D6445" w:rsidP="001F1968">
      <w:pPr>
        <w:jc w:val="both"/>
        <w:rPr>
          <w:rFonts w:ascii="Times New Roman" w:hAnsi="Times New Roman"/>
          <w:sz w:val="24"/>
        </w:rPr>
      </w:pPr>
      <w:r w:rsidRPr="001D6445">
        <w:rPr>
          <w:rFonts w:ascii="Times New Roman" w:hAnsi="Times New Roman"/>
          <w:sz w:val="24"/>
        </w:rPr>
        <w:t xml:space="preserve">Происходящие структурные изменения в российской экономике (рост доли прибыли в структуре ВВП) и проводимая в последние годы политика в сфере межбюджетных </w:t>
      </w:r>
      <w:r w:rsidR="007A5A7D">
        <w:rPr>
          <w:rFonts w:ascii="Times New Roman" w:hAnsi="Times New Roman"/>
          <w:sz w:val="24"/>
        </w:rPr>
        <w:t xml:space="preserve">отношений </w:t>
      </w:r>
      <w:r w:rsidRPr="001D6445">
        <w:rPr>
          <w:rFonts w:ascii="Times New Roman" w:hAnsi="Times New Roman"/>
          <w:sz w:val="24"/>
        </w:rPr>
        <w:t>позволили добиться значительных результатов в обеспечении сбалансированности региональных финансов</w:t>
      </w:r>
      <w:r>
        <w:rPr>
          <w:rFonts w:ascii="Times New Roman" w:hAnsi="Times New Roman"/>
          <w:sz w:val="24"/>
        </w:rPr>
        <w:t xml:space="preserve">. </w:t>
      </w:r>
      <w:r w:rsidRPr="001F1968">
        <w:rPr>
          <w:rFonts w:ascii="Times New Roman" w:hAnsi="Times New Roman"/>
          <w:sz w:val="24"/>
        </w:rPr>
        <w:t>По итогам 2016 года</w:t>
      </w:r>
      <w:r>
        <w:rPr>
          <w:rFonts w:ascii="Times New Roman" w:hAnsi="Times New Roman"/>
          <w:sz w:val="24"/>
        </w:rPr>
        <w:t>:</w:t>
      </w:r>
    </w:p>
    <w:p w:rsidR="001D6445" w:rsidRPr="001D6445" w:rsidRDefault="001D6445" w:rsidP="009F1CCA">
      <w:pPr>
        <w:pStyle w:val="a9"/>
        <w:numPr>
          <w:ilvl w:val="0"/>
          <w:numId w:val="22"/>
        </w:numPr>
        <w:spacing w:before="120" w:after="120"/>
        <w:ind w:left="357" w:hanging="357"/>
        <w:contextualSpacing w:val="0"/>
        <w:jc w:val="both"/>
        <w:rPr>
          <w:rFonts w:ascii="Times New Roman" w:hAnsi="Times New Roman"/>
          <w:color w:val="000000"/>
          <w:sz w:val="24"/>
        </w:rPr>
      </w:pPr>
      <w:r w:rsidRPr="001D6445">
        <w:rPr>
          <w:rFonts w:ascii="Times New Roman" w:hAnsi="Times New Roman"/>
          <w:color w:val="000000"/>
          <w:sz w:val="24"/>
          <w:u w:val="single"/>
        </w:rPr>
        <w:t>снизился дефицит</w:t>
      </w:r>
      <w:r w:rsidR="009824AB">
        <w:rPr>
          <w:rFonts w:ascii="Times New Roman" w:hAnsi="Times New Roman"/>
          <w:color w:val="000000"/>
          <w:sz w:val="24"/>
          <w:u w:val="single"/>
        </w:rPr>
        <w:t xml:space="preserve"> региональных и местных</w:t>
      </w:r>
      <w:r w:rsidRPr="001D6445">
        <w:rPr>
          <w:rFonts w:ascii="Times New Roman" w:hAnsi="Times New Roman"/>
          <w:color w:val="000000"/>
          <w:sz w:val="24"/>
          <w:u w:val="single"/>
        </w:rPr>
        <w:t xml:space="preserve"> бюджетов</w:t>
      </w:r>
      <w:r w:rsidR="008A48FB">
        <w:rPr>
          <w:rFonts w:ascii="Times New Roman" w:hAnsi="Times New Roman"/>
          <w:color w:val="000000"/>
          <w:sz w:val="24"/>
        </w:rPr>
        <w:t xml:space="preserve"> </w:t>
      </w:r>
      <w:r w:rsidRPr="001D6445">
        <w:rPr>
          <w:rFonts w:ascii="Times New Roman" w:hAnsi="Times New Roman"/>
          <w:color w:val="000000"/>
          <w:sz w:val="24"/>
        </w:rPr>
        <w:t xml:space="preserve">до минимального с 2008 года уровня </w:t>
      </w:r>
      <w:r>
        <w:rPr>
          <w:rFonts w:ascii="Times New Roman" w:hAnsi="Times New Roman"/>
          <w:color w:val="000000"/>
          <w:sz w:val="24"/>
        </w:rPr>
        <w:t>(</w:t>
      </w:r>
      <w:r w:rsidRPr="001D6445">
        <w:rPr>
          <w:rFonts w:ascii="Times New Roman" w:hAnsi="Times New Roman"/>
          <w:color w:val="000000"/>
          <w:sz w:val="24"/>
        </w:rPr>
        <w:t xml:space="preserve">12,5 </w:t>
      </w:r>
      <w:proofErr w:type="gramStart"/>
      <w:r w:rsidR="007F725F">
        <w:rPr>
          <w:rFonts w:ascii="Times New Roman" w:hAnsi="Times New Roman"/>
          <w:color w:val="000000"/>
          <w:sz w:val="24"/>
        </w:rPr>
        <w:t>млрд</w:t>
      </w:r>
      <w:proofErr w:type="gramEnd"/>
      <w:r w:rsidRPr="001D6445">
        <w:rPr>
          <w:rFonts w:ascii="Times New Roman" w:hAnsi="Times New Roman"/>
          <w:color w:val="000000"/>
          <w:sz w:val="24"/>
        </w:rPr>
        <w:t xml:space="preserve"> руб</w:t>
      </w:r>
      <w:r w:rsidR="00694983">
        <w:rPr>
          <w:rFonts w:ascii="Times New Roman" w:hAnsi="Times New Roman"/>
          <w:color w:val="000000"/>
          <w:sz w:val="24"/>
        </w:rPr>
        <w:t>.</w:t>
      </w:r>
      <w:r>
        <w:rPr>
          <w:rFonts w:ascii="Times New Roman" w:hAnsi="Times New Roman"/>
          <w:color w:val="000000"/>
          <w:sz w:val="24"/>
        </w:rPr>
        <w:t>)</w:t>
      </w:r>
      <w:r w:rsidRPr="001D6445">
        <w:rPr>
          <w:rFonts w:ascii="Times New Roman" w:hAnsi="Times New Roman"/>
          <w:color w:val="000000"/>
          <w:sz w:val="24"/>
        </w:rPr>
        <w:t>;</w:t>
      </w:r>
    </w:p>
    <w:p w:rsidR="001D6445" w:rsidRPr="001D6445" w:rsidRDefault="001D6445" w:rsidP="009F1CCA">
      <w:pPr>
        <w:pStyle w:val="a9"/>
        <w:numPr>
          <w:ilvl w:val="0"/>
          <w:numId w:val="22"/>
        </w:numPr>
        <w:spacing w:before="120" w:after="120"/>
        <w:ind w:left="357" w:hanging="357"/>
        <w:contextualSpacing w:val="0"/>
        <w:jc w:val="both"/>
        <w:rPr>
          <w:rFonts w:ascii="Times New Roman" w:hAnsi="Times New Roman"/>
          <w:color w:val="000000"/>
          <w:sz w:val="24"/>
        </w:rPr>
      </w:pPr>
      <w:r w:rsidRPr="001D6445">
        <w:rPr>
          <w:rFonts w:ascii="Times New Roman" w:hAnsi="Times New Roman"/>
          <w:color w:val="000000"/>
          <w:sz w:val="24"/>
          <w:u w:val="single"/>
        </w:rPr>
        <w:t>сократилось количество и объем дефицита «дефицитных субъектов»</w:t>
      </w:r>
      <w:r w:rsidRPr="001D6445">
        <w:rPr>
          <w:rFonts w:ascii="Times New Roman" w:hAnsi="Times New Roman"/>
          <w:color w:val="000000"/>
          <w:sz w:val="24"/>
        </w:rPr>
        <w:t xml:space="preserve">: 56 регионов с дефицитом 201 </w:t>
      </w:r>
      <w:proofErr w:type="gramStart"/>
      <w:r w:rsidR="007F725F">
        <w:rPr>
          <w:rFonts w:ascii="Times New Roman" w:hAnsi="Times New Roman"/>
          <w:color w:val="000000"/>
          <w:sz w:val="24"/>
        </w:rPr>
        <w:t>млрд</w:t>
      </w:r>
      <w:proofErr w:type="gramEnd"/>
      <w:r w:rsidRPr="001D6445">
        <w:rPr>
          <w:rFonts w:ascii="Times New Roman" w:hAnsi="Times New Roman"/>
          <w:color w:val="000000"/>
          <w:sz w:val="24"/>
        </w:rPr>
        <w:t xml:space="preserve"> рублей в 2016</w:t>
      </w:r>
      <w:r w:rsidR="00F059E6">
        <w:rPr>
          <w:rFonts w:ascii="Times New Roman" w:hAnsi="Times New Roman"/>
          <w:color w:val="000000"/>
          <w:sz w:val="24"/>
        </w:rPr>
        <w:t xml:space="preserve"> году</w:t>
      </w:r>
      <w:r w:rsidRPr="001D6445">
        <w:rPr>
          <w:rFonts w:ascii="Times New Roman" w:hAnsi="Times New Roman"/>
          <w:color w:val="000000"/>
          <w:sz w:val="24"/>
        </w:rPr>
        <w:t xml:space="preserve"> против 76 регионов с дефицитом 371 </w:t>
      </w:r>
      <w:r w:rsidR="007F725F">
        <w:rPr>
          <w:rFonts w:ascii="Times New Roman" w:hAnsi="Times New Roman"/>
          <w:color w:val="000000"/>
          <w:sz w:val="24"/>
        </w:rPr>
        <w:t>млрд</w:t>
      </w:r>
      <w:r w:rsidRPr="001D6445">
        <w:rPr>
          <w:rFonts w:ascii="Times New Roman" w:hAnsi="Times New Roman"/>
          <w:color w:val="000000"/>
          <w:sz w:val="24"/>
        </w:rPr>
        <w:t xml:space="preserve"> рублей в 2015</w:t>
      </w:r>
      <w:r w:rsidR="00F059E6">
        <w:rPr>
          <w:rFonts w:ascii="Times New Roman" w:hAnsi="Times New Roman"/>
          <w:color w:val="000000"/>
          <w:sz w:val="24"/>
        </w:rPr>
        <w:t xml:space="preserve"> году</w:t>
      </w:r>
      <w:r w:rsidRPr="001D6445">
        <w:rPr>
          <w:rFonts w:ascii="Times New Roman" w:hAnsi="Times New Roman"/>
          <w:color w:val="000000"/>
          <w:sz w:val="24"/>
        </w:rPr>
        <w:t>;</w:t>
      </w:r>
    </w:p>
    <w:p w:rsidR="0007579B" w:rsidRPr="001D6445" w:rsidRDefault="0007579B" w:rsidP="009F1CCA">
      <w:pPr>
        <w:pStyle w:val="a9"/>
        <w:numPr>
          <w:ilvl w:val="0"/>
          <w:numId w:val="22"/>
        </w:numPr>
        <w:spacing w:before="120" w:after="120"/>
        <w:ind w:left="357" w:hanging="357"/>
        <w:contextualSpacing w:val="0"/>
        <w:jc w:val="both"/>
        <w:rPr>
          <w:rFonts w:ascii="Times New Roman" w:hAnsi="Times New Roman"/>
          <w:color w:val="000000"/>
          <w:sz w:val="24"/>
        </w:rPr>
      </w:pPr>
      <w:r w:rsidRPr="001D6445">
        <w:rPr>
          <w:rFonts w:ascii="Times New Roman" w:hAnsi="Times New Roman"/>
          <w:color w:val="000000"/>
          <w:sz w:val="24"/>
          <w:u w:val="single"/>
        </w:rPr>
        <w:t xml:space="preserve">сократился </w:t>
      </w:r>
      <w:r w:rsidRPr="0007579B">
        <w:rPr>
          <w:rFonts w:ascii="Times New Roman" w:hAnsi="Times New Roman"/>
          <w:sz w:val="24"/>
          <w:u w:val="single"/>
        </w:rPr>
        <w:t>уровень долговой нагрузки</w:t>
      </w:r>
      <w:r w:rsidRPr="0007579B">
        <w:rPr>
          <w:rFonts w:ascii="Times New Roman" w:hAnsi="Times New Roman"/>
          <w:sz w:val="24"/>
        </w:rPr>
        <w:t xml:space="preserve">: отношение госдолга к собственным доходам снизилось на 2,7 </w:t>
      </w:r>
      <w:proofErr w:type="spellStart"/>
      <w:r w:rsidRPr="0007579B">
        <w:rPr>
          <w:rFonts w:ascii="Times New Roman" w:hAnsi="Times New Roman"/>
          <w:sz w:val="24"/>
        </w:rPr>
        <w:t>п.п</w:t>
      </w:r>
      <w:proofErr w:type="spellEnd"/>
      <w:r w:rsidRPr="0007579B">
        <w:rPr>
          <w:rFonts w:ascii="Times New Roman" w:hAnsi="Times New Roman"/>
          <w:sz w:val="24"/>
        </w:rPr>
        <w:t>. до 33,8%, а долговая нагрузка по рыночному долгу снижается второй год подряд: с 22,0% в 2015 году до 18,2% в 2016 году;</w:t>
      </w:r>
    </w:p>
    <w:p w:rsidR="001D6445" w:rsidRPr="001D6445" w:rsidRDefault="001D6445" w:rsidP="009F1CCA">
      <w:pPr>
        <w:pStyle w:val="a9"/>
        <w:numPr>
          <w:ilvl w:val="0"/>
          <w:numId w:val="22"/>
        </w:numPr>
        <w:spacing w:before="120" w:after="120"/>
        <w:ind w:left="357" w:hanging="357"/>
        <w:contextualSpacing w:val="0"/>
        <w:jc w:val="both"/>
        <w:rPr>
          <w:rFonts w:ascii="Times New Roman" w:hAnsi="Times New Roman"/>
          <w:color w:val="000000"/>
          <w:sz w:val="24"/>
        </w:rPr>
      </w:pPr>
      <w:r w:rsidRPr="001D6445">
        <w:rPr>
          <w:rFonts w:ascii="Times New Roman" w:hAnsi="Times New Roman"/>
          <w:color w:val="000000"/>
          <w:sz w:val="24"/>
          <w:u w:val="single"/>
        </w:rPr>
        <w:t>уменьшилось количество субъектов с</w:t>
      </w:r>
      <w:r>
        <w:rPr>
          <w:rFonts w:ascii="Times New Roman" w:hAnsi="Times New Roman"/>
          <w:color w:val="000000"/>
          <w:sz w:val="24"/>
          <w:u w:val="single"/>
        </w:rPr>
        <w:t xml:space="preserve"> неустойчиво</w:t>
      </w:r>
      <w:r w:rsidRPr="001D6445">
        <w:rPr>
          <w:rFonts w:ascii="Times New Roman" w:hAnsi="Times New Roman"/>
          <w:color w:val="000000"/>
          <w:sz w:val="24"/>
          <w:u w:val="single"/>
        </w:rPr>
        <w:t xml:space="preserve"> высоким уровнем госдолга</w:t>
      </w:r>
      <w:r w:rsidRPr="001D6445">
        <w:rPr>
          <w:rFonts w:ascii="Times New Roman" w:hAnsi="Times New Roman"/>
          <w:color w:val="000000"/>
          <w:sz w:val="24"/>
        </w:rPr>
        <w:t xml:space="preserve"> </w:t>
      </w:r>
      <w:r>
        <w:rPr>
          <w:rFonts w:ascii="Times New Roman" w:hAnsi="Times New Roman"/>
          <w:color w:val="000000"/>
          <w:sz w:val="24"/>
        </w:rPr>
        <w:t>(</w:t>
      </w:r>
      <w:r w:rsidRPr="001D6445">
        <w:rPr>
          <w:rFonts w:ascii="Times New Roman" w:hAnsi="Times New Roman"/>
          <w:color w:val="000000"/>
          <w:sz w:val="24"/>
        </w:rPr>
        <w:t>выше 100% собственных доходов</w:t>
      </w:r>
      <w:r>
        <w:rPr>
          <w:rFonts w:ascii="Times New Roman" w:hAnsi="Times New Roman"/>
          <w:color w:val="000000"/>
          <w:sz w:val="24"/>
        </w:rPr>
        <w:t xml:space="preserve">): </w:t>
      </w:r>
      <w:r w:rsidRPr="001D6445">
        <w:rPr>
          <w:rFonts w:ascii="Times New Roman" w:hAnsi="Times New Roman"/>
          <w:color w:val="000000"/>
          <w:sz w:val="24"/>
        </w:rPr>
        <w:t>с 14 в 2015</w:t>
      </w:r>
      <w:r>
        <w:rPr>
          <w:rFonts w:ascii="Times New Roman" w:hAnsi="Times New Roman"/>
          <w:color w:val="000000"/>
          <w:sz w:val="24"/>
        </w:rPr>
        <w:t xml:space="preserve"> году</w:t>
      </w:r>
      <w:r w:rsidRPr="001D6445">
        <w:rPr>
          <w:rFonts w:ascii="Times New Roman" w:hAnsi="Times New Roman"/>
          <w:color w:val="000000"/>
          <w:sz w:val="24"/>
        </w:rPr>
        <w:t xml:space="preserve"> до 8 в 2016</w:t>
      </w:r>
      <w:r>
        <w:rPr>
          <w:rFonts w:ascii="Times New Roman" w:hAnsi="Times New Roman"/>
          <w:color w:val="000000"/>
          <w:sz w:val="24"/>
        </w:rPr>
        <w:t xml:space="preserve"> году</w:t>
      </w:r>
      <w:r w:rsidRPr="001D6445">
        <w:rPr>
          <w:rFonts w:ascii="Times New Roman" w:hAnsi="Times New Roman"/>
          <w:color w:val="000000"/>
          <w:sz w:val="24"/>
        </w:rPr>
        <w:t>.</w:t>
      </w:r>
    </w:p>
    <w:p w:rsidR="00BA744B" w:rsidRDefault="001D6445" w:rsidP="00BA744B">
      <w:pPr>
        <w:jc w:val="both"/>
        <w:rPr>
          <w:rFonts w:ascii="Times New Roman" w:hAnsi="Times New Roman"/>
          <w:sz w:val="24"/>
          <w:szCs w:val="24"/>
        </w:rPr>
      </w:pPr>
      <w:r w:rsidRPr="001D6445">
        <w:rPr>
          <w:rFonts w:ascii="Times New Roman" w:hAnsi="Times New Roman"/>
          <w:sz w:val="24"/>
        </w:rPr>
        <w:t>Положительные тенденции сохраняются и в текущем году</w:t>
      </w:r>
      <w:r>
        <w:rPr>
          <w:rFonts w:ascii="Times New Roman" w:hAnsi="Times New Roman"/>
          <w:sz w:val="24"/>
        </w:rPr>
        <w:t>.</w:t>
      </w:r>
      <w:r w:rsidRPr="001D6445">
        <w:rPr>
          <w:rFonts w:ascii="Times New Roman" w:hAnsi="Times New Roman"/>
          <w:sz w:val="24"/>
        </w:rPr>
        <w:t xml:space="preserve"> </w:t>
      </w:r>
      <w:r w:rsidR="00BA744B">
        <w:rPr>
          <w:rFonts w:ascii="Times New Roman" w:hAnsi="Times New Roman"/>
          <w:sz w:val="24"/>
          <w:szCs w:val="24"/>
        </w:rPr>
        <w:t xml:space="preserve">По итогам первых шести месяцев 2017 года собственные доходы субъектов увеличились более чем на 9% г/г, а профицит по сравнению с полугодием 2016 года увеличился более чем в полтора раза до 437 </w:t>
      </w:r>
      <w:proofErr w:type="gramStart"/>
      <w:r w:rsidR="00BA744B">
        <w:rPr>
          <w:rFonts w:ascii="Times New Roman" w:hAnsi="Times New Roman"/>
          <w:sz w:val="24"/>
          <w:szCs w:val="24"/>
        </w:rPr>
        <w:t>млрд</w:t>
      </w:r>
      <w:proofErr w:type="gramEnd"/>
      <w:r w:rsidR="00BA744B">
        <w:rPr>
          <w:rFonts w:ascii="Times New Roman" w:hAnsi="Times New Roman"/>
          <w:sz w:val="24"/>
          <w:szCs w:val="24"/>
        </w:rPr>
        <w:t xml:space="preserve"> рублей.</w:t>
      </w:r>
    </w:p>
    <w:tbl>
      <w:tblPr>
        <w:tblStyle w:val="Smalltable"/>
        <w:tblW w:w="11591" w:type="dxa"/>
        <w:tblInd w:w="-823" w:type="dxa"/>
        <w:tblLook w:val="04A0" w:firstRow="1" w:lastRow="0" w:firstColumn="1" w:lastColumn="0" w:noHBand="0" w:noVBand="1"/>
      </w:tblPr>
      <w:tblGrid>
        <w:gridCol w:w="5286"/>
        <w:gridCol w:w="222"/>
        <w:gridCol w:w="5320"/>
        <w:gridCol w:w="763"/>
      </w:tblGrid>
      <w:tr w:rsidR="0094040E" w:rsidRPr="008823F8" w:rsidTr="001D6445">
        <w:trPr>
          <w:gridAfter w:val="1"/>
          <w:wAfter w:w="763" w:type="dxa"/>
          <w:trHeight w:val="198"/>
        </w:trPr>
        <w:tc>
          <w:tcPr>
            <w:tcW w:w="5286" w:type="dxa"/>
            <w:shd w:val="clear" w:color="auto" w:fill="auto"/>
          </w:tcPr>
          <w:p w:rsidR="0094040E" w:rsidRPr="0094040E" w:rsidRDefault="0094040E" w:rsidP="00F738A8">
            <w:pPr>
              <w:suppressAutoHyphens/>
              <w:spacing w:before="120" w:after="40"/>
              <w:rPr>
                <w:rFonts w:ascii="Times New Roman" w:hAnsi="Times New Roman"/>
                <w:b/>
                <w:sz w:val="24"/>
                <w:szCs w:val="24"/>
                <w:lang w:val="ru-RU" w:bidi="ml-IN"/>
              </w:rPr>
            </w:pPr>
            <w:r w:rsidRPr="0094040E">
              <w:rPr>
                <w:rFonts w:ascii="Times New Roman" w:hAnsi="Times New Roman"/>
                <w:b/>
                <w:sz w:val="24"/>
                <w:szCs w:val="24"/>
                <w:lang w:val="ru-RU" w:bidi="ml-IN"/>
              </w:rPr>
              <w:t xml:space="preserve">Дефицит бюджетов </w:t>
            </w:r>
            <w:r>
              <w:rPr>
                <w:rFonts w:ascii="Times New Roman" w:hAnsi="Times New Roman"/>
                <w:b/>
                <w:sz w:val="24"/>
                <w:szCs w:val="24"/>
                <w:lang w:val="ru-RU" w:bidi="ml-IN"/>
              </w:rPr>
              <w:t>субъектов</w:t>
            </w:r>
          </w:p>
        </w:tc>
        <w:tc>
          <w:tcPr>
            <w:tcW w:w="222" w:type="dxa"/>
            <w:shd w:val="clear" w:color="auto" w:fill="auto"/>
          </w:tcPr>
          <w:p w:rsidR="0094040E" w:rsidRPr="008823F8" w:rsidRDefault="0094040E" w:rsidP="00F738A8">
            <w:pPr>
              <w:suppressAutoHyphens/>
              <w:spacing w:before="120" w:after="40"/>
              <w:rPr>
                <w:rFonts w:ascii="Times New Roman" w:hAnsi="Times New Roman"/>
                <w:sz w:val="24"/>
                <w:szCs w:val="24"/>
                <w:lang w:val="ru-RU" w:bidi="ml-IN"/>
              </w:rPr>
            </w:pPr>
          </w:p>
        </w:tc>
        <w:tc>
          <w:tcPr>
            <w:tcW w:w="5320" w:type="dxa"/>
            <w:shd w:val="clear" w:color="auto" w:fill="auto"/>
          </w:tcPr>
          <w:p w:rsidR="0094040E" w:rsidRPr="008823F8" w:rsidRDefault="0094040E" w:rsidP="00F738A8">
            <w:pPr>
              <w:suppressAutoHyphens/>
              <w:spacing w:before="120" w:after="40"/>
              <w:rPr>
                <w:rFonts w:ascii="Times New Roman" w:hAnsi="Times New Roman"/>
                <w:b/>
                <w:sz w:val="24"/>
                <w:szCs w:val="24"/>
                <w:lang w:val="ru-RU" w:bidi="ml-IN"/>
              </w:rPr>
            </w:pPr>
            <w:r>
              <w:rPr>
                <w:rFonts w:ascii="Times New Roman" w:hAnsi="Times New Roman"/>
                <w:b/>
                <w:sz w:val="24"/>
                <w:szCs w:val="24"/>
                <w:lang w:val="ru-RU" w:bidi="ml-IN"/>
              </w:rPr>
              <w:t>Д</w:t>
            </w:r>
            <w:r w:rsidRPr="0094040E">
              <w:rPr>
                <w:rFonts w:ascii="Times New Roman" w:hAnsi="Times New Roman"/>
                <w:b/>
                <w:sz w:val="24"/>
                <w:szCs w:val="24"/>
                <w:lang w:val="ru-RU" w:bidi="ml-IN"/>
              </w:rPr>
              <w:t>олг</w:t>
            </w:r>
            <w:r>
              <w:rPr>
                <w:rFonts w:ascii="Times New Roman" w:hAnsi="Times New Roman"/>
                <w:b/>
                <w:sz w:val="24"/>
                <w:szCs w:val="24"/>
                <w:lang w:val="ru-RU" w:bidi="ml-IN"/>
              </w:rPr>
              <w:t>овая нагрузка субъектов</w:t>
            </w:r>
          </w:p>
        </w:tc>
      </w:tr>
      <w:tr w:rsidR="0094040E" w:rsidRPr="008823F8" w:rsidTr="001D6445">
        <w:trPr>
          <w:trHeight w:hRule="exact" w:val="28"/>
        </w:trPr>
        <w:tc>
          <w:tcPr>
            <w:tcW w:w="5286" w:type="dxa"/>
            <w:tcBorders>
              <w:bottom w:val="single" w:sz="4" w:space="0" w:color="auto"/>
            </w:tcBorders>
            <w:shd w:val="clear" w:color="auto" w:fill="auto"/>
          </w:tcPr>
          <w:p w:rsidR="0094040E" w:rsidRPr="006F0FD8" w:rsidRDefault="0094040E" w:rsidP="00F738A8">
            <w:pPr>
              <w:rPr>
                <w:rFonts w:ascii="Times New Roman" w:hAnsi="Times New Roman"/>
                <w:lang w:val="ru-RU" w:bidi="ml-IN"/>
              </w:rPr>
            </w:pPr>
          </w:p>
        </w:tc>
        <w:tc>
          <w:tcPr>
            <w:tcW w:w="222" w:type="dxa"/>
            <w:shd w:val="clear" w:color="auto" w:fill="auto"/>
          </w:tcPr>
          <w:p w:rsidR="0094040E" w:rsidRPr="006F0FD8" w:rsidRDefault="0094040E" w:rsidP="00F738A8">
            <w:pPr>
              <w:rPr>
                <w:rFonts w:ascii="Times New Roman" w:hAnsi="Times New Roman"/>
                <w:lang w:val="ru-RU" w:bidi="ml-IN"/>
              </w:rPr>
            </w:pPr>
          </w:p>
        </w:tc>
        <w:tc>
          <w:tcPr>
            <w:tcW w:w="5320" w:type="dxa"/>
            <w:tcBorders>
              <w:bottom w:val="single" w:sz="4" w:space="0" w:color="auto"/>
            </w:tcBorders>
            <w:shd w:val="clear" w:color="auto" w:fill="auto"/>
          </w:tcPr>
          <w:p w:rsidR="0094040E" w:rsidRPr="006F0FD8" w:rsidRDefault="0094040E" w:rsidP="00F738A8">
            <w:pPr>
              <w:rPr>
                <w:rFonts w:ascii="Times New Roman" w:hAnsi="Times New Roman"/>
                <w:lang w:val="ru-RU" w:bidi="ml-IN"/>
              </w:rPr>
            </w:pPr>
          </w:p>
        </w:tc>
        <w:tc>
          <w:tcPr>
            <w:tcW w:w="763" w:type="dxa"/>
            <w:shd w:val="clear" w:color="auto" w:fill="auto"/>
          </w:tcPr>
          <w:p w:rsidR="0094040E" w:rsidRPr="006F0FD8" w:rsidRDefault="0094040E" w:rsidP="00F738A8">
            <w:pPr>
              <w:rPr>
                <w:rFonts w:ascii="Times New Roman" w:hAnsi="Times New Roman"/>
                <w:lang w:val="ru-RU" w:bidi="ml-IN"/>
              </w:rPr>
            </w:pPr>
          </w:p>
        </w:tc>
      </w:tr>
      <w:tr w:rsidR="0094040E" w:rsidRPr="008823F8" w:rsidTr="001D6445">
        <w:tblPrEx>
          <w:tblCellMar>
            <w:left w:w="108" w:type="dxa"/>
            <w:right w:w="108" w:type="dxa"/>
          </w:tblCellMar>
        </w:tblPrEx>
        <w:trPr>
          <w:gridAfter w:val="1"/>
          <w:wAfter w:w="763" w:type="dxa"/>
          <w:trHeight w:val="2200"/>
        </w:trPr>
        <w:tc>
          <w:tcPr>
            <w:tcW w:w="5286" w:type="dxa"/>
            <w:tcBorders>
              <w:top w:val="single" w:sz="4" w:space="0" w:color="auto"/>
              <w:bottom w:val="single" w:sz="4" w:space="0" w:color="auto"/>
            </w:tcBorders>
            <w:shd w:val="clear" w:color="auto" w:fill="auto"/>
            <w:tcMar>
              <w:left w:w="0" w:type="nil"/>
              <w:right w:w="0" w:type="nil"/>
            </w:tcMar>
            <w:vAlign w:val="center"/>
          </w:tcPr>
          <w:p w:rsidR="0094040E" w:rsidRPr="0094040E" w:rsidRDefault="00DC3C6B" w:rsidP="00F738A8">
            <w:pPr>
              <w:jc w:val="center"/>
              <w:rPr>
                <w:rFonts w:ascii="Times New Roman" w:hAnsi="Times New Roman"/>
                <w:lang w:val="ru-RU" w:bidi="ml-IN"/>
              </w:rPr>
            </w:pPr>
            <w:r>
              <w:rPr>
                <w:noProof/>
                <w:lang w:eastAsia="ru-RU"/>
              </w:rPr>
              <w:drawing>
                <wp:anchor distT="0" distB="0" distL="114300" distR="114300" simplePos="0" relativeHeight="251650560" behindDoc="1" locked="0" layoutInCell="1" allowOverlap="1" wp14:anchorId="5C748669" wp14:editId="7D554F5F">
                  <wp:simplePos x="0" y="0"/>
                  <wp:positionH relativeFrom="column">
                    <wp:posOffset>0</wp:posOffset>
                  </wp:positionH>
                  <wp:positionV relativeFrom="paragraph">
                    <wp:posOffset>-3175</wp:posOffset>
                  </wp:positionV>
                  <wp:extent cx="3219450" cy="2623820"/>
                  <wp:effectExtent l="0" t="0" r="0" b="5080"/>
                  <wp:wrapThrough wrapText="bothSides">
                    <wp:wrapPolygon edited="0">
                      <wp:start x="128" y="314"/>
                      <wp:lineTo x="0" y="2509"/>
                      <wp:lineTo x="383" y="3136"/>
                      <wp:lineTo x="1662" y="3136"/>
                      <wp:lineTo x="0" y="4391"/>
                      <wp:lineTo x="0" y="4548"/>
                      <wp:lineTo x="1662" y="5646"/>
                      <wp:lineTo x="0" y="6116"/>
                      <wp:lineTo x="0" y="6273"/>
                      <wp:lineTo x="1662" y="8155"/>
                      <wp:lineTo x="0" y="8155"/>
                      <wp:lineTo x="0" y="10507"/>
                      <wp:lineTo x="511" y="10664"/>
                      <wp:lineTo x="0" y="12076"/>
                      <wp:lineTo x="128" y="12389"/>
                      <wp:lineTo x="1662" y="13173"/>
                      <wp:lineTo x="0" y="13801"/>
                      <wp:lineTo x="0" y="13957"/>
                      <wp:lineTo x="1662" y="15682"/>
                      <wp:lineTo x="0" y="15682"/>
                      <wp:lineTo x="383" y="17094"/>
                      <wp:lineTo x="10736" y="18192"/>
                      <wp:lineTo x="3323" y="18662"/>
                      <wp:lineTo x="3323" y="21015"/>
                      <wp:lineTo x="3962" y="21485"/>
                      <wp:lineTo x="17382" y="21485"/>
                      <wp:lineTo x="18533" y="21328"/>
                      <wp:lineTo x="18916" y="21171"/>
                      <wp:lineTo x="18916" y="19917"/>
                      <wp:lineTo x="15593" y="18819"/>
                      <wp:lineTo x="10736" y="18192"/>
                      <wp:lineTo x="21472" y="16937"/>
                      <wp:lineTo x="21472" y="15682"/>
                      <wp:lineTo x="19427" y="15682"/>
                      <wp:lineTo x="21472" y="13801"/>
                      <wp:lineTo x="21472" y="13173"/>
                      <wp:lineTo x="19427" y="13173"/>
                      <wp:lineTo x="21217" y="11135"/>
                      <wp:lineTo x="21217" y="10664"/>
                      <wp:lineTo x="19427" y="10664"/>
                      <wp:lineTo x="21217" y="8625"/>
                      <wp:lineTo x="21217" y="8155"/>
                      <wp:lineTo x="19683" y="8155"/>
                      <wp:lineTo x="21217" y="5959"/>
                      <wp:lineTo x="21217" y="3136"/>
                      <wp:lineTo x="20961" y="314"/>
                      <wp:lineTo x="128" y="314"/>
                    </wp:wrapPolygon>
                  </wp:wrapThrough>
                  <wp:docPr id="1032" name="Диаграмма 1032">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02463D4-4AB4-4882-9C43-CB1B352DEE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tc>
        <w:tc>
          <w:tcPr>
            <w:tcW w:w="222" w:type="dxa"/>
            <w:shd w:val="clear" w:color="auto" w:fill="auto"/>
            <w:tcMar>
              <w:left w:w="0" w:type="nil"/>
              <w:right w:w="0" w:type="nil"/>
            </w:tcMar>
          </w:tcPr>
          <w:p w:rsidR="0094040E" w:rsidRPr="0094040E" w:rsidRDefault="0094040E" w:rsidP="00F738A8">
            <w:pPr>
              <w:rPr>
                <w:rFonts w:ascii="Times New Roman" w:hAnsi="Times New Roman"/>
                <w:lang w:val="ru-RU" w:bidi="ml-IN"/>
              </w:rPr>
            </w:pPr>
          </w:p>
        </w:tc>
        <w:tc>
          <w:tcPr>
            <w:tcW w:w="5320" w:type="dxa"/>
            <w:tcBorders>
              <w:top w:val="single" w:sz="4" w:space="0" w:color="auto"/>
              <w:bottom w:val="single" w:sz="4" w:space="0" w:color="auto"/>
            </w:tcBorders>
            <w:shd w:val="clear" w:color="auto" w:fill="auto"/>
            <w:tcMar>
              <w:left w:w="0" w:type="nil"/>
              <w:right w:w="0" w:type="nil"/>
            </w:tcMar>
            <w:vAlign w:val="center"/>
          </w:tcPr>
          <w:p w:rsidR="0094040E" w:rsidRPr="0094040E" w:rsidRDefault="00DC3C6B" w:rsidP="00F738A8">
            <w:pPr>
              <w:jc w:val="center"/>
              <w:rPr>
                <w:rFonts w:ascii="Times New Roman" w:hAnsi="Times New Roman"/>
                <w:lang w:val="ru-RU" w:bidi="ml-IN"/>
              </w:rPr>
            </w:pPr>
            <w:r>
              <w:rPr>
                <w:noProof/>
                <w:lang w:eastAsia="ru-RU"/>
              </w:rPr>
              <w:drawing>
                <wp:anchor distT="0" distB="0" distL="114300" distR="114300" simplePos="0" relativeHeight="251649536" behindDoc="1" locked="0" layoutInCell="1" allowOverlap="1" wp14:anchorId="4CD2D890" wp14:editId="4FCAD91D">
                  <wp:simplePos x="0" y="0"/>
                  <wp:positionH relativeFrom="column">
                    <wp:posOffset>17145</wp:posOffset>
                  </wp:positionH>
                  <wp:positionV relativeFrom="paragraph">
                    <wp:posOffset>-3175</wp:posOffset>
                  </wp:positionV>
                  <wp:extent cx="3219450" cy="2623820"/>
                  <wp:effectExtent l="0" t="0" r="0" b="5080"/>
                  <wp:wrapThrough wrapText="bothSides">
                    <wp:wrapPolygon edited="0">
                      <wp:start x="0" y="314"/>
                      <wp:lineTo x="0" y="941"/>
                      <wp:lineTo x="1278" y="3136"/>
                      <wp:lineTo x="0" y="3450"/>
                      <wp:lineTo x="0" y="3921"/>
                      <wp:lineTo x="1406" y="5646"/>
                      <wp:lineTo x="0" y="6743"/>
                      <wp:lineTo x="0" y="7057"/>
                      <wp:lineTo x="1406" y="8155"/>
                      <wp:lineTo x="0" y="9723"/>
                      <wp:lineTo x="0" y="10194"/>
                      <wp:lineTo x="1406" y="10664"/>
                      <wp:lineTo x="0" y="12703"/>
                      <wp:lineTo x="0" y="16623"/>
                      <wp:lineTo x="3962" y="18192"/>
                      <wp:lineTo x="3579" y="18662"/>
                      <wp:lineTo x="3579" y="21015"/>
                      <wp:lineTo x="4346" y="21485"/>
                      <wp:lineTo x="16743" y="21485"/>
                      <wp:lineTo x="17893" y="21328"/>
                      <wp:lineTo x="18149" y="20701"/>
                      <wp:lineTo x="11886" y="18192"/>
                      <wp:lineTo x="14059" y="18192"/>
                      <wp:lineTo x="21217" y="16310"/>
                      <wp:lineTo x="21472" y="14114"/>
                      <wp:lineTo x="21472" y="13487"/>
                      <wp:lineTo x="19683" y="13173"/>
                      <wp:lineTo x="21472" y="11919"/>
                      <wp:lineTo x="21472" y="11291"/>
                      <wp:lineTo x="19683" y="10664"/>
                      <wp:lineTo x="21472" y="9723"/>
                      <wp:lineTo x="21472" y="9253"/>
                      <wp:lineTo x="19683" y="8155"/>
                      <wp:lineTo x="21472" y="7528"/>
                      <wp:lineTo x="21472" y="7057"/>
                      <wp:lineTo x="19683" y="5646"/>
                      <wp:lineTo x="21472" y="5332"/>
                      <wp:lineTo x="21472" y="314"/>
                      <wp:lineTo x="0" y="314"/>
                    </wp:wrapPolygon>
                  </wp:wrapThrough>
                  <wp:docPr id="1030" name="Диаграмма 1030">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02463D4-4AB4-4882-9C43-CB1B352DEE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tc>
      </w:tr>
      <w:tr w:rsidR="0094040E" w:rsidRPr="008823F8" w:rsidTr="001D6445">
        <w:trPr>
          <w:gridAfter w:val="1"/>
          <w:wAfter w:w="763" w:type="dxa"/>
          <w:trHeight w:val="198"/>
        </w:trPr>
        <w:tc>
          <w:tcPr>
            <w:tcW w:w="5286" w:type="dxa"/>
            <w:tcBorders>
              <w:top w:val="single" w:sz="4" w:space="0" w:color="auto"/>
            </w:tcBorders>
            <w:shd w:val="clear" w:color="auto" w:fill="auto"/>
          </w:tcPr>
          <w:p w:rsidR="0094040E" w:rsidRPr="006F0FD8" w:rsidRDefault="0094040E" w:rsidP="00F738A8">
            <w:pPr>
              <w:suppressAutoHyphens/>
              <w:spacing w:after="240" w:line="160" w:lineRule="atLeast"/>
              <w:rPr>
                <w:rFonts w:ascii="Times New Roman" w:hAnsi="Times New Roman"/>
                <w:i/>
                <w:sz w:val="14"/>
                <w:szCs w:val="14"/>
                <w:lang w:val="ru-RU" w:bidi="ml-IN"/>
              </w:rPr>
            </w:pPr>
            <w:r w:rsidRPr="006F0FD8">
              <w:rPr>
                <w:rFonts w:ascii="Times New Roman" w:hAnsi="Times New Roman"/>
                <w:i/>
                <w:sz w:val="14"/>
                <w:szCs w:val="14"/>
                <w:lang w:val="ru-RU" w:bidi="ml-IN"/>
              </w:rPr>
              <w:t>Источник:</w:t>
            </w:r>
            <w:r w:rsidRPr="006F0FD8">
              <w:rPr>
                <w:rFonts w:ascii="Times New Roman" w:hAnsi="Times New Roman"/>
                <w:i/>
                <w:sz w:val="14"/>
                <w:szCs w:val="14"/>
                <w:lang w:val="en-GB" w:bidi="ml-IN"/>
              </w:rPr>
              <w:t> </w:t>
            </w:r>
            <w:r>
              <w:rPr>
                <w:rFonts w:ascii="Times New Roman" w:hAnsi="Times New Roman"/>
                <w:i/>
                <w:sz w:val="14"/>
                <w:szCs w:val="14"/>
                <w:lang w:val="ru-RU" w:bidi="ml-IN"/>
              </w:rPr>
              <w:t xml:space="preserve"> Федеральное Казначейство</w:t>
            </w:r>
          </w:p>
        </w:tc>
        <w:tc>
          <w:tcPr>
            <w:tcW w:w="222" w:type="dxa"/>
            <w:shd w:val="clear" w:color="auto" w:fill="auto"/>
          </w:tcPr>
          <w:p w:rsidR="0094040E" w:rsidRPr="006F0FD8" w:rsidRDefault="0094040E" w:rsidP="00F738A8">
            <w:pPr>
              <w:suppressAutoHyphens/>
              <w:spacing w:after="240" w:line="160" w:lineRule="atLeast"/>
              <w:rPr>
                <w:rFonts w:ascii="Times New Roman" w:hAnsi="Times New Roman"/>
                <w:sz w:val="14"/>
                <w:szCs w:val="14"/>
                <w:lang w:val="ru-RU" w:bidi="ml-IN"/>
              </w:rPr>
            </w:pPr>
          </w:p>
        </w:tc>
        <w:tc>
          <w:tcPr>
            <w:tcW w:w="5320" w:type="dxa"/>
            <w:tcBorders>
              <w:top w:val="single" w:sz="4" w:space="0" w:color="auto"/>
            </w:tcBorders>
            <w:shd w:val="clear" w:color="auto" w:fill="auto"/>
          </w:tcPr>
          <w:p w:rsidR="0094040E" w:rsidRPr="006F0FD8" w:rsidRDefault="0094040E" w:rsidP="00F738A8">
            <w:pPr>
              <w:suppressAutoHyphens/>
              <w:spacing w:after="240" w:line="160" w:lineRule="atLeast"/>
              <w:rPr>
                <w:rFonts w:ascii="Times New Roman" w:hAnsi="Times New Roman"/>
                <w:i/>
                <w:sz w:val="14"/>
                <w:szCs w:val="14"/>
                <w:lang w:bidi="ml-IN"/>
              </w:rPr>
            </w:pPr>
            <w:r w:rsidRPr="006F0FD8">
              <w:rPr>
                <w:rFonts w:ascii="Times New Roman" w:hAnsi="Times New Roman"/>
                <w:i/>
                <w:sz w:val="14"/>
                <w:szCs w:val="14"/>
                <w:lang w:val="ru-RU" w:bidi="ml-IN"/>
              </w:rPr>
              <w:t>Источник:</w:t>
            </w:r>
            <w:r w:rsidRPr="006F0FD8">
              <w:rPr>
                <w:rFonts w:ascii="Times New Roman" w:hAnsi="Times New Roman"/>
                <w:i/>
                <w:sz w:val="14"/>
                <w:szCs w:val="14"/>
                <w:lang w:val="en-GB" w:bidi="ml-IN"/>
              </w:rPr>
              <w:t> </w:t>
            </w:r>
            <w:r>
              <w:rPr>
                <w:rFonts w:ascii="Times New Roman" w:hAnsi="Times New Roman"/>
                <w:i/>
                <w:sz w:val="14"/>
                <w:szCs w:val="14"/>
                <w:lang w:val="ru-RU" w:bidi="ml-IN"/>
              </w:rPr>
              <w:t xml:space="preserve"> Федеральное Казначейство</w:t>
            </w:r>
          </w:p>
        </w:tc>
      </w:tr>
    </w:tbl>
    <w:p w:rsidR="00180B0E" w:rsidRPr="00BF1AEF" w:rsidRDefault="00180B0E" w:rsidP="00180B0E">
      <w:pPr>
        <w:jc w:val="both"/>
        <w:rPr>
          <w:rFonts w:ascii="Times New Roman" w:hAnsi="Times New Roman"/>
          <w:sz w:val="24"/>
        </w:rPr>
      </w:pPr>
      <w:r w:rsidRPr="00BF1AEF">
        <w:rPr>
          <w:rFonts w:ascii="Times New Roman" w:hAnsi="Times New Roman"/>
          <w:sz w:val="24"/>
        </w:rPr>
        <w:t>Достижению положительных результатов способствовали как рост налоговой базы вследствие повышения операционной прибыли корпоративного сектора, так и принятые меры в сфере межбюджетного регу</w:t>
      </w:r>
      <w:r w:rsidR="009824AB">
        <w:rPr>
          <w:rFonts w:ascii="Times New Roman" w:hAnsi="Times New Roman"/>
          <w:sz w:val="24"/>
        </w:rPr>
        <w:t>лирования, направленные на: (1) </w:t>
      </w:r>
      <w:r w:rsidRPr="00BF1AEF">
        <w:rPr>
          <w:rFonts w:ascii="Times New Roman" w:hAnsi="Times New Roman"/>
          <w:sz w:val="24"/>
        </w:rPr>
        <w:t>оздоровлени</w:t>
      </w:r>
      <w:r w:rsidR="009824AB">
        <w:rPr>
          <w:rFonts w:ascii="Times New Roman" w:hAnsi="Times New Roman"/>
          <w:sz w:val="24"/>
        </w:rPr>
        <w:t>е государственных финансов, (2) </w:t>
      </w:r>
      <w:r w:rsidRPr="00BF1AEF">
        <w:rPr>
          <w:rFonts w:ascii="Times New Roman" w:hAnsi="Times New Roman"/>
          <w:sz w:val="24"/>
        </w:rPr>
        <w:t>повышение эффективности предоставления межбюджетных трансфертов, (3) ограничение роста госдолга.</w:t>
      </w:r>
    </w:p>
    <w:p w:rsidR="00180B0E" w:rsidRPr="00BF1AEF" w:rsidRDefault="00180B0E" w:rsidP="00180B0E">
      <w:pPr>
        <w:jc w:val="both"/>
        <w:rPr>
          <w:rFonts w:ascii="Times New Roman" w:hAnsi="Times New Roman"/>
          <w:sz w:val="24"/>
        </w:rPr>
      </w:pPr>
      <w:r w:rsidRPr="00BF1AEF">
        <w:rPr>
          <w:rFonts w:ascii="Times New Roman" w:hAnsi="Times New Roman"/>
          <w:sz w:val="24"/>
        </w:rPr>
        <w:t xml:space="preserve">В 2016 году проведена </w:t>
      </w:r>
      <w:r w:rsidRPr="00BF1AEF">
        <w:rPr>
          <w:rFonts w:ascii="Times New Roman" w:hAnsi="Times New Roman"/>
          <w:b/>
          <w:sz w:val="24"/>
        </w:rPr>
        <w:t>инвентаризация расходных полномочий</w:t>
      </w:r>
      <w:r w:rsidRPr="00BF1AEF">
        <w:rPr>
          <w:rFonts w:ascii="Times New Roman" w:hAnsi="Times New Roman"/>
          <w:sz w:val="24"/>
        </w:rPr>
        <w:t xml:space="preserve"> органов государственной власти субъектов Российской Федерации и органов местного самоуправления, по итогам которой произведен расчет минимальных (модельных) бюджетов. В результате были выявлены значительные различия между регионами по объемам финансирования первоочередных расходных полномочий, которые являются ключевыми факторами, приводящими к наращиванию долговой нагрузки и усугублению неравномерности пространственного развития.</w:t>
      </w:r>
    </w:p>
    <w:p w:rsidR="00180B0E" w:rsidRPr="00BF1AEF" w:rsidRDefault="00180B0E" w:rsidP="00180B0E">
      <w:pPr>
        <w:jc w:val="both"/>
        <w:rPr>
          <w:rFonts w:ascii="Times New Roman" w:hAnsi="Times New Roman"/>
          <w:sz w:val="24"/>
        </w:rPr>
      </w:pPr>
      <w:proofErr w:type="gramStart"/>
      <w:r w:rsidRPr="00BF1AEF">
        <w:rPr>
          <w:rFonts w:ascii="Times New Roman" w:hAnsi="Times New Roman"/>
          <w:sz w:val="24"/>
        </w:rPr>
        <w:t>В целях обеспечения межрегиональной инклюзивности</w:t>
      </w:r>
      <w:r w:rsidR="005034E8">
        <w:rPr>
          <w:rFonts w:ascii="Times New Roman" w:hAnsi="Times New Roman"/>
          <w:sz w:val="24"/>
        </w:rPr>
        <w:t xml:space="preserve"> по итогам результатов инвентаризации</w:t>
      </w:r>
      <w:r w:rsidRPr="00BF1AEF">
        <w:rPr>
          <w:rFonts w:ascii="Times New Roman" w:hAnsi="Times New Roman"/>
          <w:sz w:val="24"/>
        </w:rPr>
        <w:t xml:space="preserve"> принято решение о </w:t>
      </w:r>
      <w:r w:rsidRPr="00BF1AEF">
        <w:rPr>
          <w:rFonts w:ascii="Times New Roman" w:hAnsi="Times New Roman"/>
          <w:b/>
          <w:sz w:val="24"/>
        </w:rPr>
        <w:t xml:space="preserve">централизации </w:t>
      </w:r>
      <w:r w:rsidR="00CF4D21">
        <w:rPr>
          <w:rFonts w:ascii="Times New Roman" w:hAnsi="Times New Roman"/>
          <w:b/>
          <w:sz w:val="24"/>
        </w:rPr>
        <w:t xml:space="preserve">(зачислении в федеральный бюджет) </w:t>
      </w:r>
      <w:r w:rsidRPr="00BF1AEF">
        <w:rPr>
          <w:rFonts w:ascii="Times New Roman" w:hAnsi="Times New Roman"/>
          <w:b/>
          <w:sz w:val="24"/>
        </w:rPr>
        <w:t>1 процентного пункта налога на прибыль</w:t>
      </w:r>
      <w:r w:rsidRPr="00BF1AEF">
        <w:rPr>
          <w:rFonts w:ascii="Times New Roman" w:hAnsi="Times New Roman"/>
          <w:sz w:val="24"/>
        </w:rPr>
        <w:t xml:space="preserve"> организаций на период 2017–2020 годов (а также 5 </w:t>
      </w:r>
      <w:proofErr w:type="spellStart"/>
      <w:r w:rsidRPr="00BF1AEF">
        <w:rPr>
          <w:rFonts w:ascii="Times New Roman" w:hAnsi="Times New Roman"/>
          <w:sz w:val="24"/>
        </w:rPr>
        <w:t>п.п</w:t>
      </w:r>
      <w:proofErr w:type="spellEnd"/>
      <w:r w:rsidRPr="00BF1AEF">
        <w:rPr>
          <w:rFonts w:ascii="Times New Roman" w:hAnsi="Times New Roman"/>
          <w:sz w:val="24"/>
        </w:rPr>
        <w:t>. отчислений от налога на прибыль организаций при выполнении соглашений о разделе продукции, не предусматривающих специальные налоговые ставки для зачисления указанного налога в федеральный бюджет и бюджеты субъектов</w:t>
      </w:r>
      <w:proofErr w:type="gramEnd"/>
      <w:r w:rsidRPr="00BF1AEF">
        <w:rPr>
          <w:rFonts w:ascii="Times New Roman" w:hAnsi="Times New Roman"/>
          <w:sz w:val="24"/>
        </w:rPr>
        <w:t xml:space="preserve">) </w:t>
      </w:r>
      <w:proofErr w:type="gramStart"/>
      <w:r w:rsidRPr="00BF1AEF">
        <w:rPr>
          <w:rFonts w:ascii="Times New Roman" w:hAnsi="Times New Roman"/>
          <w:sz w:val="24"/>
        </w:rPr>
        <w:t xml:space="preserve">и направления соответствующих средств на </w:t>
      </w:r>
      <w:r w:rsidRPr="00BF1AEF">
        <w:rPr>
          <w:rFonts w:ascii="Times New Roman" w:hAnsi="Times New Roman"/>
          <w:b/>
          <w:sz w:val="24"/>
        </w:rPr>
        <w:t>дополнительную</w:t>
      </w:r>
      <w:r w:rsidRPr="00BF1AEF">
        <w:rPr>
          <w:rFonts w:ascii="Times New Roman" w:hAnsi="Times New Roman"/>
          <w:sz w:val="24"/>
        </w:rPr>
        <w:t xml:space="preserve"> </w:t>
      </w:r>
      <w:r w:rsidRPr="00BF1AEF">
        <w:rPr>
          <w:rFonts w:ascii="Times New Roman" w:hAnsi="Times New Roman"/>
          <w:b/>
          <w:sz w:val="24"/>
        </w:rPr>
        <w:t>финансовую поддержку наименее обеспеченным регионам</w:t>
      </w:r>
      <w:r w:rsidRPr="00BF1AEF">
        <w:rPr>
          <w:rFonts w:ascii="Times New Roman" w:hAnsi="Times New Roman"/>
          <w:sz w:val="24"/>
        </w:rPr>
        <w:t xml:space="preserve"> через увеличение общего объема дотаций на выравнивание бюджетной обеспеченности с одновременной корректировкой методики, предусматривающей увеличение дотаций наименее обеспеченным регионам, проводящим мероприятия по приоритизации бюджетных расходов, а также </w:t>
      </w:r>
      <w:r w:rsidRPr="00BF1AEF">
        <w:rPr>
          <w:rFonts w:ascii="Times New Roman" w:hAnsi="Times New Roman"/>
          <w:b/>
          <w:sz w:val="24"/>
        </w:rPr>
        <w:t>предоставление стимулирующих грантов</w:t>
      </w:r>
      <w:r w:rsidRPr="00BF1AEF">
        <w:rPr>
          <w:rFonts w:ascii="Times New Roman" w:hAnsi="Times New Roman"/>
          <w:sz w:val="24"/>
        </w:rPr>
        <w:t xml:space="preserve"> по итогам развития налогового потенциала территорий самым динамично развивающимся регионам.</w:t>
      </w:r>
      <w:proofErr w:type="gramEnd"/>
      <w:r w:rsidRPr="00BF1AEF">
        <w:rPr>
          <w:rFonts w:ascii="Times New Roman" w:hAnsi="Times New Roman"/>
          <w:sz w:val="24"/>
        </w:rPr>
        <w:t xml:space="preserve"> </w:t>
      </w:r>
      <w:r w:rsidRPr="00BF1AEF">
        <w:rPr>
          <w:rFonts w:ascii="Times New Roman" w:hAnsi="Times New Roman"/>
          <w:b/>
          <w:sz w:val="24"/>
        </w:rPr>
        <w:t>Предоставление дотаций</w:t>
      </w:r>
      <w:r w:rsidRPr="00BF1AEF">
        <w:rPr>
          <w:rFonts w:ascii="Times New Roman" w:hAnsi="Times New Roman"/>
          <w:sz w:val="24"/>
        </w:rPr>
        <w:t xml:space="preserve"> на выравнивание с 2017 года </w:t>
      </w:r>
      <w:r w:rsidRPr="00BF1AEF">
        <w:rPr>
          <w:rFonts w:ascii="Times New Roman" w:hAnsi="Times New Roman"/>
          <w:b/>
          <w:sz w:val="24"/>
        </w:rPr>
        <w:t>увязано с проведением структурных бюджетных и экономических реформ</w:t>
      </w:r>
      <w:r w:rsidRPr="00BF1AEF">
        <w:rPr>
          <w:rFonts w:ascii="Times New Roman" w:hAnsi="Times New Roman"/>
          <w:sz w:val="24"/>
        </w:rPr>
        <w:t xml:space="preserve"> на региональном уровне и сопровождается заключением соответствующих соглашений с субъектами. </w:t>
      </w:r>
    </w:p>
    <w:p w:rsidR="00702C81" w:rsidRPr="00702C81" w:rsidRDefault="00702C81" w:rsidP="00702C81">
      <w:pPr>
        <w:jc w:val="both"/>
        <w:rPr>
          <w:rFonts w:ascii="Times New Roman" w:hAnsi="Times New Roman"/>
          <w:sz w:val="24"/>
        </w:rPr>
      </w:pPr>
      <w:r w:rsidRPr="00702C81">
        <w:rPr>
          <w:rFonts w:ascii="Times New Roman" w:hAnsi="Times New Roman"/>
          <w:sz w:val="24"/>
        </w:rPr>
        <w:t>В 2016 году внесены изменения в Налоговый кодекс, устанавливающие ограничения переноса убытков по налогу на прибыль организаций, полученных налогоплательщиками в предыдущих налоговых периодах, в размере не более 50 % налоговой базы текущего налогового (отчетного) периода, в том числе для налогоплательщиков консолидированной группы налогоплательщиков. Кроме того</w:t>
      </w:r>
      <w:r w:rsidR="00F059E6">
        <w:rPr>
          <w:rFonts w:ascii="Times New Roman" w:hAnsi="Times New Roman"/>
          <w:sz w:val="24"/>
        </w:rPr>
        <w:t>,</w:t>
      </w:r>
      <w:r w:rsidRPr="00702C81">
        <w:rPr>
          <w:rFonts w:ascii="Times New Roman" w:hAnsi="Times New Roman"/>
          <w:sz w:val="24"/>
        </w:rPr>
        <w:t xml:space="preserve"> </w:t>
      </w:r>
      <w:r w:rsidR="00F059E6">
        <w:rPr>
          <w:rFonts w:ascii="Times New Roman" w:hAnsi="Times New Roman"/>
          <w:sz w:val="24"/>
        </w:rPr>
        <w:t>введен</w:t>
      </w:r>
      <w:r w:rsidRPr="00702C81">
        <w:rPr>
          <w:rFonts w:ascii="Times New Roman" w:hAnsi="Times New Roman"/>
          <w:sz w:val="24"/>
        </w:rPr>
        <w:t xml:space="preserve"> мораторий на увеличение количества действующих консолидированных групп налогоплательщиков</w:t>
      </w:r>
      <w:r w:rsidR="00F059E6">
        <w:rPr>
          <w:rFonts w:ascii="Times New Roman" w:hAnsi="Times New Roman"/>
          <w:sz w:val="24"/>
        </w:rPr>
        <w:t xml:space="preserve">, что обеспечивает большую стабильность </w:t>
      </w:r>
      <w:r w:rsidR="000023E2">
        <w:rPr>
          <w:rFonts w:ascii="Times New Roman" w:hAnsi="Times New Roman"/>
          <w:sz w:val="24"/>
        </w:rPr>
        <w:t>доходной базы субъектов Российской Федерации</w:t>
      </w:r>
      <w:r w:rsidRPr="00702C81">
        <w:rPr>
          <w:rFonts w:ascii="Times New Roman" w:hAnsi="Times New Roman"/>
          <w:sz w:val="24"/>
        </w:rPr>
        <w:t>.</w:t>
      </w:r>
    </w:p>
    <w:p w:rsidR="00702C81" w:rsidRDefault="00702C81" w:rsidP="00702C81">
      <w:pPr>
        <w:jc w:val="both"/>
        <w:rPr>
          <w:rFonts w:ascii="Times New Roman" w:hAnsi="Times New Roman"/>
          <w:sz w:val="24"/>
        </w:rPr>
      </w:pPr>
      <w:r w:rsidRPr="00702C81">
        <w:rPr>
          <w:rFonts w:ascii="Times New Roman" w:hAnsi="Times New Roman"/>
          <w:sz w:val="24"/>
        </w:rPr>
        <w:t>Отменена льгота по налогу на имущество организаций в части движимого имущества, установленная на федеральном уровне. Ее применение с 1 января 2018 года на территории субъекта Российской Федерации возможно только по решению этого субъекта Российской Федерации (так называемое «правило 2 ключей»). Этот же подход применен в отношении налоговой льготы по налогу на имущество организаций в части имущества, используемого при осуществлении деятельности по разработке морских месторождений углеводородного сырья в Каспийском море.</w:t>
      </w:r>
      <w:r w:rsidRPr="00937C4B">
        <w:rPr>
          <w:rFonts w:ascii="Times New Roman" w:hAnsi="Times New Roman"/>
          <w:sz w:val="24"/>
        </w:rPr>
        <w:t xml:space="preserve">  </w:t>
      </w:r>
    </w:p>
    <w:p w:rsidR="00180B0E" w:rsidRPr="00BF1AEF" w:rsidRDefault="00180B0E" w:rsidP="00180B0E">
      <w:pPr>
        <w:jc w:val="both"/>
        <w:rPr>
          <w:rFonts w:ascii="Times New Roman" w:hAnsi="Times New Roman"/>
          <w:sz w:val="24"/>
        </w:rPr>
      </w:pPr>
      <w:r w:rsidRPr="00BF1AEF">
        <w:rPr>
          <w:rFonts w:ascii="Times New Roman" w:hAnsi="Times New Roman"/>
          <w:sz w:val="24"/>
        </w:rPr>
        <w:t xml:space="preserve">В сфере </w:t>
      </w:r>
      <w:r w:rsidRPr="00BF1AEF">
        <w:rPr>
          <w:rFonts w:ascii="Times New Roman" w:hAnsi="Times New Roman"/>
          <w:b/>
          <w:sz w:val="24"/>
        </w:rPr>
        <w:t>повышения эффективности</w:t>
      </w:r>
      <w:r w:rsidRPr="00BF1AEF">
        <w:rPr>
          <w:rFonts w:ascii="Times New Roman" w:hAnsi="Times New Roman"/>
          <w:sz w:val="24"/>
        </w:rPr>
        <w:t xml:space="preserve"> предоставления </w:t>
      </w:r>
      <w:r w:rsidRPr="00BF1AEF">
        <w:rPr>
          <w:rFonts w:ascii="Times New Roman" w:hAnsi="Times New Roman"/>
          <w:b/>
          <w:sz w:val="24"/>
        </w:rPr>
        <w:t>целевых межбюджетных трансфертов</w:t>
      </w:r>
      <w:r w:rsidRPr="00BF1AEF">
        <w:rPr>
          <w:rFonts w:ascii="Times New Roman" w:hAnsi="Times New Roman"/>
          <w:sz w:val="24"/>
        </w:rPr>
        <w:t xml:space="preserve"> реализован комплекс мер, направленны</w:t>
      </w:r>
      <w:r w:rsidR="000023E2">
        <w:rPr>
          <w:rFonts w:ascii="Times New Roman" w:hAnsi="Times New Roman"/>
          <w:sz w:val="24"/>
        </w:rPr>
        <w:t>х</w:t>
      </w:r>
      <w:r w:rsidRPr="00BF1AEF">
        <w:rPr>
          <w:rFonts w:ascii="Times New Roman" w:hAnsi="Times New Roman"/>
          <w:sz w:val="24"/>
        </w:rPr>
        <w:t xml:space="preserve"> </w:t>
      </w:r>
      <w:proofErr w:type="gramStart"/>
      <w:r w:rsidRPr="00BF1AEF">
        <w:rPr>
          <w:rFonts w:ascii="Times New Roman" w:hAnsi="Times New Roman"/>
          <w:sz w:val="24"/>
        </w:rPr>
        <w:t>на</w:t>
      </w:r>
      <w:proofErr w:type="gramEnd"/>
      <w:r w:rsidRPr="00BF1AEF">
        <w:rPr>
          <w:rFonts w:ascii="Times New Roman" w:hAnsi="Times New Roman"/>
          <w:sz w:val="24"/>
        </w:rPr>
        <w:t>:</w:t>
      </w:r>
    </w:p>
    <w:p w:rsidR="00180B0E" w:rsidRPr="00BF1AEF" w:rsidRDefault="00180B0E" w:rsidP="009F1CCA">
      <w:pPr>
        <w:numPr>
          <w:ilvl w:val="0"/>
          <w:numId w:val="23"/>
        </w:numPr>
        <w:spacing w:before="120" w:after="120" w:line="259" w:lineRule="auto"/>
        <w:jc w:val="both"/>
        <w:rPr>
          <w:rFonts w:ascii="Times New Roman" w:hAnsi="Times New Roman"/>
          <w:sz w:val="24"/>
        </w:rPr>
      </w:pPr>
      <w:r w:rsidRPr="00BF1AEF">
        <w:rPr>
          <w:rFonts w:ascii="Times New Roman" w:hAnsi="Times New Roman"/>
          <w:b/>
          <w:sz w:val="24"/>
        </w:rPr>
        <w:t>концентрацию бюджетных расходов на приоритетных направлениях</w:t>
      </w:r>
      <w:r w:rsidRPr="00BF1AEF">
        <w:rPr>
          <w:rFonts w:ascii="Times New Roman" w:hAnsi="Times New Roman"/>
          <w:sz w:val="24"/>
        </w:rPr>
        <w:t>: сокращение количества и трансформация иных межбюджетных трансфертов; определение (в федеральном бюджете) перечня приоритетных направлений, по которым осуществляется софинансирование расходных обязательств субъектов и муниципальных образований;</w:t>
      </w:r>
    </w:p>
    <w:p w:rsidR="00180B0E" w:rsidRPr="00BF1AEF" w:rsidRDefault="00180B0E" w:rsidP="009F1CCA">
      <w:pPr>
        <w:numPr>
          <w:ilvl w:val="0"/>
          <w:numId w:val="23"/>
        </w:numPr>
        <w:spacing w:before="120" w:after="120" w:line="259" w:lineRule="auto"/>
        <w:jc w:val="both"/>
        <w:rPr>
          <w:rFonts w:ascii="Times New Roman" w:hAnsi="Times New Roman"/>
          <w:sz w:val="24"/>
        </w:rPr>
      </w:pPr>
      <w:r w:rsidRPr="00BF1AEF">
        <w:rPr>
          <w:rFonts w:ascii="Times New Roman" w:hAnsi="Times New Roman"/>
          <w:b/>
          <w:sz w:val="24"/>
        </w:rPr>
        <w:t>повышение качества и культуры бюджетного планирования</w:t>
      </w:r>
      <w:r w:rsidRPr="00BF1AEF">
        <w:rPr>
          <w:rFonts w:ascii="Times New Roman" w:hAnsi="Times New Roman"/>
          <w:sz w:val="24"/>
        </w:rPr>
        <w:t>: более 2/3 субсидий на 2017 год распределено федеральным законом о федеральном бюджете; по остальным субсидиям определен предельный срок до 1 февраля;</w:t>
      </w:r>
    </w:p>
    <w:p w:rsidR="00180B0E" w:rsidRPr="00BF1AEF" w:rsidRDefault="00180B0E" w:rsidP="009F1CCA">
      <w:pPr>
        <w:numPr>
          <w:ilvl w:val="0"/>
          <w:numId w:val="23"/>
        </w:numPr>
        <w:spacing w:before="120" w:after="120" w:line="259" w:lineRule="auto"/>
        <w:jc w:val="both"/>
        <w:rPr>
          <w:rFonts w:ascii="Times New Roman" w:hAnsi="Times New Roman"/>
          <w:sz w:val="24"/>
        </w:rPr>
      </w:pPr>
      <w:r w:rsidRPr="00BF1AEF">
        <w:rPr>
          <w:rFonts w:ascii="Times New Roman" w:hAnsi="Times New Roman"/>
          <w:b/>
          <w:sz w:val="24"/>
        </w:rPr>
        <w:t>повышение операционной эффективности</w:t>
      </w:r>
      <w:r w:rsidRPr="00BF1AEF">
        <w:rPr>
          <w:rFonts w:ascii="Times New Roman" w:hAnsi="Times New Roman"/>
          <w:sz w:val="24"/>
        </w:rPr>
        <w:t xml:space="preserve"> управления бюджетными средствами: в случае отсутствия на 1 марта заключенного соглашения средства субсидий подлежат централизации и перераспределению на увеличение резервного фонда Правительства Российской Федерации для оказания финансовой помощи регионам;</w:t>
      </w:r>
    </w:p>
    <w:p w:rsidR="00226299" w:rsidRPr="0063778D" w:rsidRDefault="00180B0E" w:rsidP="009F1CCA">
      <w:pPr>
        <w:pStyle w:val="a9"/>
        <w:numPr>
          <w:ilvl w:val="0"/>
          <w:numId w:val="23"/>
        </w:numPr>
        <w:spacing w:before="120" w:after="120"/>
        <w:contextualSpacing w:val="0"/>
        <w:jc w:val="both"/>
        <w:rPr>
          <w:rFonts w:ascii="Times New Roman" w:hAnsi="Times New Roman"/>
          <w:sz w:val="24"/>
        </w:rPr>
      </w:pPr>
      <w:r w:rsidRPr="00BF1AEF">
        <w:rPr>
          <w:rFonts w:ascii="Times New Roman" w:hAnsi="Times New Roman"/>
          <w:b/>
          <w:sz w:val="24"/>
        </w:rPr>
        <w:t>унификацию соглашений</w:t>
      </w:r>
      <w:r w:rsidRPr="00BF1AEF">
        <w:rPr>
          <w:rFonts w:ascii="Times New Roman" w:hAnsi="Times New Roman"/>
          <w:sz w:val="24"/>
        </w:rPr>
        <w:t xml:space="preserve"> о предоставлении субсидий из федерального бюджета: с 1 января 2017 года применяется типовая форма соглашения о предоставлении субсидии бюджету субъекта; соглашения и изменения к ним действуют со дня внесения сведений о них в реестр соглашений, ведение которого осуществляется Федеральным казначейством; </w:t>
      </w:r>
      <w:r w:rsidR="00CF4D21" w:rsidRPr="00BF1AEF">
        <w:rPr>
          <w:rFonts w:ascii="Times New Roman" w:hAnsi="Times New Roman"/>
          <w:sz w:val="24"/>
        </w:rPr>
        <w:t xml:space="preserve">в целях сокращения сроков </w:t>
      </w:r>
      <w:r w:rsidRPr="00BF1AEF">
        <w:rPr>
          <w:rFonts w:ascii="Times New Roman" w:hAnsi="Times New Roman"/>
          <w:sz w:val="24"/>
        </w:rPr>
        <w:t>заключение соглашений осуществляется</w:t>
      </w:r>
      <w:r w:rsidR="003100C3">
        <w:rPr>
          <w:rFonts w:ascii="Times New Roman" w:hAnsi="Times New Roman"/>
          <w:sz w:val="24"/>
        </w:rPr>
        <w:t xml:space="preserve"> </w:t>
      </w:r>
      <w:r w:rsidR="00702C81" w:rsidRPr="00702C81">
        <w:rPr>
          <w:rFonts w:ascii="Times New Roman" w:hAnsi="Times New Roman"/>
          <w:sz w:val="24"/>
        </w:rPr>
        <w:t>до 1 марта в электронном виде</w:t>
      </w:r>
      <w:r w:rsidR="00702C81" w:rsidRPr="00BF1AEF">
        <w:rPr>
          <w:rFonts w:ascii="Times New Roman" w:hAnsi="Times New Roman"/>
          <w:sz w:val="24"/>
        </w:rPr>
        <w:t xml:space="preserve"> </w:t>
      </w:r>
      <w:r w:rsidRPr="00BF1AEF">
        <w:rPr>
          <w:rFonts w:ascii="Times New Roman" w:hAnsi="Times New Roman"/>
          <w:sz w:val="24"/>
        </w:rPr>
        <w:t>в системе «Электронный бюджет»</w:t>
      </w:r>
      <w:proofErr w:type="gramStart"/>
      <w:r w:rsidRPr="00BF1AEF">
        <w:rPr>
          <w:rFonts w:ascii="Times New Roman" w:hAnsi="Times New Roman"/>
          <w:sz w:val="24"/>
        </w:rPr>
        <w:t xml:space="preserve"> </w:t>
      </w:r>
      <w:r w:rsidR="00C76557" w:rsidRPr="0063778D">
        <w:rPr>
          <w:rFonts w:ascii="Times New Roman" w:hAnsi="Times New Roman"/>
          <w:sz w:val="24"/>
        </w:rPr>
        <w:t>.</w:t>
      </w:r>
      <w:proofErr w:type="gramEnd"/>
    </w:p>
    <w:p w:rsidR="00780D0A" w:rsidRPr="00780D0A" w:rsidRDefault="00180B0E" w:rsidP="00780D0A">
      <w:pPr>
        <w:jc w:val="both"/>
        <w:rPr>
          <w:rFonts w:ascii="Times New Roman" w:hAnsi="Times New Roman"/>
          <w:sz w:val="24"/>
        </w:rPr>
      </w:pPr>
      <w:proofErr w:type="gramStart"/>
      <w:r w:rsidRPr="00780D0A">
        <w:rPr>
          <w:rFonts w:ascii="Times New Roman" w:hAnsi="Times New Roman"/>
          <w:sz w:val="24"/>
        </w:rPr>
        <w:t xml:space="preserve">В 2016 году в полной мере вступили в силу положения Правил формирования, предоставления и распределения субсидий из федерального бюджета бюджетам субъектов, предусматривающие возврат средств в федеральный бюджет в случае нарушения обязательств по достижению показателей результативности использования субсидий и/или графика проектирования/строительства/приобретения </w:t>
      </w:r>
      <w:r w:rsidR="000023E2">
        <w:rPr>
          <w:rFonts w:ascii="Times New Roman" w:hAnsi="Times New Roman"/>
          <w:sz w:val="24"/>
        </w:rPr>
        <w:t xml:space="preserve">капитальных </w:t>
      </w:r>
      <w:r w:rsidRPr="00780D0A">
        <w:rPr>
          <w:rFonts w:ascii="Times New Roman" w:hAnsi="Times New Roman"/>
          <w:sz w:val="24"/>
        </w:rPr>
        <w:t>объектов.</w:t>
      </w:r>
      <w:proofErr w:type="gramEnd"/>
    </w:p>
    <w:p w:rsidR="00180B0E" w:rsidRPr="00180B0E" w:rsidRDefault="00180B0E" w:rsidP="00180B0E">
      <w:pPr>
        <w:jc w:val="both"/>
        <w:rPr>
          <w:rFonts w:ascii="Times New Roman" w:hAnsi="Times New Roman"/>
          <w:sz w:val="24"/>
        </w:rPr>
      </w:pPr>
      <w:r w:rsidRPr="00180B0E">
        <w:rPr>
          <w:rFonts w:ascii="Times New Roman" w:hAnsi="Times New Roman"/>
          <w:sz w:val="24"/>
        </w:rPr>
        <w:t xml:space="preserve">Большой вклад в обеспечение бюджетной устойчивости субъектов внесли </w:t>
      </w:r>
      <w:r w:rsidRPr="00180B0E">
        <w:rPr>
          <w:rFonts w:ascii="Times New Roman" w:hAnsi="Times New Roman"/>
          <w:b/>
          <w:sz w:val="24"/>
        </w:rPr>
        <w:t>заключенные соглашения</w:t>
      </w:r>
      <w:r w:rsidRPr="00180B0E">
        <w:rPr>
          <w:rFonts w:ascii="Times New Roman" w:hAnsi="Times New Roman"/>
          <w:sz w:val="24"/>
        </w:rPr>
        <w:t xml:space="preserve"> </w:t>
      </w:r>
      <w:r w:rsidRPr="00180B0E">
        <w:rPr>
          <w:rFonts w:ascii="Times New Roman" w:hAnsi="Times New Roman"/>
          <w:b/>
          <w:sz w:val="24"/>
        </w:rPr>
        <w:t>о предоставлении бюджетных кредитов</w:t>
      </w:r>
      <w:r w:rsidRPr="00180B0E">
        <w:rPr>
          <w:rFonts w:ascii="Times New Roman" w:hAnsi="Times New Roman"/>
          <w:sz w:val="24"/>
        </w:rPr>
        <w:t>. Предоставление бюджетных кредитов осуществляется на условиях принятия регионами обязательств по ограничению дефицита бюджета и уровню государственного долга.</w:t>
      </w:r>
    </w:p>
    <w:p w:rsidR="00180B0E" w:rsidRPr="00180B0E" w:rsidRDefault="00180B0E" w:rsidP="00180B0E">
      <w:pPr>
        <w:jc w:val="both"/>
        <w:rPr>
          <w:rFonts w:ascii="Times New Roman" w:hAnsi="Times New Roman"/>
          <w:sz w:val="24"/>
        </w:rPr>
      </w:pPr>
      <w:r w:rsidRPr="00180B0E">
        <w:rPr>
          <w:rFonts w:ascii="Times New Roman" w:hAnsi="Times New Roman"/>
          <w:sz w:val="24"/>
        </w:rPr>
        <w:t xml:space="preserve">Совместно с органами государственной власти субъектов Российской Федерации также осуществляется </w:t>
      </w:r>
      <w:r w:rsidRPr="00180B0E">
        <w:rPr>
          <w:rFonts w:ascii="Times New Roman" w:hAnsi="Times New Roman"/>
          <w:b/>
          <w:sz w:val="24"/>
        </w:rPr>
        <w:t>разработка программ финансового оздоровления</w:t>
      </w:r>
      <w:r w:rsidRPr="00180B0E">
        <w:rPr>
          <w:rFonts w:ascii="Times New Roman" w:hAnsi="Times New Roman"/>
          <w:sz w:val="24"/>
        </w:rPr>
        <w:t xml:space="preserve"> субъектов Российской Федерации с высоким уровнем долговой нагрузки.</w:t>
      </w:r>
    </w:p>
    <w:p w:rsidR="00180B0E" w:rsidRPr="00180B0E" w:rsidRDefault="00180B0E" w:rsidP="00180B0E">
      <w:pPr>
        <w:jc w:val="both"/>
        <w:rPr>
          <w:rFonts w:ascii="Times New Roman" w:hAnsi="Times New Roman"/>
          <w:sz w:val="24"/>
        </w:rPr>
      </w:pPr>
      <w:r w:rsidRPr="00180B0E">
        <w:rPr>
          <w:rFonts w:ascii="Times New Roman" w:hAnsi="Times New Roman"/>
          <w:sz w:val="24"/>
        </w:rPr>
        <w:t xml:space="preserve">В связи с существенными изменениями в организации местного самоуправления </w:t>
      </w:r>
      <w:proofErr w:type="gramStart"/>
      <w:r w:rsidRPr="00180B0E">
        <w:rPr>
          <w:rFonts w:ascii="Times New Roman" w:hAnsi="Times New Roman"/>
          <w:sz w:val="24"/>
        </w:rPr>
        <w:t>начиная с 2015 года исполнение местных бюджетов осуществлялось в условиях</w:t>
      </w:r>
      <w:proofErr w:type="gramEnd"/>
      <w:r w:rsidRPr="00180B0E">
        <w:rPr>
          <w:rFonts w:ascii="Times New Roman" w:hAnsi="Times New Roman"/>
          <w:sz w:val="24"/>
        </w:rPr>
        <w:t xml:space="preserve"> нового разграничения расходных полномочий и доходных источников между муниципальными районами и сельскими поселениями, городскими округами с внутригородским делением и внутригородскими районами. В рамках дальнейшей реализации мер, направленных на актуализацию распределения доходных источников между уровнями бюджетной системы, с 2016 года в местные бюджеты стало дополнительно направляться 15% от платы за негативное воздействие на окружающую среду (около 4,2 </w:t>
      </w:r>
      <w:proofErr w:type="gramStart"/>
      <w:r w:rsidR="007F725F">
        <w:rPr>
          <w:rFonts w:ascii="Times New Roman" w:hAnsi="Times New Roman"/>
          <w:sz w:val="24"/>
        </w:rPr>
        <w:t>млрд</w:t>
      </w:r>
      <w:proofErr w:type="gramEnd"/>
      <w:r w:rsidRPr="00180B0E">
        <w:rPr>
          <w:rFonts w:ascii="Times New Roman" w:hAnsi="Times New Roman"/>
          <w:sz w:val="24"/>
        </w:rPr>
        <w:t xml:space="preserve"> рублей в год).</w:t>
      </w:r>
    </w:p>
    <w:p w:rsidR="004E2069" w:rsidRDefault="00180B0E" w:rsidP="00180B0E">
      <w:pPr>
        <w:jc w:val="both"/>
        <w:rPr>
          <w:rFonts w:ascii="Times New Roman" w:hAnsi="Times New Roman"/>
          <w:sz w:val="24"/>
        </w:rPr>
      </w:pPr>
      <w:proofErr w:type="gramStart"/>
      <w:r w:rsidRPr="00180B0E">
        <w:rPr>
          <w:rFonts w:ascii="Times New Roman" w:hAnsi="Times New Roman"/>
          <w:sz w:val="24"/>
        </w:rPr>
        <w:t xml:space="preserve">В результате принятых </w:t>
      </w:r>
      <w:r w:rsidRPr="00180B0E">
        <w:rPr>
          <w:rFonts w:ascii="Times New Roman" w:hAnsi="Times New Roman"/>
          <w:b/>
          <w:sz w:val="24"/>
        </w:rPr>
        <w:t>мер</w:t>
      </w:r>
      <w:r w:rsidRPr="00180B0E">
        <w:rPr>
          <w:rFonts w:ascii="Times New Roman" w:hAnsi="Times New Roman"/>
          <w:sz w:val="24"/>
        </w:rPr>
        <w:t xml:space="preserve">, </w:t>
      </w:r>
      <w:r w:rsidRPr="00180B0E">
        <w:rPr>
          <w:rFonts w:ascii="Times New Roman" w:hAnsi="Times New Roman"/>
          <w:b/>
          <w:sz w:val="24"/>
        </w:rPr>
        <w:t>направленных на повышение бюджетной обеспеченности муниципальных образований</w:t>
      </w:r>
      <w:r w:rsidRPr="00180B0E">
        <w:rPr>
          <w:rFonts w:ascii="Times New Roman" w:hAnsi="Times New Roman"/>
          <w:sz w:val="24"/>
        </w:rPr>
        <w:t>, в 2016 году в доходы местных бюджетов зачислялись переданные в 2013–2016 годах в рамках поэтапного повышения бюджетной обеспеченности муниципальных образований отдельные налоговые и неналоговые доходы, поступавшие ранее в федеральный и региональные бюджеты.</w:t>
      </w:r>
      <w:proofErr w:type="gramEnd"/>
      <w:r w:rsidRPr="00180B0E">
        <w:rPr>
          <w:rFonts w:ascii="Times New Roman" w:hAnsi="Times New Roman"/>
          <w:sz w:val="24"/>
        </w:rPr>
        <w:t xml:space="preserve"> Объем таких поступлений в местные бюджеты за 2016 год составил 66,3 </w:t>
      </w:r>
      <w:proofErr w:type="gramStart"/>
      <w:r w:rsidR="007F725F">
        <w:rPr>
          <w:rFonts w:ascii="Times New Roman" w:hAnsi="Times New Roman"/>
          <w:sz w:val="24"/>
        </w:rPr>
        <w:t>млрд</w:t>
      </w:r>
      <w:proofErr w:type="gramEnd"/>
      <w:r w:rsidRPr="00180B0E">
        <w:rPr>
          <w:rFonts w:ascii="Times New Roman" w:hAnsi="Times New Roman"/>
          <w:sz w:val="24"/>
        </w:rPr>
        <w:t xml:space="preserve"> рублей или 5% объем</w:t>
      </w:r>
      <w:r w:rsidR="000023E2">
        <w:rPr>
          <w:rFonts w:ascii="Times New Roman" w:hAnsi="Times New Roman"/>
          <w:sz w:val="24"/>
        </w:rPr>
        <w:t>а</w:t>
      </w:r>
      <w:r w:rsidRPr="00180B0E">
        <w:rPr>
          <w:rFonts w:ascii="Times New Roman" w:hAnsi="Times New Roman"/>
          <w:sz w:val="24"/>
        </w:rPr>
        <w:t xml:space="preserve"> налоговых и неналоговых доходов местных бюджетов</w:t>
      </w:r>
      <w:r w:rsidR="004E2069" w:rsidRPr="00180B0E">
        <w:rPr>
          <w:rFonts w:ascii="Times New Roman" w:hAnsi="Times New Roman"/>
          <w:sz w:val="24"/>
        </w:rPr>
        <w:t>.</w:t>
      </w:r>
    </w:p>
    <w:p w:rsidR="00375D6E" w:rsidRPr="00115E1A" w:rsidRDefault="004E2069" w:rsidP="00115E1A">
      <w:pPr>
        <w:pStyle w:val="20"/>
        <w:numPr>
          <w:ilvl w:val="1"/>
          <w:numId w:val="3"/>
        </w:numPr>
        <w:spacing w:before="240" w:after="240"/>
        <w:rPr>
          <w:rFonts w:ascii="Times New Roman" w:hAnsi="Times New Roman"/>
          <w:sz w:val="28"/>
          <w:szCs w:val="28"/>
        </w:rPr>
      </w:pPr>
      <w:bookmarkStart w:id="11" w:name="_Toc494788028"/>
      <w:r>
        <w:rPr>
          <w:rFonts w:ascii="Times New Roman" w:hAnsi="Times New Roman"/>
          <w:sz w:val="28"/>
          <w:szCs w:val="28"/>
        </w:rPr>
        <w:t>ОПЕРАЦИОННАЯ ЭФФЕКТИВНОСТЬ</w:t>
      </w:r>
      <w:r w:rsidR="00180B0E">
        <w:rPr>
          <w:rFonts w:ascii="Times New Roman" w:hAnsi="Times New Roman"/>
          <w:sz w:val="28"/>
          <w:szCs w:val="28"/>
        </w:rPr>
        <w:t xml:space="preserve"> </w:t>
      </w:r>
      <w:r w:rsidR="00180B0E" w:rsidRPr="00180B0E">
        <w:rPr>
          <w:rFonts w:ascii="Times New Roman" w:hAnsi="Times New Roman"/>
          <w:sz w:val="28"/>
          <w:szCs w:val="28"/>
        </w:rPr>
        <w:t>ИСПОЛЬЗОВАНИЯ БЮДЖЕТНЫХ СРЕДСТВ</w:t>
      </w:r>
      <w:bookmarkEnd w:id="11"/>
    </w:p>
    <w:p w:rsidR="00021CDC" w:rsidRPr="006860B5" w:rsidRDefault="00021CDC" w:rsidP="00EE592D">
      <w:pPr>
        <w:spacing w:before="120" w:after="120"/>
        <w:jc w:val="both"/>
        <w:rPr>
          <w:rFonts w:ascii="Times New Roman" w:hAnsi="Times New Roman"/>
          <w:color w:val="000000"/>
          <w:sz w:val="24"/>
        </w:rPr>
      </w:pPr>
      <w:r w:rsidRPr="006860B5">
        <w:rPr>
          <w:rFonts w:ascii="Times New Roman" w:hAnsi="Times New Roman"/>
          <w:color w:val="000000"/>
          <w:sz w:val="24"/>
        </w:rPr>
        <w:t xml:space="preserve">В целях повышения операционной эффективности управления бюджетными ресурсами </w:t>
      </w:r>
      <w:r>
        <w:rPr>
          <w:rFonts w:ascii="Times New Roman" w:hAnsi="Times New Roman"/>
          <w:color w:val="000000"/>
          <w:sz w:val="24"/>
        </w:rPr>
        <w:t xml:space="preserve">реализованы следующие мероприятия. </w:t>
      </w:r>
    </w:p>
    <w:p w:rsidR="00021CDC" w:rsidRPr="0063778D" w:rsidRDefault="00021CDC" w:rsidP="009F1CCA">
      <w:pPr>
        <w:pStyle w:val="a9"/>
        <w:numPr>
          <w:ilvl w:val="0"/>
          <w:numId w:val="24"/>
        </w:numPr>
        <w:spacing w:before="120" w:after="120"/>
        <w:contextualSpacing w:val="0"/>
        <w:jc w:val="both"/>
        <w:rPr>
          <w:rFonts w:ascii="Times New Roman" w:hAnsi="Times New Roman"/>
          <w:color w:val="000000"/>
          <w:sz w:val="24"/>
        </w:rPr>
      </w:pPr>
      <w:r w:rsidRPr="0063778D">
        <w:rPr>
          <w:rFonts w:ascii="Times New Roman" w:hAnsi="Times New Roman"/>
          <w:color w:val="000000"/>
          <w:sz w:val="24"/>
        </w:rPr>
        <w:t xml:space="preserve">В сфере </w:t>
      </w:r>
      <w:r w:rsidRPr="0063778D">
        <w:rPr>
          <w:rFonts w:ascii="Times New Roman" w:hAnsi="Times New Roman"/>
          <w:b/>
          <w:color w:val="000000"/>
          <w:sz w:val="24"/>
        </w:rPr>
        <w:t>повышения эффективности казначейского сопровождения</w:t>
      </w:r>
      <w:r w:rsidRPr="0063778D">
        <w:rPr>
          <w:rFonts w:ascii="Times New Roman" w:hAnsi="Times New Roman"/>
          <w:color w:val="000000"/>
          <w:sz w:val="24"/>
        </w:rPr>
        <w:t xml:space="preserve"> расходов федерального бюджета:</w:t>
      </w:r>
    </w:p>
    <w:p w:rsidR="00425EA0" w:rsidRPr="00BF1AEF" w:rsidRDefault="00425EA0" w:rsidP="009F1CCA">
      <w:pPr>
        <w:numPr>
          <w:ilvl w:val="0"/>
          <w:numId w:val="51"/>
        </w:numPr>
        <w:spacing w:before="120" w:after="120" w:line="259" w:lineRule="auto"/>
        <w:jc w:val="both"/>
        <w:rPr>
          <w:rFonts w:ascii="Times New Roman" w:hAnsi="Times New Roman"/>
          <w:color w:val="000000"/>
          <w:sz w:val="24"/>
        </w:rPr>
      </w:pPr>
      <w:r w:rsidRPr="00BF1AEF">
        <w:rPr>
          <w:rFonts w:ascii="Times New Roman" w:hAnsi="Times New Roman"/>
          <w:color w:val="000000"/>
          <w:sz w:val="24"/>
        </w:rPr>
        <w:t xml:space="preserve">подготовлена нормативно-правовая база для применения механизма </w:t>
      </w:r>
      <w:r w:rsidRPr="00BF1AEF">
        <w:rPr>
          <w:rFonts w:ascii="Times New Roman" w:hAnsi="Times New Roman"/>
          <w:b/>
          <w:color w:val="000000"/>
          <w:sz w:val="24"/>
        </w:rPr>
        <w:t xml:space="preserve">казначейского сопровождения </w:t>
      </w:r>
      <w:proofErr w:type="spellStart"/>
      <w:r w:rsidRPr="00BF1AEF">
        <w:rPr>
          <w:rFonts w:ascii="Times New Roman" w:hAnsi="Times New Roman"/>
          <w:b/>
          <w:color w:val="000000"/>
          <w:sz w:val="24"/>
        </w:rPr>
        <w:t>госконтрактов</w:t>
      </w:r>
      <w:proofErr w:type="spellEnd"/>
      <w:r w:rsidRPr="00BF1AEF">
        <w:rPr>
          <w:rFonts w:ascii="Times New Roman" w:hAnsi="Times New Roman"/>
          <w:b/>
          <w:color w:val="000000"/>
          <w:sz w:val="24"/>
        </w:rPr>
        <w:t xml:space="preserve"> </w:t>
      </w:r>
      <w:r w:rsidRPr="00BF1AEF">
        <w:rPr>
          <w:rFonts w:ascii="Times New Roman" w:hAnsi="Times New Roman"/>
          <w:color w:val="000000"/>
          <w:sz w:val="24"/>
        </w:rPr>
        <w:t>(договоров, соглашений);</w:t>
      </w:r>
    </w:p>
    <w:p w:rsidR="00425EA0" w:rsidRPr="00BF1AEF" w:rsidRDefault="00425EA0" w:rsidP="009F1CCA">
      <w:pPr>
        <w:numPr>
          <w:ilvl w:val="0"/>
          <w:numId w:val="51"/>
        </w:numPr>
        <w:spacing w:before="120" w:after="120" w:line="259" w:lineRule="auto"/>
        <w:jc w:val="both"/>
        <w:rPr>
          <w:rFonts w:ascii="Times New Roman" w:hAnsi="Times New Roman"/>
          <w:color w:val="000000"/>
          <w:sz w:val="24"/>
        </w:rPr>
      </w:pPr>
      <w:r w:rsidRPr="00902261">
        <w:rPr>
          <w:rFonts w:ascii="Times New Roman" w:hAnsi="Times New Roman"/>
          <w:color w:val="000000"/>
          <w:sz w:val="24"/>
        </w:rPr>
        <w:t xml:space="preserve">введена специальная форма расчета </w:t>
      </w:r>
      <w:r w:rsidR="000023E2">
        <w:rPr>
          <w:rFonts w:ascii="Times New Roman" w:hAnsi="Times New Roman"/>
          <w:color w:val="000000"/>
          <w:sz w:val="24"/>
        </w:rPr>
        <w:t xml:space="preserve">– </w:t>
      </w:r>
      <w:r w:rsidRPr="00902261">
        <w:rPr>
          <w:rFonts w:ascii="Times New Roman" w:hAnsi="Times New Roman"/>
          <w:b/>
          <w:color w:val="000000"/>
          <w:sz w:val="24"/>
        </w:rPr>
        <w:t>казначейский аккредитив</w:t>
      </w:r>
      <w:r w:rsidR="00674C6D" w:rsidRPr="00902261">
        <w:rPr>
          <w:rFonts w:ascii="Times New Roman" w:hAnsi="Times New Roman"/>
          <w:color w:val="000000"/>
          <w:sz w:val="24"/>
        </w:rPr>
        <w:t>:</w:t>
      </w:r>
      <w:r w:rsidR="00674C6D" w:rsidRPr="00BF1AEF">
        <w:rPr>
          <w:rFonts w:ascii="Times New Roman" w:hAnsi="Times New Roman"/>
          <w:b/>
          <w:color w:val="000000"/>
          <w:sz w:val="24"/>
        </w:rPr>
        <w:t xml:space="preserve"> </w:t>
      </w:r>
      <w:r w:rsidRPr="00BF1AEF">
        <w:rPr>
          <w:rFonts w:ascii="Times New Roman" w:hAnsi="Times New Roman"/>
          <w:color w:val="000000"/>
          <w:sz w:val="24"/>
        </w:rPr>
        <w:t xml:space="preserve">оплата по </w:t>
      </w:r>
      <w:proofErr w:type="spellStart"/>
      <w:r w:rsidRPr="00BF1AEF">
        <w:rPr>
          <w:rFonts w:ascii="Times New Roman" w:hAnsi="Times New Roman"/>
          <w:color w:val="000000"/>
          <w:sz w:val="24"/>
        </w:rPr>
        <w:t>госконтракту</w:t>
      </w:r>
      <w:proofErr w:type="spellEnd"/>
      <w:r w:rsidRPr="00BF1AEF">
        <w:rPr>
          <w:rFonts w:ascii="Times New Roman" w:hAnsi="Times New Roman"/>
          <w:color w:val="000000"/>
          <w:sz w:val="24"/>
        </w:rPr>
        <w:t xml:space="preserve"> только после предъявления документов, подтверждающих факт поставки товаров (</w:t>
      </w:r>
      <w:r w:rsidR="000023E2">
        <w:rPr>
          <w:rFonts w:ascii="Times New Roman" w:hAnsi="Times New Roman"/>
          <w:color w:val="000000"/>
          <w:sz w:val="24"/>
        </w:rPr>
        <w:t xml:space="preserve">выполнения </w:t>
      </w:r>
      <w:r w:rsidRPr="00BF1AEF">
        <w:rPr>
          <w:rFonts w:ascii="Times New Roman" w:hAnsi="Times New Roman"/>
          <w:color w:val="000000"/>
          <w:sz w:val="24"/>
        </w:rPr>
        <w:t xml:space="preserve">работ, </w:t>
      </w:r>
      <w:r w:rsidR="000023E2">
        <w:rPr>
          <w:rFonts w:ascii="Times New Roman" w:hAnsi="Times New Roman"/>
          <w:color w:val="000000"/>
          <w:sz w:val="24"/>
        </w:rPr>
        <w:t xml:space="preserve">оказания </w:t>
      </w:r>
      <w:r w:rsidRPr="00BF1AEF">
        <w:rPr>
          <w:rFonts w:ascii="Times New Roman" w:hAnsi="Times New Roman"/>
          <w:color w:val="000000"/>
          <w:sz w:val="24"/>
        </w:rPr>
        <w:t>услуг);</w:t>
      </w:r>
    </w:p>
    <w:p w:rsidR="00425EA0" w:rsidRPr="00BF1AEF" w:rsidRDefault="00425EA0" w:rsidP="009F1CCA">
      <w:pPr>
        <w:numPr>
          <w:ilvl w:val="0"/>
          <w:numId w:val="51"/>
        </w:numPr>
        <w:spacing w:before="120" w:after="120" w:line="259" w:lineRule="auto"/>
        <w:jc w:val="both"/>
        <w:rPr>
          <w:rFonts w:ascii="Times New Roman" w:hAnsi="Times New Roman"/>
          <w:color w:val="000000"/>
          <w:sz w:val="24"/>
        </w:rPr>
      </w:pPr>
      <w:r w:rsidRPr="00BF1AEF">
        <w:rPr>
          <w:rFonts w:ascii="Times New Roman" w:hAnsi="Times New Roman"/>
          <w:color w:val="000000"/>
          <w:sz w:val="24"/>
        </w:rPr>
        <w:t xml:space="preserve">реализован механизм </w:t>
      </w:r>
      <w:r w:rsidRPr="00BF1AEF">
        <w:rPr>
          <w:rFonts w:ascii="Times New Roman" w:hAnsi="Times New Roman"/>
          <w:b/>
          <w:color w:val="000000"/>
          <w:sz w:val="24"/>
        </w:rPr>
        <w:t>приостановления операций</w:t>
      </w:r>
      <w:r w:rsidRPr="00BF1AEF">
        <w:rPr>
          <w:rFonts w:ascii="Times New Roman" w:hAnsi="Times New Roman"/>
          <w:color w:val="000000"/>
          <w:sz w:val="24"/>
        </w:rPr>
        <w:t xml:space="preserve"> на лицевых счетах и отзыва лимитов бюджетных обязатель</w:t>
      </w:r>
      <w:proofErr w:type="gramStart"/>
      <w:r w:rsidRPr="00BF1AEF">
        <w:rPr>
          <w:rFonts w:ascii="Times New Roman" w:hAnsi="Times New Roman"/>
          <w:color w:val="000000"/>
          <w:sz w:val="24"/>
        </w:rPr>
        <w:t>ств пр</w:t>
      </w:r>
      <w:proofErr w:type="gramEnd"/>
      <w:r w:rsidRPr="00BF1AEF">
        <w:rPr>
          <w:rFonts w:ascii="Times New Roman" w:hAnsi="Times New Roman"/>
          <w:color w:val="000000"/>
          <w:sz w:val="24"/>
        </w:rPr>
        <w:t xml:space="preserve">и нарушении бюджетного законодательства; </w:t>
      </w:r>
    </w:p>
    <w:p w:rsidR="00021CDC" w:rsidRPr="0063778D" w:rsidRDefault="00425EA0" w:rsidP="00202C9E">
      <w:pPr>
        <w:pStyle w:val="a9"/>
        <w:numPr>
          <w:ilvl w:val="0"/>
          <w:numId w:val="51"/>
        </w:numPr>
        <w:spacing w:before="120" w:after="120"/>
        <w:contextualSpacing w:val="0"/>
        <w:jc w:val="both"/>
        <w:rPr>
          <w:rFonts w:ascii="Times New Roman" w:hAnsi="Times New Roman"/>
          <w:color w:val="000000"/>
          <w:sz w:val="24"/>
        </w:rPr>
      </w:pPr>
      <w:r w:rsidRPr="00BF1AEF">
        <w:rPr>
          <w:rFonts w:ascii="Times New Roman" w:hAnsi="Times New Roman"/>
          <w:color w:val="000000"/>
          <w:sz w:val="24"/>
        </w:rPr>
        <w:t xml:space="preserve">утверждена </w:t>
      </w:r>
      <w:r w:rsidRPr="00BF1AEF">
        <w:rPr>
          <w:rFonts w:ascii="Times New Roman" w:hAnsi="Times New Roman"/>
          <w:b/>
          <w:color w:val="000000"/>
          <w:sz w:val="24"/>
        </w:rPr>
        <w:t>типовая форма соглашения</w:t>
      </w:r>
      <w:r w:rsidRPr="00BF1AEF">
        <w:rPr>
          <w:rFonts w:ascii="Times New Roman" w:hAnsi="Times New Roman"/>
          <w:color w:val="000000"/>
          <w:sz w:val="24"/>
        </w:rPr>
        <w:t xml:space="preserve"> о предоставлении субсидии юридическим лицам</w:t>
      </w:r>
      <w:r w:rsidR="00021CDC" w:rsidRPr="0063778D">
        <w:rPr>
          <w:rFonts w:ascii="Times New Roman" w:hAnsi="Times New Roman"/>
          <w:color w:val="000000"/>
          <w:sz w:val="24"/>
        </w:rPr>
        <w:t>.</w:t>
      </w:r>
    </w:p>
    <w:p w:rsidR="00021CDC" w:rsidRPr="006860B5" w:rsidRDefault="00021CDC" w:rsidP="009F1CCA">
      <w:pPr>
        <w:pStyle w:val="a9"/>
        <w:numPr>
          <w:ilvl w:val="0"/>
          <w:numId w:val="24"/>
        </w:numPr>
        <w:spacing w:before="120" w:after="120"/>
        <w:contextualSpacing w:val="0"/>
        <w:jc w:val="both"/>
        <w:rPr>
          <w:rFonts w:ascii="Times New Roman" w:hAnsi="Times New Roman"/>
          <w:color w:val="000000"/>
          <w:sz w:val="24"/>
        </w:rPr>
      </w:pPr>
      <w:r>
        <w:rPr>
          <w:rFonts w:ascii="Times New Roman" w:hAnsi="Times New Roman"/>
          <w:color w:val="000000"/>
          <w:sz w:val="24"/>
        </w:rPr>
        <w:t>В сфере с</w:t>
      </w:r>
      <w:r w:rsidRPr="006860B5">
        <w:rPr>
          <w:rFonts w:ascii="Times New Roman" w:hAnsi="Times New Roman"/>
          <w:color w:val="000000"/>
          <w:sz w:val="24"/>
        </w:rPr>
        <w:t>овершенствовани</w:t>
      </w:r>
      <w:r>
        <w:rPr>
          <w:rFonts w:ascii="Times New Roman" w:hAnsi="Times New Roman"/>
          <w:color w:val="000000"/>
          <w:sz w:val="24"/>
        </w:rPr>
        <w:t xml:space="preserve">я </w:t>
      </w:r>
      <w:r w:rsidRPr="0063778D">
        <w:rPr>
          <w:rFonts w:ascii="Times New Roman" w:hAnsi="Times New Roman"/>
          <w:b/>
          <w:color w:val="000000"/>
          <w:sz w:val="24"/>
        </w:rPr>
        <w:t>государственных инвестиций</w:t>
      </w:r>
      <w:r w:rsidRPr="006860B5">
        <w:rPr>
          <w:rFonts w:ascii="Times New Roman" w:hAnsi="Times New Roman"/>
          <w:color w:val="000000"/>
          <w:sz w:val="24"/>
        </w:rPr>
        <w:t xml:space="preserve">: </w:t>
      </w:r>
    </w:p>
    <w:p w:rsidR="00021CDC" w:rsidRPr="006860B5" w:rsidRDefault="00425EA0" w:rsidP="009F1CCA">
      <w:pPr>
        <w:pStyle w:val="a9"/>
        <w:numPr>
          <w:ilvl w:val="0"/>
          <w:numId w:val="25"/>
        </w:numPr>
        <w:spacing w:before="120" w:after="120"/>
        <w:contextualSpacing w:val="0"/>
        <w:jc w:val="both"/>
        <w:rPr>
          <w:rFonts w:ascii="Times New Roman" w:hAnsi="Times New Roman"/>
          <w:color w:val="000000"/>
          <w:sz w:val="24"/>
        </w:rPr>
      </w:pPr>
      <w:r w:rsidRPr="00BF1AEF">
        <w:rPr>
          <w:rFonts w:ascii="Times New Roman" w:hAnsi="Times New Roman"/>
          <w:color w:val="000000"/>
          <w:sz w:val="24"/>
        </w:rPr>
        <w:t>в целях ограничения оттока средств бюджетов в юрисдикции, не отвечающие признакам прозрачности, введены ограничения предоставления государственной поддержки иностранным организациям, а также российским организациям, контролируемым более чем на 50%, компаниями из офшорных юрисдикций</w:t>
      </w:r>
      <w:r w:rsidR="000023E2">
        <w:rPr>
          <w:rFonts w:ascii="Times New Roman" w:hAnsi="Times New Roman"/>
          <w:color w:val="000000"/>
          <w:sz w:val="24"/>
        </w:rPr>
        <w:t>;</w:t>
      </w:r>
    </w:p>
    <w:p w:rsidR="00021CDC" w:rsidRDefault="00E51566" w:rsidP="009F1CCA">
      <w:pPr>
        <w:pStyle w:val="a9"/>
        <w:numPr>
          <w:ilvl w:val="0"/>
          <w:numId w:val="25"/>
        </w:numPr>
        <w:spacing w:before="120" w:after="120"/>
        <w:contextualSpacing w:val="0"/>
        <w:jc w:val="both"/>
        <w:rPr>
          <w:rFonts w:ascii="Times New Roman" w:hAnsi="Times New Roman"/>
          <w:color w:val="000000"/>
          <w:sz w:val="24"/>
        </w:rPr>
      </w:pPr>
      <w:r>
        <w:rPr>
          <w:rFonts w:ascii="Times New Roman" w:hAnsi="Times New Roman"/>
          <w:color w:val="000000"/>
          <w:sz w:val="24"/>
        </w:rPr>
        <w:t xml:space="preserve">внесены изменения </w:t>
      </w:r>
      <w:r w:rsidR="00021CDC">
        <w:rPr>
          <w:rFonts w:ascii="Times New Roman" w:hAnsi="Times New Roman"/>
          <w:color w:val="000000"/>
          <w:sz w:val="24"/>
        </w:rPr>
        <w:t xml:space="preserve">в </w:t>
      </w:r>
      <w:r w:rsidR="0063778D">
        <w:rPr>
          <w:rFonts w:ascii="Times New Roman" w:hAnsi="Times New Roman"/>
          <w:color w:val="000000"/>
          <w:sz w:val="24"/>
        </w:rPr>
        <w:t>б</w:t>
      </w:r>
      <w:r w:rsidR="00021CDC">
        <w:rPr>
          <w:rFonts w:ascii="Times New Roman" w:hAnsi="Times New Roman"/>
          <w:color w:val="000000"/>
          <w:sz w:val="24"/>
        </w:rPr>
        <w:t>юджетное законодательство, предусматривающие:</w:t>
      </w:r>
    </w:p>
    <w:p w:rsidR="00425EA0" w:rsidRPr="00BF1AEF" w:rsidRDefault="00425EA0" w:rsidP="009F1CCA">
      <w:pPr>
        <w:numPr>
          <w:ilvl w:val="0"/>
          <w:numId w:val="52"/>
        </w:numPr>
        <w:spacing w:before="120" w:after="120" w:line="259" w:lineRule="auto"/>
        <w:jc w:val="both"/>
        <w:rPr>
          <w:rFonts w:ascii="Times New Roman" w:hAnsi="Times New Roman"/>
          <w:color w:val="000000"/>
          <w:sz w:val="24"/>
        </w:rPr>
      </w:pPr>
      <w:r w:rsidRPr="00BF1AEF">
        <w:rPr>
          <w:rFonts w:ascii="Times New Roman" w:hAnsi="Times New Roman"/>
          <w:color w:val="000000"/>
          <w:sz w:val="24"/>
        </w:rPr>
        <w:t>установление требовани</w:t>
      </w:r>
      <w:r w:rsidR="00844423">
        <w:rPr>
          <w:rFonts w:ascii="Times New Roman" w:hAnsi="Times New Roman"/>
          <w:color w:val="000000"/>
          <w:sz w:val="24"/>
        </w:rPr>
        <w:t>я</w:t>
      </w:r>
      <w:r w:rsidRPr="00BF1AEF">
        <w:rPr>
          <w:rFonts w:ascii="Times New Roman" w:hAnsi="Times New Roman"/>
          <w:color w:val="000000"/>
          <w:sz w:val="24"/>
        </w:rPr>
        <w:t xml:space="preserve"> о предоставлении субсидий </w:t>
      </w:r>
      <w:proofErr w:type="spellStart"/>
      <w:r w:rsidRPr="00BF1AEF">
        <w:rPr>
          <w:rFonts w:ascii="Times New Roman" w:hAnsi="Times New Roman"/>
          <w:color w:val="000000"/>
          <w:sz w:val="24"/>
        </w:rPr>
        <w:t>госкорпорациям</w:t>
      </w:r>
      <w:proofErr w:type="spellEnd"/>
      <w:r w:rsidRPr="00BF1AEF">
        <w:rPr>
          <w:rFonts w:ascii="Times New Roman" w:hAnsi="Times New Roman"/>
          <w:color w:val="000000"/>
          <w:sz w:val="24"/>
        </w:rPr>
        <w:t xml:space="preserve"> и взносов вертикально интегрированным структурам на капитальное строительство с использованием механизма формирования и реализации </w:t>
      </w:r>
      <w:r w:rsidRPr="00BF1AEF">
        <w:rPr>
          <w:rFonts w:ascii="Times New Roman" w:hAnsi="Times New Roman"/>
          <w:b/>
          <w:color w:val="000000"/>
          <w:sz w:val="24"/>
        </w:rPr>
        <w:t>федеральной адресной инвестиционной программы</w:t>
      </w:r>
      <w:r w:rsidRPr="00BF1AEF">
        <w:rPr>
          <w:rFonts w:ascii="Times New Roman" w:hAnsi="Times New Roman"/>
          <w:color w:val="000000"/>
          <w:sz w:val="24"/>
        </w:rPr>
        <w:t xml:space="preserve"> </w:t>
      </w:r>
      <w:r w:rsidR="00844423">
        <w:rPr>
          <w:rFonts w:ascii="Times New Roman" w:hAnsi="Times New Roman"/>
          <w:color w:val="000000"/>
          <w:sz w:val="24"/>
        </w:rPr>
        <w:t>в целях определения оптимальных технологических и ценовых решений по проектам с государственным финансированием и повышения прозрачности «капитальных» расходов;</w:t>
      </w:r>
    </w:p>
    <w:p w:rsidR="00425EA0" w:rsidRPr="00BF1AEF" w:rsidRDefault="00425EA0" w:rsidP="009F1CCA">
      <w:pPr>
        <w:numPr>
          <w:ilvl w:val="0"/>
          <w:numId w:val="52"/>
        </w:numPr>
        <w:spacing w:before="120" w:after="120" w:line="259" w:lineRule="auto"/>
        <w:jc w:val="both"/>
        <w:rPr>
          <w:rFonts w:ascii="Times New Roman" w:hAnsi="Times New Roman"/>
          <w:color w:val="000000"/>
          <w:sz w:val="24"/>
        </w:rPr>
      </w:pPr>
      <w:r w:rsidRPr="00BF1AEF">
        <w:rPr>
          <w:rFonts w:ascii="Times New Roman" w:hAnsi="Times New Roman"/>
          <w:color w:val="000000"/>
          <w:sz w:val="24"/>
        </w:rPr>
        <w:t xml:space="preserve">применение </w:t>
      </w:r>
      <w:r w:rsidRPr="00BF1AEF">
        <w:rPr>
          <w:rFonts w:ascii="Times New Roman" w:hAnsi="Times New Roman"/>
          <w:b/>
          <w:color w:val="000000"/>
          <w:sz w:val="24"/>
        </w:rPr>
        <w:t>альтернативных взносам в уставные капиталы</w:t>
      </w:r>
      <w:r w:rsidRPr="00BF1AEF">
        <w:rPr>
          <w:rFonts w:ascii="Times New Roman" w:hAnsi="Times New Roman"/>
          <w:color w:val="000000"/>
          <w:sz w:val="24"/>
        </w:rPr>
        <w:t xml:space="preserve"> механизмов предоставления юр</w:t>
      </w:r>
      <w:r w:rsidR="00844423">
        <w:rPr>
          <w:rFonts w:ascii="Times New Roman" w:hAnsi="Times New Roman"/>
          <w:color w:val="000000"/>
          <w:sz w:val="24"/>
        </w:rPr>
        <w:t xml:space="preserve">идическим </w:t>
      </w:r>
      <w:r w:rsidRPr="00BF1AEF">
        <w:rPr>
          <w:rFonts w:ascii="Times New Roman" w:hAnsi="Times New Roman"/>
          <w:color w:val="000000"/>
          <w:sz w:val="24"/>
        </w:rPr>
        <w:t xml:space="preserve">лицам средств из бюджета на капитальные вложения </w:t>
      </w:r>
      <w:r w:rsidR="00844423">
        <w:rPr>
          <w:rFonts w:ascii="Times New Roman" w:hAnsi="Times New Roman"/>
          <w:color w:val="000000"/>
          <w:sz w:val="24"/>
        </w:rPr>
        <w:t xml:space="preserve">с целью ограничения остатков средств, </w:t>
      </w:r>
      <w:proofErr w:type="spellStart"/>
      <w:r w:rsidR="00844423">
        <w:rPr>
          <w:rFonts w:ascii="Times New Roman" w:hAnsi="Times New Roman"/>
          <w:color w:val="000000"/>
          <w:sz w:val="24"/>
        </w:rPr>
        <w:t>предоставяем</w:t>
      </w:r>
      <w:r w:rsidR="00E51566">
        <w:rPr>
          <w:rFonts w:ascii="Times New Roman" w:hAnsi="Times New Roman"/>
          <w:color w:val="000000"/>
          <w:sz w:val="24"/>
        </w:rPr>
        <w:t>ы</w:t>
      </w:r>
      <w:r w:rsidR="00844423">
        <w:rPr>
          <w:rFonts w:ascii="Times New Roman" w:hAnsi="Times New Roman"/>
          <w:color w:val="000000"/>
          <w:sz w:val="24"/>
        </w:rPr>
        <w:t>х</w:t>
      </w:r>
      <w:proofErr w:type="spellEnd"/>
      <w:r w:rsidR="00844423">
        <w:rPr>
          <w:rFonts w:ascii="Times New Roman" w:hAnsi="Times New Roman"/>
          <w:color w:val="000000"/>
          <w:sz w:val="24"/>
        </w:rPr>
        <w:t xml:space="preserve"> юридическим лицам, повышения прозрачности и контроля их предоставления</w:t>
      </w:r>
    </w:p>
    <w:p w:rsidR="00021CDC" w:rsidRDefault="00425EA0" w:rsidP="009F1CCA">
      <w:pPr>
        <w:pStyle w:val="a9"/>
        <w:numPr>
          <w:ilvl w:val="0"/>
          <w:numId w:val="52"/>
        </w:numPr>
        <w:spacing w:before="120" w:after="120"/>
        <w:contextualSpacing w:val="0"/>
        <w:jc w:val="both"/>
        <w:rPr>
          <w:rFonts w:ascii="Times New Roman" w:hAnsi="Times New Roman"/>
          <w:color w:val="000000"/>
          <w:sz w:val="24"/>
        </w:rPr>
      </w:pPr>
      <w:r w:rsidRPr="00BF1AEF">
        <w:rPr>
          <w:rFonts w:ascii="Times New Roman" w:hAnsi="Times New Roman"/>
          <w:color w:val="000000"/>
          <w:sz w:val="24"/>
        </w:rPr>
        <w:t xml:space="preserve">введение оснований для заключения </w:t>
      </w:r>
      <w:r w:rsidRPr="00BF1AEF">
        <w:rPr>
          <w:rFonts w:ascii="Times New Roman" w:hAnsi="Times New Roman"/>
          <w:b/>
          <w:color w:val="000000"/>
          <w:sz w:val="24"/>
        </w:rPr>
        <w:t>долгосрочных соглашений</w:t>
      </w:r>
      <w:r w:rsidRPr="00BF1AEF">
        <w:rPr>
          <w:rFonts w:ascii="Times New Roman" w:hAnsi="Times New Roman"/>
          <w:color w:val="000000"/>
          <w:sz w:val="24"/>
        </w:rPr>
        <w:t xml:space="preserve"> о предоставлении субсидий </w:t>
      </w:r>
      <w:proofErr w:type="spellStart"/>
      <w:r w:rsidRPr="00BF1AEF">
        <w:rPr>
          <w:rFonts w:ascii="Times New Roman" w:hAnsi="Times New Roman"/>
          <w:color w:val="000000"/>
          <w:sz w:val="24"/>
        </w:rPr>
        <w:t>юрлицам</w:t>
      </w:r>
      <w:proofErr w:type="spellEnd"/>
      <w:r w:rsidRPr="00BF1AEF">
        <w:rPr>
          <w:rFonts w:ascii="Times New Roman" w:hAnsi="Times New Roman"/>
          <w:color w:val="000000"/>
          <w:sz w:val="24"/>
        </w:rPr>
        <w:t xml:space="preserve"> на инвестиционные цели</w:t>
      </w:r>
      <w:r w:rsidR="000023E2">
        <w:rPr>
          <w:rFonts w:ascii="Times New Roman" w:hAnsi="Times New Roman"/>
          <w:color w:val="000000"/>
          <w:sz w:val="24"/>
        </w:rPr>
        <w:t>;</w:t>
      </w:r>
    </w:p>
    <w:p w:rsidR="00721EA2" w:rsidRPr="0063778D" w:rsidRDefault="00721EA2" w:rsidP="00721EA2">
      <w:pPr>
        <w:pStyle w:val="a9"/>
        <w:numPr>
          <w:ilvl w:val="0"/>
          <w:numId w:val="61"/>
        </w:numPr>
        <w:spacing w:before="120" w:after="120"/>
        <w:ind w:left="709"/>
        <w:contextualSpacing w:val="0"/>
        <w:jc w:val="both"/>
        <w:rPr>
          <w:rFonts w:ascii="Times New Roman" w:hAnsi="Times New Roman"/>
          <w:color w:val="000000"/>
          <w:sz w:val="24"/>
        </w:rPr>
      </w:pPr>
      <w:r w:rsidRPr="00721EA2">
        <w:rPr>
          <w:rFonts w:ascii="Times New Roman" w:hAnsi="Times New Roman"/>
          <w:color w:val="000000"/>
          <w:sz w:val="24"/>
        </w:rPr>
        <w:t>при формировании «возвратного» распределения</w:t>
      </w:r>
      <w:r w:rsidR="000023E2">
        <w:rPr>
          <w:rFonts w:ascii="Times New Roman" w:hAnsi="Times New Roman"/>
          <w:color w:val="000000"/>
          <w:sz w:val="24"/>
        </w:rPr>
        <w:t xml:space="preserve"> бюджетных ассигнований ответственным исполнителям госпрограмм и главным распорядителям бюджетных средств рекомендовано</w:t>
      </w:r>
      <w:r w:rsidRPr="00721EA2">
        <w:rPr>
          <w:rFonts w:ascii="Times New Roman" w:hAnsi="Times New Roman"/>
          <w:color w:val="000000"/>
          <w:sz w:val="24"/>
        </w:rPr>
        <w:t xml:space="preserve"> исходить из</w:t>
      </w:r>
      <w:r w:rsidR="000023E2">
        <w:rPr>
          <w:rFonts w:ascii="Times New Roman" w:hAnsi="Times New Roman"/>
          <w:color w:val="000000"/>
          <w:sz w:val="24"/>
        </w:rPr>
        <w:t xml:space="preserve"> необходимости</w:t>
      </w:r>
      <w:r w:rsidRPr="00721EA2">
        <w:rPr>
          <w:rFonts w:ascii="Times New Roman" w:hAnsi="Times New Roman"/>
          <w:color w:val="000000"/>
          <w:sz w:val="24"/>
        </w:rPr>
        <w:t xml:space="preserve"> обеспечения в приоритетном порядке завершения строительства переходящих (ранее начатых) объектов капитального строительства, и оснащения социально значимых объектов с высокой степенью го</w:t>
      </w:r>
      <w:r>
        <w:rPr>
          <w:rFonts w:ascii="Times New Roman" w:hAnsi="Times New Roman"/>
          <w:color w:val="000000"/>
          <w:sz w:val="24"/>
        </w:rPr>
        <w:t>товности к вводу в эксплуатацию</w:t>
      </w:r>
      <w:r w:rsidRPr="00721EA2">
        <w:rPr>
          <w:rFonts w:ascii="Times New Roman" w:hAnsi="Times New Roman"/>
          <w:color w:val="000000"/>
          <w:sz w:val="24"/>
        </w:rPr>
        <w:t>.</w:t>
      </w:r>
    </w:p>
    <w:p w:rsidR="00021CDC" w:rsidRPr="006860B5" w:rsidRDefault="00021CDC" w:rsidP="009F1CCA">
      <w:pPr>
        <w:pStyle w:val="a9"/>
        <w:numPr>
          <w:ilvl w:val="0"/>
          <w:numId w:val="24"/>
        </w:numPr>
        <w:spacing w:before="120" w:after="120"/>
        <w:contextualSpacing w:val="0"/>
        <w:jc w:val="both"/>
        <w:rPr>
          <w:rFonts w:ascii="Times New Roman" w:hAnsi="Times New Roman"/>
          <w:color w:val="000000"/>
          <w:sz w:val="24"/>
        </w:rPr>
      </w:pPr>
      <w:r>
        <w:rPr>
          <w:rFonts w:ascii="Times New Roman" w:hAnsi="Times New Roman"/>
          <w:color w:val="000000"/>
          <w:sz w:val="24"/>
        </w:rPr>
        <w:t>В сфере повышения</w:t>
      </w:r>
      <w:r w:rsidRPr="006860B5">
        <w:rPr>
          <w:rFonts w:ascii="Times New Roman" w:hAnsi="Times New Roman"/>
          <w:color w:val="000000"/>
          <w:sz w:val="24"/>
        </w:rPr>
        <w:t xml:space="preserve"> качества оказания </w:t>
      </w:r>
      <w:r w:rsidRPr="0063778D">
        <w:rPr>
          <w:rFonts w:ascii="Times New Roman" w:hAnsi="Times New Roman"/>
          <w:b/>
          <w:color w:val="000000"/>
          <w:sz w:val="24"/>
        </w:rPr>
        <w:t>государственных и муниципальных услуг</w:t>
      </w:r>
      <w:r w:rsidRPr="006860B5">
        <w:rPr>
          <w:rFonts w:ascii="Times New Roman" w:hAnsi="Times New Roman"/>
          <w:color w:val="000000"/>
          <w:sz w:val="24"/>
        </w:rPr>
        <w:t>:</w:t>
      </w:r>
    </w:p>
    <w:p w:rsidR="00425EA0" w:rsidRPr="00BF1AEF" w:rsidRDefault="00425EA0" w:rsidP="00E51566">
      <w:pPr>
        <w:numPr>
          <w:ilvl w:val="0"/>
          <w:numId w:val="53"/>
        </w:numPr>
        <w:spacing w:before="120" w:after="120" w:line="259" w:lineRule="auto"/>
        <w:jc w:val="both"/>
        <w:rPr>
          <w:rFonts w:ascii="Times New Roman" w:hAnsi="Times New Roman"/>
          <w:color w:val="000000"/>
          <w:sz w:val="24"/>
        </w:rPr>
      </w:pPr>
      <w:r w:rsidRPr="00BF1AEF">
        <w:rPr>
          <w:rFonts w:ascii="Times New Roman" w:hAnsi="Times New Roman"/>
          <w:color w:val="000000"/>
          <w:sz w:val="24"/>
        </w:rPr>
        <w:t>подготовлен</w:t>
      </w:r>
      <w:r w:rsidR="00844423">
        <w:rPr>
          <w:rFonts w:ascii="Times New Roman" w:hAnsi="Times New Roman"/>
          <w:color w:val="000000"/>
          <w:sz w:val="24"/>
        </w:rPr>
        <w:t xml:space="preserve"> проект</w:t>
      </w:r>
      <w:r w:rsidRPr="00BF1AEF">
        <w:rPr>
          <w:rFonts w:ascii="Times New Roman" w:hAnsi="Times New Roman"/>
          <w:color w:val="000000"/>
          <w:sz w:val="24"/>
        </w:rPr>
        <w:t xml:space="preserve"> </w:t>
      </w:r>
      <w:r w:rsidR="00844423">
        <w:rPr>
          <w:rFonts w:ascii="Times New Roman" w:hAnsi="Times New Roman"/>
          <w:color w:val="000000"/>
          <w:sz w:val="24"/>
        </w:rPr>
        <w:t xml:space="preserve">закона  о </w:t>
      </w:r>
      <w:r w:rsidRPr="00BF1AEF">
        <w:rPr>
          <w:rFonts w:ascii="Times New Roman" w:hAnsi="Times New Roman"/>
          <w:color w:val="000000"/>
          <w:sz w:val="24"/>
        </w:rPr>
        <w:t>применени</w:t>
      </w:r>
      <w:r w:rsidR="00844423">
        <w:rPr>
          <w:rFonts w:ascii="Times New Roman" w:hAnsi="Times New Roman"/>
          <w:color w:val="000000"/>
          <w:sz w:val="24"/>
        </w:rPr>
        <w:t>и</w:t>
      </w:r>
      <w:r w:rsidRPr="00BF1AEF">
        <w:rPr>
          <w:rFonts w:ascii="Times New Roman" w:hAnsi="Times New Roman"/>
          <w:color w:val="000000"/>
          <w:sz w:val="24"/>
        </w:rPr>
        <w:t xml:space="preserve"> альтернативных </w:t>
      </w:r>
      <w:proofErr w:type="spellStart"/>
      <w:r w:rsidRPr="00BF1AEF">
        <w:rPr>
          <w:rFonts w:ascii="Times New Roman" w:hAnsi="Times New Roman"/>
          <w:color w:val="000000"/>
          <w:sz w:val="24"/>
        </w:rPr>
        <w:t>госзаданию</w:t>
      </w:r>
      <w:proofErr w:type="spellEnd"/>
      <w:r w:rsidRPr="00BF1AEF">
        <w:rPr>
          <w:rFonts w:ascii="Times New Roman" w:hAnsi="Times New Roman"/>
          <w:color w:val="000000"/>
          <w:sz w:val="24"/>
        </w:rPr>
        <w:t xml:space="preserve"> механизмов оказания </w:t>
      </w:r>
      <w:proofErr w:type="spellStart"/>
      <w:r w:rsidRPr="00BF1AEF">
        <w:rPr>
          <w:rFonts w:ascii="Times New Roman" w:hAnsi="Times New Roman"/>
          <w:color w:val="000000"/>
          <w:sz w:val="24"/>
        </w:rPr>
        <w:t>госуслуг</w:t>
      </w:r>
      <w:proofErr w:type="spellEnd"/>
      <w:r w:rsidRPr="00BF1AEF">
        <w:rPr>
          <w:rFonts w:ascii="Times New Roman" w:hAnsi="Times New Roman"/>
          <w:color w:val="000000"/>
          <w:sz w:val="24"/>
        </w:rPr>
        <w:t xml:space="preserve">: </w:t>
      </w:r>
      <w:r w:rsidR="00C33DD3">
        <w:rPr>
          <w:rFonts w:ascii="Times New Roman" w:hAnsi="Times New Roman"/>
          <w:color w:val="000000"/>
          <w:sz w:val="24"/>
        </w:rPr>
        <w:t>г</w:t>
      </w:r>
      <w:r w:rsidR="006304DB" w:rsidRPr="006304DB">
        <w:rPr>
          <w:rFonts w:ascii="Times New Roman" w:hAnsi="Times New Roman"/>
          <w:color w:val="000000"/>
          <w:sz w:val="24"/>
        </w:rPr>
        <w:t>осударственно-ч</w:t>
      </w:r>
      <w:r w:rsidR="006304DB">
        <w:rPr>
          <w:rFonts w:ascii="Times New Roman" w:hAnsi="Times New Roman"/>
          <w:color w:val="000000"/>
          <w:sz w:val="24"/>
        </w:rPr>
        <w:t>астного партнёрства</w:t>
      </w:r>
      <w:r w:rsidR="006304DB" w:rsidRPr="006304DB">
        <w:rPr>
          <w:rFonts w:ascii="Times New Roman" w:hAnsi="Times New Roman"/>
          <w:color w:val="000000"/>
          <w:sz w:val="24"/>
        </w:rPr>
        <w:t xml:space="preserve"> </w:t>
      </w:r>
      <w:r w:rsidR="006304DB">
        <w:rPr>
          <w:rFonts w:ascii="Times New Roman" w:hAnsi="Times New Roman"/>
          <w:color w:val="000000"/>
          <w:sz w:val="24"/>
        </w:rPr>
        <w:t>(</w:t>
      </w:r>
      <w:r w:rsidRPr="00BF1AEF">
        <w:rPr>
          <w:rFonts w:ascii="Times New Roman" w:hAnsi="Times New Roman"/>
          <w:color w:val="000000"/>
          <w:sz w:val="24"/>
        </w:rPr>
        <w:t>ГЧП</w:t>
      </w:r>
      <w:r w:rsidR="006304DB">
        <w:rPr>
          <w:rFonts w:ascii="Times New Roman" w:hAnsi="Times New Roman"/>
          <w:color w:val="000000"/>
          <w:sz w:val="24"/>
        </w:rPr>
        <w:t>)</w:t>
      </w:r>
      <w:r w:rsidRPr="00BF1AEF">
        <w:rPr>
          <w:rFonts w:ascii="Times New Roman" w:hAnsi="Times New Roman"/>
          <w:color w:val="000000"/>
          <w:sz w:val="24"/>
        </w:rPr>
        <w:t>, конкурсов и аукционов, сертификатов на получение услуг;</w:t>
      </w:r>
    </w:p>
    <w:p w:rsidR="00425EA0" w:rsidRPr="00BF1AEF" w:rsidRDefault="00425EA0" w:rsidP="009F1CCA">
      <w:pPr>
        <w:numPr>
          <w:ilvl w:val="0"/>
          <w:numId w:val="53"/>
        </w:numPr>
        <w:spacing w:before="120" w:after="120" w:line="259" w:lineRule="auto"/>
        <w:jc w:val="both"/>
        <w:rPr>
          <w:rFonts w:ascii="Times New Roman" w:hAnsi="Times New Roman"/>
          <w:color w:val="000000"/>
          <w:sz w:val="24"/>
        </w:rPr>
      </w:pPr>
      <w:r w:rsidRPr="00BF1AEF">
        <w:rPr>
          <w:rFonts w:ascii="Times New Roman" w:hAnsi="Times New Roman"/>
          <w:color w:val="000000"/>
          <w:sz w:val="24"/>
        </w:rPr>
        <w:t xml:space="preserve">внесены изменения, предусматривающие повышение ответственности госучреждений за невыполнение </w:t>
      </w:r>
      <w:proofErr w:type="spellStart"/>
      <w:r w:rsidRPr="00BF1AEF">
        <w:rPr>
          <w:rFonts w:ascii="Times New Roman" w:hAnsi="Times New Roman"/>
          <w:color w:val="000000"/>
          <w:sz w:val="24"/>
        </w:rPr>
        <w:t>госзадания</w:t>
      </w:r>
      <w:proofErr w:type="spellEnd"/>
      <w:r w:rsidRPr="00BF1AEF">
        <w:rPr>
          <w:rFonts w:ascii="Times New Roman" w:hAnsi="Times New Roman"/>
          <w:color w:val="000000"/>
          <w:sz w:val="24"/>
        </w:rPr>
        <w:t xml:space="preserve">, в том числе установление требований об обязательном возврате средств субсидии в федеральный бюджет в случае </w:t>
      </w:r>
      <w:proofErr w:type="spellStart"/>
      <w:r w:rsidRPr="00BF1AEF">
        <w:rPr>
          <w:rFonts w:ascii="Times New Roman" w:hAnsi="Times New Roman"/>
          <w:color w:val="000000"/>
          <w:sz w:val="24"/>
        </w:rPr>
        <w:t>недостижения</w:t>
      </w:r>
      <w:proofErr w:type="spellEnd"/>
      <w:r w:rsidRPr="00BF1AEF">
        <w:rPr>
          <w:rFonts w:ascii="Times New Roman" w:hAnsi="Times New Roman"/>
          <w:color w:val="000000"/>
          <w:sz w:val="24"/>
        </w:rPr>
        <w:t xml:space="preserve"> показателей, установленных в </w:t>
      </w:r>
      <w:proofErr w:type="spellStart"/>
      <w:r w:rsidRPr="00BF1AEF">
        <w:rPr>
          <w:rFonts w:ascii="Times New Roman" w:hAnsi="Times New Roman"/>
          <w:color w:val="000000"/>
          <w:sz w:val="24"/>
        </w:rPr>
        <w:t>госзадании</w:t>
      </w:r>
      <w:proofErr w:type="spellEnd"/>
      <w:r w:rsidRPr="00BF1AEF">
        <w:rPr>
          <w:rFonts w:ascii="Times New Roman" w:hAnsi="Times New Roman"/>
          <w:color w:val="000000"/>
          <w:sz w:val="24"/>
        </w:rPr>
        <w:t>;</w:t>
      </w:r>
    </w:p>
    <w:p w:rsidR="00425EA0" w:rsidRPr="00BF1AEF" w:rsidRDefault="00425EA0" w:rsidP="009F1CCA">
      <w:pPr>
        <w:numPr>
          <w:ilvl w:val="0"/>
          <w:numId w:val="53"/>
        </w:numPr>
        <w:spacing w:before="120" w:after="120" w:line="259" w:lineRule="auto"/>
        <w:jc w:val="both"/>
        <w:rPr>
          <w:rFonts w:ascii="Times New Roman" w:hAnsi="Times New Roman"/>
          <w:color w:val="000000"/>
          <w:sz w:val="24"/>
        </w:rPr>
      </w:pPr>
      <w:r w:rsidRPr="00BF1AEF">
        <w:rPr>
          <w:rFonts w:ascii="Times New Roman" w:hAnsi="Times New Roman"/>
          <w:color w:val="000000"/>
          <w:sz w:val="24"/>
        </w:rPr>
        <w:t xml:space="preserve">введены федеральные и региональные перечни государственных и муниципальных услуг и работ, не включенные в общероссийские базовые (отраслевые) перечни, в целях более оперативного включения новых услуг и работ, необходимых для формирования </w:t>
      </w:r>
      <w:proofErr w:type="spellStart"/>
      <w:r w:rsidRPr="00BF1AEF">
        <w:rPr>
          <w:rFonts w:ascii="Times New Roman" w:hAnsi="Times New Roman"/>
          <w:color w:val="000000"/>
          <w:sz w:val="24"/>
        </w:rPr>
        <w:t>госзадания</w:t>
      </w:r>
      <w:proofErr w:type="spellEnd"/>
      <w:r w:rsidRPr="00BF1AEF">
        <w:rPr>
          <w:rFonts w:ascii="Times New Roman" w:hAnsi="Times New Roman"/>
          <w:color w:val="000000"/>
          <w:sz w:val="24"/>
        </w:rPr>
        <w:t>;</w:t>
      </w:r>
    </w:p>
    <w:p w:rsidR="00021CDC" w:rsidRPr="006860B5" w:rsidRDefault="00425EA0" w:rsidP="009F1CCA">
      <w:pPr>
        <w:pStyle w:val="a9"/>
        <w:numPr>
          <w:ilvl w:val="0"/>
          <w:numId w:val="53"/>
        </w:numPr>
        <w:spacing w:before="120" w:after="120"/>
        <w:contextualSpacing w:val="0"/>
        <w:jc w:val="both"/>
        <w:rPr>
          <w:rFonts w:ascii="Times New Roman" w:hAnsi="Times New Roman"/>
          <w:color w:val="000000"/>
          <w:sz w:val="24"/>
        </w:rPr>
      </w:pPr>
      <w:r w:rsidRPr="00BF1AEF">
        <w:rPr>
          <w:rFonts w:ascii="Times New Roman" w:hAnsi="Times New Roman"/>
          <w:color w:val="000000"/>
          <w:sz w:val="24"/>
        </w:rPr>
        <w:t>установлены требования к раскрытию информации о расчетах (обоснованиях) показателей плана финансово-хозяйственной деятельности, произведенных на основании натуральных норм потребления трудовых и материальных ресурсов, для повышения прозрачности расходов, осуществляемых государственными и муниципальными учреждениями</w:t>
      </w:r>
      <w:r w:rsidR="00021CDC" w:rsidRPr="006860B5">
        <w:rPr>
          <w:rFonts w:ascii="Times New Roman" w:hAnsi="Times New Roman"/>
          <w:color w:val="000000"/>
          <w:sz w:val="24"/>
        </w:rPr>
        <w:t>.</w:t>
      </w:r>
    </w:p>
    <w:p w:rsidR="00021CDC" w:rsidRPr="006860B5" w:rsidRDefault="00021CDC" w:rsidP="009F1CCA">
      <w:pPr>
        <w:pStyle w:val="a9"/>
        <w:numPr>
          <w:ilvl w:val="0"/>
          <w:numId w:val="24"/>
        </w:numPr>
        <w:spacing w:before="120" w:after="120"/>
        <w:contextualSpacing w:val="0"/>
        <w:jc w:val="both"/>
        <w:rPr>
          <w:rFonts w:ascii="Times New Roman" w:hAnsi="Times New Roman"/>
          <w:color w:val="000000"/>
          <w:sz w:val="24"/>
        </w:rPr>
      </w:pPr>
      <w:r>
        <w:rPr>
          <w:rFonts w:ascii="Times New Roman" w:hAnsi="Times New Roman"/>
          <w:color w:val="000000"/>
          <w:sz w:val="24"/>
        </w:rPr>
        <w:t>В сфере с</w:t>
      </w:r>
      <w:r w:rsidRPr="006860B5">
        <w:rPr>
          <w:rFonts w:ascii="Times New Roman" w:hAnsi="Times New Roman"/>
          <w:color w:val="000000"/>
          <w:sz w:val="24"/>
        </w:rPr>
        <w:t>овершенствовани</w:t>
      </w:r>
      <w:r>
        <w:rPr>
          <w:rFonts w:ascii="Times New Roman" w:hAnsi="Times New Roman"/>
          <w:color w:val="000000"/>
          <w:sz w:val="24"/>
        </w:rPr>
        <w:t>я</w:t>
      </w:r>
      <w:r w:rsidRPr="006860B5">
        <w:rPr>
          <w:rFonts w:ascii="Times New Roman" w:hAnsi="Times New Roman"/>
          <w:color w:val="000000"/>
          <w:sz w:val="24"/>
        </w:rPr>
        <w:t xml:space="preserve"> </w:t>
      </w:r>
      <w:proofErr w:type="gramStart"/>
      <w:r w:rsidRPr="0063778D">
        <w:rPr>
          <w:rFonts w:ascii="Times New Roman" w:hAnsi="Times New Roman"/>
          <w:b/>
          <w:color w:val="000000"/>
          <w:sz w:val="24"/>
        </w:rPr>
        <w:t>контроля за</w:t>
      </w:r>
      <w:proofErr w:type="gramEnd"/>
      <w:r w:rsidRPr="0063778D">
        <w:rPr>
          <w:rFonts w:ascii="Times New Roman" w:hAnsi="Times New Roman"/>
          <w:b/>
          <w:color w:val="000000"/>
          <w:sz w:val="24"/>
        </w:rPr>
        <w:t xml:space="preserve"> использованием бюджетных средств</w:t>
      </w:r>
      <w:r w:rsidRPr="006860B5">
        <w:rPr>
          <w:rFonts w:ascii="Times New Roman" w:hAnsi="Times New Roman"/>
          <w:color w:val="000000"/>
          <w:sz w:val="24"/>
        </w:rPr>
        <w:t>:</w:t>
      </w:r>
    </w:p>
    <w:p w:rsidR="00425EA0" w:rsidRPr="00BF1AEF" w:rsidRDefault="00425EA0" w:rsidP="009F1CCA">
      <w:pPr>
        <w:numPr>
          <w:ilvl w:val="0"/>
          <w:numId w:val="54"/>
        </w:numPr>
        <w:spacing w:before="120" w:after="120" w:line="259" w:lineRule="auto"/>
        <w:jc w:val="both"/>
        <w:rPr>
          <w:rFonts w:ascii="Times New Roman" w:hAnsi="Times New Roman"/>
          <w:color w:val="000000"/>
          <w:sz w:val="24"/>
        </w:rPr>
      </w:pPr>
      <w:r w:rsidRPr="00BF1AEF">
        <w:rPr>
          <w:rFonts w:ascii="Times New Roman" w:hAnsi="Times New Roman"/>
          <w:color w:val="000000"/>
          <w:sz w:val="24"/>
        </w:rPr>
        <w:t>смещение акцентов с последующего на предварительный контроль;</w:t>
      </w:r>
    </w:p>
    <w:p w:rsidR="00425EA0" w:rsidRPr="00BF1AEF" w:rsidRDefault="00425EA0" w:rsidP="009F1CCA">
      <w:pPr>
        <w:numPr>
          <w:ilvl w:val="0"/>
          <w:numId w:val="54"/>
        </w:numPr>
        <w:spacing w:before="120" w:after="120" w:line="259" w:lineRule="auto"/>
        <w:jc w:val="both"/>
        <w:rPr>
          <w:rFonts w:ascii="Times New Roman" w:hAnsi="Times New Roman"/>
          <w:color w:val="000000"/>
          <w:sz w:val="24"/>
        </w:rPr>
      </w:pPr>
      <w:r w:rsidRPr="00BF1AEF">
        <w:rPr>
          <w:rFonts w:ascii="Times New Roman" w:hAnsi="Times New Roman"/>
          <w:color w:val="000000"/>
          <w:sz w:val="24"/>
        </w:rPr>
        <w:t>организация на системной и регулярной основе мониторинга деятельности подконтрольных организаций;</w:t>
      </w:r>
    </w:p>
    <w:p w:rsidR="00694983" w:rsidRPr="006860B5" w:rsidRDefault="00425EA0" w:rsidP="009F1CCA">
      <w:pPr>
        <w:pStyle w:val="a9"/>
        <w:numPr>
          <w:ilvl w:val="0"/>
          <w:numId w:val="54"/>
        </w:numPr>
        <w:spacing w:before="120" w:after="120"/>
        <w:contextualSpacing w:val="0"/>
        <w:jc w:val="both"/>
        <w:rPr>
          <w:rFonts w:ascii="Times New Roman" w:hAnsi="Times New Roman"/>
          <w:color w:val="000000"/>
          <w:sz w:val="24"/>
        </w:rPr>
      </w:pPr>
      <w:r w:rsidRPr="00BF1AEF">
        <w:rPr>
          <w:rFonts w:ascii="Times New Roman" w:hAnsi="Times New Roman"/>
          <w:color w:val="000000"/>
          <w:sz w:val="24"/>
        </w:rPr>
        <w:t xml:space="preserve">подготовка нормативно-правовой базы, обеспечивающей: (1) расширение объектов контроля (включение всех получателей субсидий и исполнителей по </w:t>
      </w:r>
      <w:proofErr w:type="spellStart"/>
      <w:r w:rsidRPr="00BF1AEF">
        <w:rPr>
          <w:rFonts w:ascii="Times New Roman" w:hAnsi="Times New Roman"/>
          <w:color w:val="000000"/>
          <w:sz w:val="24"/>
        </w:rPr>
        <w:t>госконтрактам</w:t>
      </w:r>
      <w:proofErr w:type="spellEnd"/>
      <w:r w:rsidRPr="00BF1AEF">
        <w:rPr>
          <w:rFonts w:ascii="Times New Roman" w:hAnsi="Times New Roman"/>
          <w:color w:val="000000"/>
          <w:sz w:val="24"/>
        </w:rPr>
        <w:t>) и (2) ужесточение административной ответственности за нарушения бюджетного законодательства при осуществлении кап</w:t>
      </w:r>
      <w:r w:rsidR="000023E2">
        <w:rPr>
          <w:rFonts w:ascii="Times New Roman" w:hAnsi="Times New Roman"/>
          <w:color w:val="000000"/>
          <w:sz w:val="24"/>
        </w:rPr>
        <w:t xml:space="preserve">итальных </w:t>
      </w:r>
      <w:r w:rsidRPr="00BF1AEF">
        <w:rPr>
          <w:rFonts w:ascii="Times New Roman" w:hAnsi="Times New Roman"/>
          <w:color w:val="000000"/>
          <w:sz w:val="24"/>
        </w:rPr>
        <w:t>вложений в объекты гос</w:t>
      </w:r>
      <w:r w:rsidR="000023E2">
        <w:rPr>
          <w:rFonts w:ascii="Times New Roman" w:hAnsi="Times New Roman"/>
          <w:color w:val="000000"/>
          <w:sz w:val="24"/>
        </w:rPr>
        <w:t xml:space="preserve">ударственной </w:t>
      </w:r>
      <w:r w:rsidRPr="00BF1AEF">
        <w:rPr>
          <w:rFonts w:ascii="Times New Roman" w:hAnsi="Times New Roman"/>
          <w:color w:val="000000"/>
          <w:sz w:val="24"/>
        </w:rPr>
        <w:t xml:space="preserve">собственности, а также за невыполнение </w:t>
      </w:r>
      <w:proofErr w:type="spellStart"/>
      <w:r w:rsidRPr="00BF1AEF">
        <w:rPr>
          <w:rFonts w:ascii="Times New Roman" w:hAnsi="Times New Roman"/>
          <w:color w:val="000000"/>
          <w:sz w:val="24"/>
        </w:rPr>
        <w:t>госзадания</w:t>
      </w:r>
      <w:proofErr w:type="spellEnd"/>
      <w:r w:rsidR="00694983" w:rsidRPr="006860B5">
        <w:rPr>
          <w:rFonts w:ascii="Times New Roman" w:hAnsi="Times New Roman"/>
          <w:color w:val="000000"/>
          <w:sz w:val="24"/>
        </w:rPr>
        <w:t>.</w:t>
      </w:r>
    </w:p>
    <w:p w:rsidR="00021CDC" w:rsidRPr="006860B5" w:rsidRDefault="00021CDC" w:rsidP="009F1CCA">
      <w:pPr>
        <w:pStyle w:val="a9"/>
        <w:numPr>
          <w:ilvl w:val="0"/>
          <w:numId w:val="24"/>
        </w:numPr>
        <w:spacing w:before="120" w:after="120"/>
        <w:contextualSpacing w:val="0"/>
        <w:jc w:val="both"/>
        <w:rPr>
          <w:rFonts w:ascii="Times New Roman" w:hAnsi="Times New Roman"/>
          <w:color w:val="000000"/>
          <w:sz w:val="24"/>
        </w:rPr>
      </w:pPr>
      <w:r>
        <w:rPr>
          <w:rFonts w:ascii="Times New Roman" w:hAnsi="Times New Roman"/>
          <w:color w:val="000000"/>
          <w:sz w:val="24"/>
        </w:rPr>
        <w:t>В сфере с</w:t>
      </w:r>
      <w:r w:rsidRPr="006860B5">
        <w:rPr>
          <w:rFonts w:ascii="Times New Roman" w:hAnsi="Times New Roman"/>
          <w:color w:val="000000"/>
          <w:sz w:val="24"/>
        </w:rPr>
        <w:t>овершенствовани</w:t>
      </w:r>
      <w:r>
        <w:rPr>
          <w:rFonts w:ascii="Times New Roman" w:hAnsi="Times New Roman"/>
          <w:color w:val="000000"/>
          <w:sz w:val="24"/>
        </w:rPr>
        <w:t>я</w:t>
      </w:r>
      <w:r w:rsidRPr="006860B5">
        <w:rPr>
          <w:rFonts w:ascii="Times New Roman" w:hAnsi="Times New Roman"/>
          <w:color w:val="000000"/>
          <w:sz w:val="24"/>
        </w:rPr>
        <w:t xml:space="preserve"> управления расходами бюджета </w:t>
      </w:r>
      <w:r w:rsidRPr="0063778D">
        <w:rPr>
          <w:rFonts w:ascii="Times New Roman" w:hAnsi="Times New Roman"/>
          <w:color w:val="000000"/>
          <w:sz w:val="24"/>
        </w:rPr>
        <w:t xml:space="preserve">на осуществление </w:t>
      </w:r>
      <w:r w:rsidRPr="00EE592D">
        <w:rPr>
          <w:rFonts w:ascii="Times New Roman" w:hAnsi="Times New Roman"/>
          <w:b/>
          <w:color w:val="000000"/>
          <w:sz w:val="24"/>
        </w:rPr>
        <w:t>закупок для государственных нужд</w:t>
      </w:r>
      <w:r w:rsidRPr="0063778D">
        <w:rPr>
          <w:rFonts w:ascii="Times New Roman" w:hAnsi="Times New Roman"/>
          <w:color w:val="000000"/>
          <w:sz w:val="24"/>
        </w:rPr>
        <w:t xml:space="preserve"> </w:t>
      </w:r>
      <w:r w:rsidRPr="004C72AA">
        <w:rPr>
          <w:rFonts w:ascii="Times New Roman" w:hAnsi="Times New Roman"/>
          <w:color w:val="000000"/>
          <w:sz w:val="24"/>
        </w:rPr>
        <w:t xml:space="preserve">приняты нормативные правовые акты, направленные </w:t>
      </w:r>
      <w:proofErr w:type="gramStart"/>
      <w:r w:rsidRPr="004C72AA">
        <w:rPr>
          <w:rFonts w:ascii="Times New Roman" w:hAnsi="Times New Roman"/>
          <w:color w:val="000000"/>
          <w:sz w:val="24"/>
        </w:rPr>
        <w:t>на</w:t>
      </w:r>
      <w:proofErr w:type="gramEnd"/>
      <w:r w:rsidRPr="006860B5">
        <w:rPr>
          <w:rFonts w:ascii="Times New Roman" w:hAnsi="Times New Roman"/>
          <w:color w:val="000000"/>
          <w:sz w:val="24"/>
        </w:rPr>
        <w:t>:</w:t>
      </w:r>
    </w:p>
    <w:p w:rsidR="00425EA0" w:rsidRPr="00BF1AEF" w:rsidRDefault="00425EA0" w:rsidP="009F1CCA">
      <w:pPr>
        <w:numPr>
          <w:ilvl w:val="0"/>
          <w:numId w:val="55"/>
        </w:numPr>
        <w:spacing w:before="120" w:after="120" w:line="259" w:lineRule="auto"/>
        <w:jc w:val="both"/>
        <w:rPr>
          <w:rFonts w:ascii="Times New Roman" w:hAnsi="Times New Roman"/>
          <w:color w:val="000000"/>
          <w:sz w:val="24"/>
        </w:rPr>
      </w:pPr>
      <w:r w:rsidRPr="00BF1AEF">
        <w:rPr>
          <w:rFonts w:ascii="Times New Roman" w:hAnsi="Times New Roman"/>
          <w:color w:val="000000"/>
          <w:sz w:val="24"/>
        </w:rPr>
        <w:t xml:space="preserve">обеспечение </w:t>
      </w:r>
      <w:proofErr w:type="spellStart"/>
      <w:r w:rsidRPr="00BF1AEF">
        <w:rPr>
          <w:rFonts w:ascii="Times New Roman" w:hAnsi="Times New Roman"/>
          <w:color w:val="000000"/>
          <w:sz w:val="24"/>
        </w:rPr>
        <w:t>непревышения</w:t>
      </w:r>
      <w:proofErr w:type="spellEnd"/>
      <w:r w:rsidRPr="00BF1AEF">
        <w:rPr>
          <w:rFonts w:ascii="Times New Roman" w:hAnsi="Times New Roman"/>
          <w:color w:val="000000"/>
          <w:sz w:val="24"/>
        </w:rPr>
        <w:t xml:space="preserve"> утверждаемого заказчику объема финансирования на закупки при их осуществлении; </w:t>
      </w:r>
    </w:p>
    <w:p w:rsidR="00425EA0" w:rsidRPr="00BF1AEF" w:rsidRDefault="00425EA0" w:rsidP="009F1CCA">
      <w:pPr>
        <w:numPr>
          <w:ilvl w:val="0"/>
          <w:numId w:val="55"/>
        </w:numPr>
        <w:spacing w:before="120" w:after="120" w:line="259" w:lineRule="auto"/>
        <w:jc w:val="both"/>
        <w:rPr>
          <w:rFonts w:ascii="Times New Roman" w:hAnsi="Times New Roman"/>
          <w:color w:val="000000"/>
          <w:sz w:val="24"/>
        </w:rPr>
      </w:pPr>
      <w:r w:rsidRPr="00BF1AEF">
        <w:rPr>
          <w:rFonts w:ascii="Times New Roman" w:hAnsi="Times New Roman"/>
          <w:color w:val="000000"/>
          <w:sz w:val="24"/>
        </w:rPr>
        <w:t xml:space="preserve">совершенствование методики определения нормативных затрат на обеспечение функций федеральных государственных органов, органов управления государственными внебюджетными фондами Российской Федерации; </w:t>
      </w:r>
    </w:p>
    <w:p w:rsidR="00021CDC" w:rsidRPr="006860B5" w:rsidRDefault="00425EA0" w:rsidP="009F1CCA">
      <w:pPr>
        <w:pStyle w:val="a9"/>
        <w:numPr>
          <w:ilvl w:val="0"/>
          <w:numId w:val="55"/>
        </w:numPr>
        <w:spacing w:before="120" w:after="120"/>
        <w:contextualSpacing w:val="0"/>
        <w:jc w:val="both"/>
        <w:rPr>
          <w:rFonts w:ascii="Times New Roman" w:hAnsi="Times New Roman"/>
          <w:color w:val="000000"/>
          <w:sz w:val="24"/>
        </w:rPr>
      </w:pPr>
      <w:r w:rsidRPr="00BF1AEF">
        <w:rPr>
          <w:rFonts w:ascii="Times New Roman" w:hAnsi="Times New Roman"/>
          <w:color w:val="000000"/>
          <w:sz w:val="24"/>
        </w:rPr>
        <w:t>распространение нормирования в сфере закупок на государственные и муниципальные унитарные предприятия</w:t>
      </w:r>
      <w:r w:rsidR="00021CDC" w:rsidRPr="006860B5">
        <w:rPr>
          <w:rFonts w:ascii="Times New Roman" w:hAnsi="Times New Roman"/>
          <w:color w:val="000000"/>
          <w:sz w:val="24"/>
        </w:rPr>
        <w:t>.</w:t>
      </w:r>
    </w:p>
    <w:p w:rsidR="00021CDC" w:rsidRPr="006860B5" w:rsidRDefault="00021CDC" w:rsidP="009F1CCA">
      <w:pPr>
        <w:pStyle w:val="a9"/>
        <w:numPr>
          <w:ilvl w:val="0"/>
          <w:numId w:val="24"/>
        </w:numPr>
        <w:spacing w:before="120" w:after="120"/>
        <w:contextualSpacing w:val="0"/>
        <w:jc w:val="both"/>
        <w:rPr>
          <w:rFonts w:ascii="Times New Roman" w:hAnsi="Times New Roman"/>
          <w:color w:val="000000"/>
          <w:sz w:val="24"/>
        </w:rPr>
      </w:pPr>
      <w:r>
        <w:rPr>
          <w:rFonts w:ascii="Times New Roman" w:hAnsi="Times New Roman"/>
          <w:color w:val="000000"/>
          <w:sz w:val="24"/>
        </w:rPr>
        <w:t xml:space="preserve">В сфере </w:t>
      </w:r>
      <w:r w:rsidRPr="00425EA0">
        <w:rPr>
          <w:rFonts w:ascii="Times New Roman" w:hAnsi="Times New Roman"/>
          <w:b/>
          <w:color w:val="000000"/>
          <w:sz w:val="24"/>
        </w:rPr>
        <w:t>управления ликвидностью Единого казначейского счета</w:t>
      </w:r>
      <w:r w:rsidRPr="006860B5">
        <w:rPr>
          <w:rFonts w:ascii="Times New Roman" w:hAnsi="Times New Roman"/>
          <w:color w:val="000000"/>
          <w:sz w:val="24"/>
        </w:rPr>
        <w:t>:</w:t>
      </w:r>
    </w:p>
    <w:p w:rsidR="00021CDC" w:rsidRPr="006860B5" w:rsidRDefault="00021CDC" w:rsidP="009F1CCA">
      <w:pPr>
        <w:pStyle w:val="a9"/>
        <w:numPr>
          <w:ilvl w:val="0"/>
          <w:numId w:val="25"/>
        </w:numPr>
        <w:spacing w:before="120" w:after="120"/>
        <w:contextualSpacing w:val="0"/>
        <w:jc w:val="both"/>
        <w:rPr>
          <w:rFonts w:ascii="Times New Roman" w:hAnsi="Times New Roman"/>
          <w:color w:val="000000"/>
          <w:sz w:val="24"/>
        </w:rPr>
      </w:pPr>
      <w:r w:rsidRPr="006860B5">
        <w:rPr>
          <w:rFonts w:ascii="Times New Roman" w:hAnsi="Times New Roman"/>
          <w:color w:val="000000"/>
          <w:sz w:val="24"/>
        </w:rPr>
        <w:t xml:space="preserve">внедрен механизм ежедневного </w:t>
      </w:r>
      <w:r w:rsidRPr="00EE592D">
        <w:rPr>
          <w:rFonts w:ascii="Times New Roman" w:hAnsi="Times New Roman"/>
          <w:b/>
          <w:color w:val="000000"/>
          <w:sz w:val="24"/>
        </w:rPr>
        <w:t xml:space="preserve">краткосрочного </w:t>
      </w:r>
      <w:proofErr w:type="spellStart"/>
      <w:r w:rsidRPr="00EE592D">
        <w:rPr>
          <w:rFonts w:ascii="Times New Roman" w:hAnsi="Times New Roman"/>
          <w:b/>
          <w:color w:val="000000"/>
          <w:sz w:val="24"/>
        </w:rPr>
        <w:t>таргетирования</w:t>
      </w:r>
      <w:proofErr w:type="spellEnd"/>
      <w:r w:rsidRPr="00EE592D">
        <w:rPr>
          <w:rFonts w:ascii="Times New Roman" w:hAnsi="Times New Roman"/>
          <w:b/>
          <w:color w:val="000000"/>
          <w:sz w:val="24"/>
        </w:rPr>
        <w:t xml:space="preserve"> остатков</w:t>
      </w:r>
      <w:r w:rsidRPr="00EE592D">
        <w:rPr>
          <w:rFonts w:ascii="Times New Roman" w:hAnsi="Times New Roman"/>
          <w:color w:val="000000"/>
          <w:sz w:val="24"/>
        </w:rPr>
        <w:t xml:space="preserve"> в целях </w:t>
      </w:r>
      <w:r w:rsidRPr="006860B5">
        <w:rPr>
          <w:rFonts w:ascii="Times New Roman" w:hAnsi="Times New Roman"/>
          <w:color w:val="000000"/>
          <w:sz w:val="24"/>
        </w:rPr>
        <w:t>существенно</w:t>
      </w:r>
      <w:r>
        <w:rPr>
          <w:rFonts w:ascii="Times New Roman" w:hAnsi="Times New Roman"/>
          <w:color w:val="000000"/>
          <w:sz w:val="24"/>
        </w:rPr>
        <w:t>го</w:t>
      </w:r>
      <w:r w:rsidRPr="006860B5">
        <w:rPr>
          <w:rFonts w:ascii="Times New Roman" w:hAnsi="Times New Roman"/>
          <w:color w:val="000000"/>
          <w:sz w:val="24"/>
        </w:rPr>
        <w:t xml:space="preserve"> сни</w:t>
      </w:r>
      <w:r>
        <w:rPr>
          <w:rFonts w:ascii="Times New Roman" w:hAnsi="Times New Roman"/>
          <w:color w:val="000000"/>
          <w:sz w:val="24"/>
        </w:rPr>
        <w:t>жения</w:t>
      </w:r>
      <w:r w:rsidRPr="006860B5">
        <w:rPr>
          <w:rFonts w:ascii="Times New Roman" w:hAnsi="Times New Roman"/>
          <w:color w:val="000000"/>
          <w:sz w:val="24"/>
        </w:rPr>
        <w:t xml:space="preserve"> уров</w:t>
      </w:r>
      <w:r>
        <w:rPr>
          <w:rFonts w:ascii="Times New Roman" w:hAnsi="Times New Roman"/>
          <w:color w:val="000000"/>
          <w:sz w:val="24"/>
        </w:rPr>
        <w:t>ня</w:t>
      </w:r>
      <w:r w:rsidRPr="006860B5">
        <w:rPr>
          <w:rFonts w:ascii="Times New Roman" w:hAnsi="Times New Roman"/>
          <w:color w:val="000000"/>
          <w:sz w:val="24"/>
        </w:rPr>
        <w:t xml:space="preserve"> остатков на Едином казначейском счете;</w:t>
      </w:r>
    </w:p>
    <w:p w:rsidR="00021CDC" w:rsidRDefault="00021CDC" w:rsidP="009F1CCA">
      <w:pPr>
        <w:pStyle w:val="a9"/>
        <w:numPr>
          <w:ilvl w:val="0"/>
          <w:numId w:val="25"/>
        </w:numPr>
        <w:spacing w:before="120" w:after="120"/>
        <w:contextualSpacing w:val="0"/>
        <w:jc w:val="both"/>
        <w:rPr>
          <w:rFonts w:ascii="Times New Roman" w:hAnsi="Times New Roman"/>
          <w:color w:val="000000"/>
          <w:sz w:val="24"/>
        </w:rPr>
      </w:pPr>
      <w:r>
        <w:rPr>
          <w:rFonts w:ascii="Times New Roman" w:hAnsi="Times New Roman"/>
          <w:color w:val="000000"/>
          <w:sz w:val="24"/>
        </w:rPr>
        <w:t xml:space="preserve">расширен </w:t>
      </w:r>
      <w:r w:rsidRPr="00EE592D">
        <w:rPr>
          <w:rFonts w:ascii="Times New Roman" w:hAnsi="Times New Roman"/>
          <w:b/>
          <w:color w:val="000000"/>
          <w:sz w:val="24"/>
        </w:rPr>
        <w:t>инструментарий управления временно свободными средствами</w:t>
      </w:r>
      <w:r w:rsidRPr="006860B5">
        <w:rPr>
          <w:rFonts w:ascii="Times New Roman" w:hAnsi="Times New Roman"/>
          <w:color w:val="000000"/>
          <w:sz w:val="24"/>
        </w:rPr>
        <w:t xml:space="preserve"> на Едином казначейском счёте.</w:t>
      </w:r>
    </w:p>
    <w:p w:rsidR="00866D20" w:rsidRDefault="00866D20">
      <w:pPr>
        <w:spacing w:after="0" w:line="240" w:lineRule="auto"/>
        <w:rPr>
          <w:rFonts w:ascii="Times New Roman" w:hAnsi="Times New Roman"/>
          <w:color w:val="000000"/>
          <w:sz w:val="24"/>
        </w:rPr>
      </w:pPr>
      <w:r>
        <w:rPr>
          <w:rFonts w:ascii="Times New Roman" w:hAnsi="Times New Roman"/>
          <w:color w:val="000000"/>
          <w:sz w:val="24"/>
        </w:rPr>
        <w:br w:type="page"/>
      </w:r>
    </w:p>
    <w:p w:rsidR="003546F2" w:rsidRPr="00721351" w:rsidRDefault="003546F2" w:rsidP="003546F2">
      <w:pPr>
        <w:pStyle w:val="20"/>
        <w:numPr>
          <w:ilvl w:val="1"/>
          <w:numId w:val="3"/>
        </w:numPr>
        <w:spacing w:before="240" w:after="240"/>
        <w:rPr>
          <w:rFonts w:ascii="Times New Roman" w:hAnsi="Times New Roman"/>
          <w:sz w:val="28"/>
          <w:szCs w:val="28"/>
        </w:rPr>
      </w:pPr>
      <w:bookmarkStart w:id="12" w:name="_Toc494788029"/>
      <w:r w:rsidRPr="00721351">
        <w:rPr>
          <w:rFonts w:ascii="Times New Roman" w:hAnsi="Times New Roman"/>
          <w:sz w:val="28"/>
          <w:szCs w:val="28"/>
        </w:rPr>
        <w:t>ТАМОЖЕННО-ТАРИФНОЕ РЕГУЛИРОВАНИЕ</w:t>
      </w:r>
      <w:bookmarkEnd w:id="12"/>
    </w:p>
    <w:p w:rsidR="00453D9F" w:rsidRDefault="00453D9F" w:rsidP="00453D9F">
      <w:pPr>
        <w:jc w:val="both"/>
        <w:rPr>
          <w:rFonts w:ascii="Times New Roman" w:hAnsi="Times New Roman"/>
          <w:color w:val="000000"/>
          <w:sz w:val="24"/>
          <w:szCs w:val="24"/>
        </w:rPr>
      </w:pPr>
      <w:r>
        <w:rPr>
          <w:rFonts w:ascii="Times New Roman" w:hAnsi="Times New Roman"/>
          <w:color w:val="000000"/>
          <w:sz w:val="24"/>
          <w:szCs w:val="24"/>
        </w:rPr>
        <w:t xml:space="preserve">В 2016 году основные изменения политики таможенно-тарифного регулирования были связаны с </w:t>
      </w:r>
      <w:r w:rsidRPr="00425EA0">
        <w:rPr>
          <w:rFonts w:ascii="Times New Roman" w:hAnsi="Times New Roman"/>
          <w:b/>
          <w:color w:val="000000"/>
          <w:sz w:val="24"/>
          <w:szCs w:val="24"/>
        </w:rPr>
        <w:t>соблюдени</w:t>
      </w:r>
      <w:r w:rsidR="0058226F" w:rsidRPr="00425EA0">
        <w:rPr>
          <w:rFonts w:ascii="Times New Roman" w:hAnsi="Times New Roman"/>
          <w:b/>
          <w:color w:val="000000"/>
          <w:sz w:val="24"/>
          <w:szCs w:val="24"/>
        </w:rPr>
        <w:t>ем</w:t>
      </w:r>
      <w:r w:rsidRPr="00425EA0">
        <w:rPr>
          <w:rFonts w:ascii="Times New Roman" w:hAnsi="Times New Roman"/>
          <w:b/>
          <w:color w:val="000000"/>
          <w:sz w:val="24"/>
          <w:szCs w:val="24"/>
        </w:rPr>
        <w:t xml:space="preserve"> Россией обязательств перед </w:t>
      </w:r>
      <w:r w:rsidR="0058226F" w:rsidRPr="00425EA0">
        <w:rPr>
          <w:rFonts w:ascii="Times New Roman" w:hAnsi="Times New Roman"/>
          <w:b/>
          <w:color w:val="000000"/>
          <w:sz w:val="24"/>
          <w:szCs w:val="24"/>
        </w:rPr>
        <w:t>ВТО</w:t>
      </w:r>
      <w:r>
        <w:rPr>
          <w:rFonts w:ascii="Times New Roman" w:hAnsi="Times New Roman"/>
          <w:color w:val="000000"/>
          <w:sz w:val="24"/>
          <w:szCs w:val="24"/>
        </w:rPr>
        <w:t xml:space="preserve">. В рамках очередного этапа выполнения договоренностей изменение ставок </w:t>
      </w:r>
      <w:r w:rsidRPr="0012612E">
        <w:rPr>
          <w:rFonts w:ascii="Times New Roman" w:hAnsi="Times New Roman"/>
          <w:i/>
          <w:color w:val="000000"/>
          <w:sz w:val="24"/>
          <w:szCs w:val="24"/>
        </w:rPr>
        <w:t>ввозных таможен</w:t>
      </w:r>
      <w:r w:rsidR="0058226F" w:rsidRPr="0012612E">
        <w:rPr>
          <w:rFonts w:ascii="Times New Roman" w:hAnsi="Times New Roman"/>
          <w:i/>
          <w:color w:val="000000"/>
          <w:sz w:val="24"/>
          <w:szCs w:val="24"/>
        </w:rPr>
        <w:t>ных пошлин</w:t>
      </w:r>
      <w:r w:rsidR="0058226F">
        <w:rPr>
          <w:rFonts w:ascii="Times New Roman" w:hAnsi="Times New Roman"/>
          <w:color w:val="000000"/>
          <w:sz w:val="24"/>
          <w:szCs w:val="24"/>
        </w:rPr>
        <w:t xml:space="preserve"> затронуло 15,2</w:t>
      </w:r>
      <w:r>
        <w:rPr>
          <w:rFonts w:ascii="Times New Roman" w:hAnsi="Times New Roman"/>
          <w:color w:val="000000"/>
          <w:sz w:val="24"/>
          <w:szCs w:val="24"/>
        </w:rPr>
        <w:t xml:space="preserve">% всего тарифа (около 1,8 тысяч десятизначных </w:t>
      </w:r>
      <w:proofErr w:type="spellStart"/>
      <w:r>
        <w:rPr>
          <w:rFonts w:ascii="Times New Roman" w:hAnsi="Times New Roman"/>
          <w:color w:val="000000"/>
          <w:sz w:val="24"/>
          <w:szCs w:val="24"/>
        </w:rPr>
        <w:t>подсубпозиций</w:t>
      </w:r>
      <w:proofErr w:type="spellEnd"/>
      <w:r>
        <w:rPr>
          <w:rFonts w:ascii="Times New Roman" w:hAnsi="Times New Roman"/>
          <w:color w:val="000000"/>
          <w:sz w:val="24"/>
          <w:szCs w:val="24"/>
        </w:rPr>
        <w:t xml:space="preserve"> ТН ВЭД ЕАЭС) </w:t>
      </w:r>
      <w:r w:rsidRPr="00453D9F">
        <w:rPr>
          <w:rFonts w:ascii="Times New Roman" w:hAnsi="Times New Roman"/>
          <w:color w:val="000000"/>
          <w:sz w:val="24"/>
          <w:szCs w:val="24"/>
        </w:rPr>
        <w:t xml:space="preserve">(Приложение </w:t>
      </w:r>
      <w:r w:rsidRPr="00974549">
        <w:rPr>
          <w:rFonts w:ascii="Times New Roman" w:hAnsi="Times New Roman"/>
          <w:color w:val="000000"/>
          <w:sz w:val="24"/>
        </w:rPr>
        <w:t>№</w:t>
      </w:r>
      <w:r w:rsidR="00D438E7">
        <w:rPr>
          <w:rFonts w:ascii="Times New Roman" w:hAnsi="Times New Roman"/>
          <w:color w:val="000000"/>
          <w:sz w:val="24"/>
        </w:rPr>
        <w:t xml:space="preserve"> </w:t>
      </w:r>
      <w:r w:rsidR="00AC79D7">
        <w:rPr>
          <w:rFonts w:ascii="Times New Roman" w:hAnsi="Times New Roman"/>
          <w:color w:val="000000"/>
          <w:sz w:val="24"/>
        </w:rPr>
        <w:t>7</w:t>
      </w:r>
      <w:r>
        <w:rPr>
          <w:rFonts w:ascii="Times New Roman" w:hAnsi="Times New Roman"/>
          <w:color w:val="000000"/>
          <w:sz w:val="24"/>
        </w:rPr>
        <w:t>)</w:t>
      </w:r>
      <w:r w:rsidRPr="00974549">
        <w:rPr>
          <w:rFonts w:ascii="Times New Roman" w:hAnsi="Times New Roman"/>
          <w:color w:val="000000"/>
          <w:sz w:val="24"/>
        </w:rPr>
        <w:t>.</w:t>
      </w:r>
      <w:r w:rsidR="0012612E">
        <w:rPr>
          <w:rFonts w:ascii="Times New Roman" w:hAnsi="Times New Roman"/>
          <w:color w:val="000000"/>
          <w:sz w:val="24"/>
        </w:rPr>
        <w:t xml:space="preserve"> </w:t>
      </w:r>
      <w:r w:rsidR="0012612E" w:rsidRPr="000605B9">
        <w:rPr>
          <w:rFonts w:ascii="Times New Roman" w:hAnsi="Times New Roman"/>
          <w:color w:val="000000"/>
          <w:sz w:val="24"/>
        </w:rPr>
        <w:t xml:space="preserve">В </w:t>
      </w:r>
      <w:r w:rsidR="0012612E">
        <w:rPr>
          <w:rFonts w:ascii="Times New Roman" w:hAnsi="Times New Roman"/>
          <w:color w:val="000000"/>
          <w:sz w:val="24"/>
        </w:rPr>
        <w:t xml:space="preserve">части </w:t>
      </w:r>
      <w:r w:rsidR="0012612E" w:rsidRPr="0012612E">
        <w:rPr>
          <w:rFonts w:ascii="Times New Roman" w:hAnsi="Times New Roman"/>
          <w:i/>
          <w:color w:val="000000"/>
          <w:sz w:val="24"/>
        </w:rPr>
        <w:t>вывозных пошлин</w:t>
      </w:r>
      <w:r w:rsidR="0012612E">
        <w:rPr>
          <w:rFonts w:ascii="Times New Roman" w:hAnsi="Times New Roman"/>
          <w:color w:val="000000"/>
          <w:sz w:val="24"/>
        </w:rPr>
        <w:t xml:space="preserve"> в сторону понижения в 2016 году были </w:t>
      </w:r>
      <w:r w:rsidR="0012612E" w:rsidRPr="000605B9">
        <w:rPr>
          <w:rFonts w:ascii="Times New Roman" w:hAnsi="Times New Roman"/>
          <w:color w:val="000000"/>
          <w:sz w:val="24"/>
        </w:rPr>
        <w:t xml:space="preserve">скорректированы </w:t>
      </w:r>
      <w:r w:rsidR="0012612E" w:rsidRPr="00092D46">
        <w:rPr>
          <w:rFonts w:ascii="Times New Roman" w:hAnsi="Times New Roman"/>
          <w:sz w:val="24"/>
        </w:rPr>
        <w:t>ставки вывозных таможенных пошлин в отношении 201 тарифной линии</w:t>
      </w:r>
      <w:r w:rsidR="0012612E">
        <w:rPr>
          <w:rFonts w:ascii="Times New Roman" w:hAnsi="Times New Roman"/>
          <w:sz w:val="24"/>
        </w:rPr>
        <w:t>.</w:t>
      </w:r>
    </w:p>
    <w:p w:rsidR="00453D9F" w:rsidRDefault="0012612E" w:rsidP="00453D9F">
      <w:pPr>
        <w:jc w:val="both"/>
        <w:rPr>
          <w:rFonts w:ascii="Times New Roman" w:hAnsi="Times New Roman"/>
          <w:color w:val="000000"/>
          <w:sz w:val="24"/>
          <w:szCs w:val="24"/>
          <w:highlight w:val="cyan"/>
        </w:rPr>
      </w:pPr>
      <w:r>
        <w:rPr>
          <w:rFonts w:ascii="Times New Roman" w:hAnsi="Times New Roman"/>
          <w:color w:val="000000"/>
          <w:sz w:val="24"/>
          <w:szCs w:val="24"/>
        </w:rPr>
        <w:t>Д</w:t>
      </w:r>
      <w:r w:rsidR="00453D9F">
        <w:rPr>
          <w:rFonts w:ascii="Times New Roman" w:hAnsi="Times New Roman"/>
          <w:color w:val="000000"/>
          <w:sz w:val="24"/>
          <w:szCs w:val="24"/>
        </w:rPr>
        <w:t xml:space="preserve">ополнительно были приняты </w:t>
      </w:r>
      <w:r w:rsidR="00453D9F" w:rsidRPr="00425EA0">
        <w:rPr>
          <w:rFonts w:ascii="Times New Roman" w:hAnsi="Times New Roman"/>
          <w:b/>
          <w:color w:val="000000"/>
          <w:sz w:val="24"/>
          <w:szCs w:val="24"/>
        </w:rPr>
        <w:t>меры по либерализации импортного тарифа, направленные на содействие развитию национальных экономик</w:t>
      </w:r>
      <w:r w:rsidR="00453D9F">
        <w:rPr>
          <w:rFonts w:ascii="Times New Roman" w:hAnsi="Times New Roman"/>
          <w:color w:val="000000"/>
          <w:sz w:val="24"/>
          <w:szCs w:val="24"/>
        </w:rPr>
        <w:t xml:space="preserve"> путем расширения доступности сырьевой базы, удешевления компонентной базы, а также проведения модернизации технологических производств (</w:t>
      </w:r>
      <w:r w:rsidR="000023E2">
        <w:rPr>
          <w:rFonts w:ascii="Times New Roman" w:hAnsi="Times New Roman"/>
          <w:color w:val="000000"/>
          <w:sz w:val="24"/>
          <w:szCs w:val="24"/>
        </w:rPr>
        <w:t>п</w:t>
      </w:r>
      <w:r w:rsidR="00453D9F">
        <w:rPr>
          <w:rFonts w:ascii="Times New Roman" w:hAnsi="Times New Roman"/>
          <w:color w:val="000000"/>
          <w:sz w:val="24"/>
          <w:szCs w:val="24"/>
        </w:rPr>
        <w:t>еречень принятых решений приведен в Приложении №</w:t>
      </w:r>
      <w:r w:rsidR="00694983">
        <w:rPr>
          <w:rFonts w:ascii="Times New Roman" w:hAnsi="Times New Roman"/>
          <w:color w:val="000000"/>
          <w:sz w:val="24"/>
          <w:szCs w:val="24"/>
        </w:rPr>
        <w:t xml:space="preserve"> </w:t>
      </w:r>
      <w:r w:rsidR="00AC79D7">
        <w:rPr>
          <w:rFonts w:ascii="Times New Roman" w:hAnsi="Times New Roman"/>
          <w:color w:val="000000"/>
          <w:sz w:val="24"/>
          <w:szCs w:val="24"/>
        </w:rPr>
        <w:t>8</w:t>
      </w:r>
      <w:r w:rsidR="00453D9F">
        <w:rPr>
          <w:rFonts w:ascii="Times New Roman" w:hAnsi="Times New Roman"/>
          <w:color w:val="000000"/>
          <w:sz w:val="24"/>
          <w:szCs w:val="24"/>
        </w:rPr>
        <w:t>).</w:t>
      </w:r>
    </w:p>
    <w:p w:rsidR="001315B4" w:rsidRPr="0012612E" w:rsidRDefault="00D438E7" w:rsidP="0012612E">
      <w:pPr>
        <w:jc w:val="both"/>
        <w:rPr>
          <w:rFonts w:ascii="Times New Roman" w:hAnsi="Times New Roman"/>
          <w:color w:val="000000"/>
          <w:sz w:val="24"/>
        </w:rPr>
      </w:pPr>
      <w:r w:rsidRPr="003C3943">
        <w:rPr>
          <w:rFonts w:ascii="Times New Roman" w:hAnsi="Times New Roman"/>
          <w:color w:val="000000"/>
          <w:sz w:val="24"/>
        </w:rPr>
        <w:t xml:space="preserve">В </w:t>
      </w:r>
      <w:r>
        <w:rPr>
          <w:rFonts w:ascii="Times New Roman" w:hAnsi="Times New Roman"/>
          <w:color w:val="000000"/>
          <w:sz w:val="24"/>
        </w:rPr>
        <w:t xml:space="preserve">2016 году продолжили действие </w:t>
      </w:r>
      <w:r w:rsidRPr="00425EA0">
        <w:rPr>
          <w:rFonts w:ascii="Times New Roman" w:hAnsi="Times New Roman"/>
          <w:b/>
          <w:color w:val="000000"/>
          <w:sz w:val="24"/>
        </w:rPr>
        <w:t>анти-</w:t>
      </w:r>
      <w:proofErr w:type="spellStart"/>
      <w:r w:rsidRPr="00425EA0">
        <w:rPr>
          <w:rFonts w:ascii="Times New Roman" w:hAnsi="Times New Roman"/>
          <w:b/>
          <w:color w:val="000000"/>
          <w:sz w:val="24"/>
        </w:rPr>
        <w:t>санкционные</w:t>
      </w:r>
      <w:proofErr w:type="spellEnd"/>
      <w:r w:rsidRPr="00425EA0">
        <w:rPr>
          <w:rFonts w:ascii="Times New Roman" w:hAnsi="Times New Roman"/>
          <w:b/>
          <w:color w:val="000000"/>
          <w:sz w:val="24"/>
        </w:rPr>
        <w:t xml:space="preserve"> меры</w:t>
      </w:r>
      <w:r>
        <w:rPr>
          <w:rFonts w:ascii="Times New Roman" w:hAnsi="Times New Roman"/>
          <w:color w:val="000000"/>
          <w:sz w:val="24"/>
        </w:rPr>
        <w:t xml:space="preserve">, </w:t>
      </w:r>
      <w:r w:rsidRPr="003C3943">
        <w:rPr>
          <w:rFonts w:ascii="Times New Roman" w:hAnsi="Times New Roman"/>
          <w:color w:val="000000"/>
          <w:sz w:val="24"/>
        </w:rPr>
        <w:t>запре</w:t>
      </w:r>
      <w:r>
        <w:rPr>
          <w:rFonts w:ascii="Times New Roman" w:hAnsi="Times New Roman"/>
          <w:color w:val="000000"/>
          <w:sz w:val="24"/>
        </w:rPr>
        <w:t xml:space="preserve">щающие </w:t>
      </w:r>
      <w:r w:rsidRPr="003C3943">
        <w:rPr>
          <w:rFonts w:ascii="Times New Roman" w:hAnsi="Times New Roman"/>
          <w:color w:val="000000"/>
          <w:sz w:val="24"/>
        </w:rPr>
        <w:t>ввоз отдельных видов сельскохозяйственной продукции, сырья и продовольствия</w:t>
      </w:r>
      <w:r>
        <w:rPr>
          <w:rFonts w:ascii="Times New Roman" w:hAnsi="Times New Roman"/>
          <w:color w:val="000000"/>
          <w:sz w:val="24"/>
        </w:rPr>
        <w:t xml:space="preserve"> из ряда государств в </w:t>
      </w:r>
      <w:r w:rsidRPr="003C3943">
        <w:rPr>
          <w:rFonts w:ascii="Times New Roman" w:hAnsi="Times New Roman"/>
          <w:color w:val="000000"/>
          <w:sz w:val="24"/>
        </w:rPr>
        <w:t xml:space="preserve">ответ на </w:t>
      </w:r>
      <w:r>
        <w:rPr>
          <w:rFonts w:ascii="Times New Roman" w:hAnsi="Times New Roman"/>
          <w:color w:val="000000"/>
          <w:sz w:val="24"/>
        </w:rPr>
        <w:t>введение</w:t>
      </w:r>
      <w:r w:rsidRPr="003C3943">
        <w:rPr>
          <w:rFonts w:ascii="Times New Roman" w:hAnsi="Times New Roman"/>
          <w:color w:val="000000"/>
          <w:sz w:val="24"/>
        </w:rPr>
        <w:t xml:space="preserve"> </w:t>
      </w:r>
      <w:r>
        <w:rPr>
          <w:rFonts w:ascii="Times New Roman" w:hAnsi="Times New Roman"/>
          <w:color w:val="000000"/>
          <w:sz w:val="24"/>
        </w:rPr>
        <w:t xml:space="preserve">ими </w:t>
      </w:r>
      <w:r w:rsidRPr="003C3943">
        <w:rPr>
          <w:rFonts w:ascii="Times New Roman" w:hAnsi="Times New Roman"/>
          <w:color w:val="000000"/>
          <w:sz w:val="24"/>
        </w:rPr>
        <w:t xml:space="preserve">запретов на поставку в </w:t>
      </w:r>
      <w:r>
        <w:rPr>
          <w:rFonts w:ascii="Times New Roman" w:hAnsi="Times New Roman"/>
          <w:color w:val="000000"/>
          <w:sz w:val="24"/>
        </w:rPr>
        <w:t xml:space="preserve">Россию отдельных видов продукции и ограничений </w:t>
      </w:r>
      <w:r w:rsidRPr="003C3943">
        <w:rPr>
          <w:rFonts w:ascii="Times New Roman" w:hAnsi="Times New Roman"/>
          <w:color w:val="000000"/>
          <w:sz w:val="24"/>
        </w:rPr>
        <w:t xml:space="preserve">доступа российских компаний и банков к финансовым </w:t>
      </w:r>
      <w:r>
        <w:rPr>
          <w:rFonts w:ascii="Times New Roman" w:hAnsi="Times New Roman"/>
          <w:color w:val="000000"/>
          <w:sz w:val="24"/>
        </w:rPr>
        <w:t xml:space="preserve">рынкам. </w:t>
      </w:r>
      <w:r>
        <w:rPr>
          <w:rFonts w:ascii="Times New Roman" w:hAnsi="Times New Roman"/>
          <w:color w:val="000000"/>
          <w:sz w:val="24"/>
          <w:szCs w:val="24"/>
        </w:rPr>
        <w:t xml:space="preserve">Также с начала 2016 года начали действовать меры, запрещающие ввоз на территорию России </w:t>
      </w:r>
      <w:r w:rsidRPr="00425EA0">
        <w:rPr>
          <w:rFonts w:ascii="Times New Roman" w:hAnsi="Times New Roman"/>
          <w:b/>
          <w:color w:val="000000"/>
          <w:sz w:val="24"/>
          <w:szCs w:val="24"/>
        </w:rPr>
        <w:t>отдельных видов сырья и продовольствия из Турции</w:t>
      </w:r>
      <w:r>
        <w:rPr>
          <w:rFonts w:ascii="Times New Roman" w:hAnsi="Times New Roman"/>
          <w:color w:val="000000"/>
          <w:sz w:val="24"/>
          <w:szCs w:val="24"/>
        </w:rPr>
        <w:t xml:space="preserve">, которые были частично сняты в октябре 2016 года. </w:t>
      </w:r>
      <w:r w:rsidRPr="005B4032">
        <w:rPr>
          <w:rFonts w:ascii="Times New Roman" w:hAnsi="Times New Roman"/>
          <w:color w:val="000000"/>
          <w:sz w:val="24"/>
        </w:rPr>
        <w:t>Кроме того, с 1 января 2016 г. в отношении Украины помимо продуктового эмбарго начал действовать режим наибольшего благоприятствования</w:t>
      </w:r>
      <w:r>
        <w:rPr>
          <w:rFonts w:ascii="Times New Roman" w:hAnsi="Times New Roman"/>
          <w:color w:val="000000"/>
          <w:sz w:val="24"/>
        </w:rPr>
        <w:t xml:space="preserve"> (</w:t>
      </w:r>
      <w:r w:rsidRPr="005B4032">
        <w:rPr>
          <w:rFonts w:ascii="Times New Roman" w:hAnsi="Times New Roman"/>
          <w:color w:val="000000"/>
          <w:sz w:val="24"/>
        </w:rPr>
        <w:t>приостановлено действие Договора о зоне свободной торговли</w:t>
      </w:r>
      <w:r>
        <w:rPr>
          <w:rFonts w:ascii="Times New Roman" w:hAnsi="Times New Roman"/>
          <w:color w:val="000000"/>
          <w:sz w:val="24"/>
        </w:rPr>
        <w:t>).</w:t>
      </w:r>
      <w:r w:rsidR="00EA671A">
        <w:br w:type="page"/>
      </w:r>
    </w:p>
    <w:p w:rsidR="004E2069" w:rsidRPr="0026604C" w:rsidRDefault="004E2069" w:rsidP="006409B2">
      <w:pPr>
        <w:pStyle w:val="10"/>
        <w:numPr>
          <w:ilvl w:val="0"/>
          <w:numId w:val="3"/>
        </w:numPr>
        <w:spacing w:after="240"/>
        <w:rPr>
          <w:szCs w:val="32"/>
        </w:rPr>
      </w:pPr>
      <w:bookmarkStart w:id="13" w:name="_Toc494788030"/>
      <w:r w:rsidRPr="0026604C">
        <w:rPr>
          <w:szCs w:val="32"/>
        </w:rPr>
        <w:t>УСЛОВИЯ РЕАЛИЗАЦИИ БЮДЖЕТНОЙ, НАЛОГОВОЙ И ТАМОЖЕННО-ТАРИФНОЙ ПОЛИТИКИ</w:t>
      </w:r>
      <w:r w:rsidR="0043253A">
        <w:rPr>
          <w:szCs w:val="32"/>
        </w:rPr>
        <w:t xml:space="preserve"> В 2018-2020 ГОДАХ</w:t>
      </w:r>
      <w:bookmarkEnd w:id="13"/>
    </w:p>
    <w:p w:rsidR="004E2069" w:rsidRPr="0026604C" w:rsidRDefault="004E2069" w:rsidP="00E60144">
      <w:pPr>
        <w:pStyle w:val="20"/>
        <w:numPr>
          <w:ilvl w:val="1"/>
          <w:numId w:val="3"/>
        </w:numPr>
        <w:spacing w:before="240" w:after="240"/>
        <w:rPr>
          <w:rFonts w:ascii="Times New Roman" w:hAnsi="Times New Roman"/>
          <w:sz w:val="28"/>
          <w:szCs w:val="28"/>
        </w:rPr>
      </w:pPr>
      <w:bookmarkStart w:id="14" w:name="_Toc494788031"/>
      <w:r w:rsidRPr="0026604C">
        <w:rPr>
          <w:rFonts w:ascii="Times New Roman" w:hAnsi="Times New Roman"/>
          <w:sz w:val="28"/>
          <w:szCs w:val="28"/>
        </w:rPr>
        <w:t>ВНЕШНИЕ УСЛОВИЯ</w:t>
      </w:r>
      <w:bookmarkEnd w:id="14"/>
    </w:p>
    <w:p w:rsidR="004E2069" w:rsidRPr="00E25998" w:rsidRDefault="00EC5B9F" w:rsidP="002425FB">
      <w:pPr>
        <w:spacing w:before="120" w:after="120"/>
        <w:jc w:val="both"/>
        <w:rPr>
          <w:rFonts w:ascii="Times New Roman" w:hAnsi="Times New Roman"/>
          <w:sz w:val="24"/>
          <w:szCs w:val="24"/>
        </w:rPr>
      </w:pPr>
      <w:r w:rsidRPr="001B6D4C">
        <w:rPr>
          <w:rFonts w:ascii="Times New Roman" w:hAnsi="Times New Roman"/>
          <w:sz w:val="24"/>
          <w:szCs w:val="24"/>
        </w:rPr>
        <w:t xml:space="preserve">Внешнеэкономические условия развития российской экономики в предстоящий трехлетний период будут </w:t>
      </w:r>
      <w:r>
        <w:rPr>
          <w:rFonts w:ascii="Times New Roman" w:hAnsi="Times New Roman"/>
          <w:sz w:val="24"/>
          <w:szCs w:val="24"/>
        </w:rPr>
        <w:t>относительно</w:t>
      </w:r>
      <w:r w:rsidRPr="001B6D4C">
        <w:rPr>
          <w:rFonts w:ascii="Times New Roman" w:hAnsi="Times New Roman"/>
          <w:sz w:val="24"/>
          <w:szCs w:val="24"/>
        </w:rPr>
        <w:t xml:space="preserve"> сложными:</w:t>
      </w:r>
      <w:r>
        <w:rPr>
          <w:rFonts w:ascii="Times New Roman" w:hAnsi="Times New Roman"/>
          <w:sz w:val="24"/>
          <w:szCs w:val="24"/>
        </w:rPr>
        <w:t xml:space="preserve"> </w:t>
      </w:r>
      <w:r w:rsidRPr="001B6D4C">
        <w:rPr>
          <w:rFonts w:ascii="Times New Roman" w:hAnsi="Times New Roman"/>
          <w:sz w:val="24"/>
          <w:szCs w:val="24"/>
        </w:rPr>
        <w:t>внешний спрос останется сравнительно слабым,</w:t>
      </w:r>
      <w:r>
        <w:rPr>
          <w:rFonts w:ascii="Times New Roman" w:hAnsi="Times New Roman"/>
          <w:sz w:val="24"/>
          <w:szCs w:val="24"/>
        </w:rPr>
        <w:t xml:space="preserve"> </w:t>
      </w:r>
      <w:r w:rsidR="004A7D25">
        <w:rPr>
          <w:rFonts w:ascii="Times New Roman" w:hAnsi="Times New Roman"/>
          <w:sz w:val="24"/>
          <w:szCs w:val="24"/>
        </w:rPr>
        <w:t>так</w:t>
      </w:r>
      <w:r w:rsidR="008C2CD8">
        <w:rPr>
          <w:rFonts w:ascii="Times New Roman" w:hAnsi="Times New Roman"/>
          <w:sz w:val="24"/>
          <w:szCs w:val="24"/>
        </w:rPr>
        <w:t xml:space="preserve"> </w:t>
      </w:r>
      <w:r w:rsidR="004A7D25">
        <w:rPr>
          <w:rFonts w:ascii="Times New Roman" w:hAnsi="Times New Roman"/>
          <w:sz w:val="24"/>
          <w:szCs w:val="24"/>
        </w:rPr>
        <w:t>же</w:t>
      </w:r>
      <w:r>
        <w:rPr>
          <w:rFonts w:ascii="Times New Roman" w:hAnsi="Times New Roman"/>
          <w:sz w:val="24"/>
          <w:szCs w:val="24"/>
        </w:rPr>
        <w:t xml:space="preserve"> как не прогнозируется и существенного улучшения ценовой конъюнктуры на традиционных экспортных рынках. Кроме того, </w:t>
      </w:r>
      <w:r w:rsidRPr="001B6D4C">
        <w:rPr>
          <w:rFonts w:ascii="Times New Roman" w:hAnsi="Times New Roman"/>
          <w:sz w:val="24"/>
          <w:szCs w:val="24"/>
        </w:rPr>
        <w:t xml:space="preserve">условия </w:t>
      </w:r>
      <w:r>
        <w:rPr>
          <w:rFonts w:ascii="Times New Roman" w:hAnsi="Times New Roman"/>
          <w:sz w:val="24"/>
          <w:szCs w:val="24"/>
        </w:rPr>
        <w:t xml:space="preserve">финансирования на мировых рынках </w:t>
      </w:r>
      <w:r w:rsidRPr="001B6D4C">
        <w:rPr>
          <w:rFonts w:ascii="Times New Roman" w:hAnsi="Times New Roman"/>
          <w:sz w:val="24"/>
          <w:szCs w:val="24"/>
        </w:rPr>
        <w:t>будут ужесточаться вслед за постепенной нормализацией денежно-кредитной политики центральными банками развитых стран</w:t>
      </w:r>
      <w:r w:rsidR="004E2069" w:rsidRPr="00E25998">
        <w:rPr>
          <w:rFonts w:ascii="Times New Roman" w:hAnsi="Times New Roman"/>
          <w:sz w:val="24"/>
          <w:szCs w:val="24"/>
        </w:rPr>
        <w:t>. Не</w:t>
      </w:r>
      <w:r w:rsidR="004E2069">
        <w:rPr>
          <w:rFonts w:ascii="Times New Roman" w:hAnsi="Times New Roman"/>
          <w:sz w:val="24"/>
          <w:szCs w:val="24"/>
        </w:rPr>
        <w:t>решенность структурных проблем в отдельных крупных развивающихся экономиках</w:t>
      </w:r>
      <w:r w:rsidR="004E2069" w:rsidRPr="00E25998">
        <w:rPr>
          <w:rFonts w:ascii="Times New Roman" w:hAnsi="Times New Roman"/>
          <w:sz w:val="24"/>
          <w:szCs w:val="24"/>
        </w:rPr>
        <w:t xml:space="preserve">, а также </w:t>
      </w:r>
      <w:r w:rsidR="00CE128C">
        <w:rPr>
          <w:rFonts w:ascii="Times New Roman" w:hAnsi="Times New Roman"/>
          <w:sz w:val="24"/>
          <w:szCs w:val="24"/>
        </w:rPr>
        <w:t>гео</w:t>
      </w:r>
      <w:r w:rsidR="004E2069" w:rsidRPr="00E25998">
        <w:rPr>
          <w:rFonts w:ascii="Times New Roman" w:hAnsi="Times New Roman"/>
          <w:sz w:val="24"/>
          <w:szCs w:val="24"/>
        </w:rPr>
        <w:t>политическ</w:t>
      </w:r>
      <w:r w:rsidR="004E2069">
        <w:rPr>
          <w:rFonts w:ascii="Times New Roman" w:hAnsi="Times New Roman"/>
          <w:sz w:val="24"/>
          <w:szCs w:val="24"/>
        </w:rPr>
        <w:t xml:space="preserve">ие риски </w:t>
      </w:r>
      <w:r w:rsidR="004E2069" w:rsidRPr="00E25998">
        <w:rPr>
          <w:rFonts w:ascii="Times New Roman" w:hAnsi="Times New Roman"/>
          <w:sz w:val="24"/>
          <w:szCs w:val="24"/>
        </w:rPr>
        <w:t>могут стать дополнительными вызовами.</w:t>
      </w:r>
    </w:p>
    <w:p w:rsidR="004E2069" w:rsidRPr="00CD3A91" w:rsidRDefault="004E2069" w:rsidP="00E70510">
      <w:pPr>
        <w:spacing w:before="240" w:after="120"/>
        <w:jc w:val="both"/>
        <w:rPr>
          <w:rFonts w:ascii="Times New Roman" w:hAnsi="Times New Roman"/>
          <w:b/>
          <w:sz w:val="28"/>
          <w:szCs w:val="24"/>
        </w:rPr>
      </w:pPr>
      <w:r w:rsidRPr="008C526F">
        <w:rPr>
          <w:rFonts w:ascii="Times New Roman" w:hAnsi="Times New Roman"/>
          <w:b/>
          <w:sz w:val="28"/>
          <w:szCs w:val="24"/>
        </w:rPr>
        <w:t>Внешний спрос</w:t>
      </w:r>
    </w:p>
    <w:p w:rsidR="002425FB" w:rsidRDefault="004E2069" w:rsidP="0015016A">
      <w:pPr>
        <w:spacing w:before="120" w:after="120"/>
        <w:jc w:val="both"/>
        <w:rPr>
          <w:rFonts w:ascii="Times New Roman" w:hAnsi="Times New Roman"/>
          <w:sz w:val="24"/>
          <w:szCs w:val="24"/>
        </w:rPr>
      </w:pPr>
      <w:r w:rsidRPr="00E25998">
        <w:rPr>
          <w:rFonts w:ascii="Times New Roman" w:hAnsi="Times New Roman"/>
          <w:sz w:val="24"/>
          <w:szCs w:val="24"/>
        </w:rPr>
        <w:t xml:space="preserve">Мировая экономика </w:t>
      </w:r>
      <w:r w:rsidR="00D65F4C">
        <w:rPr>
          <w:rFonts w:ascii="Times New Roman" w:hAnsi="Times New Roman"/>
          <w:sz w:val="24"/>
          <w:szCs w:val="24"/>
        </w:rPr>
        <w:t>продолжает</w:t>
      </w:r>
      <w:r w:rsidRPr="00E25998">
        <w:rPr>
          <w:rFonts w:ascii="Times New Roman" w:hAnsi="Times New Roman"/>
          <w:sz w:val="24"/>
          <w:szCs w:val="24"/>
        </w:rPr>
        <w:t xml:space="preserve"> восстанавливат</w:t>
      </w:r>
      <w:r w:rsidR="0046602F">
        <w:rPr>
          <w:rFonts w:ascii="Times New Roman" w:hAnsi="Times New Roman"/>
          <w:sz w:val="24"/>
          <w:szCs w:val="24"/>
        </w:rPr>
        <w:t>ь</w:t>
      </w:r>
      <w:r w:rsidRPr="00E25998">
        <w:rPr>
          <w:rFonts w:ascii="Times New Roman" w:hAnsi="Times New Roman"/>
          <w:sz w:val="24"/>
          <w:szCs w:val="24"/>
        </w:rPr>
        <w:t>ся после кризиса 2008-2009 г</w:t>
      </w:r>
      <w:r w:rsidR="00D65F4C">
        <w:rPr>
          <w:rFonts w:ascii="Times New Roman" w:hAnsi="Times New Roman"/>
          <w:sz w:val="24"/>
          <w:szCs w:val="24"/>
        </w:rPr>
        <w:t>одов</w:t>
      </w:r>
      <w:r w:rsidR="00060CB6" w:rsidRPr="002272A9">
        <w:rPr>
          <w:rFonts w:ascii="Times New Roman" w:hAnsi="Times New Roman"/>
          <w:sz w:val="24"/>
          <w:szCs w:val="24"/>
        </w:rPr>
        <w:t>:</w:t>
      </w:r>
      <w:r w:rsidRPr="00E25998">
        <w:rPr>
          <w:rFonts w:ascii="Times New Roman" w:hAnsi="Times New Roman"/>
          <w:sz w:val="24"/>
          <w:szCs w:val="24"/>
        </w:rPr>
        <w:t xml:space="preserve"> </w:t>
      </w:r>
      <w:r w:rsidR="00AA3D01">
        <w:rPr>
          <w:rFonts w:ascii="Times New Roman" w:hAnsi="Times New Roman"/>
          <w:sz w:val="24"/>
          <w:szCs w:val="24"/>
        </w:rPr>
        <w:t xml:space="preserve">в 2017-2018 гг. ожидается </w:t>
      </w:r>
      <w:r w:rsidR="0084229C">
        <w:rPr>
          <w:rFonts w:ascii="Times New Roman" w:hAnsi="Times New Roman"/>
          <w:sz w:val="24"/>
          <w:szCs w:val="24"/>
        </w:rPr>
        <w:t>ускор</w:t>
      </w:r>
      <w:r w:rsidR="00A65C2D">
        <w:rPr>
          <w:rFonts w:ascii="Times New Roman" w:hAnsi="Times New Roman"/>
          <w:sz w:val="24"/>
          <w:szCs w:val="24"/>
        </w:rPr>
        <w:t>ение</w:t>
      </w:r>
      <w:r w:rsidR="0084229C">
        <w:rPr>
          <w:rFonts w:ascii="Times New Roman" w:hAnsi="Times New Roman"/>
          <w:sz w:val="24"/>
          <w:szCs w:val="24"/>
        </w:rPr>
        <w:t xml:space="preserve"> как </w:t>
      </w:r>
      <w:r w:rsidR="00607C9C">
        <w:rPr>
          <w:rFonts w:ascii="Times New Roman" w:hAnsi="Times New Roman"/>
          <w:sz w:val="24"/>
          <w:szCs w:val="24"/>
        </w:rPr>
        <w:t>непосредственно</w:t>
      </w:r>
      <w:r w:rsidR="00412299">
        <w:rPr>
          <w:rFonts w:ascii="Times New Roman" w:hAnsi="Times New Roman"/>
          <w:sz w:val="24"/>
          <w:szCs w:val="24"/>
        </w:rPr>
        <w:t xml:space="preserve"> </w:t>
      </w:r>
      <w:r w:rsidRPr="00E25998">
        <w:rPr>
          <w:rFonts w:ascii="Times New Roman" w:hAnsi="Times New Roman"/>
          <w:sz w:val="24"/>
          <w:szCs w:val="24"/>
        </w:rPr>
        <w:t>темп</w:t>
      </w:r>
      <w:r w:rsidR="00A65C2D">
        <w:rPr>
          <w:rFonts w:ascii="Times New Roman" w:hAnsi="Times New Roman"/>
          <w:sz w:val="24"/>
          <w:szCs w:val="24"/>
        </w:rPr>
        <w:t>ов</w:t>
      </w:r>
      <w:r w:rsidRPr="00E25998">
        <w:rPr>
          <w:rFonts w:ascii="Times New Roman" w:hAnsi="Times New Roman"/>
          <w:sz w:val="24"/>
          <w:szCs w:val="24"/>
        </w:rPr>
        <w:t xml:space="preserve"> </w:t>
      </w:r>
      <w:r w:rsidR="0084229C">
        <w:rPr>
          <w:rFonts w:ascii="Times New Roman" w:hAnsi="Times New Roman"/>
          <w:sz w:val="24"/>
          <w:szCs w:val="24"/>
        </w:rPr>
        <w:t xml:space="preserve">экономического </w:t>
      </w:r>
      <w:r w:rsidRPr="00E25998">
        <w:rPr>
          <w:rFonts w:ascii="Times New Roman" w:hAnsi="Times New Roman"/>
          <w:sz w:val="24"/>
          <w:szCs w:val="24"/>
        </w:rPr>
        <w:t>роста</w:t>
      </w:r>
      <w:r w:rsidR="00FF57B2">
        <w:rPr>
          <w:rFonts w:ascii="Times New Roman" w:hAnsi="Times New Roman"/>
          <w:sz w:val="24"/>
          <w:szCs w:val="24"/>
        </w:rPr>
        <w:t xml:space="preserve">, </w:t>
      </w:r>
      <w:r w:rsidR="008D19BA">
        <w:rPr>
          <w:rFonts w:ascii="Times New Roman" w:hAnsi="Times New Roman"/>
          <w:sz w:val="24"/>
          <w:szCs w:val="24"/>
        </w:rPr>
        <w:t xml:space="preserve">так и </w:t>
      </w:r>
      <w:r w:rsidR="00A65C2D">
        <w:rPr>
          <w:rFonts w:ascii="Times New Roman" w:hAnsi="Times New Roman"/>
          <w:sz w:val="24"/>
          <w:szCs w:val="24"/>
        </w:rPr>
        <w:t>распространение таких положительных тенденций на большинство</w:t>
      </w:r>
      <w:r w:rsidR="00FF57B2">
        <w:rPr>
          <w:rFonts w:ascii="Times New Roman" w:hAnsi="Times New Roman"/>
          <w:sz w:val="24"/>
          <w:szCs w:val="24"/>
        </w:rPr>
        <w:t xml:space="preserve"> регион</w:t>
      </w:r>
      <w:r w:rsidR="00A65C2D">
        <w:rPr>
          <w:rFonts w:ascii="Times New Roman" w:hAnsi="Times New Roman"/>
          <w:sz w:val="24"/>
          <w:szCs w:val="24"/>
        </w:rPr>
        <w:t>ов</w:t>
      </w:r>
      <w:r w:rsidR="00FF57B2">
        <w:rPr>
          <w:rFonts w:ascii="Times New Roman" w:hAnsi="Times New Roman"/>
          <w:sz w:val="24"/>
          <w:szCs w:val="24"/>
        </w:rPr>
        <w:t xml:space="preserve"> мира</w:t>
      </w:r>
      <w:r w:rsidR="00A65C2D">
        <w:rPr>
          <w:rFonts w:ascii="Times New Roman" w:hAnsi="Times New Roman"/>
          <w:sz w:val="24"/>
          <w:szCs w:val="24"/>
        </w:rPr>
        <w:t>.</w:t>
      </w:r>
      <w:r w:rsidR="00FF57B2">
        <w:rPr>
          <w:rFonts w:ascii="Times New Roman" w:hAnsi="Times New Roman"/>
          <w:sz w:val="24"/>
          <w:szCs w:val="24"/>
        </w:rPr>
        <w:t xml:space="preserve"> </w:t>
      </w:r>
      <w:r w:rsidR="00A65C2D">
        <w:rPr>
          <w:rFonts w:ascii="Times New Roman" w:hAnsi="Times New Roman"/>
          <w:sz w:val="24"/>
          <w:szCs w:val="24"/>
        </w:rPr>
        <w:t xml:space="preserve">В то же время без ответа остаются ключевые вызовы для устойчивого развития мировой экономики: </w:t>
      </w:r>
      <w:r w:rsidR="00FF57B2">
        <w:rPr>
          <w:rFonts w:ascii="Times New Roman" w:hAnsi="Times New Roman"/>
          <w:sz w:val="24"/>
          <w:szCs w:val="24"/>
        </w:rPr>
        <w:t xml:space="preserve">усиливаются ограничения для потенциала роста мировой экономики, связанные с демографическими тенденциями, углублением структурных диспропорций в отдельных крупных странах, ростом геополитической напряженности и протекционистскими </w:t>
      </w:r>
      <w:r w:rsidR="005D55C6">
        <w:rPr>
          <w:rFonts w:ascii="Times New Roman" w:hAnsi="Times New Roman"/>
          <w:sz w:val="24"/>
          <w:szCs w:val="24"/>
        </w:rPr>
        <w:t>мерами.</w:t>
      </w:r>
    </w:p>
    <w:p w:rsidR="004E2069" w:rsidRPr="00081B8C" w:rsidRDefault="004E2069" w:rsidP="0015016A">
      <w:pPr>
        <w:spacing w:before="120" w:after="120"/>
        <w:jc w:val="both"/>
        <w:rPr>
          <w:rFonts w:ascii="Times New Roman" w:hAnsi="Times New Roman"/>
          <w:sz w:val="24"/>
          <w:szCs w:val="24"/>
        </w:rPr>
      </w:pPr>
      <w:r w:rsidRPr="00081B8C">
        <w:rPr>
          <w:rFonts w:ascii="Times New Roman" w:hAnsi="Times New Roman"/>
          <w:sz w:val="24"/>
          <w:szCs w:val="24"/>
        </w:rPr>
        <w:t>В среднесрочной перспективе, как ожидается, произойдет завершение восстановительной фазы экономического цикла в развитых странах.</w:t>
      </w:r>
    </w:p>
    <w:p w:rsidR="004E2069" w:rsidRPr="008C526F" w:rsidRDefault="004E2069" w:rsidP="0015016A">
      <w:pPr>
        <w:spacing w:before="120" w:after="120"/>
        <w:jc w:val="both"/>
        <w:rPr>
          <w:rFonts w:ascii="Times New Roman" w:hAnsi="Times New Roman"/>
          <w:sz w:val="24"/>
          <w:szCs w:val="24"/>
        </w:rPr>
      </w:pPr>
      <w:r>
        <w:rPr>
          <w:rFonts w:ascii="Times New Roman" w:hAnsi="Times New Roman"/>
          <w:sz w:val="24"/>
          <w:szCs w:val="24"/>
        </w:rPr>
        <w:t>В</w:t>
      </w:r>
      <w:r w:rsidRPr="008C526F">
        <w:rPr>
          <w:rFonts w:ascii="Times New Roman" w:hAnsi="Times New Roman"/>
          <w:sz w:val="24"/>
          <w:szCs w:val="24"/>
        </w:rPr>
        <w:t xml:space="preserve"> </w:t>
      </w:r>
      <w:r w:rsidRPr="005D55C6">
        <w:rPr>
          <w:rFonts w:ascii="Times New Roman" w:hAnsi="Times New Roman"/>
          <w:b/>
          <w:sz w:val="24"/>
          <w:szCs w:val="24"/>
        </w:rPr>
        <w:t>США</w:t>
      </w:r>
      <w:r w:rsidRPr="008C526F">
        <w:rPr>
          <w:rFonts w:ascii="Times New Roman" w:hAnsi="Times New Roman"/>
          <w:sz w:val="24"/>
          <w:szCs w:val="24"/>
        </w:rPr>
        <w:t xml:space="preserve"> </w:t>
      </w:r>
      <w:r w:rsidRPr="005D55C6">
        <w:rPr>
          <w:rFonts w:ascii="Times New Roman" w:hAnsi="Times New Roman"/>
          <w:i/>
          <w:sz w:val="24"/>
          <w:szCs w:val="24"/>
        </w:rPr>
        <w:t>период посткризисного восстановления практически завершен</w:t>
      </w:r>
      <w:r w:rsidRPr="008C526F">
        <w:rPr>
          <w:rFonts w:ascii="Times New Roman" w:hAnsi="Times New Roman"/>
          <w:sz w:val="24"/>
          <w:szCs w:val="24"/>
        </w:rPr>
        <w:t>: уровень безработицы достиг предкризисных минимумов, индикаторы инфляции приближаются к целевому уровню.</w:t>
      </w:r>
      <w:r>
        <w:rPr>
          <w:rFonts w:ascii="Times New Roman" w:hAnsi="Times New Roman"/>
          <w:sz w:val="24"/>
          <w:szCs w:val="24"/>
        </w:rPr>
        <w:t xml:space="preserve"> </w:t>
      </w:r>
      <w:r w:rsidR="005D55C6" w:rsidRPr="00582B30">
        <w:rPr>
          <w:rFonts w:ascii="Times New Roman" w:hAnsi="Times New Roman"/>
          <w:sz w:val="24"/>
          <w:szCs w:val="24"/>
        </w:rPr>
        <w:t xml:space="preserve">Это признают и монетарные власти, начавшие в декабре 2015 года цикл нормализации денежно-кредитной политики. </w:t>
      </w:r>
      <w:proofErr w:type="gramStart"/>
      <w:r w:rsidR="005D55C6" w:rsidRPr="00582B30">
        <w:rPr>
          <w:rFonts w:ascii="Times New Roman" w:hAnsi="Times New Roman"/>
          <w:sz w:val="24"/>
          <w:szCs w:val="24"/>
        </w:rPr>
        <w:t xml:space="preserve">При этом </w:t>
      </w:r>
      <w:r w:rsidR="005D55C6" w:rsidRPr="00904F9C">
        <w:rPr>
          <w:rFonts w:ascii="Times New Roman" w:hAnsi="Times New Roman"/>
          <w:i/>
          <w:sz w:val="24"/>
          <w:szCs w:val="24"/>
        </w:rPr>
        <w:t>потенциал роста американской экономики, очевидно, серьезно сократился</w:t>
      </w:r>
      <w:r w:rsidR="005D55C6" w:rsidRPr="00582B30">
        <w:rPr>
          <w:rFonts w:ascii="Times New Roman" w:hAnsi="Times New Roman"/>
          <w:sz w:val="24"/>
          <w:szCs w:val="24"/>
        </w:rPr>
        <w:t xml:space="preserve"> как в силу демографических тенденций (сокращение прироста количества работоспособного населения с 1,4% в год в 2000-2007 гг. до</w:t>
      </w:r>
      <w:r w:rsidR="008C2CD8">
        <w:rPr>
          <w:rFonts w:ascii="Times New Roman" w:hAnsi="Times New Roman"/>
          <w:sz w:val="24"/>
          <w:szCs w:val="24"/>
        </w:rPr>
        <w:t xml:space="preserve"> нынешних</w:t>
      </w:r>
      <w:r w:rsidR="005D55C6" w:rsidRPr="00582B30">
        <w:rPr>
          <w:rFonts w:ascii="Times New Roman" w:hAnsi="Times New Roman"/>
          <w:sz w:val="24"/>
          <w:szCs w:val="24"/>
        </w:rPr>
        <w:t xml:space="preserve"> 0,</w:t>
      </w:r>
      <w:r w:rsidR="00E623AA">
        <w:rPr>
          <w:rFonts w:ascii="Times New Roman" w:hAnsi="Times New Roman"/>
          <w:sz w:val="24"/>
          <w:szCs w:val="24"/>
        </w:rPr>
        <w:t>6</w:t>
      </w:r>
      <w:r w:rsidR="005D55C6" w:rsidRPr="00582B30">
        <w:rPr>
          <w:rFonts w:ascii="Times New Roman" w:hAnsi="Times New Roman"/>
          <w:sz w:val="24"/>
          <w:szCs w:val="24"/>
        </w:rPr>
        <w:t xml:space="preserve">% в год), так и </w:t>
      </w:r>
      <w:r w:rsidR="005D55C6">
        <w:rPr>
          <w:rFonts w:ascii="Times New Roman" w:hAnsi="Times New Roman"/>
          <w:sz w:val="24"/>
          <w:szCs w:val="24"/>
        </w:rPr>
        <w:t xml:space="preserve">по причине наблюдаемого, в том числе вследствие быстрого усугубления проблематики неравенства, </w:t>
      </w:r>
      <w:r w:rsidR="005D55C6" w:rsidRPr="00582B30">
        <w:rPr>
          <w:rFonts w:ascii="Times New Roman" w:hAnsi="Times New Roman"/>
          <w:sz w:val="24"/>
          <w:szCs w:val="24"/>
        </w:rPr>
        <w:t>замедления роста производительности труда</w:t>
      </w:r>
      <w:r>
        <w:rPr>
          <w:rFonts w:ascii="Times New Roman" w:hAnsi="Times New Roman"/>
          <w:sz w:val="24"/>
          <w:szCs w:val="24"/>
        </w:rPr>
        <w:t>.</w:t>
      </w:r>
      <w:proofErr w:type="gramEnd"/>
    </w:p>
    <w:p w:rsidR="004E2069" w:rsidRDefault="004E2069" w:rsidP="0015016A">
      <w:pPr>
        <w:spacing w:before="120" w:after="120"/>
        <w:jc w:val="both"/>
        <w:rPr>
          <w:rFonts w:ascii="Times New Roman" w:hAnsi="Times New Roman"/>
          <w:sz w:val="24"/>
          <w:szCs w:val="24"/>
        </w:rPr>
      </w:pPr>
      <w:r w:rsidRPr="005D55C6">
        <w:rPr>
          <w:rFonts w:ascii="Times New Roman" w:hAnsi="Times New Roman"/>
          <w:i/>
          <w:sz w:val="24"/>
          <w:szCs w:val="24"/>
        </w:rPr>
        <w:t>Восстановительные процессы</w:t>
      </w:r>
      <w:r w:rsidRPr="006B228F">
        <w:rPr>
          <w:rFonts w:ascii="Times New Roman" w:hAnsi="Times New Roman"/>
          <w:sz w:val="24"/>
          <w:szCs w:val="24"/>
        </w:rPr>
        <w:t xml:space="preserve"> </w:t>
      </w:r>
      <w:r w:rsidR="005D55C6" w:rsidRPr="00904F9C">
        <w:rPr>
          <w:rFonts w:ascii="Times New Roman" w:hAnsi="Times New Roman"/>
          <w:i/>
          <w:sz w:val="24"/>
          <w:szCs w:val="24"/>
        </w:rPr>
        <w:t xml:space="preserve">в </w:t>
      </w:r>
      <w:r w:rsidR="005D55C6" w:rsidRPr="00904F9C">
        <w:rPr>
          <w:rFonts w:ascii="Times New Roman" w:hAnsi="Times New Roman"/>
          <w:b/>
          <w:sz w:val="24"/>
          <w:szCs w:val="24"/>
        </w:rPr>
        <w:t>Еврозоне</w:t>
      </w:r>
      <w:r w:rsidR="005D55C6" w:rsidRPr="00904F9C">
        <w:rPr>
          <w:rFonts w:ascii="Times New Roman" w:hAnsi="Times New Roman"/>
          <w:i/>
          <w:sz w:val="24"/>
          <w:szCs w:val="24"/>
        </w:rPr>
        <w:t xml:space="preserve"> продлятся чуть дольше</w:t>
      </w:r>
      <w:r w:rsidR="005D55C6">
        <w:rPr>
          <w:rFonts w:ascii="Times New Roman" w:hAnsi="Times New Roman"/>
          <w:i/>
          <w:sz w:val="24"/>
          <w:szCs w:val="24"/>
        </w:rPr>
        <w:t>.</w:t>
      </w:r>
      <w:r w:rsidR="005D55C6">
        <w:rPr>
          <w:rFonts w:ascii="Times New Roman" w:hAnsi="Times New Roman"/>
          <w:sz w:val="24"/>
          <w:szCs w:val="24"/>
        </w:rPr>
        <w:t xml:space="preserve"> В</w:t>
      </w:r>
      <w:r w:rsidRPr="006B228F">
        <w:rPr>
          <w:rFonts w:ascii="Times New Roman" w:hAnsi="Times New Roman"/>
          <w:sz w:val="24"/>
          <w:szCs w:val="24"/>
        </w:rPr>
        <w:t xml:space="preserve"> ближайшие годы ожидается </w:t>
      </w:r>
      <w:r>
        <w:rPr>
          <w:rFonts w:ascii="Times New Roman" w:hAnsi="Times New Roman"/>
          <w:sz w:val="24"/>
          <w:szCs w:val="24"/>
        </w:rPr>
        <w:t xml:space="preserve">некоторое </w:t>
      </w:r>
      <w:r w:rsidR="005D55C6">
        <w:rPr>
          <w:rFonts w:ascii="Times New Roman" w:hAnsi="Times New Roman"/>
          <w:sz w:val="24"/>
          <w:szCs w:val="24"/>
        </w:rPr>
        <w:t xml:space="preserve">превышение темпов роста </w:t>
      </w:r>
      <w:proofErr w:type="gramStart"/>
      <w:r w:rsidR="005D55C6">
        <w:rPr>
          <w:rFonts w:ascii="Times New Roman" w:hAnsi="Times New Roman"/>
          <w:sz w:val="24"/>
          <w:szCs w:val="24"/>
        </w:rPr>
        <w:t>над</w:t>
      </w:r>
      <w:proofErr w:type="gramEnd"/>
      <w:r w:rsidR="005D55C6">
        <w:rPr>
          <w:rFonts w:ascii="Times New Roman" w:hAnsi="Times New Roman"/>
          <w:sz w:val="24"/>
          <w:szCs w:val="24"/>
        </w:rPr>
        <w:t xml:space="preserve"> потенциальными, однако, по </w:t>
      </w:r>
      <w:r w:rsidR="005D55C6" w:rsidRPr="00582B30">
        <w:rPr>
          <w:rFonts w:ascii="Times New Roman" w:hAnsi="Times New Roman"/>
          <w:sz w:val="24"/>
          <w:szCs w:val="24"/>
        </w:rPr>
        <w:t xml:space="preserve">мере приближения к полной занятости (вероятно, в 2018 году) темпы роста замедлятся ближе к </w:t>
      </w:r>
      <w:r w:rsidR="005D55C6">
        <w:rPr>
          <w:rFonts w:ascii="Times New Roman" w:hAnsi="Times New Roman"/>
          <w:sz w:val="24"/>
          <w:szCs w:val="24"/>
        </w:rPr>
        <w:t>потенциальным</w:t>
      </w:r>
      <w:r w:rsidR="00D53C5B">
        <w:rPr>
          <w:rFonts w:ascii="Times New Roman" w:hAnsi="Times New Roman"/>
          <w:sz w:val="24"/>
          <w:szCs w:val="24"/>
        </w:rPr>
        <w:t xml:space="preserve">, которые </w:t>
      </w:r>
      <w:r w:rsidR="005D55C6" w:rsidRPr="00582B30">
        <w:rPr>
          <w:rFonts w:ascii="Times New Roman" w:hAnsi="Times New Roman"/>
          <w:sz w:val="24"/>
          <w:szCs w:val="24"/>
        </w:rPr>
        <w:t>в силу структурных ограничений</w:t>
      </w:r>
      <w:r w:rsidR="00D53C5B">
        <w:rPr>
          <w:rFonts w:ascii="Times New Roman" w:hAnsi="Times New Roman"/>
          <w:sz w:val="24"/>
          <w:szCs w:val="24"/>
        </w:rPr>
        <w:t xml:space="preserve"> </w:t>
      </w:r>
      <w:r w:rsidR="00D34D6B">
        <w:rPr>
          <w:rFonts w:ascii="Times New Roman" w:hAnsi="Times New Roman"/>
          <w:sz w:val="24"/>
          <w:szCs w:val="24"/>
        </w:rPr>
        <w:t xml:space="preserve">не превышают </w:t>
      </w:r>
      <w:r w:rsidR="00D53C5B">
        <w:rPr>
          <w:rFonts w:ascii="Times New Roman" w:hAnsi="Times New Roman"/>
          <w:sz w:val="24"/>
          <w:szCs w:val="24"/>
        </w:rPr>
        <w:t>1</w:t>
      </w:r>
      <w:r w:rsidR="00C25115">
        <w:rPr>
          <w:rFonts w:ascii="Times New Roman" w:hAnsi="Times New Roman"/>
          <w:sz w:val="24"/>
          <w:szCs w:val="24"/>
        </w:rPr>
        <w:t>,</w:t>
      </w:r>
      <w:r w:rsidR="00977EFE">
        <w:rPr>
          <w:rFonts w:ascii="Times New Roman" w:hAnsi="Times New Roman"/>
          <w:sz w:val="24"/>
          <w:szCs w:val="24"/>
        </w:rPr>
        <w:t>0</w:t>
      </w:r>
      <w:r w:rsidR="00D53C5B">
        <w:rPr>
          <w:rFonts w:ascii="Times New Roman" w:hAnsi="Times New Roman"/>
          <w:sz w:val="24"/>
          <w:szCs w:val="24"/>
        </w:rPr>
        <w:t>%</w:t>
      </w:r>
      <w:r w:rsidR="005D55C6">
        <w:rPr>
          <w:rFonts w:ascii="Times New Roman" w:hAnsi="Times New Roman"/>
          <w:sz w:val="24"/>
          <w:szCs w:val="24"/>
        </w:rPr>
        <w:t>.</w:t>
      </w:r>
    </w:p>
    <w:p w:rsidR="004A7D25" w:rsidRDefault="004A7D25" w:rsidP="004A7D25">
      <w:pPr>
        <w:spacing w:before="120" w:after="120"/>
        <w:jc w:val="both"/>
        <w:rPr>
          <w:rFonts w:ascii="Times New Roman" w:hAnsi="Times New Roman"/>
          <w:sz w:val="24"/>
          <w:szCs w:val="24"/>
        </w:rPr>
      </w:pPr>
      <w:r w:rsidRPr="00582B30">
        <w:rPr>
          <w:rFonts w:ascii="Times New Roman" w:hAnsi="Times New Roman"/>
          <w:sz w:val="24"/>
          <w:szCs w:val="24"/>
        </w:rPr>
        <w:t xml:space="preserve">Накопленные структурные дисбалансы проявляют себя и в </w:t>
      </w:r>
      <w:r w:rsidRPr="00582B30">
        <w:rPr>
          <w:rFonts w:ascii="Times New Roman" w:hAnsi="Times New Roman"/>
          <w:b/>
          <w:sz w:val="24"/>
          <w:szCs w:val="24"/>
        </w:rPr>
        <w:t>странах с формирующимися рынками</w:t>
      </w:r>
      <w:r w:rsidRPr="00582B30">
        <w:rPr>
          <w:rFonts w:ascii="Times New Roman" w:hAnsi="Times New Roman"/>
          <w:sz w:val="24"/>
          <w:szCs w:val="24"/>
        </w:rPr>
        <w:t xml:space="preserve">. Основной зоной риска здесь является экономика </w:t>
      </w:r>
      <w:r w:rsidRPr="00582B30">
        <w:rPr>
          <w:rFonts w:ascii="Times New Roman" w:hAnsi="Times New Roman"/>
          <w:b/>
          <w:sz w:val="24"/>
          <w:szCs w:val="24"/>
        </w:rPr>
        <w:t>Китая</w:t>
      </w:r>
      <w:r w:rsidRPr="00582B30">
        <w:rPr>
          <w:rFonts w:ascii="Times New Roman" w:hAnsi="Times New Roman"/>
          <w:sz w:val="24"/>
          <w:szCs w:val="24"/>
        </w:rPr>
        <w:t xml:space="preserve">. </w:t>
      </w:r>
      <w:bookmarkStart w:id="15" w:name="_Hlk486746795"/>
      <w:r w:rsidRPr="00582B30">
        <w:rPr>
          <w:rFonts w:ascii="Times New Roman" w:hAnsi="Times New Roman"/>
          <w:sz w:val="24"/>
          <w:szCs w:val="24"/>
        </w:rPr>
        <w:t>Прежняя модель экономического роста, основанная на форсированной трансформации высокого уровня сбережений в инвестиции, себя исчерпала</w:t>
      </w:r>
      <w:bookmarkEnd w:id="15"/>
      <w:r w:rsidRPr="00582B30">
        <w:rPr>
          <w:rFonts w:ascii="Times New Roman" w:hAnsi="Times New Roman"/>
          <w:sz w:val="24"/>
          <w:szCs w:val="24"/>
        </w:rPr>
        <w:t>. Ее поддержка чревата формированием серьезных рисков в финансовой системе, усугублением проблем, связанных с разрастанием избыточных мощностей и неэффективн</w:t>
      </w:r>
      <w:r>
        <w:rPr>
          <w:rFonts w:ascii="Times New Roman" w:hAnsi="Times New Roman"/>
          <w:sz w:val="24"/>
          <w:szCs w:val="24"/>
        </w:rPr>
        <w:t>ым</w:t>
      </w:r>
      <w:r w:rsidRPr="00582B30">
        <w:rPr>
          <w:rFonts w:ascii="Times New Roman" w:hAnsi="Times New Roman"/>
          <w:sz w:val="24"/>
          <w:szCs w:val="24"/>
        </w:rPr>
        <w:t xml:space="preserve"> </w:t>
      </w:r>
      <w:r>
        <w:rPr>
          <w:rFonts w:ascii="Times New Roman" w:hAnsi="Times New Roman"/>
          <w:sz w:val="24"/>
          <w:szCs w:val="24"/>
        </w:rPr>
        <w:t xml:space="preserve">распределением </w:t>
      </w:r>
      <w:r w:rsidRPr="00582B30">
        <w:rPr>
          <w:rFonts w:ascii="Times New Roman" w:hAnsi="Times New Roman"/>
          <w:sz w:val="24"/>
          <w:szCs w:val="24"/>
        </w:rPr>
        <w:t>ресурсов. Вместе с тем неизбежным следствием структурной перестройки китайской экономики (характеризующейся снижением доли инвестиций в ВВП) станет замедление темпов ее роста. Демографические тенденции – Китай, как и большинство развитых стран, уже вошел в многолетний период сокращения фактической численности населения в трудоспособном возрасте</w:t>
      </w:r>
      <w:r>
        <w:rPr>
          <w:rFonts w:ascii="Times New Roman" w:hAnsi="Times New Roman"/>
          <w:sz w:val="24"/>
          <w:szCs w:val="24"/>
        </w:rPr>
        <w:t xml:space="preserve"> – будут усугублять этот тренд.</w:t>
      </w:r>
    </w:p>
    <w:p w:rsidR="004A7D25" w:rsidRDefault="00CE128C" w:rsidP="004A7D25">
      <w:pPr>
        <w:spacing w:before="120" w:after="120"/>
        <w:jc w:val="both"/>
        <w:rPr>
          <w:rFonts w:ascii="Times New Roman" w:hAnsi="Times New Roman"/>
          <w:sz w:val="24"/>
          <w:szCs w:val="24"/>
        </w:rPr>
      </w:pPr>
      <w:proofErr w:type="spellStart"/>
      <w:proofErr w:type="gramStart"/>
      <w:r w:rsidRPr="00275535">
        <w:rPr>
          <w:rFonts w:ascii="Times New Roman" w:hAnsi="Times New Roman"/>
          <w:b/>
          <w:sz w:val="24"/>
          <w:szCs w:val="24"/>
        </w:rPr>
        <w:t>C</w:t>
      </w:r>
      <w:proofErr w:type="gramEnd"/>
      <w:r w:rsidRPr="00275535">
        <w:rPr>
          <w:rFonts w:ascii="Times New Roman" w:hAnsi="Times New Roman"/>
          <w:b/>
          <w:sz w:val="24"/>
          <w:szCs w:val="24"/>
        </w:rPr>
        <w:t>траны</w:t>
      </w:r>
      <w:proofErr w:type="spellEnd"/>
      <w:r w:rsidRPr="00275535">
        <w:rPr>
          <w:rFonts w:ascii="Times New Roman" w:hAnsi="Times New Roman"/>
          <w:b/>
          <w:sz w:val="24"/>
          <w:szCs w:val="24"/>
        </w:rPr>
        <w:t xml:space="preserve"> с формирующимися рынками.</w:t>
      </w:r>
      <w:r w:rsidRPr="00275535">
        <w:t xml:space="preserve"> </w:t>
      </w:r>
      <w:r w:rsidR="004A7D25">
        <w:rPr>
          <w:rFonts w:ascii="Times New Roman" w:hAnsi="Times New Roman"/>
          <w:sz w:val="24"/>
          <w:szCs w:val="24"/>
        </w:rPr>
        <w:t xml:space="preserve">Вступление развитых стран </w:t>
      </w:r>
      <w:r w:rsidR="004A7D25" w:rsidRPr="008F6327">
        <w:rPr>
          <w:rFonts w:ascii="Times New Roman" w:hAnsi="Times New Roman"/>
          <w:sz w:val="24"/>
          <w:szCs w:val="24"/>
        </w:rPr>
        <w:t>в</w:t>
      </w:r>
      <w:r w:rsidR="004A7D25">
        <w:rPr>
          <w:rFonts w:ascii="Times New Roman" w:hAnsi="Times New Roman"/>
          <w:sz w:val="24"/>
          <w:szCs w:val="24"/>
        </w:rPr>
        <w:t xml:space="preserve"> позднюю стадию восстановления и некоторая </w:t>
      </w:r>
      <w:r w:rsidR="004A7D25" w:rsidRPr="008F6327">
        <w:rPr>
          <w:rFonts w:ascii="Times New Roman" w:hAnsi="Times New Roman"/>
          <w:sz w:val="24"/>
          <w:szCs w:val="24"/>
        </w:rPr>
        <w:t>стабилиз</w:t>
      </w:r>
      <w:r w:rsidR="004A7D25">
        <w:rPr>
          <w:rFonts w:ascii="Times New Roman" w:hAnsi="Times New Roman"/>
          <w:sz w:val="24"/>
          <w:szCs w:val="24"/>
        </w:rPr>
        <w:t xml:space="preserve">ация </w:t>
      </w:r>
      <w:r w:rsidR="004A7D25" w:rsidRPr="008F6327">
        <w:rPr>
          <w:rFonts w:ascii="Times New Roman" w:hAnsi="Times New Roman"/>
          <w:sz w:val="24"/>
          <w:szCs w:val="24"/>
        </w:rPr>
        <w:t>ситуаци</w:t>
      </w:r>
      <w:r w:rsidR="004A7D25">
        <w:rPr>
          <w:rFonts w:ascii="Times New Roman" w:hAnsi="Times New Roman"/>
          <w:sz w:val="24"/>
          <w:szCs w:val="24"/>
        </w:rPr>
        <w:t>и</w:t>
      </w:r>
      <w:r w:rsidR="004A7D25" w:rsidRPr="008F6327">
        <w:rPr>
          <w:rFonts w:ascii="Times New Roman" w:hAnsi="Times New Roman"/>
          <w:sz w:val="24"/>
          <w:szCs w:val="24"/>
        </w:rPr>
        <w:t xml:space="preserve"> на сырьевых рынках</w:t>
      </w:r>
      <w:r w:rsidR="004A7D25">
        <w:rPr>
          <w:rFonts w:ascii="Times New Roman" w:hAnsi="Times New Roman"/>
          <w:sz w:val="24"/>
          <w:szCs w:val="24"/>
        </w:rPr>
        <w:t xml:space="preserve"> должны положительно отразиться на экономических перспективах стран с формирующимися рынками. </w:t>
      </w:r>
      <w:r w:rsidR="004A7D25" w:rsidRPr="008F6327">
        <w:rPr>
          <w:rFonts w:ascii="Times New Roman" w:hAnsi="Times New Roman"/>
          <w:sz w:val="24"/>
          <w:szCs w:val="24"/>
        </w:rPr>
        <w:t>Но положительный эффект будет нерав</w:t>
      </w:r>
      <w:r w:rsidR="004A7D25">
        <w:rPr>
          <w:rFonts w:ascii="Times New Roman" w:hAnsi="Times New Roman"/>
          <w:sz w:val="24"/>
          <w:szCs w:val="24"/>
        </w:rPr>
        <w:t>номерным.</w:t>
      </w:r>
    </w:p>
    <w:p w:rsidR="004A7D25" w:rsidRDefault="004A7D25" w:rsidP="009F1CCA">
      <w:pPr>
        <w:pStyle w:val="a9"/>
        <w:numPr>
          <w:ilvl w:val="0"/>
          <w:numId w:val="27"/>
        </w:numPr>
        <w:spacing w:before="120" w:after="120"/>
        <w:contextualSpacing w:val="0"/>
        <w:jc w:val="both"/>
        <w:rPr>
          <w:rFonts w:ascii="Times New Roman" w:hAnsi="Times New Roman"/>
          <w:sz w:val="24"/>
          <w:szCs w:val="24"/>
        </w:rPr>
      </w:pPr>
      <w:proofErr w:type="gramStart"/>
      <w:r w:rsidRPr="00662E66">
        <w:rPr>
          <w:rFonts w:ascii="Times New Roman" w:hAnsi="Times New Roman"/>
          <w:i/>
          <w:sz w:val="24"/>
          <w:szCs w:val="24"/>
        </w:rPr>
        <w:t>Бенефициарами</w:t>
      </w:r>
      <w:r w:rsidRPr="00662E66">
        <w:rPr>
          <w:rFonts w:ascii="Times New Roman" w:hAnsi="Times New Roman"/>
          <w:sz w:val="24"/>
          <w:szCs w:val="24"/>
        </w:rPr>
        <w:t xml:space="preserve"> станут страны, прошедшие в последние 2 года </w:t>
      </w:r>
      <w:r>
        <w:rPr>
          <w:rFonts w:ascii="Times New Roman" w:hAnsi="Times New Roman"/>
          <w:sz w:val="24"/>
          <w:szCs w:val="24"/>
        </w:rPr>
        <w:t>путь</w:t>
      </w:r>
      <w:r w:rsidRPr="00662E66">
        <w:rPr>
          <w:rFonts w:ascii="Times New Roman" w:hAnsi="Times New Roman"/>
          <w:sz w:val="24"/>
          <w:szCs w:val="24"/>
        </w:rPr>
        <w:t xml:space="preserve"> адаптации</w:t>
      </w:r>
      <w:r w:rsidR="008C2CD8">
        <w:rPr>
          <w:rFonts w:ascii="Times New Roman" w:hAnsi="Times New Roman"/>
          <w:sz w:val="24"/>
          <w:szCs w:val="24"/>
        </w:rPr>
        <w:t xml:space="preserve"> </w:t>
      </w:r>
      <w:r w:rsidR="008C2CD8" w:rsidRPr="00662E66">
        <w:rPr>
          <w:rFonts w:ascii="Times New Roman" w:hAnsi="Times New Roman"/>
          <w:sz w:val="24"/>
          <w:szCs w:val="24"/>
        </w:rPr>
        <w:t>(не всегда безболезненной и популярной)</w:t>
      </w:r>
      <w:r w:rsidRPr="00662E66">
        <w:rPr>
          <w:rFonts w:ascii="Times New Roman" w:hAnsi="Times New Roman"/>
          <w:sz w:val="24"/>
          <w:szCs w:val="24"/>
        </w:rPr>
        <w:t xml:space="preserve"> экономических моделей.</w:t>
      </w:r>
      <w:proofErr w:type="gramEnd"/>
      <w:r w:rsidRPr="00662E66">
        <w:rPr>
          <w:rFonts w:ascii="Times New Roman" w:hAnsi="Times New Roman"/>
          <w:sz w:val="24"/>
          <w:szCs w:val="24"/>
        </w:rPr>
        <w:t xml:space="preserve"> Такие страны за последние два года стали менее зависимы от внешнего финансирования, исправили дисб</w:t>
      </w:r>
      <w:r>
        <w:rPr>
          <w:rFonts w:ascii="Times New Roman" w:hAnsi="Times New Roman"/>
          <w:sz w:val="24"/>
          <w:szCs w:val="24"/>
        </w:rPr>
        <w:t>а</w:t>
      </w:r>
      <w:r w:rsidRPr="00662E66">
        <w:rPr>
          <w:rFonts w:ascii="Times New Roman" w:hAnsi="Times New Roman"/>
          <w:sz w:val="24"/>
          <w:szCs w:val="24"/>
        </w:rPr>
        <w:t xml:space="preserve">лансы в бюджетной политике и на внутренних финансовых рынках, запустили структурные преобразования. Как результат </w:t>
      </w:r>
      <w:r>
        <w:rPr>
          <w:rFonts w:ascii="Times New Roman" w:hAnsi="Times New Roman"/>
          <w:sz w:val="24"/>
          <w:szCs w:val="24"/>
        </w:rPr>
        <w:t xml:space="preserve">- </w:t>
      </w:r>
      <w:r w:rsidRPr="00662E66">
        <w:rPr>
          <w:rFonts w:ascii="Times New Roman" w:hAnsi="Times New Roman"/>
          <w:sz w:val="24"/>
          <w:szCs w:val="24"/>
        </w:rPr>
        <w:t xml:space="preserve">структура экономик этих стран стала более конкурентоспособной и сейчас они могут рассчитывать на </w:t>
      </w:r>
      <w:r>
        <w:rPr>
          <w:rFonts w:ascii="Times New Roman" w:hAnsi="Times New Roman"/>
          <w:sz w:val="24"/>
          <w:szCs w:val="24"/>
        </w:rPr>
        <w:t>больший вклад в мировой экономический рост. К таким странам можно отнести Россию,</w:t>
      </w:r>
      <w:r w:rsidRPr="00662E66">
        <w:rPr>
          <w:rFonts w:ascii="Times New Roman" w:hAnsi="Times New Roman"/>
          <w:sz w:val="24"/>
          <w:szCs w:val="24"/>
        </w:rPr>
        <w:t xml:space="preserve"> Инди</w:t>
      </w:r>
      <w:r>
        <w:rPr>
          <w:rFonts w:ascii="Times New Roman" w:hAnsi="Times New Roman"/>
          <w:sz w:val="24"/>
          <w:szCs w:val="24"/>
        </w:rPr>
        <w:t>ю, Мексику.</w:t>
      </w:r>
    </w:p>
    <w:p w:rsidR="004A7D25" w:rsidRPr="000028CE" w:rsidRDefault="004A7D25" w:rsidP="009F1CCA">
      <w:pPr>
        <w:pStyle w:val="a9"/>
        <w:numPr>
          <w:ilvl w:val="0"/>
          <w:numId w:val="27"/>
        </w:numPr>
        <w:spacing w:before="120" w:after="120"/>
        <w:contextualSpacing w:val="0"/>
        <w:jc w:val="both"/>
        <w:rPr>
          <w:rFonts w:ascii="Times New Roman" w:hAnsi="Times New Roman"/>
          <w:sz w:val="24"/>
          <w:szCs w:val="24"/>
        </w:rPr>
      </w:pPr>
      <w:r w:rsidRPr="00662E66">
        <w:rPr>
          <w:rFonts w:ascii="Times New Roman" w:hAnsi="Times New Roman"/>
          <w:i/>
          <w:sz w:val="24"/>
          <w:szCs w:val="24"/>
        </w:rPr>
        <w:t>Проигравшими</w:t>
      </w:r>
      <w:r>
        <w:rPr>
          <w:rFonts w:ascii="Times New Roman" w:hAnsi="Times New Roman"/>
          <w:sz w:val="24"/>
          <w:szCs w:val="24"/>
        </w:rPr>
        <w:t xml:space="preserve"> станут страны, </w:t>
      </w:r>
      <w:r w:rsidRPr="00662E66">
        <w:rPr>
          <w:rFonts w:ascii="Times New Roman" w:hAnsi="Times New Roman"/>
          <w:sz w:val="24"/>
          <w:szCs w:val="24"/>
        </w:rPr>
        <w:t>не признав</w:t>
      </w:r>
      <w:r>
        <w:rPr>
          <w:rFonts w:ascii="Times New Roman" w:hAnsi="Times New Roman"/>
          <w:sz w:val="24"/>
          <w:szCs w:val="24"/>
        </w:rPr>
        <w:t>шие</w:t>
      </w:r>
      <w:r w:rsidRPr="00662E66">
        <w:rPr>
          <w:rFonts w:ascii="Times New Roman" w:hAnsi="Times New Roman"/>
          <w:sz w:val="24"/>
          <w:szCs w:val="24"/>
        </w:rPr>
        <w:t xml:space="preserve"> прошлые ошибки в экономической политике </w:t>
      </w:r>
      <w:r>
        <w:rPr>
          <w:rFonts w:ascii="Times New Roman" w:hAnsi="Times New Roman"/>
          <w:sz w:val="24"/>
          <w:szCs w:val="24"/>
        </w:rPr>
        <w:t xml:space="preserve">и </w:t>
      </w:r>
      <w:r w:rsidRPr="00662E66">
        <w:rPr>
          <w:rFonts w:ascii="Times New Roman" w:hAnsi="Times New Roman"/>
          <w:sz w:val="24"/>
          <w:szCs w:val="24"/>
        </w:rPr>
        <w:t>не поше</w:t>
      </w:r>
      <w:r>
        <w:rPr>
          <w:rFonts w:ascii="Times New Roman" w:hAnsi="Times New Roman"/>
          <w:sz w:val="24"/>
          <w:szCs w:val="24"/>
        </w:rPr>
        <w:t>дшие</w:t>
      </w:r>
      <w:r w:rsidRPr="00662E66">
        <w:rPr>
          <w:rFonts w:ascii="Times New Roman" w:hAnsi="Times New Roman"/>
          <w:sz w:val="24"/>
          <w:szCs w:val="24"/>
        </w:rPr>
        <w:t xml:space="preserve"> по пути подстройки к новой реальности</w:t>
      </w:r>
      <w:r>
        <w:rPr>
          <w:rFonts w:ascii="Times New Roman" w:hAnsi="Times New Roman"/>
          <w:sz w:val="24"/>
          <w:szCs w:val="24"/>
        </w:rPr>
        <w:t>. Такие страны</w:t>
      </w:r>
      <w:r w:rsidRPr="00662E66">
        <w:rPr>
          <w:rFonts w:ascii="Times New Roman" w:hAnsi="Times New Roman"/>
          <w:sz w:val="24"/>
          <w:szCs w:val="24"/>
        </w:rPr>
        <w:t xml:space="preserve"> за последние два года нарастили бюджетные и структурные дисбалансы, стали более зависимы от внешнего финансирования и/или накопили потенциал неустойчивости на внутренних финансовых рынках. </w:t>
      </w:r>
      <w:r>
        <w:rPr>
          <w:rFonts w:ascii="Times New Roman" w:hAnsi="Times New Roman"/>
          <w:sz w:val="24"/>
          <w:szCs w:val="24"/>
        </w:rPr>
        <w:t>У</w:t>
      </w:r>
      <w:r w:rsidRPr="00662E66">
        <w:rPr>
          <w:rFonts w:ascii="Times New Roman" w:hAnsi="Times New Roman"/>
          <w:sz w:val="24"/>
          <w:szCs w:val="24"/>
        </w:rPr>
        <w:t xml:space="preserve">худшение внешних условий заимствований </w:t>
      </w:r>
      <w:r>
        <w:rPr>
          <w:rFonts w:ascii="Times New Roman" w:hAnsi="Times New Roman"/>
          <w:sz w:val="24"/>
          <w:szCs w:val="24"/>
        </w:rPr>
        <w:t xml:space="preserve">по мере нормализации денежно-кредитной политики мировыми центральными банками создаст значительные риски для таких стран. К таким странам можно отнести </w:t>
      </w:r>
      <w:r w:rsidRPr="00662E66">
        <w:rPr>
          <w:rFonts w:ascii="Times New Roman" w:hAnsi="Times New Roman"/>
          <w:sz w:val="24"/>
          <w:szCs w:val="24"/>
        </w:rPr>
        <w:t>Турци</w:t>
      </w:r>
      <w:r>
        <w:rPr>
          <w:rFonts w:ascii="Times New Roman" w:hAnsi="Times New Roman"/>
          <w:sz w:val="24"/>
          <w:szCs w:val="24"/>
        </w:rPr>
        <w:t>ю</w:t>
      </w:r>
      <w:r w:rsidRPr="00662E66">
        <w:rPr>
          <w:rFonts w:ascii="Times New Roman" w:hAnsi="Times New Roman"/>
          <w:sz w:val="24"/>
          <w:szCs w:val="24"/>
        </w:rPr>
        <w:t>, Бразили</w:t>
      </w:r>
      <w:r>
        <w:rPr>
          <w:rFonts w:ascii="Times New Roman" w:hAnsi="Times New Roman"/>
          <w:sz w:val="24"/>
          <w:szCs w:val="24"/>
        </w:rPr>
        <w:t>ю</w:t>
      </w:r>
      <w:r w:rsidRPr="00662E66">
        <w:rPr>
          <w:rFonts w:ascii="Times New Roman" w:hAnsi="Times New Roman"/>
          <w:sz w:val="24"/>
          <w:szCs w:val="24"/>
        </w:rPr>
        <w:t>, Венесуэл</w:t>
      </w:r>
      <w:r>
        <w:rPr>
          <w:rFonts w:ascii="Times New Roman" w:hAnsi="Times New Roman"/>
          <w:sz w:val="24"/>
          <w:szCs w:val="24"/>
        </w:rPr>
        <w:t>у</w:t>
      </w:r>
      <w:r w:rsidRPr="00662E66">
        <w:rPr>
          <w:rFonts w:ascii="Times New Roman" w:hAnsi="Times New Roman"/>
          <w:sz w:val="24"/>
          <w:szCs w:val="24"/>
        </w:rPr>
        <w:t>, Китай</w:t>
      </w:r>
      <w:r>
        <w:rPr>
          <w:rFonts w:ascii="Times New Roman" w:hAnsi="Times New Roman"/>
          <w:sz w:val="24"/>
          <w:szCs w:val="24"/>
        </w:rPr>
        <w:t xml:space="preserve"> и большинство крупных нефтегазовых экспортеров Ближнего Востока.</w:t>
      </w:r>
    </w:p>
    <w:p w:rsidR="004E2069" w:rsidRPr="000028CE" w:rsidRDefault="004E2069" w:rsidP="00662E66">
      <w:pPr>
        <w:spacing w:before="120" w:after="120"/>
        <w:jc w:val="both"/>
        <w:rPr>
          <w:rFonts w:ascii="Times New Roman" w:hAnsi="Times New Roman"/>
          <w:sz w:val="24"/>
          <w:szCs w:val="24"/>
        </w:rPr>
      </w:pPr>
      <w:r w:rsidRPr="008F6327">
        <w:rPr>
          <w:rFonts w:ascii="Times New Roman" w:hAnsi="Times New Roman"/>
          <w:b/>
          <w:sz w:val="24"/>
          <w:szCs w:val="24"/>
        </w:rPr>
        <w:t xml:space="preserve">Таким образом, темпы роста мировой экономики могут несколько снизиться </w:t>
      </w:r>
      <w:r w:rsidR="008F6327" w:rsidRPr="008F6327">
        <w:rPr>
          <w:rFonts w:ascii="Times New Roman" w:hAnsi="Times New Roman"/>
          <w:b/>
          <w:sz w:val="24"/>
          <w:szCs w:val="24"/>
        </w:rPr>
        <w:t xml:space="preserve">в 2018-2020 гг. </w:t>
      </w:r>
      <w:r w:rsidRPr="008F6327">
        <w:rPr>
          <w:rFonts w:ascii="Times New Roman" w:hAnsi="Times New Roman"/>
          <w:b/>
          <w:sz w:val="24"/>
          <w:szCs w:val="24"/>
        </w:rPr>
        <w:t xml:space="preserve">по сравнению с темпами роста, превалировавшими </w:t>
      </w:r>
      <w:r w:rsidR="008F6327">
        <w:rPr>
          <w:rFonts w:ascii="Times New Roman" w:hAnsi="Times New Roman"/>
          <w:b/>
          <w:sz w:val="24"/>
          <w:szCs w:val="24"/>
        </w:rPr>
        <w:t xml:space="preserve">в 2017 году и </w:t>
      </w:r>
      <w:r w:rsidRPr="008F6327">
        <w:rPr>
          <w:rFonts w:ascii="Times New Roman" w:hAnsi="Times New Roman"/>
          <w:b/>
          <w:sz w:val="24"/>
          <w:szCs w:val="24"/>
        </w:rPr>
        <w:t>в</w:t>
      </w:r>
      <w:r w:rsidR="008F6327">
        <w:rPr>
          <w:rFonts w:ascii="Times New Roman" w:hAnsi="Times New Roman"/>
          <w:b/>
          <w:sz w:val="24"/>
          <w:szCs w:val="24"/>
        </w:rPr>
        <w:t xml:space="preserve"> целом на</w:t>
      </w:r>
      <w:r w:rsidR="006304DB">
        <w:rPr>
          <w:rFonts w:ascii="Times New Roman" w:hAnsi="Times New Roman"/>
          <w:b/>
          <w:sz w:val="24"/>
          <w:szCs w:val="24"/>
        </w:rPr>
        <w:t xml:space="preserve"> протяжении </w:t>
      </w:r>
      <w:r w:rsidRPr="008F6327">
        <w:rPr>
          <w:rFonts w:ascii="Times New Roman" w:hAnsi="Times New Roman"/>
          <w:b/>
          <w:sz w:val="24"/>
          <w:szCs w:val="24"/>
        </w:rPr>
        <w:t>восстановительной фаз</w:t>
      </w:r>
      <w:r w:rsidR="006304DB">
        <w:rPr>
          <w:rFonts w:ascii="Times New Roman" w:hAnsi="Times New Roman"/>
          <w:b/>
          <w:sz w:val="24"/>
          <w:szCs w:val="24"/>
        </w:rPr>
        <w:t>ы</w:t>
      </w:r>
      <w:r w:rsidR="008F6327">
        <w:rPr>
          <w:rFonts w:ascii="Times New Roman" w:hAnsi="Times New Roman"/>
          <w:b/>
          <w:sz w:val="24"/>
          <w:szCs w:val="24"/>
        </w:rPr>
        <w:t xml:space="preserve"> делового цикла (последние 5 лет)</w:t>
      </w:r>
      <w:r w:rsidRPr="000028CE">
        <w:rPr>
          <w:rFonts w:ascii="Times New Roman" w:hAnsi="Times New Roman"/>
          <w:sz w:val="24"/>
          <w:szCs w:val="24"/>
        </w:rPr>
        <w:t>.</w:t>
      </w:r>
    </w:p>
    <w:p w:rsidR="004E2069" w:rsidRPr="00040317" w:rsidRDefault="004E2069" w:rsidP="00E70510">
      <w:pPr>
        <w:spacing w:before="240" w:after="120"/>
        <w:jc w:val="both"/>
        <w:rPr>
          <w:rFonts w:ascii="Times New Roman" w:hAnsi="Times New Roman"/>
          <w:b/>
          <w:sz w:val="28"/>
          <w:szCs w:val="24"/>
        </w:rPr>
      </w:pPr>
      <w:r w:rsidRPr="00040317">
        <w:rPr>
          <w:rFonts w:ascii="Times New Roman" w:hAnsi="Times New Roman"/>
          <w:b/>
          <w:sz w:val="28"/>
          <w:szCs w:val="24"/>
        </w:rPr>
        <w:t>Условия торговли</w:t>
      </w:r>
    </w:p>
    <w:p w:rsidR="00134881" w:rsidRDefault="006473B1" w:rsidP="00134881">
      <w:pPr>
        <w:spacing w:before="120" w:after="120"/>
        <w:jc w:val="both"/>
        <w:rPr>
          <w:rFonts w:ascii="Times New Roman" w:hAnsi="Times New Roman"/>
          <w:sz w:val="24"/>
          <w:szCs w:val="24"/>
        </w:rPr>
      </w:pPr>
      <w:r>
        <w:rPr>
          <w:rFonts w:ascii="Times New Roman" w:hAnsi="Times New Roman"/>
          <w:sz w:val="24"/>
          <w:szCs w:val="24"/>
        </w:rPr>
        <w:t xml:space="preserve">В структуре </w:t>
      </w:r>
      <w:r w:rsidR="00134881" w:rsidRPr="008B2386">
        <w:rPr>
          <w:rFonts w:ascii="Times New Roman" w:hAnsi="Times New Roman"/>
          <w:sz w:val="24"/>
          <w:szCs w:val="24"/>
        </w:rPr>
        <w:t xml:space="preserve">роста мировой экономики наблюдаются заметные географические сдвиги: страны развивающегося блока, обеспечивавшие в предшествующие годы основной вклад в рост мировой экономики в </w:t>
      </w:r>
      <w:r w:rsidR="00134881">
        <w:rPr>
          <w:rFonts w:ascii="Times New Roman" w:hAnsi="Times New Roman"/>
          <w:sz w:val="24"/>
          <w:szCs w:val="24"/>
        </w:rPr>
        <w:t>целом</w:t>
      </w:r>
      <w:r w:rsidR="00134881" w:rsidRPr="008B2386">
        <w:rPr>
          <w:rFonts w:ascii="Times New Roman" w:hAnsi="Times New Roman"/>
          <w:sz w:val="24"/>
          <w:szCs w:val="24"/>
        </w:rPr>
        <w:t xml:space="preserve"> и увеличение спроса на сырьевые товары в частности, все чаще сталкиваются с вызреванием структурных проблем в моделях своего экономического развития.</w:t>
      </w:r>
      <w:r w:rsidR="0068260B">
        <w:rPr>
          <w:rFonts w:ascii="Times New Roman" w:hAnsi="Times New Roman"/>
          <w:sz w:val="24"/>
          <w:szCs w:val="24"/>
        </w:rPr>
        <w:t xml:space="preserve"> </w:t>
      </w:r>
      <w:r w:rsidR="004A7D25">
        <w:rPr>
          <w:rFonts w:ascii="Times New Roman" w:hAnsi="Times New Roman"/>
          <w:sz w:val="24"/>
          <w:szCs w:val="24"/>
        </w:rPr>
        <w:t>Н</w:t>
      </w:r>
      <w:r w:rsidR="0068260B">
        <w:rPr>
          <w:rFonts w:ascii="Times New Roman" w:hAnsi="Times New Roman"/>
          <w:sz w:val="24"/>
          <w:szCs w:val="24"/>
        </w:rPr>
        <w:t xml:space="preserve">аряду с долгосрочной тенденцией к снижению энергоемкости мировой экономики, а также изменениями </w:t>
      </w:r>
      <w:r w:rsidR="0068260B" w:rsidRPr="00A61FA4">
        <w:rPr>
          <w:rFonts w:ascii="Times New Roman" w:hAnsi="Times New Roman"/>
          <w:sz w:val="24"/>
          <w:szCs w:val="24"/>
        </w:rPr>
        <w:t xml:space="preserve">структуры спроса в отраслях-потребителях </w:t>
      </w:r>
      <w:r w:rsidR="0068260B">
        <w:rPr>
          <w:rFonts w:ascii="Times New Roman" w:hAnsi="Times New Roman"/>
          <w:sz w:val="24"/>
          <w:szCs w:val="24"/>
        </w:rPr>
        <w:t>(распространение электромобилей, вытеснение нефти газом в ряде отраслей промышленности)</w:t>
      </w:r>
      <w:r w:rsidR="00B04970">
        <w:rPr>
          <w:rFonts w:ascii="Times New Roman" w:hAnsi="Times New Roman"/>
          <w:sz w:val="24"/>
          <w:szCs w:val="24"/>
        </w:rPr>
        <w:t xml:space="preserve"> это</w:t>
      </w:r>
      <w:r w:rsidR="0068260B">
        <w:rPr>
          <w:rFonts w:ascii="Times New Roman" w:hAnsi="Times New Roman"/>
          <w:sz w:val="24"/>
          <w:szCs w:val="24"/>
        </w:rPr>
        <w:t xml:space="preserve"> способствовал</w:t>
      </w:r>
      <w:r w:rsidR="00B04970">
        <w:rPr>
          <w:rFonts w:ascii="Times New Roman" w:hAnsi="Times New Roman"/>
          <w:sz w:val="24"/>
          <w:szCs w:val="24"/>
        </w:rPr>
        <w:t>о</w:t>
      </w:r>
      <w:r w:rsidR="0068260B">
        <w:rPr>
          <w:rFonts w:ascii="Times New Roman" w:hAnsi="Times New Roman"/>
          <w:sz w:val="24"/>
          <w:szCs w:val="24"/>
        </w:rPr>
        <w:t xml:space="preserve"> замедлению темпов роста мирового спроса на нефть в последние годы.</w:t>
      </w:r>
    </w:p>
    <w:p w:rsidR="0068260B" w:rsidRPr="0059637D" w:rsidRDefault="0068260B" w:rsidP="0068260B">
      <w:pPr>
        <w:spacing w:before="120" w:after="120"/>
        <w:jc w:val="both"/>
        <w:rPr>
          <w:rFonts w:ascii="Times New Roman" w:hAnsi="Times New Roman"/>
          <w:sz w:val="24"/>
          <w:szCs w:val="24"/>
        </w:rPr>
      </w:pPr>
      <w:r>
        <w:rPr>
          <w:rFonts w:ascii="Times New Roman" w:hAnsi="Times New Roman"/>
          <w:sz w:val="24"/>
          <w:szCs w:val="24"/>
        </w:rPr>
        <w:t xml:space="preserve">С другой стороны, существенный рост инвестиций в </w:t>
      </w:r>
      <w:r w:rsidRPr="0059637D">
        <w:rPr>
          <w:rFonts w:ascii="Times New Roman" w:hAnsi="Times New Roman"/>
          <w:sz w:val="24"/>
          <w:szCs w:val="24"/>
        </w:rPr>
        <w:t>развитие механизмов энергосбережения, технологии альтернативной энергетики и альтернативных способов добычи</w:t>
      </w:r>
      <w:r>
        <w:rPr>
          <w:rFonts w:ascii="Times New Roman" w:hAnsi="Times New Roman"/>
          <w:sz w:val="24"/>
          <w:szCs w:val="24"/>
        </w:rPr>
        <w:t xml:space="preserve"> в</w:t>
      </w:r>
      <w:r w:rsidRPr="0059637D">
        <w:rPr>
          <w:rFonts w:ascii="Times New Roman" w:hAnsi="Times New Roman"/>
          <w:sz w:val="24"/>
          <w:szCs w:val="24"/>
        </w:rPr>
        <w:t xml:space="preserve"> продолжительный период высоких цен на энергоресурсы способствовал </w:t>
      </w:r>
      <w:r>
        <w:rPr>
          <w:rFonts w:ascii="Times New Roman" w:hAnsi="Times New Roman"/>
          <w:sz w:val="24"/>
          <w:szCs w:val="24"/>
        </w:rPr>
        <w:t>снижению себестоимости добычи и росту предложения нефти.</w:t>
      </w:r>
    </w:p>
    <w:p w:rsidR="00134881" w:rsidRDefault="001728A7" w:rsidP="00134881">
      <w:pPr>
        <w:spacing w:before="120" w:after="120"/>
        <w:jc w:val="both"/>
        <w:rPr>
          <w:rFonts w:ascii="Times New Roman" w:hAnsi="Times New Roman"/>
          <w:sz w:val="24"/>
          <w:szCs w:val="24"/>
        </w:rPr>
      </w:pPr>
      <w:r w:rsidRPr="008C0987">
        <w:rPr>
          <w:noProof/>
          <w:lang w:eastAsia="ru-RU"/>
        </w:rPr>
        <mc:AlternateContent>
          <mc:Choice Requires="wps">
            <w:drawing>
              <wp:anchor distT="45720" distB="45720" distL="114300" distR="114300" simplePos="0" relativeHeight="251652608" behindDoc="0" locked="0" layoutInCell="1" allowOverlap="1" wp14:anchorId="33F80E58" wp14:editId="4E4B1385">
                <wp:simplePos x="0" y="0"/>
                <wp:positionH relativeFrom="margin">
                  <wp:posOffset>-39370</wp:posOffset>
                </wp:positionH>
                <wp:positionV relativeFrom="paragraph">
                  <wp:posOffset>1137920</wp:posOffset>
                </wp:positionV>
                <wp:extent cx="5851525" cy="6379210"/>
                <wp:effectExtent l="0" t="0" r="0" b="2540"/>
                <wp:wrapSquare wrapText="bothSides"/>
                <wp:docPr id="10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1525" cy="6379210"/>
                        </a:xfrm>
                        <a:prstGeom prst="rect">
                          <a:avLst/>
                        </a:prstGeom>
                        <a:solidFill>
                          <a:schemeClr val="bg1">
                            <a:lumMod val="95000"/>
                          </a:schemeClr>
                        </a:solidFill>
                        <a:ln w="9525">
                          <a:noFill/>
                          <a:miter lim="800000"/>
                          <a:headEnd/>
                          <a:tailEnd/>
                        </a:ln>
                      </wps:spPr>
                      <wps:txbx>
                        <w:txbxContent>
                          <w:p w:rsidR="007E5DFE" w:rsidRDefault="007E5DFE" w:rsidP="0068260B">
                            <w:pPr>
                              <w:rPr>
                                <w:rFonts w:ascii="Times New Roman" w:hAnsi="Times New Roman"/>
                                <w:b/>
                                <w:sz w:val="24"/>
                                <w:szCs w:val="24"/>
                              </w:rPr>
                            </w:pPr>
                            <w:r>
                              <w:rPr>
                                <w:rFonts w:ascii="Times New Roman" w:hAnsi="Times New Roman"/>
                                <w:b/>
                                <w:sz w:val="24"/>
                                <w:szCs w:val="24"/>
                              </w:rPr>
                              <w:t xml:space="preserve">Сырьевые </w:t>
                            </w:r>
                            <w:proofErr w:type="spellStart"/>
                            <w:r>
                              <w:rPr>
                                <w:rFonts w:ascii="Times New Roman" w:hAnsi="Times New Roman"/>
                                <w:b/>
                                <w:sz w:val="24"/>
                                <w:szCs w:val="24"/>
                              </w:rPr>
                              <w:t>суперциклы</w:t>
                            </w:r>
                            <w:proofErr w:type="spellEnd"/>
                          </w:p>
                          <w:p w:rsidR="007E5DFE" w:rsidRDefault="007E5DFE" w:rsidP="0068260B">
                            <w:pPr>
                              <w:spacing w:before="120" w:after="120"/>
                              <w:jc w:val="both"/>
                              <w:rPr>
                                <w:rFonts w:ascii="Times New Roman" w:hAnsi="Times New Roman"/>
                                <w:sz w:val="20"/>
                                <w:szCs w:val="20"/>
                              </w:rPr>
                            </w:pPr>
                            <w:r w:rsidRPr="00432BC4">
                              <w:rPr>
                                <w:rFonts w:ascii="Times New Roman" w:hAnsi="Times New Roman"/>
                                <w:i/>
                                <w:sz w:val="20"/>
                                <w:szCs w:val="20"/>
                              </w:rPr>
                              <w:t>Для глобал</w:t>
                            </w:r>
                            <w:r>
                              <w:rPr>
                                <w:rFonts w:ascii="Times New Roman" w:hAnsi="Times New Roman"/>
                                <w:i/>
                                <w:sz w:val="20"/>
                                <w:szCs w:val="20"/>
                              </w:rPr>
                              <w:t xml:space="preserve">ьных сырьевых рынков характерны ценовые </w:t>
                            </w:r>
                            <w:r w:rsidRPr="00432BC4">
                              <w:rPr>
                                <w:rFonts w:ascii="Times New Roman" w:hAnsi="Times New Roman"/>
                                <w:i/>
                                <w:sz w:val="20"/>
                                <w:szCs w:val="20"/>
                              </w:rPr>
                              <w:t>циклы длительностью около 30-ти лет.</w:t>
                            </w:r>
                            <w:r w:rsidRPr="0033456A">
                              <w:rPr>
                                <w:rFonts w:ascii="Times New Roman" w:hAnsi="Times New Roman"/>
                                <w:sz w:val="20"/>
                                <w:szCs w:val="20"/>
                              </w:rPr>
                              <w:t xml:space="preserve"> </w:t>
                            </w:r>
                            <w:proofErr w:type="gramStart"/>
                            <w:r>
                              <w:rPr>
                                <w:rFonts w:ascii="Times New Roman" w:hAnsi="Times New Roman"/>
                                <w:sz w:val="20"/>
                                <w:szCs w:val="20"/>
                              </w:rPr>
                              <w:t>Повышательная волна ценовой конъюнктуры обычно связана с «неожиданным» шоком: как со стороны спроса – например, быстрой индустриализацией/урбанизацией одной или нескольких крупных держав (США в 1860-70-е годы, Китай в 2000-е), так (что реже и менее устойчиво) и со стороны предложения – например, эмбарго на экспорт нефти в США из некоторых стран Ближнего Востока в 1970-е годы.</w:t>
                            </w:r>
                            <w:proofErr w:type="gramEnd"/>
                          </w:p>
                          <w:p w:rsidR="007E5DFE" w:rsidRDefault="007E5DFE" w:rsidP="0068260B">
                            <w:pPr>
                              <w:spacing w:before="120" w:after="120"/>
                              <w:jc w:val="both"/>
                              <w:rPr>
                                <w:rFonts w:ascii="Times New Roman" w:hAnsi="Times New Roman"/>
                                <w:sz w:val="20"/>
                                <w:szCs w:val="20"/>
                              </w:rPr>
                            </w:pPr>
                            <w:r>
                              <w:rPr>
                                <w:rFonts w:ascii="Times New Roman" w:hAnsi="Times New Roman"/>
                                <w:sz w:val="20"/>
                                <w:szCs w:val="20"/>
                              </w:rPr>
                              <w:t>Соответственно, вследствие образующегося на сырьевом рынке дисбаланса спроса и предложения (превышения первого над последним) происходит смещение уровня цен на более высокий уровень. При этом в силу длительности инвестиционного цикла в отрасли стабилизация цен на высоком уровне может растянуться на относительно продолжительный период (до 10-15 лет).</w:t>
                            </w:r>
                          </w:p>
                          <w:p w:rsidR="007E5DFE" w:rsidRDefault="007E5DFE" w:rsidP="0068260B">
                            <w:pPr>
                              <w:spacing w:before="120" w:after="120"/>
                              <w:jc w:val="both"/>
                              <w:rPr>
                                <w:rFonts w:ascii="Times New Roman" w:hAnsi="Times New Roman"/>
                                <w:sz w:val="20"/>
                                <w:szCs w:val="20"/>
                              </w:rPr>
                            </w:pPr>
                            <w:r>
                              <w:rPr>
                                <w:rFonts w:ascii="Times New Roman" w:hAnsi="Times New Roman"/>
                                <w:sz w:val="20"/>
                                <w:szCs w:val="20"/>
                              </w:rPr>
                              <w:t xml:space="preserve">Впоследствии рост цен неизбежно приводит </w:t>
                            </w:r>
                            <w:r w:rsidRPr="0033456A">
                              <w:rPr>
                                <w:rFonts w:ascii="Times New Roman" w:hAnsi="Times New Roman"/>
                                <w:sz w:val="20"/>
                                <w:szCs w:val="20"/>
                              </w:rPr>
                              <w:t xml:space="preserve">к серьезному </w:t>
                            </w:r>
                            <w:r>
                              <w:rPr>
                                <w:rFonts w:ascii="Times New Roman" w:hAnsi="Times New Roman"/>
                                <w:sz w:val="20"/>
                                <w:szCs w:val="20"/>
                              </w:rPr>
                              <w:t xml:space="preserve">увеличению </w:t>
                            </w:r>
                            <w:r w:rsidRPr="0033456A">
                              <w:rPr>
                                <w:rFonts w:ascii="Times New Roman" w:hAnsi="Times New Roman"/>
                                <w:sz w:val="20"/>
                                <w:szCs w:val="20"/>
                              </w:rPr>
                              <w:t>рентабельно</w:t>
                            </w:r>
                            <w:r>
                              <w:rPr>
                                <w:rFonts w:ascii="Times New Roman" w:hAnsi="Times New Roman"/>
                                <w:sz w:val="20"/>
                                <w:szCs w:val="20"/>
                              </w:rPr>
                              <w:t>сти инвестиций в добывающие мощности,</w:t>
                            </w:r>
                            <w:r w:rsidRPr="0033456A">
                              <w:rPr>
                                <w:rFonts w:ascii="Times New Roman" w:hAnsi="Times New Roman"/>
                                <w:sz w:val="20"/>
                                <w:szCs w:val="20"/>
                              </w:rPr>
                              <w:t xml:space="preserve"> ресур</w:t>
                            </w:r>
                            <w:r>
                              <w:rPr>
                                <w:rFonts w:ascii="Times New Roman" w:hAnsi="Times New Roman"/>
                                <w:sz w:val="20"/>
                                <w:szCs w:val="20"/>
                              </w:rPr>
                              <w:t>сосберегающие технологии и</w:t>
                            </w:r>
                            <w:r w:rsidRPr="0033456A">
                              <w:rPr>
                                <w:rFonts w:ascii="Times New Roman" w:hAnsi="Times New Roman"/>
                                <w:sz w:val="20"/>
                                <w:szCs w:val="20"/>
                              </w:rPr>
                              <w:t xml:space="preserve"> товары-субституты. </w:t>
                            </w:r>
                            <w:r>
                              <w:rPr>
                                <w:rFonts w:ascii="Times New Roman" w:hAnsi="Times New Roman"/>
                                <w:sz w:val="20"/>
                                <w:szCs w:val="20"/>
                              </w:rPr>
                              <w:t>Например, нефтяное эмбарго 1970-х</w:t>
                            </w:r>
                            <w:r w:rsidRPr="00F22CB7">
                              <w:rPr>
                                <w:rFonts w:ascii="Times New Roman" w:hAnsi="Times New Roman"/>
                                <w:sz w:val="20"/>
                                <w:szCs w:val="20"/>
                              </w:rPr>
                              <w:t xml:space="preserve"> стимулировало</w:t>
                            </w:r>
                            <w:r>
                              <w:rPr>
                                <w:rFonts w:ascii="Times New Roman" w:hAnsi="Times New Roman"/>
                                <w:sz w:val="20"/>
                                <w:szCs w:val="20"/>
                              </w:rPr>
                              <w:t xml:space="preserve"> </w:t>
                            </w:r>
                            <w:r w:rsidRPr="00F22CB7">
                              <w:rPr>
                                <w:rFonts w:ascii="Times New Roman" w:hAnsi="Times New Roman"/>
                                <w:sz w:val="20"/>
                                <w:szCs w:val="20"/>
                              </w:rPr>
                              <w:t xml:space="preserve">развитие добычи </w:t>
                            </w:r>
                            <w:r>
                              <w:rPr>
                                <w:rFonts w:ascii="Times New Roman" w:hAnsi="Times New Roman"/>
                                <w:sz w:val="20"/>
                                <w:szCs w:val="20"/>
                              </w:rPr>
                              <w:t>в Северном море, а в 200</w:t>
                            </w:r>
                            <w:r w:rsidRPr="00F22CB7">
                              <w:rPr>
                                <w:rFonts w:ascii="Times New Roman" w:hAnsi="Times New Roman"/>
                                <w:sz w:val="20"/>
                                <w:szCs w:val="20"/>
                              </w:rPr>
                              <w:t>0</w:t>
                            </w:r>
                            <w:r>
                              <w:rPr>
                                <w:rFonts w:ascii="Times New Roman" w:hAnsi="Times New Roman"/>
                                <w:sz w:val="20"/>
                                <w:szCs w:val="20"/>
                              </w:rPr>
                              <w:t>-2010</w:t>
                            </w:r>
                            <w:r w:rsidRPr="00F22CB7">
                              <w:rPr>
                                <w:rFonts w:ascii="Times New Roman" w:hAnsi="Times New Roman"/>
                                <w:sz w:val="20"/>
                                <w:szCs w:val="20"/>
                              </w:rPr>
                              <w:t>-е годы получила широкое распространение добыча сланцевой нефти</w:t>
                            </w:r>
                            <w:r>
                              <w:rPr>
                                <w:rFonts w:ascii="Times New Roman" w:hAnsi="Times New Roman"/>
                                <w:sz w:val="20"/>
                                <w:szCs w:val="20"/>
                              </w:rPr>
                              <w:t xml:space="preserve"> и развитие альтернативных источников энергии.</w:t>
                            </w:r>
                          </w:p>
                          <w:tbl>
                            <w:tblPr>
                              <w:tblStyle w:val="Smalltable"/>
                              <w:tblW w:w="10172" w:type="dxa"/>
                              <w:tblInd w:w="0" w:type="dxa"/>
                              <w:tblLook w:val="04A0" w:firstRow="1" w:lastRow="0" w:firstColumn="1" w:lastColumn="0" w:noHBand="0" w:noVBand="1"/>
                            </w:tblPr>
                            <w:tblGrid>
                              <w:gridCol w:w="4431"/>
                              <w:gridCol w:w="222"/>
                              <w:gridCol w:w="4364"/>
                              <w:gridCol w:w="1155"/>
                            </w:tblGrid>
                            <w:tr w:rsidR="007E5DFE" w:rsidRPr="00E65DE3" w:rsidTr="00B04970">
                              <w:trPr>
                                <w:gridAfter w:val="1"/>
                                <w:wAfter w:w="1155" w:type="dxa"/>
                                <w:trHeight w:val="198"/>
                              </w:trPr>
                              <w:tc>
                                <w:tcPr>
                                  <w:tcW w:w="4431" w:type="dxa"/>
                                  <w:shd w:val="clear" w:color="auto" w:fill="auto"/>
                                </w:tcPr>
                                <w:p w:rsidR="007E5DFE" w:rsidRPr="008B3C4E" w:rsidRDefault="007E5DFE" w:rsidP="00B81EF5">
                                  <w:pPr>
                                    <w:pStyle w:val="GraphTitle"/>
                                    <w:rPr>
                                      <w:rFonts w:ascii="Times New Roman" w:hAnsi="Times New Roman" w:cs="Times New Roman"/>
                                      <w:b/>
                                      <w:sz w:val="20"/>
                                      <w:szCs w:val="20"/>
                                      <w:lang w:val="ru-RU"/>
                                    </w:rPr>
                                  </w:pPr>
                                  <w:r w:rsidRPr="008B3C4E">
                                    <w:rPr>
                                      <w:rFonts w:ascii="Times New Roman" w:hAnsi="Times New Roman" w:cs="Times New Roman"/>
                                      <w:b/>
                                      <w:sz w:val="20"/>
                                      <w:szCs w:val="20"/>
                                      <w:lang w:val="ru-RU"/>
                                    </w:rPr>
                                    <w:t xml:space="preserve">Динамика цен на нефть за </w:t>
                                  </w:r>
                                  <w:proofErr w:type="gramStart"/>
                                  <w:r w:rsidRPr="008B3C4E">
                                    <w:rPr>
                                      <w:rFonts w:ascii="Times New Roman" w:hAnsi="Times New Roman" w:cs="Times New Roman"/>
                                      <w:b/>
                                      <w:sz w:val="20"/>
                                      <w:szCs w:val="20"/>
                                      <w:lang w:val="ru-RU"/>
                                    </w:rPr>
                                    <w:t>последние</w:t>
                                  </w:r>
                                  <w:proofErr w:type="gramEnd"/>
                                  <w:r w:rsidRPr="008B3C4E">
                                    <w:rPr>
                                      <w:rFonts w:ascii="Times New Roman" w:hAnsi="Times New Roman" w:cs="Times New Roman"/>
                                      <w:b/>
                                      <w:sz w:val="20"/>
                                      <w:szCs w:val="20"/>
                                      <w:lang w:val="ru-RU"/>
                                    </w:rPr>
                                    <w:t xml:space="preserve"> 150 лет</w:t>
                                  </w:r>
                                </w:p>
                              </w:tc>
                              <w:tc>
                                <w:tcPr>
                                  <w:tcW w:w="222" w:type="dxa"/>
                                  <w:shd w:val="clear" w:color="auto" w:fill="auto"/>
                                </w:tcPr>
                                <w:p w:rsidR="007E5DFE" w:rsidRPr="00E65DE3" w:rsidRDefault="007E5DFE" w:rsidP="00B81EF5">
                                  <w:pPr>
                                    <w:pStyle w:val="GraphTitle"/>
                                    <w:rPr>
                                      <w:rFonts w:ascii="Times New Roman" w:hAnsi="Times New Roman" w:cs="Times New Roman"/>
                                      <w:lang w:val="ru-RU"/>
                                    </w:rPr>
                                  </w:pPr>
                                </w:p>
                              </w:tc>
                              <w:tc>
                                <w:tcPr>
                                  <w:tcW w:w="4364" w:type="dxa"/>
                                  <w:shd w:val="clear" w:color="auto" w:fill="auto"/>
                                </w:tcPr>
                                <w:p w:rsidR="007E5DFE" w:rsidRPr="008B3C4E" w:rsidRDefault="007E5DFE" w:rsidP="00B81EF5">
                                  <w:pPr>
                                    <w:pStyle w:val="GraphTitle"/>
                                    <w:rPr>
                                      <w:rFonts w:ascii="Times New Roman" w:hAnsi="Times New Roman" w:cs="Times New Roman"/>
                                      <w:b/>
                                      <w:sz w:val="20"/>
                                      <w:szCs w:val="20"/>
                                      <w:lang w:val="ru-RU"/>
                                    </w:rPr>
                                  </w:pPr>
                                  <w:r w:rsidRPr="008B3C4E">
                                    <w:rPr>
                                      <w:rFonts w:ascii="Times New Roman" w:hAnsi="Times New Roman" w:cs="Times New Roman"/>
                                      <w:b/>
                                      <w:sz w:val="20"/>
                                      <w:szCs w:val="20"/>
                                      <w:lang w:val="ru-RU"/>
                                    </w:rPr>
                                    <w:t>Цены на нефть и инвестиции в нефтедобычу</w:t>
                                  </w:r>
                                </w:p>
                              </w:tc>
                            </w:tr>
                            <w:tr w:rsidR="007E5DFE" w:rsidRPr="00E65DE3" w:rsidTr="00B04970">
                              <w:trPr>
                                <w:trHeight w:hRule="exact" w:val="28"/>
                              </w:trPr>
                              <w:tc>
                                <w:tcPr>
                                  <w:tcW w:w="4431" w:type="dxa"/>
                                  <w:tcBorders>
                                    <w:bottom w:val="single" w:sz="4" w:space="0" w:color="auto"/>
                                  </w:tcBorders>
                                  <w:shd w:val="clear" w:color="auto" w:fill="auto"/>
                                </w:tcPr>
                                <w:p w:rsidR="007E5DFE" w:rsidRPr="00E65DE3" w:rsidRDefault="007E5DFE" w:rsidP="00B81EF5">
                                  <w:pPr>
                                    <w:pStyle w:val="TabText"/>
                                    <w:rPr>
                                      <w:rFonts w:ascii="Times New Roman" w:hAnsi="Times New Roman" w:cs="Times New Roman"/>
                                      <w:lang w:val="ru-RU"/>
                                    </w:rPr>
                                  </w:pPr>
                                </w:p>
                              </w:tc>
                              <w:tc>
                                <w:tcPr>
                                  <w:tcW w:w="222" w:type="dxa"/>
                                  <w:shd w:val="clear" w:color="auto" w:fill="auto"/>
                                </w:tcPr>
                                <w:p w:rsidR="007E5DFE" w:rsidRPr="00E65DE3" w:rsidRDefault="007E5DFE" w:rsidP="00B81EF5">
                                  <w:pPr>
                                    <w:pStyle w:val="TabText"/>
                                    <w:rPr>
                                      <w:rFonts w:ascii="Times New Roman" w:hAnsi="Times New Roman" w:cs="Times New Roman"/>
                                      <w:lang w:val="ru-RU"/>
                                    </w:rPr>
                                  </w:pPr>
                                </w:p>
                              </w:tc>
                              <w:tc>
                                <w:tcPr>
                                  <w:tcW w:w="4364" w:type="dxa"/>
                                  <w:tcBorders>
                                    <w:bottom w:val="single" w:sz="4" w:space="0" w:color="auto"/>
                                  </w:tcBorders>
                                  <w:shd w:val="clear" w:color="auto" w:fill="auto"/>
                                </w:tcPr>
                                <w:p w:rsidR="007E5DFE" w:rsidRPr="00E65DE3" w:rsidRDefault="007E5DFE" w:rsidP="00B81EF5">
                                  <w:pPr>
                                    <w:pStyle w:val="TabText"/>
                                    <w:rPr>
                                      <w:rFonts w:ascii="Times New Roman" w:hAnsi="Times New Roman" w:cs="Times New Roman"/>
                                      <w:lang w:val="ru-RU"/>
                                    </w:rPr>
                                  </w:pPr>
                                </w:p>
                              </w:tc>
                              <w:tc>
                                <w:tcPr>
                                  <w:tcW w:w="1155" w:type="dxa"/>
                                  <w:shd w:val="clear" w:color="auto" w:fill="auto"/>
                                </w:tcPr>
                                <w:p w:rsidR="007E5DFE" w:rsidRPr="00E65DE3" w:rsidRDefault="007E5DFE" w:rsidP="00B81EF5">
                                  <w:pPr>
                                    <w:pStyle w:val="TabText"/>
                                    <w:rPr>
                                      <w:rFonts w:ascii="Times New Roman" w:hAnsi="Times New Roman" w:cs="Times New Roman"/>
                                      <w:lang w:val="ru-RU"/>
                                    </w:rPr>
                                  </w:pPr>
                                </w:p>
                              </w:tc>
                            </w:tr>
                            <w:tr w:rsidR="007E5DFE" w:rsidRPr="00E65DE3" w:rsidTr="00B04970">
                              <w:tblPrEx>
                                <w:tblCellMar>
                                  <w:left w:w="108" w:type="dxa"/>
                                  <w:right w:w="108" w:type="dxa"/>
                                </w:tblCellMar>
                              </w:tblPrEx>
                              <w:trPr>
                                <w:gridAfter w:val="1"/>
                                <w:wAfter w:w="1155" w:type="dxa"/>
                                <w:trHeight w:val="2200"/>
                              </w:trPr>
                              <w:tc>
                                <w:tcPr>
                                  <w:tcW w:w="4431" w:type="dxa"/>
                                  <w:tcBorders>
                                    <w:top w:val="single" w:sz="4" w:space="0" w:color="auto"/>
                                    <w:bottom w:val="single" w:sz="4" w:space="0" w:color="auto"/>
                                  </w:tcBorders>
                                  <w:shd w:val="clear" w:color="auto" w:fill="auto"/>
                                  <w:tcMar>
                                    <w:left w:w="0" w:type="nil"/>
                                    <w:right w:w="0" w:type="nil"/>
                                  </w:tcMar>
                                </w:tcPr>
                                <w:p w:rsidR="007E5DFE" w:rsidRPr="00E65DE3" w:rsidRDefault="007E5DFE" w:rsidP="00B81EF5">
                                  <w:pPr>
                                    <w:pStyle w:val="TabText"/>
                                    <w:rPr>
                                      <w:rFonts w:ascii="Times New Roman" w:hAnsi="Times New Roman" w:cs="Times New Roman"/>
                                      <w:lang w:val="ru-RU"/>
                                    </w:rPr>
                                  </w:pPr>
                                  <w:r w:rsidRPr="009E5478">
                                    <w:rPr>
                                      <w:rFonts w:ascii="Times New Roman" w:hAnsi="Times New Roman" w:cs="Times New Roman"/>
                                      <w:noProof/>
                                      <w:lang w:val="ru-RU" w:bidi="ar-SA"/>
                                    </w:rPr>
                                    <w:drawing>
                                      <wp:inline distT="0" distB="0" distL="0" distR="0" wp14:anchorId="6C6CCAB0" wp14:editId="24A8B794">
                                        <wp:extent cx="2676525" cy="16859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6525" cy="1685925"/>
                                                </a:xfrm>
                                                <a:prstGeom prst="rect">
                                                  <a:avLst/>
                                                </a:prstGeom>
                                                <a:noFill/>
                                                <a:ln>
                                                  <a:noFill/>
                                                </a:ln>
                                              </pic:spPr>
                                            </pic:pic>
                                          </a:graphicData>
                                        </a:graphic>
                                      </wp:inline>
                                    </w:drawing>
                                  </w:r>
                                </w:p>
                              </w:tc>
                              <w:tc>
                                <w:tcPr>
                                  <w:tcW w:w="222" w:type="dxa"/>
                                  <w:shd w:val="clear" w:color="auto" w:fill="auto"/>
                                  <w:tcMar>
                                    <w:left w:w="0" w:type="nil"/>
                                    <w:right w:w="0" w:type="nil"/>
                                  </w:tcMar>
                                </w:tcPr>
                                <w:p w:rsidR="007E5DFE" w:rsidRPr="00E65DE3" w:rsidRDefault="007E5DFE" w:rsidP="00B81EF5">
                                  <w:pPr>
                                    <w:pStyle w:val="TabText"/>
                                    <w:rPr>
                                      <w:rFonts w:ascii="Times New Roman" w:hAnsi="Times New Roman" w:cs="Times New Roman"/>
                                      <w:lang w:val="ru-RU"/>
                                    </w:rPr>
                                  </w:pPr>
                                </w:p>
                              </w:tc>
                              <w:tc>
                                <w:tcPr>
                                  <w:tcW w:w="4364" w:type="dxa"/>
                                  <w:tcBorders>
                                    <w:top w:val="single" w:sz="4" w:space="0" w:color="auto"/>
                                    <w:bottom w:val="single" w:sz="4" w:space="0" w:color="auto"/>
                                  </w:tcBorders>
                                  <w:shd w:val="clear" w:color="auto" w:fill="auto"/>
                                  <w:tcMar>
                                    <w:left w:w="0" w:type="nil"/>
                                    <w:right w:w="0" w:type="nil"/>
                                  </w:tcMar>
                                </w:tcPr>
                                <w:p w:rsidR="007E5DFE" w:rsidRPr="00E65DE3" w:rsidRDefault="007E5DFE" w:rsidP="00B81EF5">
                                  <w:pPr>
                                    <w:pStyle w:val="TabText"/>
                                    <w:rPr>
                                      <w:rFonts w:ascii="Times New Roman" w:hAnsi="Times New Roman" w:cs="Times New Roman"/>
                                      <w:lang w:val="ru-RU"/>
                                    </w:rPr>
                                  </w:pPr>
                                  <w:r w:rsidRPr="006943EE">
                                    <w:rPr>
                                      <w:rFonts w:ascii="Times New Roman" w:hAnsi="Times New Roman" w:cs="Times New Roman"/>
                                      <w:noProof/>
                                      <w:lang w:val="ru-RU" w:bidi="ar-SA"/>
                                    </w:rPr>
                                    <w:drawing>
                                      <wp:inline distT="0" distB="0" distL="0" distR="0" wp14:anchorId="779762FB" wp14:editId="05BD3C8F">
                                        <wp:extent cx="2608028" cy="1615902"/>
                                        <wp:effectExtent l="0" t="0" r="1905" b="3810"/>
                                        <wp:docPr id="3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7E5DFE" w:rsidRPr="00E65DE3" w:rsidTr="00B04970">
                              <w:trPr>
                                <w:gridAfter w:val="1"/>
                                <w:wAfter w:w="1155" w:type="dxa"/>
                                <w:trHeight w:val="198"/>
                              </w:trPr>
                              <w:tc>
                                <w:tcPr>
                                  <w:tcW w:w="4431" w:type="dxa"/>
                                  <w:tcBorders>
                                    <w:top w:val="single" w:sz="4" w:space="0" w:color="auto"/>
                                  </w:tcBorders>
                                  <w:shd w:val="clear" w:color="auto" w:fill="auto"/>
                                </w:tcPr>
                                <w:p w:rsidR="007E5DFE" w:rsidRDefault="007E5DFE" w:rsidP="001728A7">
                                  <w:pPr>
                                    <w:pStyle w:val="SourceLarge"/>
                                    <w:spacing w:after="0"/>
                                    <w:rPr>
                                      <w:rFonts w:ascii="Times New Roman" w:hAnsi="Times New Roman" w:cs="Times New Roman"/>
                                      <w:i/>
                                      <w:sz w:val="14"/>
                                      <w:szCs w:val="14"/>
                                      <w:lang w:val="en-US"/>
                                    </w:rPr>
                                  </w:pPr>
                                  <w:proofErr w:type="spellStart"/>
                                  <w:r w:rsidRPr="003633FC">
                                    <w:rPr>
                                      <w:rFonts w:ascii="Times New Roman" w:hAnsi="Times New Roman" w:cs="Times New Roman"/>
                                      <w:i/>
                                      <w:sz w:val="14"/>
                                      <w:szCs w:val="14"/>
                                    </w:rPr>
                                    <w:t>Источник</w:t>
                                  </w:r>
                                  <w:proofErr w:type="spellEnd"/>
                                  <w:r w:rsidRPr="003633FC">
                                    <w:rPr>
                                      <w:rFonts w:ascii="Times New Roman" w:hAnsi="Times New Roman" w:cs="Times New Roman"/>
                                      <w:i/>
                                      <w:sz w:val="14"/>
                                      <w:szCs w:val="14"/>
                                    </w:rPr>
                                    <w:t xml:space="preserve">: British Petroleum's </w:t>
                                  </w:r>
                                  <w:r w:rsidRPr="003633FC">
                                    <w:rPr>
                                      <w:rFonts w:ascii="Times New Roman" w:hAnsi="Times New Roman" w:cs="Times New Roman"/>
                                      <w:i/>
                                      <w:sz w:val="14"/>
                                      <w:szCs w:val="14"/>
                                      <w:lang w:val="en-US"/>
                                    </w:rPr>
                                    <w:t>«</w:t>
                                  </w:r>
                                  <w:r w:rsidRPr="003633FC">
                                    <w:rPr>
                                      <w:rFonts w:ascii="Times New Roman" w:hAnsi="Times New Roman" w:cs="Times New Roman"/>
                                      <w:i/>
                                      <w:sz w:val="14"/>
                                      <w:szCs w:val="14"/>
                                    </w:rPr>
                                    <w:t>Statistical Review of World Energy</w:t>
                                  </w:r>
                                  <w:r w:rsidRPr="003633FC">
                                    <w:rPr>
                                      <w:rFonts w:ascii="Times New Roman" w:hAnsi="Times New Roman" w:cs="Times New Roman"/>
                                      <w:i/>
                                      <w:sz w:val="14"/>
                                      <w:szCs w:val="14"/>
                                      <w:lang w:val="en-US"/>
                                    </w:rPr>
                                    <w:t>»</w:t>
                                  </w:r>
                                </w:p>
                                <w:p w:rsidR="007E5DFE" w:rsidRPr="009E0B82" w:rsidRDefault="007E5DFE" w:rsidP="001728A7">
                                  <w:pPr>
                                    <w:pStyle w:val="SourceLarge"/>
                                    <w:spacing w:after="0"/>
                                    <w:rPr>
                                      <w:rFonts w:asciiTheme="minorHAnsi" w:hAnsiTheme="minorHAnsi"/>
                                      <w:lang w:val="ru-RU"/>
                                    </w:rPr>
                                  </w:pPr>
                                  <w:r w:rsidRPr="009E0B82">
                                    <w:rPr>
                                      <w:rFonts w:ascii="Times New Roman" w:hAnsi="Times New Roman"/>
                                      <w:i/>
                                      <w:sz w:val="14"/>
                                      <w:szCs w:val="14"/>
                                      <w:lang w:val="ru-RU"/>
                                    </w:rPr>
                                    <w:t xml:space="preserve">* 1861-1944 средняя цена в США, 1945-1983 </w:t>
                                  </w:r>
                                  <w:r w:rsidRPr="001728A7">
                                    <w:rPr>
                                      <w:rFonts w:ascii="Times New Roman" w:hAnsi="Times New Roman"/>
                                      <w:i/>
                                      <w:sz w:val="14"/>
                                      <w:szCs w:val="14"/>
                                    </w:rPr>
                                    <w:t>Arabian</w:t>
                                  </w:r>
                                  <w:r w:rsidRPr="009E0B82">
                                    <w:rPr>
                                      <w:rFonts w:ascii="Times New Roman" w:hAnsi="Times New Roman"/>
                                      <w:i/>
                                      <w:sz w:val="14"/>
                                      <w:szCs w:val="14"/>
                                      <w:lang w:val="ru-RU"/>
                                    </w:rPr>
                                    <w:t xml:space="preserve"> </w:t>
                                  </w:r>
                                  <w:r w:rsidRPr="001728A7">
                                    <w:rPr>
                                      <w:rFonts w:ascii="Times New Roman" w:hAnsi="Times New Roman"/>
                                      <w:i/>
                                      <w:sz w:val="14"/>
                                      <w:szCs w:val="14"/>
                                    </w:rPr>
                                    <w:t>Light</w:t>
                                  </w:r>
                                  <w:r w:rsidRPr="009E0B82">
                                    <w:rPr>
                                      <w:rFonts w:ascii="Times New Roman" w:hAnsi="Times New Roman"/>
                                      <w:i/>
                                      <w:sz w:val="14"/>
                                      <w:szCs w:val="14"/>
                                      <w:lang w:val="ru-RU"/>
                                    </w:rPr>
                                    <w:t xml:space="preserve">, 1984-2016 </w:t>
                                  </w:r>
                                  <w:r w:rsidRPr="001728A7">
                                    <w:rPr>
                                      <w:rFonts w:ascii="Times New Roman" w:hAnsi="Times New Roman"/>
                                      <w:i/>
                                      <w:sz w:val="14"/>
                                      <w:szCs w:val="14"/>
                                    </w:rPr>
                                    <w:t>Brent</w:t>
                                  </w:r>
                                </w:p>
                              </w:tc>
                              <w:tc>
                                <w:tcPr>
                                  <w:tcW w:w="222" w:type="dxa"/>
                                  <w:shd w:val="clear" w:color="auto" w:fill="auto"/>
                                </w:tcPr>
                                <w:p w:rsidR="007E5DFE" w:rsidRPr="009E0B82" w:rsidRDefault="007E5DFE" w:rsidP="00B81EF5">
                                  <w:pPr>
                                    <w:pStyle w:val="SourceLarge"/>
                                    <w:spacing w:after="240"/>
                                    <w:rPr>
                                      <w:rFonts w:ascii="Times New Roman" w:hAnsi="Times New Roman" w:cs="Times New Roman"/>
                                      <w:lang w:val="ru-RU"/>
                                    </w:rPr>
                                  </w:pPr>
                                </w:p>
                              </w:tc>
                              <w:tc>
                                <w:tcPr>
                                  <w:tcW w:w="4364" w:type="dxa"/>
                                  <w:tcBorders>
                                    <w:top w:val="single" w:sz="4" w:space="0" w:color="auto"/>
                                  </w:tcBorders>
                                  <w:shd w:val="clear" w:color="auto" w:fill="auto"/>
                                </w:tcPr>
                                <w:p w:rsidR="007E5DFE" w:rsidRPr="003633FC" w:rsidRDefault="007E5DFE" w:rsidP="00B81EF5">
                                  <w:pPr>
                                    <w:pStyle w:val="SourceLarge"/>
                                    <w:spacing w:after="240"/>
                                    <w:rPr>
                                      <w:rFonts w:ascii="Times New Roman" w:hAnsi="Times New Roman" w:cs="Times New Roman"/>
                                      <w:i/>
                                      <w:lang w:val="en-US"/>
                                    </w:rPr>
                                  </w:pPr>
                                  <w:proofErr w:type="spellStart"/>
                                  <w:r w:rsidRPr="003633FC">
                                    <w:rPr>
                                      <w:rFonts w:ascii="Times New Roman" w:hAnsi="Times New Roman" w:cs="Times New Roman"/>
                                      <w:i/>
                                      <w:sz w:val="14"/>
                                      <w:szCs w:val="14"/>
                                    </w:rPr>
                                    <w:t>Источник</w:t>
                                  </w:r>
                                  <w:proofErr w:type="spellEnd"/>
                                  <w:r w:rsidRPr="003633FC">
                                    <w:rPr>
                                      <w:rFonts w:ascii="Times New Roman" w:hAnsi="Times New Roman" w:cs="Times New Roman"/>
                                      <w:i/>
                                      <w:sz w:val="14"/>
                                      <w:szCs w:val="14"/>
                                    </w:rPr>
                                    <w:t>: МВФ</w:t>
                                  </w:r>
                                </w:p>
                              </w:tc>
                            </w:tr>
                          </w:tbl>
                          <w:p w:rsidR="007E5DFE" w:rsidRDefault="007E5DFE" w:rsidP="00B04970">
                            <w:pPr>
                              <w:spacing w:before="120" w:after="120"/>
                              <w:jc w:val="both"/>
                              <w:rPr>
                                <w:rFonts w:ascii="Times New Roman" w:hAnsi="Times New Roman"/>
                                <w:sz w:val="20"/>
                                <w:szCs w:val="20"/>
                              </w:rPr>
                            </w:pPr>
                            <w:proofErr w:type="gramStart"/>
                            <w:r>
                              <w:rPr>
                                <w:rFonts w:ascii="Times New Roman" w:hAnsi="Times New Roman"/>
                                <w:sz w:val="20"/>
                                <w:szCs w:val="20"/>
                              </w:rPr>
                              <w:t xml:space="preserve">По мере того как </w:t>
                            </w:r>
                            <w:r w:rsidRPr="0033456A">
                              <w:rPr>
                                <w:rFonts w:ascii="Times New Roman" w:hAnsi="Times New Roman"/>
                                <w:sz w:val="20"/>
                                <w:szCs w:val="20"/>
                              </w:rPr>
                              <w:t>накопленные инвестиции достигают критической массы</w:t>
                            </w:r>
                            <w:r>
                              <w:rPr>
                                <w:rFonts w:ascii="Times New Roman" w:hAnsi="Times New Roman"/>
                                <w:sz w:val="20"/>
                                <w:szCs w:val="20"/>
                              </w:rPr>
                              <w:t>,</w:t>
                            </w:r>
                            <w:r w:rsidRPr="0033456A">
                              <w:rPr>
                                <w:rFonts w:ascii="Times New Roman" w:hAnsi="Times New Roman"/>
                                <w:sz w:val="20"/>
                                <w:szCs w:val="20"/>
                              </w:rPr>
                              <w:t xml:space="preserve"> баланс спроса и предложения </w:t>
                            </w:r>
                            <w:r>
                              <w:rPr>
                                <w:rFonts w:ascii="Times New Roman" w:hAnsi="Times New Roman"/>
                                <w:sz w:val="20"/>
                                <w:szCs w:val="20"/>
                              </w:rPr>
                              <w:t xml:space="preserve">смещается (на рынке формируется </w:t>
                            </w:r>
                            <w:r w:rsidRPr="0033456A">
                              <w:rPr>
                                <w:rFonts w:ascii="Times New Roman" w:hAnsi="Times New Roman"/>
                                <w:sz w:val="20"/>
                                <w:szCs w:val="20"/>
                              </w:rPr>
                              <w:t>избыт</w:t>
                            </w:r>
                            <w:r>
                              <w:rPr>
                                <w:rFonts w:ascii="Times New Roman" w:hAnsi="Times New Roman"/>
                                <w:sz w:val="20"/>
                                <w:szCs w:val="20"/>
                              </w:rPr>
                              <w:t>о</w:t>
                            </w:r>
                            <w:r w:rsidRPr="0033456A">
                              <w:rPr>
                                <w:rFonts w:ascii="Times New Roman" w:hAnsi="Times New Roman"/>
                                <w:sz w:val="20"/>
                                <w:szCs w:val="20"/>
                              </w:rPr>
                              <w:t>к предложения</w:t>
                            </w:r>
                            <w:r>
                              <w:rPr>
                                <w:rFonts w:ascii="Times New Roman" w:hAnsi="Times New Roman"/>
                                <w:sz w:val="20"/>
                                <w:szCs w:val="20"/>
                              </w:rPr>
                              <w:t xml:space="preserve">) </w:t>
                            </w:r>
                            <w:r w:rsidRPr="0033456A">
                              <w:rPr>
                                <w:rFonts w:ascii="Times New Roman" w:hAnsi="Times New Roman"/>
                                <w:sz w:val="20"/>
                                <w:szCs w:val="20"/>
                              </w:rPr>
                              <w:t xml:space="preserve">и цены </w:t>
                            </w:r>
                            <w:r>
                              <w:rPr>
                                <w:rFonts w:ascii="Times New Roman" w:hAnsi="Times New Roman"/>
                                <w:sz w:val="20"/>
                                <w:szCs w:val="20"/>
                              </w:rPr>
                              <w:t>возвращаются к их долгосрочным равновесным значениям (средняя за последние 150 лет цена барреля нефти в ценах 2016 года составляет 33 доллара).</w:t>
                            </w:r>
                            <w:proofErr w:type="gramEnd"/>
                            <w:r>
                              <w:rPr>
                                <w:rFonts w:ascii="Times New Roman" w:hAnsi="Times New Roman"/>
                                <w:sz w:val="20"/>
                                <w:szCs w:val="20"/>
                              </w:rPr>
                              <w:t xml:space="preserve"> При этом на рынке нефти, в</w:t>
                            </w:r>
                            <w:r w:rsidRPr="00F22CB7">
                              <w:rPr>
                                <w:rFonts w:ascii="Times New Roman" w:hAnsi="Times New Roman"/>
                                <w:sz w:val="20"/>
                                <w:szCs w:val="20"/>
                              </w:rPr>
                              <w:t xml:space="preserve"> силу низкой ценовой эластичности спроса и предложения</w:t>
                            </w:r>
                            <w:r>
                              <w:rPr>
                                <w:rFonts w:ascii="Times New Roman" w:hAnsi="Times New Roman"/>
                                <w:sz w:val="20"/>
                                <w:szCs w:val="20"/>
                              </w:rPr>
                              <w:t xml:space="preserve"> на краткосрочном горизонте</w:t>
                            </w:r>
                            <w:r w:rsidRPr="00F22CB7">
                              <w:rPr>
                                <w:rFonts w:ascii="Times New Roman" w:hAnsi="Times New Roman"/>
                                <w:sz w:val="20"/>
                                <w:szCs w:val="20"/>
                              </w:rPr>
                              <w:t xml:space="preserve">, даже </w:t>
                            </w:r>
                            <w:r>
                              <w:rPr>
                                <w:rFonts w:ascii="Times New Roman" w:hAnsi="Times New Roman"/>
                                <w:sz w:val="20"/>
                                <w:szCs w:val="20"/>
                              </w:rPr>
                              <w:t xml:space="preserve">небольшие </w:t>
                            </w:r>
                            <w:r w:rsidRPr="00F22CB7">
                              <w:rPr>
                                <w:rFonts w:ascii="Times New Roman" w:hAnsi="Times New Roman"/>
                                <w:sz w:val="20"/>
                                <w:szCs w:val="20"/>
                              </w:rPr>
                              <w:t xml:space="preserve">дисбалансы ведут к резким </w:t>
                            </w:r>
                            <w:r>
                              <w:rPr>
                                <w:rFonts w:ascii="Times New Roman" w:hAnsi="Times New Roman"/>
                                <w:sz w:val="20"/>
                                <w:szCs w:val="20"/>
                              </w:rPr>
                              <w:t xml:space="preserve">и зачастую более глубоким, чем того требует достижение среднесрочного равновесия, </w:t>
                            </w:r>
                            <w:r w:rsidRPr="00F22CB7">
                              <w:rPr>
                                <w:rFonts w:ascii="Times New Roman" w:hAnsi="Times New Roman"/>
                                <w:sz w:val="20"/>
                                <w:szCs w:val="20"/>
                              </w:rPr>
                              <w:t>изменениям цен</w:t>
                            </w:r>
                            <w:r>
                              <w:rPr>
                                <w:rFonts w:ascii="Times New Roman" w:hAnsi="Times New Roman"/>
                                <w:sz w:val="20"/>
                                <w:szCs w:val="20"/>
                              </w:rPr>
                              <w:t xml:space="preserve"> (наглядный пример – период конца 2015 года - начала 2016 года).</w:t>
                            </w:r>
                          </w:p>
                          <w:p w:rsidR="007E5DFE" w:rsidRDefault="007E5DFE" w:rsidP="0068260B">
                            <w:pPr>
                              <w:spacing w:before="120" w:after="120"/>
                              <w:jc w:val="both"/>
                              <w:rPr>
                                <w:rFonts w:ascii="Times New Roman" w:hAnsi="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1pt;margin-top:89.6pt;width:460.75pt;height:502.3pt;z-index:25165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" fillcolor="#f2f2f2 [3052]" stroked="f">
                <v:textbox>
                  <w:txbxContent>
                    <w:p w:rsidR="007E5DFE" w:rsidRDefault="007E5DFE" w:rsidP="0068260B">
                      <w:pPr>
                        <w:rPr>
                          <w:rFonts w:ascii="Times New Roman" w:hAnsi="Times New Roman"/>
                          <w:b/>
                          <w:sz w:val="24"/>
                          <w:szCs w:val="24"/>
                        </w:rPr>
                      </w:pPr>
                      <w:r>
                        <w:rPr>
                          <w:rFonts w:ascii="Times New Roman" w:hAnsi="Times New Roman"/>
                          <w:b/>
                          <w:sz w:val="24"/>
                          <w:szCs w:val="24"/>
                        </w:rPr>
                        <w:t xml:space="preserve">Сырьевые </w:t>
                      </w:r>
                      <w:proofErr w:type="spellStart"/>
                      <w:r>
                        <w:rPr>
                          <w:rFonts w:ascii="Times New Roman" w:hAnsi="Times New Roman"/>
                          <w:b/>
                          <w:sz w:val="24"/>
                          <w:szCs w:val="24"/>
                        </w:rPr>
                        <w:t>суперциклы</w:t>
                      </w:r>
                      <w:proofErr w:type="spellEnd"/>
                    </w:p>
                    <w:p w:rsidR="007E5DFE" w:rsidRDefault="007E5DFE" w:rsidP="0068260B">
                      <w:pPr>
                        <w:spacing w:before="120" w:after="120"/>
                        <w:jc w:val="both"/>
                        <w:rPr>
                          <w:rFonts w:ascii="Times New Roman" w:hAnsi="Times New Roman"/>
                          <w:sz w:val="20"/>
                          <w:szCs w:val="20"/>
                        </w:rPr>
                      </w:pPr>
                      <w:r w:rsidRPr="00432BC4">
                        <w:rPr>
                          <w:rFonts w:ascii="Times New Roman" w:hAnsi="Times New Roman"/>
                          <w:i/>
                          <w:sz w:val="20"/>
                          <w:szCs w:val="20"/>
                        </w:rPr>
                        <w:t>Для глобал</w:t>
                      </w:r>
                      <w:r>
                        <w:rPr>
                          <w:rFonts w:ascii="Times New Roman" w:hAnsi="Times New Roman"/>
                          <w:i/>
                          <w:sz w:val="20"/>
                          <w:szCs w:val="20"/>
                        </w:rPr>
                        <w:t xml:space="preserve">ьных сырьевых рынков характерны ценовые </w:t>
                      </w:r>
                      <w:r w:rsidRPr="00432BC4">
                        <w:rPr>
                          <w:rFonts w:ascii="Times New Roman" w:hAnsi="Times New Roman"/>
                          <w:i/>
                          <w:sz w:val="20"/>
                          <w:szCs w:val="20"/>
                        </w:rPr>
                        <w:t>циклы длительностью около 30-ти лет.</w:t>
                      </w:r>
                      <w:r w:rsidRPr="0033456A">
                        <w:rPr>
                          <w:rFonts w:ascii="Times New Roman" w:hAnsi="Times New Roman"/>
                          <w:sz w:val="20"/>
                          <w:szCs w:val="20"/>
                        </w:rPr>
                        <w:t xml:space="preserve"> </w:t>
                      </w:r>
                      <w:proofErr w:type="gramStart"/>
                      <w:r>
                        <w:rPr>
                          <w:rFonts w:ascii="Times New Roman" w:hAnsi="Times New Roman"/>
                          <w:sz w:val="20"/>
                          <w:szCs w:val="20"/>
                        </w:rPr>
                        <w:t>Повышательная волна ценовой конъюнктуры обычно связана с «неожиданным» шоком: как со стороны спроса – например, быстрой индустриализацией/урбанизацией одной или нескольких крупных держав (США в 1860-70-е годы, Китай в 2000-е), так (что реже и менее устойчиво) и со стороны предложения – например, эмбарго на экспорт нефти в США из некоторых стран Ближнего Востока в 1970-е годы.</w:t>
                      </w:r>
                      <w:proofErr w:type="gramEnd"/>
                    </w:p>
                    <w:p w:rsidR="007E5DFE" w:rsidRDefault="007E5DFE" w:rsidP="0068260B">
                      <w:pPr>
                        <w:spacing w:before="120" w:after="120"/>
                        <w:jc w:val="both"/>
                        <w:rPr>
                          <w:rFonts w:ascii="Times New Roman" w:hAnsi="Times New Roman"/>
                          <w:sz w:val="20"/>
                          <w:szCs w:val="20"/>
                        </w:rPr>
                      </w:pPr>
                      <w:r>
                        <w:rPr>
                          <w:rFonts w:ascii="Times New Roman" w:hAnsi="Times New Roman"/>
                          <w:sz w:val="20"/>
                          <w:szCs w:val="20"/>
                        </w:rPr>
                        <w:t>Соответственно, вследствие образующегося на сырьевом рынке дисбаланса спроса и предложения (превышения первого над последним) происходит смещение уровня цен на более высокий уровень. При этом в силу длительности инвестиционного цикла в отрасли стабилизация цен на высоком уровне может растянуться на относительно продолжительный период (до 10-15 лет).</w:t>
                      </w:r>
                    </w:p>
                    <w:p w:rsidR="007E5DFE" w:rsidRDefault="007E5DFE" w:rsidP="0068260B">
                      <w:pPr>
                        <w:spacing w:before="120" w:after="120"/>
                        <w:jc w:val="both"/>
                        <w:rPr>
                          <w:rFonts w:ascii="Times New Roman" w:hAnsi="Times New Roman"/>
                          <w:sz w:val="20"/>
                          <w:szCs w:val="20"/>
                        </w:rPr>
                      </w:pPr>
                      <w:r>
                        <w:rPr>
                          <w:rFonts w:ascii="Times New Roman" w:hAnsi="Times New Roman"/>
                          <w:sz w:val="20"/>
                          <w:szCs w:val="20"/>
                        </w:rPr>
                        <w:t xml:space="preserve">Впоследствии рост цен неизбежно приводит </w:t>
                      </w:r>
                      <w:r w:rsidRPr="0033456A">
                        <w:rPr>
                          <w:rFonts w:ascii="Times New Roman" w:hAnsi="Times New Roman"/>
                          <w:sz w:val="20"/>
                          <w:szCs w:val="20"/>
                        </w:rPr>
                        <w:t xml:space="preserve">к серьезному </w:t>
                      </w:r>
                      <w:r>
                        <w:rPr>
                          <w:rFonts w:ascii="Times New Roman" w:hAnsi="Times New Roman"/>
                          <w:sz w:val="20"/>
                          <w:szCs w:val="20"/>
                        </w:rPr>
                        <w:t xml:space="preserve">увеличению </w:t>
                      </w:r>
                      <w:r w:rsidRPr="0033456A">
                        <w:rPr>
                          <w:rFonts w:ascii="Times New Roman" w:hAnsi="Times New Roman"/>
                          <w:sz w:val="20"/>
                          <w:szCs w:val="20"/>
                        </w:rPr>
                        <w:t>рентабельно</w:t>
                      </w:r>
                      <w:r>
                        <w:rPr>
                          <w:rFonts w:ascii="Times New Roman" w:hAnsi="Times New Roman"/>
                          <w:sz w:val="20"/>
                          <w:szCs w:val="20"/>
                        </w:rPr>
                        <w:t>сти инвестиций в добывающие мощности,</w:t>
                      </w:r>
                      <w:r w:rsidRPr="0033456A">
                        <w:rPr>
                          <w:rFonts w:ascii="Times New Roman" w:hAnsi="Times New Roman"/>
                          <w:sz w:val="20"/>
                          <w:szCs w:val="20"/>
                        </w:rPr>
                        <w:t xml:space="preserve"> ресур</w:t>
                      </w:r>
                      <w:r>
                        <w:rPr>
                          <w:rFonts w:ascii="Times New Roman" w:hAnsi="Times New Roman"/>
                          <w:sz w:val="20"/>
                          <w:szCs w:val="20"/>
                        </w:rPr>
                        <w:t>сосберегающие технологии и</w:t>
                      </w:r>
                      <w:r w:rsidRPr="0033456A">
                        <w:rPr>
                          <w:rFonts w:ascii="Times New Roman" w:hAnsi="Times New Roman"/>
                          <w:sz w:val="20"/>
                          <w:szCs w:val="20"/>
                        </w:rPr>
                        <w:t xml:space="preserve"> товары-субституты. </w:t>
                      </w:r>
                      <w:r>
                        <w:rPr>
                          <w:rFonts w:ascii="Times New Roman" w:hAnsi="Times New Roman"/>
                          <w:sz w:val="20"/>
                          <w:szCs w:val="20"/>
                        </w:rPr>
                        <w:t>Например, нефтяное эмбарго 1970-х</w:t>
                      </w:r>
                      <w:r w:rsidRPr="00F22CB7">
                        <w:rPr>
                          <w:rFonts w:ascii="Times New Roman" w:hAnsi="Times New Roman"/>
                          <w:sz w:val="20"/>
                          <w:szCs w:val="20"/>
                        </w:rPr>
                        <w:t xml:space="preserve"> стимулировало</w:t>
                      </w:r>
                      <w:r>
                        <w:rPr>
                          <w:rFonts w:ascii="Times New Roman" w:hAnsi="Times New Roman"/>
                          <w:sz w:val="20"/>
                          <w:szCs w:val="20"/>
                        </w:rPr>
                        <w:t xml:space="preserve"> </w:t>
                      </w:r>
                      <w:r w:rsidRPr="00F22CB7">
                        <w:rPr>
                          <w:rFonts w:ascii="Times New Roman" w:hAnsi="Times New Roman"/>
                          <w:sz w:val="20"/>
                          <w:szCs w:val="20"/>
                        </w:rPr>
                        <w:t xml:space="preserve">развитие добычи </w:t>
                      </w:r>
                      <w:r>
                        <w:rPr>
                          <w:rFonts w:ascii="Times New Roman" w:hAnsi="Times New Roman"/>
                          <w:sz w:val="20"/>
                          <w:szCs w:val="20"/>
                        </w:rPr>
                        <w:t>в Северном море, а в 200</w:t>
                      </w:r>
                      <w:r w:rsidRPr="00F22CB7">
                        <w:rPr>
                          <w:rFonts w:ascii="Times New Roman" w:hAnsi="Times New Roman"/>
                          <w:sz w:val="20"/>
                          <w:szCs w:val="20"/>
                        </w:rPr>
                        <w:t>0</w:t>
                      </w:r>
                      <w:r>
                        <w:rPr>
                          <w:rFonts w:ascii="Times New Roman" w:hAnsi="Times New Roman"/>
                          <w:sz w:val="20"/>
                          <w:szCs w:val="20"/>
                        </w:rPr>
                        <w:t>-2010</w:t>
                      </w:r>
                      <w:r w:rsidRPr="00F22CB7">
                        <w:rPr>
                          <w:rFonts w:ascii="Times New Roman" w:hAnsi="Times New Roman"/>
                          <w:sz w:val="20"/>
                          <w:szCs w:val="20"/>
                        </w:rPr>
                        <w:t>-е годы получила широкое распространение добыча сланцевой нефти</w:t>
                      </w:r>
                      <w:r>
                        <w:rPr>
                          <w:rFonts w:ascii="Times New Roman" w:hAnsi="Times New Roman"/>
                          <w:sz w:val="20"/>
                          <w:szCs w:val="20"/>
                        </w:rPr>
                        <w:t xml:space="preserve"> и развитие альтернативных источников энергии.</w:t>
                      </w:r>
                    </w:p>
                    <w:tbl>
                      <w:tblPr>
                        <w:tblStyle w:val="Smalltable"/>
                        <w:tblW w:w="10172" w:type="dxa"/>
                        <w:tblInd w:w="0" w:type="dxa"/>
                        <w:tblLook w:val="04A0" w:firstRow="1" w:lastRow="0" w:firstColumn="1" w:lastColumn="0" w:noHBand="0" w:noVBand="1"/>
                      </w:tblPr>
                      <w:tblGrid>
                        <w:gridCol w:w="4431"/>
                        <w:gridCol w:w="222"/>
                        <w:gridCol w:w="4364"/>
                        <w:gridCol w:w="1155"/>
                      </w:tblGrid>
                      <w:tr w:rsidR="007E5DFE" w:rsidRPr="00E65DE3" w:rsidTr="00B04970">
                        <w:trPr>
                          <w:gridAfter w:val="1"/>
                          <w:wAfter w:w="1155" w:type="dxa"/>
                          <w:trHeight w:val="198"/>
                        </w:trPr>
                        <w:tc>
                          <w:tcPr>
                            <w:tcW w:w="4431" w:type="dxa"/>
                            <w:shd w:val="clear" w:color="auto" w:fill="auto"/>
                          </w:tcPr>
                          <w:p w:rsidR="007E5DFE" w:rsidRPr="008B3C4E" w:rsidRDefault="007E5DFE" w:rsidP="00B81EF5">
                            <w:pPr>
                              <w:pStyle w:val="GraphTitle"/>
                              <w:rPr>
                                <w:rFonts w:ascii="Times New Roman" w:hAnsi="Times New Roman" w:cs="Times New Roman"/>
                                <w:b/>
                                <w:sz w:val="20"/>
                                <w:szCs w:val="20"/>
                                <w:lang w:val="ru-RU"/>
                              </w:rPr>
                            </w:pPr>
                            <w:r w:rsidRPr="008B3C4E">
                              <w:rPr>
                                <w:rFonts w:ascii="Times New Roman" w:hAnsi="Times New Roman" w:cs="Times New Roman"/>
                                <w:b/>
                                <w:sz w:val="20"/>
                                <w:szCs w:val="20"/>
                                <w:lang w:val="ru-RU"/>
                              </w:rPr>
                              <w:t xml:space="preserve">Динамика цен на нефть за </w:t>
                            </w:r>
                            <w:proofErr w:type="gramStart"/>
                            <w:r w:rsidRPr="008B3C4E">
                              <w:rPr>
                                <w:rFonts w:ascii="Times New Roman" w:hAnsi="Times New Roman" w:cs="Times New Roman"/>
                                <w:b/>
                                <w:sz w:val="20"/>
                                <w:szCs w:val="20"/>
                                <w:lang w:val="ru-RU"/>
                              </w:rPr>
                              <w:t>последние</w:t>
                            </w:r>
                            <w:proofErr w:type="gramEnd"/>
                            <w:r w:rsidRPr="008B3C4E">
                              <w:rPr>
                                <w:rFonts w:ascii="Times New Roman" w:hAnsi="Times New Roman" w:cs="Times New Roman"/>
                                <w:b/>
                                <w:sz w:val="20"/>
                                <w:szCs w:val="20"/>
                                <w:lang w:val="ru-RU"/>
                              </w:rPr>
                              <w:t xml:space="preserve"> 150 лет</w:t>
                            </w:r>
                          </w:p>
                        </w:tc>
                        <w:tc>
                          <w:tcPr>
                            <w:tcW w:w="222" w:type="dxa"/>
                            <w:shd w:val="clear" w:color="auto" w:fill="auto"/>
                          </w:tcPr>
                          <w:p w:rsidR="007E5DFE" w:rsidRPr="00E65DE3" w:rsidRDefault="007E5DFE" w:rsidP="00B81EF5">
                            <w:pPr>
                              <w:pStyle w:val="GraphTitle"/>
                              <w:rPr>
                                <w:rFonts w:ascii="Times New Roman" w:hAnsi="Times New Roman" w:cs="Times New Roman"/>
                                <w:lang w:val="ru-RU"/>
                              </w:rPr>
                            </w:pPr>
                          </w:p>
                        </w:tc>
                        <w:tc>
                          <w:tcPr>
                            <w:tcW w:w="4364" w:type="dxa"/>
                            <w:shd w:val="clear" w:color="auto" w:fill="auto"/>
                          </w:tcPr>
                          <w:p w:rsidR="007E5DFE" w:rsidRPr="008B3C4E" w:rsidRDefault="007E5DFE" w:rsidP="00B81EF5">
                            <w:pPr>
                              <w:pStyle w:val="GraphTitle"/>
                              <w:rPr>
                                <w:rFonts w:ascii="Times New Roman" w:hAnsi="Times New Roman" w:cs="Times New Roman"/>
                                <w:b/>
                                <w:sz w:val="20"/>
                                <w:szCs w:val="20"/>
                                <w:lang w:val="ru-RU"/>
                              </w:rPr>
                            </w:pPr>
                            <w:r w:rsidRPr="008B3C4E">
                              <w:rPr>
                                <w:rFonts w:ascii="Times New Roman" w:hAnsi="Times New Roman" w:cs="Times New Roman"/>
                                <w:b/>
                                <w:sz w:val="20"/>
                                <w:szCs w:val="20"/>
                                <w:lang w:val="ru-RU"/>
                              </w:rPr>
                              <w:t>Цены на нефть и инвестиции в нефтедобычу</w:t>
                            </w:r>
                          </w:p>
                        </w:tc>
                      </w:tr>
                      <w:tr w:rsidR="007E5DFE" w:rsidRPr="00E65DE3" w:rsidTr="00B04970">
                        <w:trPr>
                          <w:trHeight w:hRule="exact" w:val="28"/>
                        </w:trPr>
                        <w:tc>
                          <w:tcPr>
                            <w:tcW w:w="4431" w:type="dxa"/>
                            <w:tcBorders>
                              <w:bottom w:val="single" w:sz="4" w:space="0" w:color="auto"/>
                            </w:tcBorders>
                            <w:shd w:val="clear" w:color="auto" w:fill="auto"/>
                          </w:tcPr>
                          <w:p w:rsidR="007E5DFE" w:rsidRPr="00E65DE3" w:rsidRDefault="007E5DFE" w:rsidP="00B81EF5">
                            <w:pPr>
                              <w:pStyle w:val="TabText"/>
                              <w:rPr>
                                <w:rFonts w:ascii="Times New Roman" w:hAnsi="Times New Roman" w:cs="Times New Roman"/>
                                <w:lang w:val="ru-RU"/>
                              </w:rPr>
                            </w:pPr>
                          </w:p>
                        </w:tc>
                        <w:tc>
                          <w:tcPr>
                            <w:tcW w:w="222" w:type="dxa"/>
                            <w:shd w:val="clear" w:color="auto" w:fill="auto"/>
                          </w:tcPr>
                          <w:p w:rsidR="007E5DFE" w:rsidRPr="00E65DE3" w:rsidRDefault="007E5DFE" w:rsidP="00B81EF5">
                            <w:pPr>
                              <w:pStyle w:val="TabText"/>
                              <w:rPr>
                                <w:rFonts w:ascii="Times New Roman" w:hAnsi="Times New Roman" w:cs="Times New Roman"/>
                                <w:lang w:val="ru-RU"/>
                              </w:rPr>
                            </w:pPr>
                          </w:p>
                        </w:tc>
                        <w:tc>
                          <w:tcPr>
                            <w:tcW w:w="4364" w:type="dxa"/>
                            <w:tcBorders>
                              <w:bottom w:val="single" w:sz="4" w:space="0" w:color="auto"/>
                            </w:tcBorders>
                            <w:shd w:val="clear" w:color="auto" w:fill="auto"/>
                          </w:tcPr>
                          <w:p w:rsidR="007E5DFE" w:rsidRPr="00E65DE3" w:rsidRDefault="007E5DFE" w:rsidP="00B81EF5">
                            <w:pPr>
                              <w:pStyle w:val="TabText"/>
                              <w:rPr>
                                <w:rFonts w:ascii="Times New Roman" w:hAnsi="Times New Roman" w:cs="Times New Roman"/>
                                <w:lang w:val="ru-RU"/>
                              </w:rPr>
                            </w:pPr>
                          </w:p>
                        </w:tc>
                        <w:tc>
                          <w:tcPr>
                            <w:tcW w:w="1155" w:type="dxa"/>
                            <w:shd w:val="clear" w:color="auto" w:fill="auto"/>
                          </w:tcPr>
                          <w:p w:rsidR="007E5DFE" w:rsidRPr="00E65DE3" w:rsidRDefault="007E5DFE" w:rsidP="00B81EF5">
                            <w:pPr>
                              <w:pStyle w:val="TabText"/>
                              <w:rPr>
                                <w:rFonts w:ascii="Times New Roman" w:hAnsi="Times New Roman" w:cs="Times New Roman"/>
                                <w:lang w:val="ru-RU"/>
                              </w:rPr>
                            </w:pPr>
                          </w:p>
                        </w:tc>
                      </w:tr>
                      <w:tr w:rsidR="007E5DFE" w:rsidRPr="00E65DE3" w:rsidTr="00B04970">
                        <w:tblPrEx>
                          <w:tblCellMar>
                            <w:left w:w="108" w:type="dxa"/>
                            <w:right w:w="108" w:type="dxa"/>
                          </w:tblCellMar>
                        </w:tblPrEx>
                        <w:trPr>
                          <w:gridAfter w:val="1"/>
                          <w:wAfter w:w="1155" w:type="dxa"/>
                          <w:trHeight w:val="2200"/>
                        </w:trPr>
                        <w:tc>
                          <w:tcPr>
                            <w:tcW w:w="4431" w:type="dxa"/>
                            <w:tcBorders>
                              <w:top w:val="single" w:sz="4" w:space="0" w:color="auto"/>
                              <w:bottom w:val="single" w:sz="4" w:space="0" w:color="auto"/>
                            </w:tcBorders>
                            <w:shd w:val="clear" w:color="auto" w:fill="auto"/>
                            <w:tcMar>
                              <w:left w:w="0" w:type="nil"/>
                              <w:right w:w="0" w:type="nil"/>
                            </w:tcMar>
                          </w:tcPr>
                          <w:p w:rsidR="007E5DFE" w:rsidRPr="00E65DE3" w:rsidRDefault="007E5DFE" w:rsidP="00B81EF5">
                            <w:pPr>
                              <w:pStyle w:val="TabText"/>
                              <w:rPr>
                                <w:rFonts w:ascii="Times New Roman" w:hAnsi="Times New Roman" w:cs="Times New Roman"/>
                                <w:lang w:val="ru-RU"/>
                              </w:rPr>
                            </w:pPr>
                            <w:r w:rsidRPr="009E5478">
                              <w:rPr>
                                <w:rFonts w:ascii="Times New Roman" w:hAnsi="Times New Roman" w:cs="Times New Roman"/>
                                <w:noProof/>
                                <w:lang w:val="ru-RU" w:bidi="ar-SA"/>
                              </w:rPr>
                              <w:drawing>
                                <wp:inline distT="0" distB="0" distL="0" distR="0" wp14:anchorId="6C6CCAB0" wp14:editId="24A8B794">
                                  <wp:extent cx="2676525" cy="16859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6525" cy="1685925"/>
                                          </a:xfrm>
                                          <a:prstGeom prst="rect">
                                            <a:avLst/>
                                          </a:prstGeom>
                                          <a:noFill/>
                                          <a:ln>
                                            <a:noFill/>
                                          </a:ln>
                                        </pic:spPr>
                                      </pic:pic>
                                    </a:graphicData>
                                  </a:graphic>
                                </wp:inline>
                              </w:drawing>
                            </w:r>
                          </w:p>
                        </w:tc>
                        <w:tc>
                          <w:tcPr>
                            <w:tcW w:w="222" w:type="dxa"/>
                            <w:shd w:val="clear" w:color="auto" w:fill="auto"/>
                            <w:tcMar>
                              <w:left w:w="0" w:type="nil"/>
                              <w:right w:w="0" w:type="nil"/>
                            </w:tcMar>
                          </w:tcPr>
                          <w:p w:rsidR="007E5DFE" w:rsidRPr="00E65DE3" w:rsidRDefault="007E5DFE" w:rsidP="00B81EF5">
                            <w:pPr>
                              <w:pStyle w:val="TabText"/>
                              <w:rPr>
                                <w:rFonts w:ascii="Times New Roman" w:hAnsi="Times New Roman" w:cs="Times New Roman"/>
                                <w:lang w:val="ru-RU"/>
                              </w:rPr>
                            </w:pPr>
                          </w:p>
                        </w:tc>
                        <w:tc>
                          <w:tcPr>
                            <w:tcW w:w="4364" w:type="dxa"/>
                            <w:tcBorders>
                              <w:top w:val="single" w:sz="4" w:space="0" w:color="auto"/>
                              <w:bottom w:val="single" w:sz="4" w:space="0" w:color="auto"/>
                            </w:tcBorders>
                            <w:shd w:val="clear" w:color="auto" w:fill="auto"/>
                            <w:tcMar>
                              <w:left w:w="0" w:type="nil"/>
                              <w:right w:w="0" w:type="nil"/>
                            </w:tcMar>
                          </w:tcPr>
                          <w:p w:rsidR="007E5DFE" w:rsidRPr="00E65DE3" w:rsidRDefault="007E5DFE" w:rsidP="00B81EF5">
                            <w:pPr>
                              <w:pStyle w:val="TabText"/>
                              <w:rPr>
                                <w:rFonts w:ascii="Times New Roman" w:hAnsi="Times New Roman" w:cs="Times New Roman"/>
                                <w:lang w:val="ru-RU"/>
                              </w:rPr>
                            </w:pPr>
                            <w:r w:rsidRPr="006943EE">
                              <w:rPr>
                                <w:rFonts w:ascii="Times New Roman" w:hAnsi="Times New Roman" w:cs="Times New Roman"/>
                                <w:noProof/>
                                <w:lang w:val="ru-RU" w:bidi="ar-SA"/>
                              </w:rPr>
                              <w:drawing>
                                <wp:inline distT="0" distB="0" distL="0" distR="0" wp14:anchorId="779762FB" wp14:editId="05BD3C8F">
                                  <wp:extent cx="2608028" cy="1615902"/>
                                  <wp:effectExtent l="0" t="0" r="1905" b="3810"/>
                                  <wp:docPr id="3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7E5DFE" w:rsidRPr="00E65DE3" w:rsidTr="00B04970">
                        <w:trPr>
                          <w:gridAfter w:val="1"/>
                          <w:wAfter w:w="1155" w:type="dxa"/>
                          <w:trHeight w:val="198"/>
                        </w:trPr>
                        <w:tc>
                          <w:tcPr>
                            <w:tcW w:w="4431" w:type="dxa"/>
                            <w:tcBorders>
                              <w:top w:val="single" w:sz="4" w:space="0" w:color="auto"/>
                            </w:tcBorders>
                            <w:shd w:val="clear" w:color="auto" w:fill="auto"/>
                          </w:tcPr>
                          <w:p w:rsidR="007E5DFE" w:rsidRDefault="007E5DFE" w:rsidP="001728A7">
                            <w:pPr>
                              <w:pStyle w:val="SourceLarge"/>
                              <w:spacing w:after="0"/>
                              <w:rPr>
                                <w:rFonts w:ascii="Times New Roman" w:hAnsi="Times New Roman" w:cs="Times New Roman"/>
                                <w:i/>
                                <w:sz w:val="14"/>
                                <w:szCs w:val="14"/>
                                <w:lang w:val="en-US"/>
                              </w:rPr>
                            </w:pPr>
                            <w:proofErr w:type="spellStart"/>
                            <w:r w:rsidRPr="003633FC">
                              <w:rPr>
                                <w:rFonts w:ascii="Times New Roman" w:hAnsi="Times New Roman" w:cs="Times New Roman"/>
                                <w:i/>
                                <w:sz w:val="14"/>
                                <w:szCs w:val="14"/>
                              </w:rPr>
                              <w:t>Источник</w:t>
                            </w:r>
                            <w:proofErr w:type="spellEnd"/>
                            <w:r w:rsidRPr="003633FC">
                              <w:rPr>
                                <w:rFonts w:ascii="Times New Roman" w:hAnsi="Times New Roman" w:cs="Times New Roman"/>
                                <w:i/>
                                <w:sz w:val="14"/>
                                <w:szCs w:val="14"/>
                              </w:rPr>
                              <w:t xml:space="preserve">: British Petroleum's </w:t>
                            </w:r>
                            <w:r w:rsidRPr="003633FC">
                              <w:rPr>
                                <w:rFonts w:ascii="Times New Roman" w:hAnsi="Times New Roman" w:cs="Times New Roman"/>
                                <w:i/>
                                <w:sz w:val="14"/>
                                <w:szCs w:val="14"/>
                                <w:lang w:val="en-US"/>
                              </w:rPr>
                              <w:t>«</w:t>
                            </w:r>
                            <w:r w:rsidRPr="003633FC">
                              <w:rPr>
                                <w:rFonts w:ascii="Times New Roman" w:hAnsi="Times New Roman" w:cs="Times New Roman"/>
                                <w:i/>
                                <w:sz w:val="14"/>
                                <w:szCs w:val="14"/>
                              </w:rPr>
                              <w:t>Statistical Review of World Energy</w:t>
                            </w:r>
                            <w:r w:rsidRPr="003633FC">
                              <w:rPr>
                                <w:rFonts w:ascii="Times New Roman" w:hAnsi="Times New Roman" w:cs="Times New Roman"/>
                                <w:i/>
                                <w:sz w:val="14"/>
                                <w:szCs w:val="14"/>
                                <w:lang w:val="en-US"/>
                              </w:rPr>
                              <w:t>»</w:t>
                            </w:r>
                          </w:p>
                          <w:p w:rsidR="007E5DFE" w:rsidRPr="009E0B82" w:rsidRDefault="007E5DFE" w:rsidP="001728A7">
                            <w:pPr>
                              <w:pStyle w:val="SourceLarge"/>
                              <w:spacing w:after="0"/>
                              <w:rPr>
                                <w:rFonts w:asciiTheme="minorHAnsi" w:hAnsiTheme="minorHAnsi"/>
                                <w:lang w:val="ru-RU"/>
                              </w:rPr>
                            </w:pPr>
                            <w:r w:rsidRPr="009E0B82">
                              <w:rPr>
                                <w:rFonts w:ascii="Times New Roman" w:hAnsi="Times New Roman"/>
                                <w:i/>
                                <w:sz w:val="14"/>
                                <w:szCs w:val="14"/>
                                <w:lang w:val="ru-RU"/>
                              </w:rPr>
                              <w:t xml:space="preserve">* 1861-1944 средняя цена в США, 1945-1983 </w:t>
                            </w:r>
                            <w:r w:rsidRPr="001728A7">
                              <w:rPr>
                                <w:rFonts w:ascii="Times New Roman" w:hAnsi="Times New Roman"/>
                                <w:i/>
                                <w:sz w:val="14"/>
                                <w:szCs w:val="14"/>
                              </w:rPr>
                              <w:t>Arabian</w:t>
                            </w:r>
                            <w:r w:rsidRPr="009E0B82">
                              <w:rPr>
                                <w:rFonts w:ascii="Times New Roman" w:hAnsi="Times New Roman"/>
                                <w:i/>
                                <w:sz w:val="14"/>
                                <w:szCs w:val="14"/>
                                <w:lang w:val="ru-RU"/>
                              </w:rPr>
                              <w:t xml:space="preserve"> </w:t>
                            </w:r>
                            <w:r w:rsidRPr="001728A7">
                              <w:rPr>
                                <w:rFonts w:ascii="Times New Roman" w:hAnsi="Times New Roman"/>
                                <w:i/>
                                <w:sz w:val="14"/>
                                <w:szCs w:val="14"/>
                              </w:rPr>
                              <w:t>Light</w:t>
                            </w:r>
                            <w:r w:rsidRPr="009E0B82">
                              <w:rPr>
                                <w:rFonts w:ascii="Times New Roman" w:hAnsi="Times New Roman"/>
                                <w:i/>
                                <w:sz w:val="14"/>
                                <w:szCs w:val="14"/>
                                <w:lang w:val="ru-RU"/>
                              </w:rPr>
                              <w:t xml:space="preserve">, 1984-2016 </w:t>
                            </w:r>
                            <w:r w:rsidRPr="001728A7">
                              <w:rPr>
                                <w:rFonts w:ascii="Times New Roman" w:hAnsi="Times New Roman"/>
                                <w:i/>
                                <w:sz w:val="14"/>
                                <w:szCs w:val="14"/>
                              </w:rPr>
                              <w:t>Brent</w:t>
                            </w:r>
                          </w:p>
                        </w:tc>
                        <w:tc>
                          <w:tcPr>
                            <w:tcW w:w="222" w:type="dxa"/>
                            <w:shd w:val="clear" w:color="auto" w:fill="auto"/>
                          </w:tcPr>
                          <w:p w:rsidR="007E5DFE" w:rsidRPr="009E0B82" w:rsidRDefault="007E5DFE" w:rsidP="00B81EF5">
                            <w:pPr>
                              <w:pStyle w:val="SourceLarge"/>
                              <w:spacing w:after="240"/>
                              <w:rPr>
                                <w:rFonts w:ascii="Times New Roman" w:hAnsi="Times New Roman" w:cs="Times New Roman"/>
                                <w:lang w:val="ru-RU"/>
                              </w:rPr>
                            </w:pPr>
                          </w:p>
                        </w:tc>
                        <w:tc>
                          <w:tcPr>
                            <w:tcW w:w="4364" w:type="dxa"/>
                            <w:tcBorders>
                              <w:top w:val="single" w:sz="4" w:space="0" w:color="auto"/>
                            </w:tcBorders>
                            <w:shd w:val="clear" w:color="auto" w:fill="auto"/>
                          </w:tcPr>
                          <w:p w:rsidR="007E5DFE" w:rsidRPr="003633FC" w:rsidRDefault="007E5DFE" w:rsidP="00B81EF5">
                            <w:pPr>
                              <w:pStyle w:val="SourceLarge"/>
                              <w:spacing w:after="240"/>
                              <w:rPr>
                                <w:rFonts w:ascii="Times New Roman" w:hAnsi="Times New Roman" w:cs="Times New Roman"/>
                                <w:i/>
                                <w:lang w:val="en-US"/>
                              </w:rPr>
                            </w:pPr>
                            <w:proofErr w:type="spellStart"/>
                            <w:r w:rsidRPr="003633FC">
                              <w:rPr>
                                <w:rFonts w:ascii="Times New Roman" w:hAnsi="Times New Roman" w:cs="Times New Roman"/>
                                <w:i/>
                                <w:sz w:val="14"/>
                                <w:szCs w:val="14"/>
                              </w:rPr>
                              <w:t>Источник</w:t>
                            </w:r>
                            <w:proofErr w:type="spellEnd"/>
                            <w:r w:rsidRPr="003633FC">
                              <w:rPr>
                                <w:rFonts w:ascii="Times New Roman" w:hAnsi="Times New Roman" w:cs="Times New Roman"/>
                                <w:i/>
                                <w:sz w:val="14"/>
                                <w:szCs w:val="14"/>
                              </w:rPr>
                              <w:t>: МВФ</w:t>
                            </w:r>
                          </w:p>
                        </w:tc>
                      </w:tr>
                    </w:tbl>
                    <w:p w:rsidR="007E5DFE" w:rsidRDefault="007E5DFE" w:rsidP="00B04970">
                      <w:pPr>
                        <w:spacing w:before="120" w:after="120"/>
                        <w:jc w:val="both"/>
                        <w:rPr>
                          <w:rFonts w:ascii="Times New Roman" w:hAnsi="Times New Roman"/>
                          <w:sz w:val="20"/>
                          <w:szCs w:val="20"/>
                        </w:rPr>
                      </w:pPr>
                      <w:proofErr w:type="gramStart"/>
                      <w:r>
                        <w:rPr>
                          <w:rFonts w:ascii="Times New Roman" w:hAnsi="Times New Roman"/>
                          <w:sz w:val="20"/>
                          <w:szCs w:val="20"/>
                        </w:rPr>
                        <w:t xml:space="preserve">По мере того как </w:t>
                      </w:r>
                      <w:r w:rsidRPr="0033456A">
                        <w:rPr>
                          <w:rFonts w:ascii="Times New Roman" w:hAnsi="Times New Roman"/>
                          <w:sz w:val="20"/>
                          <w:szCs w:val="20"/>
                        </w:rPr>
                        <w:t>накопленные инвестиции достигают критической массы</w:t>
                      </w:r>
                      <w:r>
                        <w:rPr>
                          <w:rFonts w:ascii="Times New Roman" w:hAnsi="Times New Roman"/>
                          <w:sz w:val="20"/>
                          <w:szCs w:val="20"/>
                        </w:rPr>
                        <w:t>,</w:t>
                      </w:r>
                      <w:r w:rsidRPr="0033456A">
                        <w:rPr>
                          <w:rFonts w:ascii="Times New Roman" w:hAnsi="Times New Roman"/>
                          <w:sz w:val="20"/>
                          <w:szCs w:val="20"/>
                        </w:rPr>
                        <w:t xml:space="preserve"> баланс спроса и предложения </w:t>
                      </w:r>
                      <w:r>
                        <w:rPr>
                          <w:rFonts w:ascii="Times New Roman" w:hAnsi="Times New Roman"/>
                          <w:sz w:val="20"/>
                          <w:szCs w:val="20"/>
                        </w:rPr>
                        <w:t xml:space="preserve">смещается (на рынке формируется </w:t>
                      </w:r>
                      <w:r w:rsidRPr="0033456A">
                        <w:rPr>
                          <w:rFonts w:ascii="Times New Roman" w:hAnsi="Times New Roman"/>
                          <w:sz w:val="20"/>
                          <w:szCs w:val="20"/>
                        </w:rPr>
                        <w:t>избыт</w:t>
                      </w:r>
                      <w:r>
                        <w:rPr>
                          <w:rFonts w:ascii="Times New Roman" w:hAnsi="Times New Roman"/>
                          <w:sz w:val="20"/>
                          <w:szCs w:val="20"/>
                        </w:rPr>
                        <w:t>о</w:t>
                      </w:r>
                      <w:r w:rsidRPr="0033456A">
                        <w:rPr>
                          <w:rFonts w:ascii="Times New Roman" w:hAnsi="Times New Roman"/>
                          <w:sz w:val="20"/>
                          <w:szCs w:val="20"/>
                        </w:rPr>
                        <w:t>к предложения</w:t>
                      </w:r>
                      <w:r>
                        <w:rPr>
                          <w:rFonts w:ascii="Times New Roman" w:hAnsi="Times New Roman"/>
                          <w:sz w:val="20"/>
                          <w:szCs w:val="20"/>
                        </w:rPr>
                        <w:t xml:space="preserve">) </w:t>
                      </w:r>
                      <w:r w:rsidRPr="0033456A">
                        <w:rPr>
                          <w:rFonts w:ascii="Times New Roman" w:hAnsi="Times New Roman"/>
                          <w:sz w:val="20"/>
                          <w:szCs w:val="20"/>
                        </w:rPr>
                        <w:t xml:space="preserve">и цены </w:t>
                      </w:r>
                      <w:r>
                        <w:rPr>
                          <w:rFonts w:ascii="Times New Roman" w:hAnsi="Times New Roman"/>
                          <w:sz w:val="20"/>
                          <w:szCs w:val="20"/>
                        </w:rPr>
                        <w:t>возвращаются к их долгосрочным равновесным значениям (средняя за последние 150 лет цена барреля нефти в ценах 2016 года составляет 33 доллара).</w:t>
                      </w:r>
                      <w:proofErr w:type="gramEnd"/>
                      <w:r>
                        <w:rPr>
                          <w:rFonts w:ascii="Times New Roman" w:hAnsi="Times New Roman"/>
                          <w:sz w:val="20"/>
                          <w:szCs w:val="20"/>
                        </w:rPr>
                        <w:t xml:space="preserve"> При этом на рынке нефти, в</w:t>
                      </w:r>
                      <w:r w:rsidRPr="00F22CB7">
                        <w:rPr>
                          <w:rFonts w:ascii="Times New Roman" w:hAnsi="Times New Roman"/>
                          <w:sz w:val="20"/>
                          <w:szCs w:val="20"/>
                        </w:rPr>
                        <w:t xml:space="preserve"> силу низкой ценовой эластичности спроса и предложения</w:t>
                      </w:r>
                      <w:r>
                        <w:rPr>
                          <w:rFonts w:ascii="Times New Roman" w:hAnsi="Times New Roman"/>
                          <w:sz w:val="20"/>
                          <w:szCs w:val="20"/>
                        </w:rPr>
                        <w:t xml:space="preserve"> на краткосрочном горизонте</w:t>
                      </w:r>
                      <w:r w:rsidRPr="00F22CB7">
                        <w:rPr>
                          <w:rFonts w:ascii="Times New Roman" w:hAnsi="Times New Roman"/>
                          <w:sz w:val="20"/>
                          <w:szCs w:val="20"/>
                        </w:rPr>
                        <w:t xml:space="preserve">, даже </w:t>
                      </w:r>
                      <w:r>
                        <w:rPr>
                          <w:rFonts w:ascii="Times New Roman" w:hAnsi="Times New Roman"/>
                          <w:sz w:val="20"/>
                          <w:szCs w:val="20"/>
                        </w:rPr>
                        <w:t xml:space="preserve">небольшие </w:t>
                      </w:r>
                      <w:r w:rsidRPr="00F22CB7">
                        <w:rPr>
                          <w:rFonts w:ascii="Times New Roman" w:hAnsi="Times New Roman"/>
                          <w:sz w:val="20"/>
                          <w:szCs w:val="20"/>
                        </w:rPr>
                        <w:t xml:space="preserve">дисбалансы ведут к резким </w:t>
                      </w:r>
                      <w:r>
                        <w:rPr>
                          <w:rFonts w:ascii="Times New Roman" w:hAnsi="Times New Roman"/>
                          <w:sz w:val="20"/>
                          <w:szCs w:val="20"/>
                        </w:rPr>
                        <w:t xml:space="preserve">и зачастую более глубоким, чем того требует достижение среднесрочного равновесия, </w:t>
                      </w:r>
                      <w:r w:rsidRPr="00F22CB7">
                        <w:rPr>
                          <w:rFonts w:ascii="Times New Roman" w:hAnsi="Times New Roman"/>
                          <w:sz w:val="20"/>
                          <w:szCs w:val="20"/>
                        </w:rPr>
                        <w:t>изменениям цен</w:t>
                      </w:r>
                      <w:r>
                        <w:rPr>
                          <w:rFonts w:ascii="Times New Roman" w:hAnsi="Times New Roman"/>
                          <w:sz w:val="20"/>
                          <w:szCs w:val="20"/>
                        </w:rPr>
                        <w:t xml:space="preserve"> (наглядный пример – период конца 2015 года - начала 2016 года).</w:t>
                      </w:r>
                    </w:p>
                    <w:p w:rsidR="007E5DFE" w:rsidRDefault="007E5DFE" w:rsidP="0068260B">
                      <w:pPr>
                        <w:spacing w:before="120" w:after="120"/>
                        <w:jc w:val="both"/>
                        <w:rPr>
                          <w:rFonts w:ascii="Times New Roman" w:hAnsi="Times New Roman"/>
                          <w:sz w:val="20"/>
                          <w:szCs w:val="20"/>
                        </w:rPr>
                      </w:pPr>
                    </w:p>
                  </w:txbxContent>
                </v:textbox>
                <w10:wrap type="square" anchorx="margin"/>
              </v:shape>
            </w:pict>
          </mc:Fallback>
        </mc:AlternateContent>
      </w:r>
      <w:r w:rsidR="00134881" w:rsidRPr="008B2386">
        <w:rPr>
          <w:rFonts w:ascii="Times New Roman" w:hAnsi="Times New Roman"/>
          <w:sz w:val="24"/>
          <w:szCs w:val="24"/>
        </w:rPr>
        <w:t xml:space="preserve">Комбинация этих факторов привела к серьезному снижению уровня цен на сырьевые товары. </w:t>
      </w:r>
      <w:r w:rsidR="00134881">
        <w:rPr>
          <w:rFonts w:ascii="Times New Roman" w:hAnsi="Times New Roman"/>
          <w:sz w:val="24"/>
          <w:szCs w:val="24"/>
        </w:rPr>
        <w:t>При этом</w:t>
      </w:r>
      <w:r w:rsidR="00B04970">
        <w:rPr>
          <w:rFonts w:ascii="Times New Roman" w:hAnsi="Times New Roman"/>
          <w:sz w:val="24"/>
          <w:szCs w:val="24"/>
        </w:rPr>
        <w:t>,</w:t>
      </w:r>
      <w:r w:rsidR="00134881">
        <w:rPr>
          <w:rFonts w:ascii="Times New Roman" w:hAnsi="Times New Roman"/>
          <w:sz w:val="24"/>
          <w:szCs w:val="24"/>
        </w:rPr>
        <w:t xml:space="preserve"> в</w:t>
      </w:r>
      <w:r w:rsidR="00134881" w:rsidRPr="0031498D">
        <w:rPr>
          <w:rFonts w:ascii="Times New Roman" w:hAnsi="Times New Roman"/>
          <w:sz w:val="24"/>
          <w:szCs w:val="24"/>
        </w:rPr>
        <w:t xml:space="preserve"> отличие от опыта 2008-2009 гг., когда падение цен было вызвано шоком на мировых финансовых рынках, наблюдаемое </w:t>
      </w:r>
      <w:r w:rsidR="00134881">
        <w:rPr>
          <w:rFonts w:ascii="Times New Roman" w:hAnsi="Times New Roman"/>
          <w:sz w:val="24"/>
          <w:szCs w:val="24"/>
        </w:rPr>
        <w:t xml:space="preserve">с 2011 года </w:t>
      </w:r>
      <w:r w:rsidR="00134881" w:rsidRPr="0031498D">
        <w:rPr>
          <w:rFonts w:ascii="Times New Roman" w:hAnsi="Times New Roman"/>
          <w:sz w:val="24"/>
          <w:szCs w:val="24"/>
        </w:rPr>
        <w:t>снижение цен</w:t>
      </w:r>
      <w:r w:rsidR="00134881">
        <w:rPr>
          <w:rFonts w:ascii="Times New Roman" w:hAnsi="Times New Roman"/>
          <w:sz w:val="24"/>
          <w:szCs w:val="24"/>
        </w:rPr>
        <w:t xml:space="preserve"> на сырьевые товары, включая </w:t>
      </w:r>
      <w:r w:rsidR="00134881" w:rsidRPr="0031498D">
        <w:rPr>
          <w:rFonts w:ascii="Times New Roman" w:hAnsi="Times New Roman"/>
          <w:sz w:val="24"/>
          <w:szCs w:val="24"/>
        </w:rPr>
        <w:t>нефть</w:t>
      </w:r>
      <w:r w:rsidR="00134881">
        <w:rPr>
          <w:rFonts w:ascii="Times New Roman" w:hAnsi="Times New Roman"/>
          <w:sz w:val="24"/>
          <w:szCs w:val="24"/>
        </w:rPr>
        <w:t>,</w:t>
      </w:r>
      <w:r w:rsidR="00134881" w:rsidRPr="0031498D">
        <w:rPr>
          <w:rFonts w:ascii="Times New Roman" w:hAnsi="Times New Roman"/>
          <w:sz w:val="24"/>
          <w:szCs w:val="24"/>
        </w:rPr>
        <w:t xml:space="preserve"> свидетельствует </w:t>
      </w:r>
      <w:r w:rsidR="00134881" w:rsidRPr="00767563">
        <w:rPr>
          <w:rFonts w:ascii="Times New Roman" w:hAnsi="Times New Roman"/>
          <w:sz w:val="24"/>
          <w:szCs w:val="24"/>
        </w:rPr>
        <w:t xml:space="preserve">о том, что мировая экономика вошла в снижающуюся ценовую фазу сырьевого </w:t>
      </w:r>
      <w:proofErr w:type="spellStart"/>
      <w:r w:rsidR="00134881" w:rsidRPr="00767563">
        <w:rPr>
          <w:rFonts w:ascii="Times New Roman" w:hAnsi="Times New Roman"/>
          <w:sz w:val="24"/>
          <w:szCs w:val="24"/>
        </w:rPr>
        <w:t>суперцикла</w:t>
      </w:r>
      <w:proofErr w:type="spellEnd"/>
      <w:r w:rsidR="00134881" w:rsidRPr="00767563">
        <w:rPr>
          <w:rFonts w:ascii="Times New Roman" w:hAnsi="Times New Roman"/>
          <w:sz w:val="24"/>
          <w:szCs w:val="24"/>
        </w:rPr>
        <w:t>, которая продлится много лет</w:t>
      </w:r>
      <w:r w:rsidR="00134881">
        <w:rPr>
          <w:rFonts w:ascii="Times New Roman" w:hAnsi="Times New Roman"/>
          <w:sz w:val="24"/>
          <w:szCs w:val="24"/>
        </w:rPr>
        <w:t>.</w:t>
      </w:r>
    </w:p>
    <w:p w:rsidR="00186385" w:rsidRDefault="00780D0A" w:rsidP="0015016A">
      <w:pPr>
        <w:spacing w:before="120" w:after="120"/>
        <w:jc w:val="both"/>
        <w:rPr>
          <w:rFonts w:ascii="Times New Roman" w:hAnsi="Times New Roman"/>
          <w:sz w:val="24"/>
          <w:szCs w:val="24"/>
        </w:rPr>
      </w:pPr>
      <w:r w:rsidRPr="008C0987">
        <w:rPr>
          <w:noProof/>
          <w:lang w:eastAsia="ru-RU"/>
        </w:rPr>
        <mc:AlternateContent>
          <mc:Choice Requires="wps">
            <w:drawing>
              <wp:anchor distT="45720" distB="45720" distL="114300" distR="114300" simplePos="0" relativeHeight="251659776" behindDoc="0" locked="0" layoutInCell="1" allowOverlap="1" wp14:anchorId="3138AF15" wp14:editId="66A18355">
                <wp:simplePos x="0" y="0"/>
                <wp:positionH relativeFrom="margin">
                  <wp:posOffset>-38100</wp:posOffset>
                </wp:positionH>
                <wp:positionV relativeFrom="paragraph">
                  <wp:posOffset>1964055</wp:posOffset>
                </wp:positionV>
                <wp:extent cx="5851525" cy="6900545"/>
                <wp:effectExtent l="0" t="0" r="3175" b="0"/>
                <wp:wrapSquare wrapText="bothSides"/>
                <wp:docPr id="10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1525" cy="6900545"/>
                        </a:xfrm>
                        <a:prstGeom prst="rect">
                          <a:avLst/>
                        </a:prstGeom>
                        <a:solidFill>
                          <a:schemeClr val="bg1">
                            <a:lumMod val="95000"/>
                          </a:schemeClr>
                        </a:solidFill>
                        <a:ln w="9525">
                          <a:noFill/>
                          <a:miter lim="800000"/>
                          <a:headEnd/>
                          <a:tailEnd/>
                        </a:ln>
                      </wps:spPr>
                      <wps:txbx>
                        <w:txbxContent>
                          <w:p w:rsidR="007E5DFE" w:rsidRDefault="007E5DFE" w:rsidP="001D0CDF">
                            <w:pPr>
                              <w:spacing w:after="120"/>
                              <w:rPr>
                                <w:rFonts w:ascii="Times New Roman" w:hAnsi="Times New Roman"/>
                                <w:b/>
                                <w:sz w:val="24"/>
                                <w:szCs w:val="24"/>
                              </w:rPr>
                            </w:pPr>
                            <w:r w:rsidRPr="00C20D7F">
                              <w:rPr>
                                <w:rFonts w:ascii="Times New Roman" w:hAnsi="Times New Roman"/>
                                <w:b/>
                                <w:sz w:val="24"/>
                                <w:szCs w:val="24"/>
                              </w:rPr>
                              <w:t xml:space="preserve">Равновесный уровень цен на мировом рынке нефти </w:t>
                            </w:r>
                          </w:p>
                          <w:p w:rsidR="007E5DFE" w:rsidRDefault="007E5DFE" w:rsidP="001D0CDF">
                            <w:pPr>
                              <w:spacing w:before="120" w:after="0"/>
                              <w:jc w:val="both"/>
                              <w:rPr>
                                <w:rFonts w:ascii="Times New Roman" w:hAnsi="Times New Roman"/>
                                <w:sz w:val="20"/>
                                <w:szCs w:val="20"/>
                              </w:rPr>
                            </w:pPr>
                            <w:r w:rsidRPr="00C20D7F">
                              <w:rPr>
                                <w:rFonts w:ascii="Times New Roman" w:hAnsi="Times New Roman"/>
                                <w:sz w:val="20"/>
                                <w:szCs w:val="20"/>
                              </w:rPr>
                              <w:t>В 2017 году</w:t>
                            </w:r>
                            <w:r>
                              <w:rPr>
                                <w:rFonts w:ascii="Times New Roman" w:hAnsi="Times New Roman"/>
                                <w:sz w:val="20"/>
                                <w:szCs w:val="20"/>
                              </w:rPr>
                              <w:t xml:space="preserve"> осталось </w:t>
                            </w:r>
                            <w:r w:rsidRPr="00C20D7F">
                              <w:rPr>
                                <w:rFonts w:ascii="Times New Roman" w:hAnsi="Times New Roman"/>
                                <w:sz w:val="20"/>
                                <w:szCs w:val="20"/>
                              </w:rPr>
                              <w:t>мало сомнений, что рынок углеводородов вошел в долгосрочны</w:t>
                            </w:r>
                            <w:r>
                              <w:rPr>
                                <w:rFonts w:ascii="Times New Roman" w:hAnsi="Times New Roman"/>
                                <w:sz w:val="20"/>
                                <w:szCs w:val="20"/>
                              </w:rPr>
                              <w:t>й</w:t>
                            </w:r>
                            <w:r w:rsidRPr="00C20D7F">
                              <w:rPr>
                                <w:rFonts w:ascii="Times New Roman" w:hAnsi="Times New Roman"/>
                                <w:sz w:val="20"/>
                                <w:szCs w:val="20"/>
                              </w:rPr>
                              <w:t xml:space="preserve"> режим структурно устойчивых низких цен на нефть. Причиной этому является прогресс в технологиях нефтедобычи</w:t>
                            </w:r>
                            <w:r>
                              <w:rPr>
                                <w:rFonts w:ascii="Times New Roman" w:hAnsi="Times New Roman"/>
                                <w:sz w:val="20"/>
                                <w:szCs w:val="20"/>
                              </w:rPr>
                              <w:t xml:space="preserve">, прежде всего в </w:t>
                            </w:r>
                            <w:r w:rsidRPr="00C20D7F">
                              <w:rPr>
                                <w:rFonts w:ascii="Times New Roman" w:hAnsi="Times New Roman"/>
                                <w:sz w:val="20"/>
                                <w:szCs w:val="20"/>
                              </w:rPr>
                              <w:t>сланцевой нефти США</w:t>
                            </w:r>
                            <w:r>
                              <w:rPr>
                                <w:rFonts w:ascii="Times New Roman" w:hAnsi="Times New Roman"/>
                                <w:sz w:val="20"/>
                                <w:szCs w:val="20"/>
                              </w:rPr>
                              <w:t xml:space="preserve"> (нефти </w:t>
                            </w:r>
                            <w:proofErr w:type="spellStart"/>
                            <w:r>
                              <w:rPr>
                                <w:rFonts w:ascii="Times New Roman" w:hAnsi="Times New Roman"/>
                                <w:sz w:val="20"/>
                                <w:szCs w:val="20"/>
                              </w:rPr>
                              <w:t>труднопроницаемых</w:t>
                            </w:r>
                            <w:proofErr w:type="spellEnd"/>
                            <w:r>
                              <w:rPr>
                                <w:rFonts w:ascii="Times New Roman" w:hAnsi="Times New Roman"/>
                                <w:sz w:val="20"/>
                                <w:szCs w:val="20"/>
                              </w:rPr>
                              <w:t xml:space="preserve"> пластов). Происходит снижение </w:t>
                            </w:r>
                            <w:r w:rsidRPr="00C20D7F">
                              <w:rPr>
                                <w:rFonts w:ascii="Times New Roman" w:hAnsi="Times New Roman"/>
                                <w:sz w:val="20"/>
                                <w:szCs w:val="20"/>
                              </w:rPr>
                              <w:t xml:space="preserve">издержек </w:t>
                            </w:r>
                            <w:r>
                              <w:rPr>
                                <w:rFonts w:ascii="Times New Roman" w:hAnsi="Times New Roman"/>
                                <w:sz w:val="20"/>
                                <w:szCs w:val="20"/>
                              </w:rPr>
                              <w:t xml:space="preserve">и для иных </w:t>
                            </w:r>
                            <w:r w:rsidRPr="00C20D7F">
                              <w:rPr>
                                <w:rFonts w:ascii="Times New Roman" w:hAnsi="Times New Roman"/>
                                <w:sz w:val="20"/>
                                <w:szCs w:val="20"/>
                              </w:rPr>
                              <w:t xml:space="preserve">источников, включая шельф. Несмотря на то, что сланцевая нефть США в настоящее время </w:t>
                            </w:r>
                            <w:r>
                              <w:rPr>
                                <w:rFonts w:ascii="Times New Roman" w:hAnsi="Times New Roman"/>
                                <w:sz w:val="20"/>
                                <w:szCs w:val="20"/>
                              </w:rPr>
                              <w:t>обеспечивает</w:t>
                            </w:r>
                            <w:r w:rsidRPr="00C20D7F">
                              <w:rPr>
                                <w:rFonts w:ascii="Times New Roman" w:hAnsi="Times New Roman"/>
                                <w:sz w:val="20"/>
                                <w:szCs w:val="20"/>
                              </w:rPr>
                              <w:t xml:space="preserve"> лишь небольшую долю мировой добычи – порядка 5%, она </w:t>
                            </w:r>
                            <w:r>
                              <w:rPr>
                                <w:rFonts w:ascii="Times New Roman" w:hAnsi="Times New Roman"/>
                                <w:sz w:val="20"/>
                                <w:szCs w:val="20"/>
                              </w:rPr>
                              <w:t xml:space="preserve">важна, поскольку </w:t>
                            </w:r>
                            <w:r w:rsidRPr="00C20D7F">
                              <w:rPr>
                                <w:rFonts w:ascii="Times New Roman" w:hAnsi="Times New Roman"/>
                                <w:sz w:val="20"/>
                                <w:szCs w:val="20"/>
                              </w:rPr>
                              <w:t xml:space="preserve">отличается крайне коротким инвестиционным циклом, </w:t>
                            </w:r>
                            <w:r>
                              <w:rPr>
                                <w:rFonts w:ascii="Times New Roman" w:hAnsi="Times New Roman"/>
                                <w:sz w:val="20"/>
                                <w:szCs w:val="20"/>
                              </w:rPr>
                              <w:t xml:space="preserve">который </w:t>
                            </w:r>
                            <w:r w:rsidRPr="00C20D7F">
                              <w:rPr>
                                <w:rFonts w:ascii="Times New Roman" w:hAnsi="Times New Roman"/>
                                <w:sz w:val="20"/>
                                <w:szCs w:val="20"/>
                              </w:rPr>
                              <w:t xml:space="preserve">на порядок </w:t>
                            </w:r>
                            <w:r>
                              <w:rPr>
                                <w:rFonts w:ascii="Times New Roman" w:hAnsi="Times New Roman"/>
                                <w:sz w:val="20"/>
                                <w:szCs w:val="20"/>
                              </w:rPr>
                              <w:t>короче традиционных</w:t>
                            </w:r>
                            <w:r w:rsidRPr="00C20D7F">
                              <w:rPr>
                                <w:rFonts w:ascii="Times New Roman" w:hAnsi="Times New Roman"/>
                                <w:sz w:val="20"/>
                                <w:szCs w:val="20"/>
                              </w:rPr>
                              <w:t xml:space="preserve"> источников. Как </w:t>
                            </w:r>
                            <w:r>
                              <w:rPr>
                                <w:rFonts w:ascii="Times New Roman" w:hAnsi="Times New Roman"/>
                                <w:sz w:val="20"/>
                                <w:szCs w:val="20"/>
                              </w:rPr>
                              <w:t>показал</w:t>
                            </w:r>
                            <w:r w:rsidRPr="00C20D7F">
                              <w:rPr>
                                <w:rFonts w:ascii="Times New Roman" w:hAnsi="Times New Roman"/>
                                <w:sz w:val="20"/>
                                <w:szCs w:val="20"/>
                              </w:rPr>
                              <w:t xml:space="preserve"> опыт 2017 г. </w:t>
                            </w:r>
                            <w:r>
                              <w:rPr>
                                <w:rFonts w:ascii="Times New Roman" w:hAnsi="Times New Roman"/>
                                <w:sz w:val="20"/>
                                <w:szCs w:val="20"/>
                              </w:rPr>
                              <w:t xml:space="preserve">сланцевая добыча США способна быстро наращивать производство </w:t>
                            </w:r>
                            <w:r w:rsidRPr="00C20D7F">
                              <w:rPr>
                                <w:rFonts w:ascii="Times New Roman" w:hAnsi="Times New Roman"/>
                                <w:sz w:val="20"/>
                                <w:szCs w:val="20"/>
                              </w:rPr>
                              <w:t>на величин</w:t>
                            </w:r>
                            <w:r>
                              <w:rPr>
                                <w:rFonts w:ascii="Times New Roman" w:hAnsi="Times New Roman"/>
                                <w:sz w:val="20"/>
                                <w:szCs w:val="20"/>
                              </w:rPr>
                              <w:t>ы</w:t>
                            </w:r>
                            <w:r w:rsidRPr="00C20D7F">
                              <w:rPr>
                                <w:rFonts w:ascii="Times New Roman" w:hAnsi="Times New Roman"/>
                                <w:sz w:val="20"/>
                                <w:szCs w:val="20"/>
                              </w:rPr>
                              <w:t xml:space="preserve"> порядка </w:t>
                            </w:r>
                            <w:r>
                              <w:rPr>
                                <w:rFonts w:ascii="Times New Roman" w:hAnsi="Times New Roman"/>
                                <w:sz w:val="20"/>
                                <w:szCs w:val="20"/>
                              </w:rPr>
                              <w:t xml:space="preserve">миллиона </w:t>
                            </w:r>
                            <w:r w:rsidRPr="00C20D7F">
                              <w:rPr>
                                <w:rFonts w:ascii="Times New Roman" w:hAnsi="Times New Roman"/>
                                <w:sz w:val="20"/>
                                <w:szCs w:val="20"/>
                              </w:rPr>
                              <w:t>барр</w:t>
                            </w:r>
                            <w:r>
                              <w:rPr>
                                <w:rFonts w:ascii="Times New Roman" w:hAnsi="Times New Roman"/>
                                <w:sz w:val="20"/>
                                <w:szCs w:val="20"/>
                              </w:rPr>
                              <w:t>елей</w:t>
                            </w:r>
                            <w:r w:rsidRPr="00C20D7F">
                              <w:rPr>
                                <w:rFonts w:ascii="Times New Roman" w:hAnsi="Times New Roman"/>
                                <w:sz w:val="20"/>
                                <w:szCs w:val="20"/>
                              </w:rPr>
                              <w:t xml:space="preserve"> в сутки в течение 12 месяцев</w:t>
                            </w:r>
                            <w:r>
                              <w:rPr>
                                <w:rFonts w:ascii="Times New Roman" w:hAnsi="Times New Roman"/>
                                <w:sz w:val="20"/>
                                <w:szCs w:val="20"/>
                              </w:rPr>
                              <w:t xml:space="preserve">, </w:t>
                            </w:r>
                            <w:r w:rsidRPr="00C20D7F">
                              <w:rPr>
                                <w:rFonts w:ascii="Times New Roman" w:hAnsi="Times New Roman"/>
                                <w:sz w:val="20"/>
                                <w:szCs w:val="20"/>
                              </w:rPr>
                              <w:t xml:space="preserve">если уровни цен предполагают достаточную рентабельность. Динамизм </w:t>
                            </w:r>
                            <w:r>
                              <w:rPr>
                                <w:rFonts w:ascii="Times New Roman" w:hAnsi="Times New Roman"/>
                                <w:sz w:val="20"/>
                                <w:szCs w:val="20"/>
                              </w:rPr>
                              <w:t>также определяет</w:t>
                            </w:r>
                            <w:r w:rsidRPr="00C20D7F">
                              <w:rPr>
                                <w:rFonts w:ascii="Times New Roman" w:hAnsi="Times New Roman"/>
                                <w:sz w:val="20"/>
                                <w:szCs w:val="20"/>
                              </w:rPr>
                              <w:t xml:space="preserve"> гибкая структура американского рынка нефтедобычи, отличающ</w:t>
                            </w:r>
                            <w:r>
                              <w:rPr>
                                <w:rFonts w:ascii="Times New Roman" w:hAnsi="Times New Roman"/>
                                <w:sz w:val="20"/>
                                <w:szCs w:val="20"/>
                              </w:rPr>
                              <w:t xml:space="preserve">егося </w:t>
                            </w:r>
                            <w:r w:rsidRPr="00C20D7F">
                              <w:rPr>
                                <w:rFonts w:ascii="Times New Roman" w:hAnsi="Times New Roman"/>
                                <w:sz w:val="20"/>
                                <w:szCs w:val="20"/>
                              </w:rPr>
                              <w:t xml:space="preserve">высокой конкуренцией, низкими барьерами входа, </w:t>
                            </w:r>
                            <w:r>
                              <w:rPr>
                                <w:rFonts w:ascii="Times New Roman" w:hAnsi="Times New Roman"/>
                                <w:sz w:val="20"/>
                                <w:szCs w:val="20"/>
                              </w:rPr>
                              <w:t xml:space="preserve">хорошим </w:t>
                            </w:r>
                            <w:r w:rsidRPr="00C20D7F">
                              <w:rPr>
                                <w:rFonts w:ascii="Times New Roman" w:hAnsi="Times New Roman"/>
                                <w:sz w:val="20"/>
                                <w:szCs w:val="20"/>
                              </w:rPr>
                              <w:t>доступом к рынку капитала. Граница экономической эффективности</w:t>
                            </w:r>
                            <w:r>
                              <w:rPr>
                                <w:rFonts w:ascii="Times New Roman" w:hAnsi="Times New Roman"/>
                                <w:sz w:val="20"/>
                                <w:szCs w:val="20"/>
                              </w:rPr>
                              <w:t xml:space="preserve"> добычи</w:t>
                            </w:r>
                            <w:r w:rsidRPr="00C20D7F">
                              <w:rPr>
                                <w:rFonts w:ascii="Times New Roman" w:hAnsi="Times New Roman"/>
                                <w:sz w:val="20"/>
                                <w:szCs w:val="20"/>
                              </w:rPr>
                              <w:t xml:space="preserve"> сланцевой нефти </w:t>
                            </w:r>
                            <w:r>
                              <w:rPr>
                                <w:rFonts w:ascii="Times New Roman" w:hAnsi="Times New Roman"/>
                                <w:sz w:val="20"/>
                                <w:szCs w:val="20"/>
                              </w:rPr>
                              <w:t xml:space="preserve">опустилась ниже 50 </w:t>
                            </w:r>
                            <w:r w:rsidRPr="00C20D7F">
                              <w:rPr>
                                <w:rFonts w:ascii="Times New Roman" w:hAnsi="Times New Roman"/>
                                <w:sz w:val="20"/>
                                <w:szCs w:val="20"/>
                              </w:rPr>
                              <w:t>долл. США за баррель</w:t>
                            </w:r>
                            <w:r>
                              <w:rPr>
                                <w:rFonts w:ascii="Times New Roman" w:hAnsi="Times New Roman"/>
                                <w:sz w:val="20"/>
                                <w:szCs w:val="20"/>
                              </w:rPr>
                              <w:t xml:space="preserve">. А если не учитывать безвозвратные потери на приобретение участков </w:t>
                            </w:r>
                            <w:r w:rsidRPr="00C20D7F">
                              <w:rPr>
                                <w:rFonts w:ascii="Times New Roman" w:hAnsi="Times New Roman"/>
                                <w:sz w:val="20"/>
                                <w:szCs w:val="20"/>
                              </w:rPr>
                              <w:t>–</w:t>
                            </w:r>
                            <w:r>
                              <w:rPr>
                                <w:rFonts w:ascii="Times New Roman" w:hAnsi="Times New Roman"/>
                                <w:sz w:val="20"/>
                                <w:szCs w:val="20"/>
                              </w:rPr>
                              <w:t xml:space="preserve"> находится </w:t>
                            </w:r>
                            <w:r w:rsidRPr="00C20D7F">
                              <w:rPr>
                                <w:rFonts w:ascii="Times New Roman" w:hAnsi="Times New Roman"/>
                                <w:sz w:val="20"/>
                                <w:szCs w:val="20"/>
                              </w:rPr>
                              <w:t xml:space="preserve">ниже </w:t>
                            </w:r>
                            <w:r>
                              <w:rPr>
                                <w:rFonts w:ascii="Times New Roman" w:hAnsi="Times New Roman"/>
                                <w:sz w:val="20"/>
                                <w:szCs w:val="20"/>
                              </w:rPr>
                              <w:t xml:space="preserve">40 </w:t>
                            </w:r>
                            <w:r w:rsidRPr="00C20D7F">
                              <w:rPr>
                                <w:rFonts w:ascii="Times New Roman" w:hAnsi="Times New Roman"/>
                                <w:sz w:val="20"/>
                                <w:szCs w:val="20"/>
                              </w:rPr>
                              <w:t>долл. США за баррель</w:t>
                            </w:r>
                            <w:r>
                              <w:rPr>
                                <w:rFonts w:ascii="Times New Roman" w:hAnsi="Times New Roman"/>
                                <w:sz w:val="20"/>
                                <w:szCs w:val="20"/>
                              </w:rPr>
                              <w:t xml:space="preserve">. </w:t>
                            </w:r>
                          </w:p>
                          <w:tbl>
                            <w:tblPr>
                              <w:tblStyle w:val="Smalltable"/>
                              <w:tblW w:w="10172" w:type="dxa"/>
                              <w:tblInd w:w="0" w:type="dxa"/>
                              <w:tblLook w:val="04A0" w:firstRow="1" w:lastRow="0" w:firstColumn="1" w:lastColumn="0" w:noHBand="0" w:noVBand="1"/>
                            </w:tblPr>
                            <w:tblGrid>
                              <w:gridCol w:w="4472"/>
                              <w:gridCol w:w="222"/>
                              <w:gridCol w:w="4327"/>
                              <w:gridCol w:w="1151"/>
                            </w:tblGrid>
                            <w:tr w:rsidR="007E5DFE" w:rsidRPr="00E65DE3" w:rsidTr="004E2D5D">
                              <w:trPr>
                                <w:gridAfter w:val="1"/>
                                <w:wAfter w:w="1151" w:type="dxa"/>
                                <w:trHeight w:val="198"/>
                              </w:trPr>
                              <w:tc>
                                <w:tcPr>
                                  <w:tcW w:w="4472" w:type="dxa"/>
                                  <w:shd w:val="clear" w:color="auto" w:fill="auto"/>
                                </w:tcPr>
                                <w:p w:rsidR="007E5DFE" w:rsidRPr="008B3C4E" w:rsidRDefault="007E5DFE" w:rsidP="001D0CDF">
                                  <w:pPr>
                                    <w:pStyle w:val="GraphTitle"/>
                                    <w:spacing w:after="0"/>
                                    <w:rPr>
                                      <w:rFonts w:ascii="Times New Roman" w:hAnsi="Times New Roman" w:cs="Times New Roman"/>
                                      <w:b/>
                                      <w:sz w:val="20"/>
                                      <w:szCs w:val="20"/>
                                      <w:lang w:val="ru-RU"/>
                                    </w:rPr>
                                  </w:pPr>
                                  <w:r w:rsidRPr="00C20D7F">
                                    <w:rPr>
                                      <w:rFonts w:ascii="Times New Roman" w:hAnsi="Times New Roman" w:cs="Times New Roman"/>
                                      <w:b/>
                                      <w:sz w:val="20"/>
                                      <w:szCs w:val="20"/>
                                      <w:lang w:val="ru-RU"/>
                                    </w:rPr>
                                    <w:t>Кривая предельных издержек производства нефти в мире новых проектов</w:t>
                                  </w:r>
                                </w:p>
                              </w:tc>
                              <w:tc>
                                <w:tcPr>
                                  <w:tcW w:w="222" w:type="dxa"/>
                                  <w:shd w:val="clear" w:color="auto" w:fill="auto"/>
                                </w:tcPr>
                                <w:p w:rsidR="007E5DFE" w:rsidRPr="00E65DE3" w:rsidRDefault="007E5DFE" w:rsidP="001D0CDF">
                                  <w:pPr>
                                    <w:pStyle w:val="GraphTitle"/>
                                    <w:spacing w:after="0"/>
                                    <w:rPr>
                                      <w:rFonts w:ascii="Times New Roman" w:hAnsi="Times New Roman" w:cs="Times New Roman"/>
                                      <w:lang w:val="ru-RU"/>
                                    </w:rPr>
                                  </w:pPr>
                                </w:p>
                              </w:tc>
                              <w:tc>
                                <w:tcPr>
                                  <w:tcW w:w="4327" w:type="dxa"/>
                                  <w:shd w:val="clear" w:color="auto" w:fill="auto"/>
                                </w:tcPr>
                                <w:p w:rsidR="007E5DFE" w:rsidRPr="008B3C4E" w:rsidRDefault="007E5DFE" w:rsidP="001D0CDF">
                                  <w:pPr>
                                    <w:pStyle w:val="GraphTitle"/>
                                    <w:spacing w:after="0"/>
                                    <w:rPr>
                                      <w:rFonts w:ascii="Times New Roman" w:hAnsi="Times New Roman" w:cs="Times New Roman"/>
                                      <w:b/>
                                      <w:sz w:val="20"/>
                                      <w:szCs w:val="20"/>
                                      <w:lang w:val="ru-RU"/>
                                    </w:rPr>
                                  </w:pPr>
                                  <w:r w:rsidRPr="00F87178">
                                    <w:rPr>
                                      <w:rFonts w:ascii="Times New Roman" w:hAnsi="Times New Roman" w:cs="Times New Roman"/>
                                      <w:b/>
                                      <w:sz w:val="20"/>
                                      <w:szCs w:val="20"/>
                                      <w:lang w:val="ru-RU"/>
                                    </w:rPr>
                                    <w:t>Производство сырой нефти и жидких углеводородов ОПЕК</w:t>
                                  </w:r>
                                </w:p>
                              </w:tc>
                            </w:tr>
                            <w:tr w:rsidR="007E5DFE" w:rsidRPr="00E65DE3" w:rsidTr="004E2D5D">
                              <w:trPr>
                                <w:trHeight w:hRule="exact" w:val="28"/>
                              </w:trPr>
                              <w:tc>
                                <w:tcPr>
                                  <w:tcW w:w="4472" w:type="dxa"/>
                                  <w:tcBorders>
                                    <w:bottom w:val="single" w:sz="4" w:space="0" w:color="auto"/>
                                  </w:tcBorders>
                                  <w:shd w:val="clear" w:color="auto" w:fill="auto"/>
                                </w:tcPr>
                                <w:p w:rsidR="007E5DFE" w:rsidRPr="00E65DE3" w:rsidRDefault="007E5DFE" w:rsidP="00B81EF5">
                                  <w:pPr>
                                    <w:pStyle w:val="TabText"/>
                                    <w:rPr>
                                      <w:rFonts w:ascii="Times New Roman" w:hAnsi="Times New Roman" w:cs="Times New Roman"/>
                                      <w:lang w:val="ru-RU"/>
                                    </w:rPr>
                                  </w:pPr>
                                </w:p>
                              </w:tc>
                              <w:tc>
                                <w:tcPr>
                                  <w:tcW w:w="222" w:type="dxa"/>
                                  <w:shd w:val="clear" w:color="auto" w:fill="auto"/>
                                </w:tcPr>
                                <w:p w:rsidR="007E5DFE" w:rsidRPr="00E65DE3" w:rsidRDefault="007E5DFE" w:rsidP="00B81EF5">
                                  <w:pPr>
                                    <w:pStyle w:val="TabText"/>
                                    <w:rPr>
                                      <w:rFonts w:ascii="Times New Roman" w:hAnsi="Times New Roman" w:cs="Times New Roman"/>
                                      <w:lang w:val="ru-RU"/>
                                    </w:rPr>
                                  </w:pPr>
                                </w:p>
                              </w:tc>
                              <w:tc>
                                <w:tcPr>
                                  <w:tcW w:w="4327" w:type="dxa"/>
                                  <w:tcBorders>
                                    <w:bottom w:val="single" w:sz="4" w:space="0" w:color="auto"/>
                                  </w:tcBorders>
                                  <w:shd w:val="clear" w:color="auto" w:fill="auto"/>
                                </w:tcPr>
                                <w:p w:rsidR="007E5DFE" w:rsidRPr="00E65DE3" w:rsidRDefault="007E5DFE" w:rsidP="00B81EF5">
                                  <w:pPr>
                                    <w:pStyle w:val="TabText"/>
                                    <w:rPr>
                                      <w:rFonts w:ascii="Times New Roman" w:hAnsi="Times New Roman" w:cs="Times New Roman"/>
                                      <w:lang w:val="ru-RU"/>
                                    </w:rPr>
                                  </w:pPr>
                                </w:p>
                              </w:tc>
                              <w:tc>
                                <w:tcPr>
                                  <w:tcW w:w="1151" w:type="dxa"/>
                                  <w:shd w:val="clear" w:color="auto" w:fill="auto"/>
                                </w:tcPr>
                                <w:p w:rsidR="007E5DFE" w:rsidRPr="00E65DE3" w:rsidRDefault="007E5DFE" w:rsidP="00B81EF5">
                                  <w:pPr>
                                    <w:pStyle w:val="TabText"/>
                                    <w:rPr>
                                      <w:rFonts w:ascii="Times New Roman" w:hAnsi="Times New Roman" w:cs="Times New Roman"/>
                                      <w:lang w:val="ru-RU"/>
                                    </w:rPr>
                                  </w:pPr>
                                </w:p>
                              </w:tc>
                            </w:tr>
                            <w:tr w:rsidR="007E5DFE" w:rsidRPr="00E65DE3" w:rsidTr="004E2D5D">
                              <w:tblPrEx>
                                <w:tblCellMar>
                                  <w:left w:w="108" w:type="dxa"/>
                                  <w:right w:w="108" w:type="dxa"/>
                                </w:tblCellMar>
                              </w:tblPrEx>
                              <w:trPr>
                                <w:gridAfter w:val="1"/>
                                <w:wAfter w:w="1151" w:type="dxa"/>
                                <w:trHeight w:val="2200"/>
                              </w:trPr>
                              <w:tc>
                                <w:tcPr>
                                  <w:tcW w:w="4472" w:type="dxa"/>
                                  <w:tcBorders>
                                    <w:top w:val="single" w:sz="4" w:space="0" w:color="auto"/>
                                    <w:bottom w:val="single" w:sz="4" w:space="0" w:color="auto"/>
                                  </w:tcBorders>
                                  <w:shd w:val="clear" w:color="auto" w:fill="auto"/>
                                  <w:tcMar>
                                    <w:left w:w="0" w:type="nil"/>
                                    <w:right w:w="0" w:type="nil"/>
                                  </w:tcMar>
                                </w:tcPr>
                                <w:p w:rsidR="007E5DFE" w:rsidRPr="00E65DE3" w:rsidRDefault="007E5DFE" w:rsidP="00B81EF5">
                                  <w:pPr>
                                    <w:pStyle w:val="TabText"/>
                                    <w:rPr>
                                      <w:rFonts w:ascii="Times New Roman" w:hAnsi="Times New Roman" w:cs="Times New Roman"/>
                                      <w:lang w:val="ru-RU"/>
                                    </w:rPr>
                                  </w:pPr>
                                  <w:r>
                                    <w:rPr>
                                      <w:noProof/>
                                      <w:lang w:val="ru-RU" w:bidi="ar-SA"/>
                                    </w:rPr>
                                    <w:drawing>
                                      <wp:inline distT="0" distB="0" distL="0" distR="0" wp14:anchorId="1F699253" wp14:editId="301F3160">
                                        <wp:extent cx="2703007" cy="1627832"/>
                                        <wp:effectExtent l="0" t="0" r="0" b="0"/>
                                        <wp:docPr id="1024" name="Диаграмма 10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222" w:type="dxa"/>
                                  <w:shd w:val="clear" w:color="auto" w:fill="auto"/>
                                  <w:tcMar>
                                    <w:left w:w="0" w:type="nil"/>
                                    <w:right w:w="0" w:type="nil"/>
                                  </w:tcMar>
                                </w:tcPr>
                                <w:p w:rsidR="007E5DFE" w:rsidRPr="00E65DE3" w:rsidRDefault="007E5DFE" w:rsidP="00B81EF5">
                                  <w:pPr>
                                    <w:pStyle w:val="TabText"/>
                                    <w:rPr>
                                      <w:rFonts w:ascii="Times New Roman" w:hAnsi="Times New Roman" w:cs="Times New Roman"/>
                                      <w:lang w:val="ru-RU"/>
                                    </w:rPr>
                                  </w:pPr>
                                </w:p>
                              </w:tc>
                              <w:tc>
                                <w:tcPr>
                                  <w:tcW w:w="4327" w:type="dxa"/>
                                  <w:tcBorders>
                                    <w:top w:val="single" w:sz="4" w:space="0" w:color="auto"/>
                                    <w:bottom w:val="single" w:sz="4" w:space="0" w:color="auto"/>
                                  </w:tcBorders>
                                  <w:shd w:val="clear" w:color="auto" w:fill="auto"/>
                                  <w:tcMar>
                                    <w:left w:w="0" w:type="nil"/>
                                    <w:right w:w="0" w:type="nil"/>
                                  </w:tcMar>
                                </w:tcPr>
                                <w:p w:rsidR="007E5DFE" w:rsidRPr="00E65DE3" w:rsidRDefault="007E5DFE" w:rsidP="00B81EF5">
                                  <w:pPr>
                                    <w:pStyle w:val="TabText"/>
                                    <w:rPr>
                                      <w:rFonts w:ascii="Times New Roman" w:hAnsi="Times New Roman" w:cs="Times New Roman"/>
                                      <w:lang w:val="ru-RU"/>
                                    </w:rPr>
                                  </w:pPr>
                                  <w:r>
                                    <w:rPr>
                                      <w:noProof/>
                                      <w:lang w:val="ru-RU" w:bidi="ar-SA"/>
                                    </w:rPr>
                                    <w:drawing>
                                      <wp:inline distT="0" distB="0" distL="0" distR="0" wp14:anchorId="37B604B2" wp14:editId="5CDEEBD1">
                                        <wp:extent cx="2575364" cy="1568548"/>
                                        <wp:effectExtent l="0" t="0" r="0" b="0"/>
                                        <wp:docPr id="1025" name="Диаграмма 10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7E5DFE" w:rsidRPr="00E65DE3" w:rsidTr="004E2D5D">
                              <w:trPr>
                                <w:gridAfter w:val="1"/>
                                <w:wAfter w:w="1151" w:type="dxa"/>
                                <w:trHeight w:val="198"/>
                              </w:trPr>
                              <w:tc>
                                <w:tcPr>
                                  <w:tcW w:w="4472" w:type="dxa"/>
                                  <w:tcBorders>
                                    <w:top w:val="single" w:sz="4" w:space="0" w:color="auto"/>
                                  </w:tcBorders>
                                  <w:shd w:val="clear" w:color="auto" w:fill="auto"/>
                                </w:tcPr>
                                <w:p w:rsidR="007E5DFE" w:rsidRPr="00C20D7F" w:rsidRDefault="007E5DFE" w:rsidP="004E2D5D">
                                  <w:pPr>
                                    <w:pStyle w:val="SourceLarge"/>
                                    <w:spacing w:after="0"/>
                                    <w:rPr>
                                      <w:rFonts w:asciiTheme="minorHAnsi" w:hAnsiTheme="minorHAnsi"/>
                                      <w:lang w:val="en-US"/>
                                    </w:rPr>
                                  </w:pPr>
                                  <w:proofErr w:type="spellStart"/>
                                  <w:r w:rsidRPr="003633FC">
                                    <w:rPr>
                                      <w:rFonts w:ascii="Times New Roman" w:hAnsi="Times New Roman" w:cs="Times New Roman"/>
                                      <w:i/>
                                      <w:sz w:val="14"/>
                                      <w:szCs w:val="14"/>
                                    </w:rPr>
                                    <w:t>Источник</w:t>
                                  </w:r>
                                  <w:proofErr w:type="spellEnd"/>
                                  <w:r w:rsidRPr="003633FC">
                                    <w:rPr>
                                      <w:rFonts w:ascii="Times New Roman" w:hAnsi="Times New Roman" w:cs="Times New Roman"/>
                                      <w:i/>
                                      <w:sz w:val="14"/>
                                      <w:szCs w:val="14"/>
                                    </w:rPr>
                                    <w:t>:</w:t>
                                  </w:r>
                                  <w:r w:rsidRPr="00C20D7F">
                                    <w:rPr>
                                      <w:rFonts w:ascii="Times New Roman" w:hAnsi="Times New Roman" w:cs="Times New Roman"/>
                                      <w:i/>
                                      <w:sz w:val="14"/>
                                      <w:szCs w:val="14"/>
                                      <w:lang w:val="en-US"/>
                                    </w:rPr>
                                    <w:t xml:space="preserve"> </w:t>
                                  </w:r>
                                  <w:r>
                                    <w:rPr>
                                      <w:rFonts w:ascii="Times New Roman" w:hAnsi="Times New Roman" w:cs="Times New Roman"/>
                                      <w:i/>
                                      <w:sz w:val="14"/>
                                      <w:szCs w:val="14"/>
                                    </w:rPr>
                                    <w:t>Goldman Sachs, Wall street research</w:t>
                                  </w:r>
                                  <w:r w:rsidRPr="00C20D7F">
                                    <w:rPr>
                                      <w:rFonts w:ascii="Times New Roman" w:hAnsi="Times New Roman" w:cs="Times New Roman"/>
                                      <w:i/>
                                      <w:sz w:val="14"/>
                                      <w:szCs w:val="14"/>
                                    </w:rPr>
                                    <w:t>, Pioneer resources, Минфин России</w:t>
                                  </w:r>
                                </w:p>
                              </w:tc>
                              <w:tc>
                                <w:tcPr>
                                  <w:tcW w:w="222" w:type="dxa"/>
                                  <w:shd w:val="clear" w:color="auto" w:fill="auto"/>
                                </w:tcPr>
                                <w:p w:rsidR="007E5DFE" w:rsidRPr="001728A7" w:rsidRDefault="007E5DFE" w:rsidP="00B81EF5">
                                  <w:pPr>
                                    <w:pStyle w:val="SourceLarge"/>
                                    <w:spacing w:after="240"/>
                                    <w:rPr>
                                      <w:rFonts w:ascii="Times New Roman" w:hAnsi="Times New Roman" w:cs="Times New Roman"/>
                                    </w:rPr>
                                  </w:pPr>
                                </w:p>
                              </w:tc>
                              <w:tc>
                                <w:tcPr>
                                  <w:tcW w:w="4327" w:type="dxa"/>
                                  <w:tcBorders>
                                    <w:top w:val="single" w:sz="4" w:space="0" w:color="auto"/>
                                  </w:tcBorders>
                                  <w:shd w:val="clear" w:color="auto" w:fill="auto"/>
                                </w:tcPr>
                                <w:p w:rsidR="007E5DFE" w:rsidRPr="001F42B3" w:rsidRDefault="007E5DFE" w:rsidP="004E2D5D">
                                  <w:pPr>
                                    <w:pStyle w:val="SourceLarge"/>
                                    <w:spacing w:after="240"/>
                                    <w:rPr>
                                      <w:rFonts w:ascii="Times New Roman" w:hAnsi="Times New Roman" w:cs="Times New Roman"/>
                                      <w:i/>
                                      <w:lang w:val="en-US"/>
                                    </w:rPr>
                                  </w:pPr>
                                  <w:proofErr w:type="spellStart"/>
                                  <w:r w:rsidRPr="003633FC">
                                    <w:rPr>
                                      <w:rFonts w:ascii="Times New Roman" w:hAnsi="Times New Roman" w:cs="Times New Roman"/>
                                      <w:i/>
                                      <w:sz w:val="14"/>
                                      <w:szCs w:val="14"/>
                                    </w:rPr>
                                    <w:t>Источник</w:t>
                                  </w:r>
                                  <w:proofErr w:type="spellEnd"/>
                                  <w:r w:rsidRPr="003633FC">
                                    <w:rPr>
                                      <w:rFonts w:ascii="Times New Roman" w:hAnsi="Times New Roman" w:cs="Times New Roman"/>
                                      <w:i/>
                                      <w:sz w:val="14"/>
                                      <w:szCs w:val="14"/>
                                    </w:rPr>
                                    <w:t>: </w:t>
                                  </w:r>
                                  <w:r w:rsidRPr="002F2811">
                                    <w:rPr>
                                      <w:rFonts w:ascii="Times New Roman" w:hAnsi="Times New Roman" w:cs="Times New Roman"/>
                                      <w:i/>
                                      <w:sz w:val="14"/>
                                      <w:szCs w:val="14"/>
                                    </w:rPr>
                                    <w:t>Energy Information Administration</w:t>
                                  </w:r>
                                </w:p>
                              </w:tc>
                            </w:tr>
                          </w:tbl>
                          <w:p w:rsidR="007E5DFE" w:rsidRDefault="007E5DFE" w:rsidP="004A321B">
                            <w:pPr>
                              <w:spacing w:before="120" w:after="120"/>
                              <w:jc w:val="both"/>
                              <w:rPr>
                                <w:rFonts w:ascii="Times New Roman" w:hAnsi="Times New Roman"/>
                                <w:sz w:val="20"/>
                                <w:szCs w:val="20"/>
                              </w:rPr>
                            </w:pPr>
                            <w:r w:rsidRPr="001F42B3">
                              <w:rPr>
                                <w:rFonts w:ascii="Times New Roman" w:hAnsi="Times New Roman"/>
                                <w:sz w:val="20"/>
                                <w:szCs w:val="20"/>
                              </w:rPr>
                              <w:t xml:space="preserve">Высокие темпы </w:t>
                            </w:r>
                            <w:r>
                              <w:rPr>
                                <w:rFonts w:ascii="Times New Roman" w:hAnsi="Times New Roman"/>
                                <w:sz w:val="20"/>
                                <w:szCs w:val="20"/>
                              </w:rPr>
                              <w:t>реакции</w:t>
                            </w:r>
                            <w:r w:rsidRPr="001F42B3">
                              <w:rPr>
                                <w:rFonts w:ascii="Times New Roman" w:hAnsi="Times New Roman"/>
                                <w:sz w:val="20"/>
                                <w:szCs w:val="20"/>
                              </w:rPr>
                              <w:t xml:space="preserve"> сланцевой нефтедобычи </w:t>
                            </w:r>
                            <w:r>
                              <w:rPr>
                                <w:rFonts w:ascii="Times New Roman" w:hAnsi="Times New Roman"/>
                                <w:sz w:val="20"/>
                                <w:szCs w:val="20"/>
                              </w:rPr>
                              <w:t>на ценовой стимул создают условия для быстрой балансировки рынка</w:t>
                            </w:r>
                            <w:r w:rsidRPr="001F42B3">
                              <w:rPr>
                                <w:rFonts w:ascii="Times New Roman" w:hAnsi="Times New Roman"/>
                                <w:sz w:val="20"/>
                                <w:szCs w:val="20"/>
                              </w:rPr>
                              <w:t xml:space="preserve">. Данные добывающих компаний, </w:t>
                            </w:r>
                            <w:r>
                              <w:rPr>
                                <w:rFonts w:ascii="Times New Roman" w:hAnsi="Times New Roman"/>
                                <w:sz w:val="20"/>
                                <w:szCs w:val="20"/>
                              </w:rPr>
                              <w:t xml:space="preserve">оценки </w:t>
                            </w:r>
                            <w:r w:rsidRPr="001F42B3">
                              <w:rPr>
                                <w:rFonts w:ascii="Times New Roman" w:hAnsi="Times New Roman"/>
                                <w:sz w:val="20"/>
                                <w:szCs w:val="20"/>
                              </w:rPr>
                              <w:t xml:space="preserve">отраслевых аналитиков показывают, что ресурсная база сланцевой нефтедобычи очень высока. Некоторые оценки </w:t>
                            </w:r>
                            <w:r>
                              <w:rPr>
                                <w:rFonts w:ascii="Times New Roman" w:hAnsi="Times New Roman"/>
                                <w:sz w:val="20"/>
                                <w:szCs w:val="20"/>
                              </w:rPr>
                              <w:t>предполагают</w:t>
                            </w:r>
                            <w:r w:rsidRPr="001F42B3">
                              <w:rPr>
                                <w:rFonts w:ascii="Times New Roman" w:hAnsi="Times New Roman"/>
                                <w:sz w:val="20"/>
                                <w:szCs w:val="20"/>
                              </w:rPr>
                              <w:t>, что объем технически извлекаемых запасов</w:t>
                            </w:r>
                            <w:r>
                              <w:rPr>
                                <w:rFonts w:ascii="Times New Roman" w:hAnsi="Times New Roman"/>
                                <w:sz w:val="20"/>
                                <w:szCs w:val="20"/>
                              </w:rPr>
                              <w:t xml:space="preserve"> в США даже</w:t>
                            </w:r>
                            <w:r w:rsidRPr="001F42B3">
                              <w:rPr>
                                <w:rFonts w:ascii="Times New Roman" w:hAnsi="Times New Roman"/>
                                <w:sz w:val="20"/>
                                <w:szCs w:val="20"/>
                              </w:rPr>
                              <w:t xml:space="preserve"> превышает показатели Саудовской Аравии. </w:t>
                            </w:r>
                            <w:r>
                              <w:rPr>
                                <w:rFonts w:ascii="Times New Roman" w:hAnsi="Times New Roman"/>
                                <w:sz w:val="20"/>
                                <w:szCs w:val="20"/>
                              </w:rPr>
                              <w:t xml:space="preserve">Появление нового источника добычи создает </w:t>
                            </w:r>
                            <w:r w:rsidRPr="001F42B3">
                              <w:rPr>
                                <w:rFonts w:ascii="Times New Roman" w:hAnsi="Times New Roman"/>
                                <w:sz w:val="20"/>
                                <w:szCs w:val="20"/>
                              </w:rPr>
                              <w:t>два важных следствия, с которыми миро</w:t>
                            </w:r>
                            <w:r>
                              <w:rPr>
                                <w:rFonts w:ascii="Times New Roman" w:hAnsi="Times New Roman"/>
                                <w:sz w:val="20"/>
                                <w:szCs w:val="20"/>
                              </w:rPr>
                              <w:t xml:space="preserve">вой рынок сталкивается впервые. (1) </w:t>
                            </w:r>
                            <w:r w:rsidRPr="0054757E">
                              <w:rPr>
                                <w:rFonts w:ascii="Times New Roman" w:hAnsi="Times New Roman"/>
                                <w:i/>
                                <w:sz w:val="20"/>
                                <w:szCs w:val="20"/>
                              </w:rPr>
                              <w:t xml:space="preserve">Цены на нефть не смогут </w:t>
                            </w:r>
                            <w:r>
                              <w:rPr>
                                <w:rFonts w:ascii="Times New Roman" w:hAnsi="Times New Roman"/>
                                <w:i/>
                                <w:sz w:val="20"/>
                                <w:szCs w:val="20"/>
                              </w:rPr>
                              <w:t xml:space="preserve">искусственно </w:t>
                            </w:r>
                            <w:r w:rsidRPr="0054757E">
                              <w:rPr>
                                <w:rFonts w:ascii="Times New Roman" w:hAnsi="Times New Roman"/>
                                <w:i/>
                                <w:sz w:val="20"/>
                                <w:szCs w:val="20"/>
                              </w:rPr>
                              <w:t xml:space="preserve">устойчиво </w:t>
                            </w:r>
                            <w:r>
                              <w:rPr>
                                <w:rFonts w:ascii="Times New Roman" w:hAnsi="Times New Roman"/>
                                <w:i/>
                                <w:sz w:val="20"/>
                                <w:szCs w:val="20"/>
                              </w:rPr>
                              <w:t>удерживаться на высоком уровне,</w:t>
                            </w:r>
                            <w:r w:rsidRPr="0054757E">
                              <w:rPr>
                                <w:rFonts w:ascii="Times New Roman" w:hAnsi="Times New Roman"/>
                                <w:i/>
                                <w:sz w:val="20"/>
                                <w:szCs w:val="20"/>
                              </w:rPr>
                              <w:t xml:space="preserve"> а политика регулирования объемов стран ОПЕК и других производителей утрачивает эффективность</w:t>
                            </w:r>
                            <w:r>
                              <w:rPr>
                                <w:rFonts w:ascii="Times New Roman" w:hAnsi="Times New Roman"/>
                                <w:i/>
                                <w:sz w:val="20"/>
                                <w:szCs w:val="20"/>
                              </w:rPr>
                              <w:t xml:space="preserve">. </w:t>
                            </w:r>
                            <w:r w:rsidRPr="001F42B3">
                              <w:rPr>
                                <w:rFonts w:ascii="Times New Roman" w:hAnsi="Times New Roman"/>
                                <w:sz w:val="20"/>
                                <w:szCs w:val="20"/>
                              </w:rPr>
                              <w:t xml:space="preserve">Попытка удержать цены </w:t>
                            </w:r>
                            <w:r>
                              <w:rPr>
                                <w:rFonts w:ascii="Times New Roman" w:hAnsi="Times New Roman"/>
                                <w:sz w:val="20"/>
                                <w:szCs w:val="20"/>
                              </w:rPr>
                              <w:t xml:space="preserve">регулированием предложения </w:t>
                            </w:r>
                            <w:r w:rsidRPr="001F42B3">
                              <w:rPr>
                                <w:rFonts w:ascii="Times New Roman" w:hAnsi="Times New Roman"/>
                                <w:sz w:val="20"/>
                                <w:szCs w:val="20"/>
                              </w:rPr>
                              <w:t xml:space="preserve">будет приводить к быстрому восстановлению </w:t>
                            </w:r>
                            <w:r>
                              <w:rPr>
                                <w:rFonts w:ascii="Times New Roman" w:hAnsi="Times New Roman"/>
                                <w:sz w:val="20"/>
                                <w:szCs w:val="20"/>
                              </w:rPr>
                              <w:t xml:space="preserve">прежних </w:t>
                            </w:r>
                            <w:r w:rsidRPr="001F42B3">
                              <w:rPr>
                                <w:rFonts w:ascii="Times New Roman" w:hAnsi="Times New Roman"/>
                                <w:sz w:val="20"/>
                                <w:szCs w:val="20"/>
                              </w:rPr>
                              <w:t>равнове</w:t>
                            </w:r>
                            <w:r>
                              <w:rPr>
                                <w:rFonts w:ascii="Times New Roman" w:hAnsi="Times New Roman"/>
                                <w:sz w:val="20"/>
                                <w:szCs w:val="20"/>
                              </w:rPr>
                              <w:t xml:space="preserve">сных ценовых уровней.(2) Скорость реакции добычи из сланцевых формаций в ответ на цены </w:t>
                            </w:r>
                            <w:r w:rsidRPr="001F42B3">
                              <w:rPr>
                                <w:rFonts w:ascii="Times New Roman" w:hAnsi="Times New Roman"/>
                                <w:sz w:val="20"/>
                                <w:szCs w:val="20"/>
                              </w:rPr>
                              <w:t xml:space="preserve">означает, что ценовая волатильность рынка нефти должна </w:t>
                            </w:r>
                            <w:r>
                              <w:rPr>
                                <w:rFonts w:ascii="Times New Roman" w:hAnsi="Times New Roman"/>
                                <w:sz w:val="20"/>
                                <w:szCs w:val="20"/>
                              </w:rPr>
                              <w:t>снизиться по сравнению с историческими величинами.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pt;margin-top:154.65pt;width:460.75pt;height:543.3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" fillcolor="#f2f2f2 [3052]" stroked="f">
                <v:textbox>
                  <w:txbxContent>
                    <w:p w:rsidR="007E5DFE" w:rsidRDefault="007E5DFE" w:rsidP="001D0CDF">
                      <w:pPr>
                        <w:spacing w:after="120"/>
                        <w:rPr>
                          <w:rFonts w:ascii="Times New Roman" w:hAnsi="Times New Roman"/>
                          <w:b/>
                          <w:sz w:val="24"/>
                          <w:szCs w:val="24"/>
                        </w:rPr>
                      </w:pPr>
                      <w:r w:rsidRPr="00C20D7F">
                        <w:rPr>
                          <w:rFonts w:ascii="Times New Roman" w:hAnsi="Times New Roman"/>
                          <w:b/>
                          <w:sz w:val="24"/>
                          <w:szCs w:val="24"/>
                        </w:rPr>
                        <w:t xml:space="preserve">Равновесный уровень цен на мировом рынке нефти </w:t>
                      </w:r>
                    </w:p>
                    <w:p w:rsidR="007E5DFE" w:rsidRDefault="007E5DFE" w:rsidP="001D0CDF">
                      <w:pPr>
                        <w:spacing w:before="120" w:after="0"/>
                        <w:jc w:val="both"/>
                        <w:rPr>
                          <w:rFonts w:ascii="Times New Roman" w:hAnsi="Times New Roman"/>
                          <w:sz w:val="20"/>
                          <w:szCs w:val="20"/>
                        </w:rPr>
                      </w:pPr>
                      <w:r w:rsidRPr="00C20D7F">
                        <w:rPr>
                          <w:rFonts w:ascii="Times New Roman" w:hAnsi="Times New Roman"/>
                          <w:sz w:val="20"/>
                          <w:szCs w:val="20"/>
                        </w:rPr>
                        <w:t>В 2017 году</w:t>
                      </w:r>
                      <w:r>
                        <w:rPr>
                          <w:rFonts w:ascii="Times New Roman" w:hAnsi="Times New Roman"/>
                          <w:sz w:val="20"/>
                          <w:szCs w:val="20"/>
                        </w:rPr>
                        <w:t xml:space="preserve"> осталось </w:t>
                      </w:r>
                      <w:r w:rsidRPr="00C20D7F">
                        <w:rPr>
                          <w:rFonts w:ascii="Times New Roman" w:hAnsi="Times New Roman"/>
                          <w:sz w:val="20"/>
                          <w:szCs w:val="20"/>
                        </w:rPr>
                        <w:t>мало сомнений, что рынок углеводородов вошел в долгосрочны</w:t>
                      </w:r>
                      <w:r>
                        <w:rPr>
                          <w:rFonts w:ascii="Times New Roman" w:hAnsi="Times New Roman"/>
                          <w:sz w:val="20"/>
                          <w:szCs w:val="20"/>
                        </w:rPr>
                        <w:t>й</w:t>
                      </w:r>
                      <w:r w:rsidRPr="00C20D7F">
                        <w:rPr>
                          <w:rFonts w:ascii="Times New Roman" w:hAnsi="Times New Roman"/>
                          <w:sz w:val="20"/>
                          <w:szCs w:val="20"/>
                        </w:rPr>
                        <w:t xml:space="preserve"> режим структурно устойчивых низких цен на нефть. Причиной этому является прогресс в технологиях нефтедобычи</w:t>
                      </w:r>
                      <w:r>
                        <w:rPr>
                          <w:rFonts w:ascii="Times New Roman" w:hAnsi="Times New Roman"/>
                          <w:sz w:val="20"/>
                          <w:szCs w:val="20"/>
                        </w:rPr>
                        <w:t xml:space="preserve">, прежде всего в </w:t>
                      </w:r>
                      <w:r w:rsidRPr="00C20D7F">
                        <w:rPr>
                          <w:rFonts w:ascii="Times New Roman" w:hAnsi="Times New Roman"/>
                          <w:sz w:val="20"/>
                          <w:szCs w:val="20"/>
                        </w:rPr>
                        <w:t>сланцевой нефти США</w:t>
                      </w:r>
                      <w:r>
                        <w:rPr>
                          <w:rFonts w:ascii="Times New Roman" w:hAnsi="Times New Roman"/>
                          <w:sz w:val="20"/>
                          <w:szCs w:val="20"/>
                        </w:rPr>
                        <w:t xml:space="preserve"> (нефти </w:t>
                      </w:r>
                      <w:proofErr w:type="spellStart"/>
                      <w:r>
                        <w:rPr>
                          <w:rFonts w:ascii="Times New Roman" w:hAnsi="Times New Roman"/>
                          <w:sz w:val="20"/>
                          <w:szCs w:val="20"/>
                        </w:rPr>
                        <w:t>труднопроницаемых</w:t>
                      </w:r>
                      <w:proofErr w:type="spellEnd"/>
                      <w:r>
                        <w:rPr>
                          <w:rFonts w:ascii="Times New Roman" w:hAnsi="Times New Roman"/>
                          <w:sz w:val="20"/>
                          <w:szCs w:val="20"/>
                        </w:rPr>
                        <w:t xml:space="preserve"> пластов). Происходит снижение </w:t>
                      </w:r>
                      <w:r w:rsidRPr="00C20D7F">
                        <w:rPr>
                          <w:rFonts w:ascii="Times New Roman" w:hAnsi="Times New Roman"/>
                          <w:sz w:val="20"/>
                          <w:szCs w:val="20"/>
                        </w:rPr>
                        <w:t xml:space="preserve">издержек </w:t>
                      </w:r>
                      <w:r>
                        <w:rPr>
                          <w:rFonts w:ascii="Times New Roman" w:hAnsi="Times New Roman"/>
                          <w:sz w:val="20"/>
                          <w:szCs w:val="20"/>
                        </w:rPr>
                        <w:t xml:space="preserve">и для иных </w:t>
                      </w:r>
                      <w:r w:rsidRPr="00C20D7F">
                        <w:rPr>
                          <w:rFonts w:ascii="Times New Roman" w:hAnsi="Times New Roman"/>
                          <w:sz w:val="20"/>
                          <w:szCs w:val="20"/>
                        </w:rPr>
                        <w:t xml:space="preserve">источников, включая шельф. Несмотря на то, что сланцевая нефть США в настоящее время </w:t>
                      </w:r>
                      <w:r>
                        <w:rPr>
                          <w:rFonts w:ascii="Times New Roman" w:hAnsi="Times New Roman"/>
                          <w:sz w:val="20"/>
                          <w:szCs w:val="20"/>
                        </w:rPr>
                        <w:t>обеспечивает</w:t>
                      </w:r>
                      <w:r w:rsidRPr="00C20D7F">
                        <w:rPr>
                          <w:rFonts w:ascii="Times New Roman" w:hAnsi="Times New Roman"/>
                          <w:sz w:val="20"/>
                          <w:szCs w:val="20"/>
                        </w:rPr>
                        <w:t xml:space="preserve"> лишь небольшую долю мировой добычи – порядка 5%, она </w:t>
                      </w:r>
                      <w:r>
                        <w:rPr>
                          <w:rFonts w:ascii="Times New Roman" w:hAnsi="Times New Roman"/>
                          <w:sz w:val="20"/>
                          <w:szCs w:val="20"/>
                        </w:rPr>
                        <w:t xml:space="preserve">важна, поскольку </w:t>
                      </w:r>
                      <w:r w:rsidRPr="00C20D7F">
                        <w:rPr>
                          <w:rFonts w:ascii="Times New Roman" w:hAnsi="Times New Roman"/>
                          <w:sz w:val="20"/>
                          <w:szCs w:val="20"/>
                        </w:rPr>
                        <w:t xml:space="preserve">отличается крайне коротким инвестиционным циклом, </w:t>
                      </w:r>
                      <w:r>
                        <w:rPr>
                          <w:rFonts w:ascii="Times New Roman" w:hAnsi="Times New Roman"/>
                          <w:sz w:val="20"/>
                          <w:szCs w:val="20"/>
                        </w:rPr>
                        <w:t xml:space="preserve">который </w:t>
                      </w:r>
                      <w:r w:rsidRPr="00C20D7F">
                        <w:rPr>
                          <w:rFonts w:ascii="Times New Roman" w:hAnsi="Times New Roman"/>
                          <w:sz w:val="20"/>
                          <w:szCs w:val="20"/>
                        </w:rPr>
                        <w:t xml:space="preserve">на порядок </w:t>
                      </w:r>
                      <w:r>
                        <w:rPr>
                          <w:rFonts w:ascii="Times New Roman" w:hAnsi="Times New Roman"/>
                          <w:sz w:val="20"/>
                          <w:szCs w:val="20"/>
                        </w:rPr>
                        <w:t>короче традиционных</w:t>
                      </w:r>
                      <w:r w:rsidRPr="00C20D7F">
                        <w:rPr>
                          <w:rFonts w:ascii="Times New Roman" w:hAnsi="Times New Roman"/>
                          <w:sz w:val="20"/>
                          <w:szCs w:val="20"/>
                        </w:rPr>
                        <w:t xml:space="preserve"> источников. Как </w:t>
                      </w:r>
                      <w:r>
                        <w:rPr>
                          <w:rFonts w:ascii="Times New Roman" w:hAnsi="Times New Roman"/>
                          <w:sz w:val="20"/>
                          <w:szCs w:val="20"/>
                        </w:rPr>
                        <w:t>показал</w:t>
                      </w:r>
                      <w:r w:rsidRPr="00C20D7F">
                        <w:rPr>
                          <w:rFonts w:ascii="Times New Roman" w:hAnsi="Times New Roman"/>
                          <w:sz w:val="20"/>
                          <w:szCs w:val="20"/>
                        </w:rPr>
                        <w:t xml:space="preserve"> опыт 2017 г. </w:t>
                      </w:r>
                      <w:r>
                        <w:rPr>
                          <w:rFonts w:ascii="Times New Roman" w:hAnsi="Times New Roman"/>
                          <w:sz w:val="20"/>
                          <w:szCs w:val="20"/>
                        </w:rPr>
                        <w:t xml:space="preserve">сланцевая добыча США способна быстро наращивать производство </w:t>
                      </w:r>
                      <w:r w:rsidRPr="00C20D7F">
                        <w:rPr>
                          <w:rFonts w:ascii="Times New Roman" w:hAnsi="Times New Roman"/>
                          <w:sz w:val="20"/>
                          <w:szCs w:val="20"/>
                        </w:rPr>
                        <w:t>на величин</w:t>
                      </w:r>
                      <w:r>
                        <w:rPr>
                          <w:rFonts w:ascii="Times New Roman" w:hAnsi="Times New Roman"/>
                          <w:sz w:val="20"/>
                          <w:szCs w:val="20"/>
                        </w:rPr>
                        <w:t>ы</w:t>
                      </w:r>
                      <w:r w:rsidRPr="00C20D7F">
                        <w:rPr>
                          <w:rFonts w:ascii="Times New Roman" w:hAnsi="Times New Roman"/>
                          <w:sz w:val="20"/>
                          <w:szCs w:val="20"/>
                        </w:rPr>
                        <w:t xml:space="preserve"> порядка </w:t>
                      </w:r>
                      <w:r>
                        <w:rPr>
                          <w:rFonts w:ascii="Times New Roman" w:hAnsi="Times New Roman"/>
                          <w:sz w:val="20"/>
                          <w:szCs w:val="20"/>
                        </w:rPr>
                        <w:t xml:space="preserve">миллиона </w:t>
                      </w:r>
                      <w:r w:rsidRPr="00C20D7F">
                        <w:rPr>
                          <w:rFonts w:ascii="Times New Roman" w:hAnsi="Times New Roman"/>
                          <w:sz w:val="20"/>
                          <w:szCs w:val="20"/>
                        </w:rPr>
                        <w:t>барр</w:t>
                      </w:r>
                      <w:r>
                        <w:rPr>
                          <w:rFonts w:ascii="Times New Roman" w:hAnsi="Times New Roman"/>
                          <w:sz w:val="20"/>
                          <w:szCs w:val="20"/>
                        </w:rPr>
                        <w:t>елей</w:t>
                      </w:r>
                      <w:r w:rsidRPr="00C20D7F">
                        <w:rPr>
                          <w:rFonts w:ascii="Times New Roman" w:hAnsi="Times New Roman"/>
                          <w:sz w:val="20"/>
                          <w:szCs w:val="20"/>
                        </w:rPr>
                        <w:t xml:space="preserve"> в сутки в течение 12 месяцев</w:t>
                      </w:r>
                      <w:r>
                        <w:rPr>
                          <w:rFonts w:ascii="Times New Roman" w:hAnsi="Times New Roman"/>
                          <w:sz w:val="20"/>
                          <w:szCs w:val="20"/>
                        </w:rPr>
                        <w:t xml:space="preserve">, </w:t>
                      </w:r>
                      <w:r w:rsidRPr="00C20D7F">
                        <w:rPr>
                          <w:rFonts w:ascii="Times New Roman" w:hAnsi="Times New Roman"/>
                          <w:sz w:val="20"/>
                          <w:szCs w:val="20"/>
                        </w:rPr>
                        <w:t xml:space="preserve">если уровни цен предполагают достаточную рентабельность. Динамизм </w:t>
                      </w:r>
                      <w:r>
                        <w:rPr>
                          <w:rFonts w:ascii="Times New Roman" w:hAnsi="Times New Roman"/>
                          <w:sz w:val="20"/>
                          <w:szCs w:val="20"/>
                        </w:rPr>
                        <w:t>также определяет</w:t>
                      </w:r>
                      <w:r w:rsidRPr="00C20D7F">
                        <w:rPr>
                          <w:rFonts w:ascii="Times New Roman" w:hAnsi="Times New Roman"/>
                          <w:sz w:val="20"/>
                          <w:szCs w:val="20"/>
                        </w:rPr>
                        <w:t xml:space="preserve"> гибкая структура американского рынка нефтедобычи, отличающ</w:t>
                      </w:r>
                      <w:r>
                        <w:rPr>
                          <w:rFonts w:ascii="Times New Roman" w:hAnsi="Times New Roman"/>
                          <w:sz w:val="20"/>
                          <w:szCs w:val="20"/>
                        </w:rPr>
                        <w:t xml:space="preserve">егося </w:t>
                      </w:r>
                      <w:r w:rsidRPr="00C20D7F">
                        <w:rPr>
                          <w:rFonts w:ascii="Times New Roman" w:hAnsi="Times New Roman"/>
                          <w:sz w:val="20"/>
                          <w:szCs w:val="20"/>
                        </w:rPr>
                        <w:t xml:space="preserve">высокой конкуренцией, низкими барьерами входа, </w:t>
                      </w:r>
                      <w:r>
                        <w:rPr>
                          <w:rFonts w:ascii="Times New Roman" w:hAnsi="Times New Roman"/>
                          <w:sz w:val="20"/>
                          <w:szCs w:val="20"/>
                        </w:rPr>
                        <w:t xml:space="preserve">хорошим </w:t>
                      </w:r>
                      <w:r w:rsidRPr="00C20D7F">
                        <w:rPr>
                          <w:rFonts w:ascii="Times New Roman" w:hAnsi="Times New Roman"/>
                          <w:sz w:val="20"/>
                          <w:szCs w:val="20"/>
                        </w:rPr>
                        <w:t>доступом к рынку капитала. Граница экономической эффективности</w:t>
                      </w:r>
                      <w:r>
                        <w:rPr>
                          <w:rFonts w:ascii="Times New Roman" w:hAnsi="Times New Roman"/>
                          <w:sz w:val="20"/>
                          <w:szCs w:val="20"/>
                        </w:rPr>
                        <w:t xml:space="preserve"> добычи</w:t>
                      </w:r>
                      <w:r w:rsidRPr="00C20D7F">
                        <w:rPr>
                          <w:rFonts w:ascii="Times New Roman" w:hAnsi="Times New Roman"/>
                          <w:sz w:val="20"/>
                          <w:szCs w:val="20"/>
                        </w:rPr>
                        <w:t xml:space="preserve"> сланцевой нефти </w:t>
                      </w:r>
                      <w:r>
                        <w:rPr>
                          <w:rFonts w:ascii="Times New Roman" w:hAnsi="Times New Roman"/>
                          <w:sz w:val="20"/>
                          <w:szCs w:val="20"/>
                        </w:rPr>
                        <w:t xml:space="preserve">опустилась ниже 50 </w:t>
                      </w:r>
                      <w:r w:rsidRPr="00C20D7F">
                        <w:rPr>
                          <w:rFonts w:ascii="Times New Roman" w:hAnsi="Times New Roman"/>
                          <w:sz w:val="20"/>
                          <w:szCs w:val="20"/>
                        </w:rPr>
                        <w:t>долл. США за баррель</w:t>
                      </w:r>
                      <w:r>
                        <w:rPr>
                          <w:rFonts w:ascii="Times New Roman" w:hAnsi="Times New Roman"/>
                          <w:sz w:val="20"/>
                          <w:szCs w:val="20"/>
                        </w:rPr>
                        <w:t xml:space="preserve">. А если не учитывать безвозвратные потери на приобретение участков </w:t>
                      </w:r>
                      <w:r w:rsidRPr="00C20D7F">
                        <w:rPr>
                          <w:rFonts w:ascii="Times New Roman" w:hAnsi="Times New Roman"/>
                          <w:sz w:val="20"/>
                          <w:szCs w:val="20"/>
                        </w:rPr>
                        <w:t>–</w:t>
                      </w:r>
                      <w:r>
                        <w:rPr>
                          <w:rFonts w:ascii="Times New Roman" w:hAnsi="Times New Roman"/>
                          <w:sz w:val="20"/>
                          <w:szCs w:val="20"/>
                        </w:rPr>
                        <w:t xml:space="preserve"> находится </w:t>
                      </w:r>
                      <w:r w:rsidRPr="00C20D7F">
                        <w:rPr>
                          <w:rFonts w:ascii="Times New Roman" w:hAnsi="Times New Roman"/>
                          <w:sz w:val="20"/>
                          <w:szCs w:val="20"/>
                        </w:rPr>
                        <w:t xml:space="preserve">ниже </w:t>
                      </w:r>
                      <w:r>
                        <w:rPr>
                          <w:rFonts w:ascii="Times New Roman" w:hAnsi="Times New Roman"/>
                          <w:sz w:val="20"/>
                          <w:szCs w:val="20"/>
                        </w:rPr>
                        <w:t xml:space="preserve">40 </w:t>
                      </w:r>
                      <w:r w:rsidRPr="00C20D7F">
                        <w:rPr>
                          <w:rFonts w:ascii="Times New Roman" w:hAnsi="Times New Roman"/>
                          <w:sz w:val="20"/>
                          <w:szCs w:val="20"/>
                        </w:rPr>
                        <w:t>долл. США за баррель</w:t>
                      </w:r>
                      <w:r>
                        <w:rPr>
                          <w:rFonts w:ascii="Times New Roman" w:hAnsi="Times New Roman"/>
                          <w:sz w:val="20"/>
                          <w:szCs w:val="20"/>
                        </w:rPr>
                        <w:t xml:space="preserve">. </w:t>
                      </w:r>
                    </w:p>
                    <w:tbl>
                      <w:tblPr>
                        <w:tblStyle w:val="Smalltable"/>
                        <w:tblW w:w="10172" w:type="dxa"/>
                        <w:tblInd w:w="0" w:type="dxa"/>
                        <w:tblLook w:val="04A0" w:firstRow="1" w:lastRow="0" w:firstColumn="1" w:lastColumn="0" w:noHBand="0" w:noVBand="1"/>
                      </w:tblPr>
                      <w:tblGrid>
                        <w:gridCol w:w="4472"/>
                        <w:gridCol w:w="222"/>
                        <w:gridCol w:w="4327"/>
                        <w:gridCol w:w="1151"/>
                      </w:tblGrid>
                      <w:tr w:rsidR="007E5DFE" w:rsidRPr="00E65DE3" w:rsidTr="004E2D5D">
                        <w:trPr>
                          <w:gridAfter w:val="1"/>
                          <w:wAfter w:w="1151" w:type="dxa"/>
                          <w:trHeight w:val="198"/>
                        </w:trPr>
                        <w:tc>
                          <w:tcPr>
                            <w:tcW w:w="4472" w:type="dxa"/>
                            <w:shd w:val="clear" w:color="auto" w:fill="auto"/>
                          </w:tcPr>
                          <w:p w:rsidR="007E5DFE" w:rsidRPr="008B3C4E" w:rsidRDefault="007E5DFE" w:rsidP="001D0CDF">
                            <w:pPr>
                              <w:pStyle w:val="GraphTitle"/>
                              <w:spacing w:after="0"/>
                              <w:rPr>
                                <w:rFonts w:ascii="Times New Roman" w:hAnsi="Times New Roman" w:cs="Times New Roman"/>
                                <w:b/>
                                <w:sz w:val="20"/>
                                <w:szCs w:val="20"/>
                                <w:lang w:val="ru-RU"/>
                              </w:rPr>
                            </w:pPr>
                            <w:r w:rsidRPr="00C20D7F">
                              <w:rPr>
                                <w:rFonts w:ascii="Times New Roman" w:hAnsi="Times New Roman" w:cs="Times New Roman"/>
                                <w:b/>
                                <w:sz w:val="20"/>
                                <w:szCs w:val="20"/>
                                <w:lang w:val="ru-RU"/>
                              </w:rPr>
                              <w:t>Кривая предельных издержек производства нефти в мире новых проектов</w:t>
                            </w:r>
                          </w:p>
                        </w:tc>
                        <w:tc>
                          <w:tcPr>
                            <w:tcW w:w="222" w:type="dxa"/>
                            <w:shd w:val="clear" w:color="auto" w:fill="auto"/>
                          </w:tcPr>
                          <w:p w:rsidR="007E5DFE" w:rsidRPr="00E65DE3" w:rsidRDefault="007E5DFE" w:rsidP="001D0CDF">
                            <w:pPr>
                              <w:pStyle w:val="GraphTitle"/>
                              <w:spacing w:after="0"/>
                              <w:rPr>
                                <w:rFonts w:ascii="Times New Roman" w:hAnsi="Times New Roman" w:cs="Times New Roman"/>
                                <w:lang w:val="ru-RU"/>
                              </w:rPr>
                            </w:pPr>
                          </w:p>
                        </w:tc>
                        <w:tc>
                          <w:tcPr>
                            <w:tcW w:w="4327" w:type="dxa"/>
                            <w:shd w:val="clear" w:color="auto" w:fill="auto"/>
                          </w:tcPr>
                          <w:p w:rsidR="007E5DFE" w:rsidRPr="008B3C4E" w:rsidRDefault="007E5DFE" w:rsidP="001D0CDF">
                            <w:pPr>
                              <w:pStyle w:val="GraphTitle"/>
                              <w:spacing w:after="0"/>
                              <w:rPr>
                                <w:rFonts w:ascii="Times New Roman" w:hAnsi="Times New Roman" w:cs="Times New Roman"/>
                                <w:b/>
                                <w:sz w:val="20"/>
                                <w:szCs w:val="20"/>
                                <w:lang w:val="ru-RU"/>
                              </w:rPr>
                            </w:pPr>
                            <w:r w:rsidRPr="00F87178">
                              <w:rPr>
                                <w:rFonts w:ascii="Times New Roman" w:hAnsi="Times New Roman" w:cs="Times New Roman"/>
                                <w:b/>
                                <w:sz w:val="20"/>
                                <w:szCs w:val="20"/>
                                <w:lang w:val="ru-RU"/>
                              </w:rPr>
                              <w:t>Производство сырой нефти и жидких углеводородов ОПЕК</w:t>
                            </w:r>
                          </w:p>
                        </w:tc>
                      </w:tr>
                      <w:tr w:rsidR="007E5DFE" w:rsidRPr="00E65DE3" w:rsidTr="004E2D5D">
                        <w:trPr>
                          <w:trHeight w:hRule="exact" w:val="28"/>
                        </w:trPr>
                        <w:tc>
                          <w:tcPr>
                            <w:tcW w:w="4472" w:type="dxa"/>
                            <w:tcBorders>
                              <w:bottom w:val="single" w:sz="4" w:space="0" w:color="auto"/>
                            </w:tcBorders>
                            <w:shd w:val="clear" w:color="auto" w:fill="auto"/>
                          </w:tcPr>
                          <w:p w:rsidR="007E5DFE" w:rsidRPr="00E65DE3" w:rsidRDefault="007E5DFE" w:rsidP="00B81EF5">
                            <w:pPr>
                              <w:pStyle w:val="TabText"/>
                              <w:rPr>
                                <w:rFonts w:ascii="Times New Roman" w:hAnsi="Times New Roman" w:cs="Times New Roman"/>
                                <w:lang w:val="ru-RU"/>
                              </w:rPr>
                            </w:pPr>
                          </w:p>
                        </w:tc>
                        <w:tc>
                          <w:tcPr>
                            <w:tcW w:w="222" w:type="dxa"/>
                            <w:shd w:val="clear" w:color="auto" w:fill="auto"/>
                          </w:tcPr>
                          <w:p w:rsidR="007E5DFE" w:rsidRPr="00E65DE3" w:rsidRDefault="007E5DFE" w:rsidP="00B81EF5">
                            <w:pPr>
                              <w:pStyle w:val="TabText"/>
                              <w:rPr>
                                <w:rFonts w:ascii="Times New Roman" w:hAnsi="Times New Roman" w:cs="Times New Roman"/>
                                <w:lang w:val="ru-RU"/>
                              </w:rPr>
                            </w:pPr>
                          </w:p>
                        </w:tc>
                        <w:tc>
                          <w:tcPr>
                            <w:tcW w:w="4327" w:type="dxa"/>
                            <w:tcBorders>
                              <w:bottom w:val="single" w:sz="4" w:space="0" w:color="auto"/>
                            </w:tcBorders>
                            <w:shd w:val="clear" w:color="auto" w:fill="auto"/>
                          </w:tcPr>
                          <w:p w:rsidR="007E5DFE" w:rsidRPr="00E65DE3" w:rsidRDefault="007E5DFE" w:rsidP="00B81EF5">
                            <w:pPr>
                              <w:pStyle w:val="TabText"/>
                              <w:rPr>
                                <w:rFonts w:ascii="Times New Roman" w:hAnsi="Times New Roman" w:cs="Times New Roman"/>
                                <w:lang w:val="ru-RU"/>
                              </w:rPr>
                            </w:pPr>
                          </w:p>
                        </w:tc>
                        <w:tc>
                          <w:tcPr>
                            <w:tcW w:w="1151" w:type="dxa"/>
                            <w:shd w:val="clear" w:color="auto" w:fill="auto"/>
                          </w:tcPr>
                          <w:p w:rsidR="007E5DFE" w:rsidRPr="00E65DE3" w:rsidRDefault="007E5DFE" w:rsidP="00B81EF5">
                            <w:pPr>
                              <w:pStyle w:val="TabText"/>
                              <w:rPr>
                                <w:rFonts w:ascii="Times New Roman" w:hAnsi="Times New Roman" w:cs="Times New Roman"/>
                                <w:lang w:val="ru-RU"/>
                              </w:rPr>
                            </w:pPr>
                          </w:p>
                        </w:tc>
                      </w:tr>
                      <w:tr w:rsidR="007E5DFE" w:rsidRPr="00E65DE3" w:rsidTr="004E2D5D">
                        <w:tblPrEx>
                          <w:tblCellMar>
                            <w:left w:w="108" w:type="dxa"/>
                            <w:right w:w="108" w:type="dxa"/>
                          </w:tblCellMar>
                        </w:tblPrEx>
                        <w:trPr>
                          <w:gridAfter w:val="1"/>
                          <w:wAfter w:w="1151" w:type="dxa"/>
                          <w:trHeight w:val="2200"/>
                        </w:trPr>
                        <w:tc>
                          <w:tcPr>
                            <w:tcW w:w="4472" w:type="dxa"/>
                            <w:tcBorders>
                              <w:top w:val="single" w:sz="4" w:space="0" w:color="auto"/>
                              <w:bottom w:val="single" w:sz="4" w:space="0" w:color="auto"/>
                            </w:tcBorders>
                            <w:shd w:val="clear" w:color="auto" w:fill="auto"/>
                            <w:tcMar>
                              <w:left w:w="0" w:type="nil"/>
                              <w:right w:w="0" w:type="nil"/>
                            </w:tcMar>
                          </w:tcPr>
                          <w:p w:rsidR="007E5DFE" w:rsidRPr="00E65DE3" w:rsidRDefault="007E5DFE" w:rsidP="00B81EF5">
                            <w:pPr>
                              <w:pStyle w:val="TabText"/>
                              <w:rPr>
                                <w:rFonts w:ascii="Times New Roman" w:hAnsi="Times New Roman" w:cs="Times New Roman"/>
                                <w:lang w:val="ru-RU"/>
                              </w:rPr>
                            </w:pPr>
                            <w:r>
                              <w:rPr>
                                <w:noProof/>
                                <w:lang w:val="ru-RU" w:bidi="ar-SA"/>
                              </w:rPr>
                              <w:drawing>
                                <wp:inline distT="0" distB="0" distL="0" distR="0" wp14:anchorId="1F699253" wp14:editId="301F3160">
                                  <wp:extent cx="2703007" cy="1627832"/>
                                  <wp:effectExtent l="0" t="0" r="0" b="0"/>
                                  <wp:docPr id="1024" name="Диаграмма 10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222" w:type="dxa"/>
                            <w:shd w:val="clear" w:color="auto" w:fill="auto"/>
                            <w:tcMar>
                              <w:left w:w="0" w:type="nil"/>
                              <w:right w:w="0" w:type="nil"/>
                            </w:tcMar>
                          </w:tcPr>
                          <w:p w:rsidR="007E5DFE" w:rsidRPr="00E65DE3" w:rsidRDefault="007E5DFE" w:rsidP="00B81EF5">
                            <w:pPr>
                              <w:pStyle w:val="TabText"/>
                              <w:rPr>
                                <w:rFonts w:ascii="Times New Roman" w:hAnsi="Times New Roman" w:cs="Times New Roman"/>
                                <w:lang w:val="ru-RU"/>
                              </w:rPr>
                            </w:pPr>
                          </w:p>
                        </w:tc>
                        <w:tc>
                          <w:tcPr>
                            <w:tcW w:w="4327" w:type="dxa"/>
                            <w:tcBorders>
                              <w:top w:val="single" w:sz="4" w:space="0" w:color="auto"/>
                              <w:bottom w:val="single" w:sz="4" w:space="0" w:color="auto"/>
                            </w:tcBorders>
                            <w:shd w:val="clear" w:color="auto" w:fill="auto"/>
                            <w:tcMar>
                              <w:left w:w="0" w:type="nil"/>
                              <w:right w:w="0" w:type="nil"/>
                            </w:tcMar>
                          </w:tcPr>
                          <w:p w:rsidR="007E5DFE" w:rsidRPr="00E65DE3" w:rsidRDefault="007E5DFE" w:rsidP="00B81EF5">
                            <w:pPr>
                              <w:pStyle w:val="TabText"/>
                              <w:rPr>
                                <w:rFonts w:ascii="Times New Roman" w:hAnsi="Times New Roman" w:cs="Times New Roman"/>
                                <w:lang w:val="ru-RU"/>
                              </w:rPr>
                            </w:pPr>
                            <w:r>
                              <w:rPr>
                                <w:noProof/>
                                <w:lang w:val="ru-RU" w:bidi="ar-SA"/>
                              </w:rPr>
                              <w:drawing>
                                <wp:inline distT="0" distB="0" distL="0" distR="0" wp14:anchorId="37B604B2" wp14:editId="5CDEEBD1">
                                  <wp:extent cx="2575364" cy="1568548"/>
                                  <wp:effectExtent l="0" t="0" r="0" b="0"/>
                                  <wp:docPr id="1025" name="Диаграмма 10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7E5DFE" w:rsidRPr="00E65DE3" w:rsidTr="004E2D5D">
                        <w:trPr>
                          <w:gridAfter w:val="1"/>
                          <w:wAfter w:w="1151" w:type="dxa"/>
                          <w:trHeight w:val="198"/>
                        </w:trPr>
                        <w:tc>
                          <w:tcPr>
                            <w:tcW w:w="4472" w:type="dxa"/>
                            <w:tcBorders>
                              <w:top w:val="single" w:sz="4" w:space="0" w:color="auto"/>
                            </w:tcBorders>
                            <w:shd w:val="clear" w:color="auto" w:fill="auto"/>
                          </w:tcPr>
                          <w:p w:rsidR="007E5DFE" w:rsidRPr="00C20D7F" w:rsidRDefault="007E5DFE" w:rsidP="004E2D5D">
                            <w:pPr>
                              <w:pStyle w:val="SourceLarge"/>
                              <w:spacing w:after="0"/>
                              <w:rPr>
                                <w:rFonts w:asciiTheme="minorHAnsi" w:hAnsiTheme="minorHAnsi"/>
                                <w:lang w:val="en-US"/>
                              </w:rPr>
                            </w:pPr>
                            <w:proofErr w:type="spellStart"/>
                            <w:r w:rsidRPr="003633FC">
                              <w:rPr>
                                <w:rFonts w:ascii="Times New Roman" w:hAnsi="Times New Roman" w:cs="Times New Roman"/>
                                <w:i/>
                                <w:sz w:val="14"/>
                                <w:szCs w:val="14"/>
                              </w:rPr>
                              <w:t>Источник</w:t>
                            </w:r>
                            <w:proofErr w:type="spellEnd"/>
                            <w:r w:rsidRPr="003633FC">
                              <w:rPr>
                                <w:rFonts w:ascii="Times New Roman" w:hAnsi="Times New Roman" w:cs="Times New Roman"/>
                                <w:i/>
                                <w:sz w:val="14"/>
                                <w:szCs w:val="14"/>
                              </w:rPr>
                              <w:t>:</w:t>
                            </w:r>
                            <w:r w:rsidRPr="00C20D7F">
                              <w:rPr>
                                <w:rFonts w:ascii="Times New Roman" w:hAnsi="Times New Roman" w:cs="Times New Roman"/>
                                <w:i/>
                                <w:sz w:val="14"/>
                                <w:szCs w:val="14"/>
                                <w:lang w:val="en-US"/>
                              </w:rPr>
                              <w:t xml:space="preserve"> </w:t>
                            </w:r>
                            <w:r>
                              <w:rPr>
                                <w:rFonts w:ascii="Times New Roman" w:hAnsi="Times New Roman" w:cs="Times New Roman"/>
                                <w:i/>
                                <w:sz w:val="14"/>
                                <w:szCs w:val="14"/>
                              </w:rPr>
                              <w:t>Goldman Sachs, Wall street research</w:t>
                            </w:r>
                            <w:r w:rsidRPr="00C20D7F">
                              <w:rPr>
                                <w:rFonts w:ascii="Times New Roman" w:hAnsi="Times New Roman" w:cs="Times New Roman"/>
                                <w:i/>
                                <w:sz w:val="14"/>
                                <w:szCs w:val="14"/>
                              </w:rPr>
                              <w:t>, Pioneer resources, Минфин России</w:t>
                            </w:r>
                          </w:p>
                        </w:tc>
                        <w:tc>
                          <w:tcPr>
                            <w:tcW w:w="222" w:type="dxa"/>
                            <w:shd w:val="clear" w:color="auto" w:fill="auto"/>
                          </w:tcPr>
                          <w:p w:rsidR="007E5DFE" w:rsidRPr="001728A7" w:rsidRDefault="007E5DFE" w:rsidP="00B81EF5">
                            <w:pPr>
                              <w:pStyle w:val="SourceLarge"/>
                              <w:spacing w:after="240"/>
                              <w:rPr>
                                <w:rFonts w:ascii="Times New Roman" w:hAnsi="Times New Roman" w:cs="Times New Roman"/>
                              </w:rPr>
                            </w:pPr>
                          </w:p>
                        </w:tc>
                        <w:tc>
                          <w:tcPr>
                            <w:tcW w:w="4327" w:type="dxa"/>
                            <w:tcBorders>
                              <w:top w:val="single" w:sz="4" w:space="0" w:color="auto"/>
                            </w:tcBorders>
                            <w:shd w:val="clear" w:color="auto" w:fill="auto"/>
                          </w:tcPr>
                          <w:p w:rsidR="007E5DFE" w:rsidRPr="001F42B3" w:rsidRDefault="007E5DFE" w:rsidP="004E2D5D">
                            <w:pPr>
                              <w:pStyle w:val="SourceLarge"/>
                              <w:spacing w:after="240"/>
                              <w:rPr>
                                <w:rFonts w:ascii="Times New Roman" w:hAnsi="Times New Roman" w:cs="Times New Roman"/>
                                <w:i/>
                                <w:lang w:val="en-US"/>
                              </w:rPr>
                            </w:pPr>
                            <w:proofErr w:type="spellStart"/>
                            <w:r w:rsidRPr="003633FC">
                              <w:rPr>
                                <w:rFonts w:ascii="Times New Roman" w:hAnsi="Times New Roman" w:cs="Times New Roman"/>
                                <w:i/>
                                <w:sz w:val="14"/>
                                <w:szCs w:val="14"/>
                              </w:rPr>
                              <w:t>Источник</w:t>
                            </w:r>
                            <w:proofErr w:type="spellEnd"/>
                            <w:r w:rsidRPr="003633FC">
                              <w:rPr>
                                <w:rFonts w:ascii="Times New Roman" w:hAnsi="Times New Roman" w:cs="Times New Roman"/>
                                <w:i/>
                                <w:sz w:val="14"/>
                                <w:szCs w:val="14"/>
                              </w:rPr>
                              <w:t>: </w:t>
                            </w:r>
                            <w:r w:rsidRPr="002F2811">
                              <w:rPr>
                                <w:rFonts w:ascii="Times New Roman" w:hAnsi="Times New Roman" w:cs="Times New Roman"/>
                                <w:i/>
                                <w:sz w:val="14"/>
                                <w:szCs w:val="14"/>
                              </w:rPr>
                              <w:t>Energy Information Administration</w:t>
                            </w:r>
                          </w:p>
                        </w:tc>
                      </w:tr>
                    </w:tbl>
                    <w:p w:rsidR="007E5DFE" w:rsidRDefault="007E5DFE" w:rsidP="004A321B">
                      <w:pPr>
                        <w:spacing w:before="120" w:after="120"/>
                        <w:jc w:val="both"/>
                        <w:rPr>
                          <w:rFonts w:ascii="Times New Roman" w:hAnsi="Times New Roman"/>
                          <w:sz w:val="20"/>
                          <w:szCs w:val="20"/>
                        </w:rPr>
                      </w:pPr>
                      <w:r w:rsidRPr="001F42B3">
                        <w:rPr>
                          <w:rFonts w:ascii="Times New Roman" w:hAnsi="Times New Roman"/>
                          <w:sz w:val="20"/>
                          <w:szCs w:val="20"/>
                        </w:rPr>
                        <w:t xml:space="preserve">Высокие темпы </w:t>
                      </w:r>
                      <w:r>
                        <w:rPr>
                          <w:rFonts w:ascii="Times New Roman" w:hAnsi="Times New Roman"/>
                          <w:sz w:val="20"/>
                          <w:szCs w:val="20"/>
                        </w:rPr>
                        <w:t>реакции</w:t>
                      </w:r>
                      <w:r w:rsidRPr="001F42B3">
                        <w:rPr>
                          <w:rFonts w:ascii="Times New Roman" w:hAnsi="Times New Roman"/>
                          <w:sz w:val="20"/>
                          <w:szCs w:val="20"/>
                        </w:rPr>
                        <w:t xml:space="preserve"> сланцевой нефтедобычи </w:t>
                      </w:r>
                      <w:r>
                        <w:rPr>
                          <w:rFonts w:ascii="Times New Roman" w:hAnsi="Times New Roman"/>
                          <w:sz w:val="20"/>
                          <w:szCs w:val="20"/>
                        </w:rPr>
                        <w:t>на ценовой стимул создают условия для быстрой балансировки рынка</w:t>
                      </w:r>
                      <w:r w:rsidRPr="001F42B3">
                        <w:rPr>
                          <w:rFonts w:ascii="Times New Roman" w:hAnsi="Times New Roman"/>
                          <w:sz w:val="20"/>
                          <w:szCs w:val="20"/>
                        </w:rPr>
                        <w:t xml:space="preserve">. Данные добывающих компаний, </w:t>
                      </w:r>
                      <w:r>
                        <w:rPr>
                          <w:rFonts w:ascii="Times New Roman" w:hAnsi="Times New Roman"/>
                          <w:sz w:val="20"/>
                          <w:szCs w:val="20"/>
                        </w:rPr>
                        <w:t xml:space="preserve">оценки </w:t>
                      </w:r>
                      <w:r w:rsidRPr="001F42B3">
                        <w:rPr>
                          <w:rFonts w:ascii="Times New Roman" w:hAnsi="Times New Roman"/>
                          <w:sz w:val="20"/>
                          <w:szCs w:val="20"/>
                        </w:rPr>
                        <w:t xml:space="preserve">отраслевых аналитиков показывают, что ресурсная база сланцевой нефтедобычи очень высока. Некоторые оценки </w:t>
                      </w:r>
                      <w:r>
                        <w:rPr>
                          <w:rFonts w:ascii="Times New Roman" w:hAnsi="Times New Roman"/>
                          <w:sz w:val="20"/>
                          <w:szCs w:val="20"/>
                        </w:rPr>
                        <w:t>предполагают</w:t>
                      </w:r>
                      <w:r w:rsidRPr="001F42B3">
                        <w:rPr>
                          <w:rFonts w:ascii="Times New Roman" w:hAnsi="Times New Roman"/>
                          <w:sz w:val="20"/>
                          <w:szCs w:val="20"/>
                        </w:rPr>
                        <w:t>, что объем технически извлекаемых запасов</w:t>
                      </w:r>
                      <w:r>
                        <w:rPr>
                          <w:rFonts w:ascii="Times New Roman" w:hAnsi="Times New Roman"/>
                          <w:sz w:val="20"/>
                          <w:szCs w:val="20"/>
                        </w:rPr>
                        <w:t xml:space="preserve"> в США даже</w:t>
                      </w:r>
                      <w:r w:rsidRPr="001F42B3">
                        <w:rPr>
                          <w:rFonts w:ascii="Times New Roman" w:hAnsi="Times New Roman"/>
                          <w:sz w:val="20"/>
                          <w:szCs w:val="20"/>
                        </w:rPr>
                        <w:t xml:space="preserve"> превышает показатели Саудовской Аравии. </w:t>
                      </w:r>
                      <w:r>
                        <w:rPr>
                          <w:rFonts w:ascii="Times New Roman" w:hAnsi="Times New Roman"/>
                          <w:sz w:val="20"/>
                          <w:szCs w:val="20"/>
                        </w:rPr>
                        <w:t xml:space="preserve">Появление нового источника добычи создает </w:t>
                      </w:r>
                      <w:r w:rsidRPr="001F42B3">
                        <w:rPr>
                          <w:rFonts w:ascii="Times New Roman" w:hAnsi="Times New Roman"/>
                          <w:sz w:val="20"/>
                          <w:szCs w:val="20"/>
                        </w:rPr>
                        <w:t>два важных следствия, с которыми миро</w:t>
                      </w:r>
                      <w:r>
                        <w:rPr>
                          <w:rFonts w:ascii="Times New Roman" w:hAnsi="Times New Roman"/>
                          <w:sz w:val="20"/>
                          <w:szCs w:val="20"/>
                        </w:rPr>
                        <w:t xml:space="preserve">вой рынок сталкивается впервые. (1) </w:t>
                      </w:r>
                      <w:r w:rsidRPr="0054757E">
                        <w:rPr>
                          <w:rFonts w:ascii="Times New Roman" w:hAnsi="Times New Roman"/>
                          <w:i/>
                          <w:sz w:val="20"/>
                          <w:szCs w:val="20"/>
                        </w:rPr>
                        <w:t xml:space="preserve">Цены на нефть не смогут </w:t>
                      </w:r>
                      <w:r>
                        <w:rPr>
                          <w:rFonts w:ascii="Times New Roman" w:hAnsi="Times New Roman"/>
                          <w:i/>
                          <w:sz w:val="20"/>
                          <w:szCs w:val="20"/>
                        </w:rPr>
                        <w:t xml:space="preserve">искусственно </w:t>
                      </w:r>
                      <w:r w:rsidRPr="0054757E">
                        <w:rPr>
                          <w:rFonts w:ascii="Times New Roman" w:hAnsi="Times New Roman"/>
                          <w:i/>
                          <w:sz w:val="20"/>
                          <w:szCs w:val="20"/>
                        </w:rPr>
                        <w:t xml:space="preserve">устойчиво </w:t>
                      </w:r>
                      <w:r>
                        <w:rPr>
                          <w:rFonts w:ascii="Times New Roman" w:hAnsi="Times New Roman"/>
                          <w:i/>
                          <w:sz w:val="20"/>
                          <w:szCs w:val="20"/>
                        </w:rPr>
                        <w:t>удерживаться на высоком уровне,</w:t>
                      </w:r>
                      <w:r w:rsidRPr="0054757E">
                        <w:rPr>
                          <w:rFonts w:ascii="Times New Roman" w:hAnsi="Times New Roman"/>
                          <w:i/>
                          <w:sz w:val="20"/>
                          <w:szCs w:val="20"/>
                        </w:rPr>
                        <w:t xml:space="preserve"> а политика регулирования объемов стран ОПЕК и других производителей утрачивает эффективность</w:t>
                      </w:r>
                      <w:r>
                        <w:rPr>
                          <w:rFonts w:ascii="Times New Roman" w:hAnsi="Times New Roman"/>
                          <w:i/>
                          <w:sz w:val="20"/>
                          <w:szCs w:val="20"/>
                        </w:rPr>
                        <w:t xml:space="preserve">. </w:t>
                      </w:r>
                      <w:r w:rsidRPr="001F42B3">
                        <w:rPr>
                          <w:rFonts w:ascii="Times New Roman" w:hAnsi="Times New Roman"/>
                          <w:sz w:val="20"/>
                          <w:szCs w:val="20"/>
                        </w:rPr>
                        <w:t xml:space="preserve">Попытка удержать цены </w:t>
                      </w:r>
                      <w:r>
                        <w:rPr>
                          <w:rFonts w:ascii="Times New Roman" w:hAnsi="Times New Roman"/>
                          <w:sz w:val="20"/>
                          <w:szCs w:val="20"/>
                        </w:rPr>
                        <w:t xml:space="preserve">регулированием предложения </w:t>
                      </w:r>
                      <w:r w:rsidRPr="001F42B3">
                        <w:rPr>
                          <w:rFonts w:ascii="Times New Roman" w:hAnsi="Times New Roman"/>
                          <w:sz w:val="20"/>
                          <w:szCs w:val="20"/>
                        </w:rPr>
                        <w:t xml:space="preserve">будет приводить к быстрому восстановлению </w:t>
                      </w:r>
                      <w:r>
                        <w:rPr>
                          <w:rFonts w:ascii="Times New Roman" w:hAnsi="Times New Roman"/>
                          <w:sz w:val="20"/>
                          <w:szCs w:val="20"/>
                        </w:rPr>
                        <w:t xml:space="preserve">прежних </w:t>
                      </w:r>
                      <w:r w:rsidRPr="001F42B3">
                        <w:rPr>
                          <w:rFonts w:ascii="Times New Roman" w:hAnsi="Times New Roman"/>
                          <w:sz w:val="20"/>
                          <w:szCs w:val="20"/>
                        </w:rPr>
                        <w:t>равнове</w:t>
                      </w:r>
                      <w:r>
                        <w:rPr>
                          <w:rFonts w:ascii="Times New Roman" w:hAnsi="Times New Roman"/>
                          <w:sz w:val="20"/>
                          <w:szCs w:val="20"/>
                        </w:rPr>
                        <w:t xml:space="preserve">сных ценовых уровней.(2) Скорость реакции добычи из сланцевых формаций в ответ на цены </w:t>
                      </w:r>
                      <w:r w:rsidRPr="001F42B3">
                        <w:rPr>
                          <w:rFonts w:ascii="Times New Roman" w:hAnsi="Times New Roman"/>
                          <w:sz w:val="20"/>
                          <w:szCs w:val="20"/>
                        </w:rPr>
                        <w:t xml:space="preserve">означает, что ценовая волатильность рынка нефти должна </w:t>
                      </w:r>
                      <w:r>
                        <w:rPr>
                          <w:rFonts w:ascii="Times New Roman" w:hAnsi="Times New Roman"/>
                          <w:sz w:val="20"/>
                          <w:szCs w:val="20"/>
                        </w:rPr>
                        <w:t>снизиться по сравнению с историческими величинами.</w:t>
                      </w:r>
                    </w:p>
                  </w:txbxContent>
                </v:textbox>
                <w10:wrap type="square" anchorx="margin"/>
              </v:shape>
            </w:pict>
          </mc:Fallback>
        </mc:AlternateContent>
      </w:r>
      <w:r w:rsidR="001728A7">
        <w:rPr>
          <w:rFonts w:ascii="Times New Roman" w:hAnsi="Times New Roman"/>
          <w:sz w:val="24"/>
          <w:szCs w:val="24"/>
        </w:rPr>
        <w:t xml:space="preserve">Наблюдаемый в 4 квартале 2016 года рост цен на нефть </w:t>
      </w:r>
      <w:r w:rsidR="002C1413">
        <w:rPr>
          <w:rFonts w:ascii="Times New Roman" w:hAnsi="Times New Roman"/>
          <w:sz w:val="24"/>
          <w:szCs w:val="24"/>
        </w:rPr>
        <w:t xml:space="preserve">и последующая стабилизация котировок вблизи 50 долларов США за баррель в 1 полугодии 2017 года </w:t>
      </w:r>
      <w:r w:rsidR="001728A7">
        <w:rPr>
          <w:rFonts w:ascii="Times New Roman" w:hAnsi="Times New Roman"/>
          <w:sz w:val="24"/>
          <w:szCs w:val="24"/>
        </w:rPr>
        <w:t>стал</w:t>
      </w:r>
      <w:r w:rsidR="002C1413">
        <w:rPr>
          <w:rFonts w:ascii="Times New Roman" w:hAnsi="Times New Roman"/>
          <w:sz w:val="24"/>
          <w:szCs w:val="24"/>
        </w:rPr>
        <w:t>а</w:t>
      </w:r>
      <w:r w:rsidR="001728A7">
        <w:rPr>
          <w:rFonts w:ascii="Times New Roman" w:hAnsi="Times New Roman"/>
          <w:sz w:val="24"/>
          <w:szCs w:val="24"/>
        </w:rPr>
        <w:t xml:space="preserve"> реакцией на заключение соглашения между </w:t>
      </w:r>
      <w:r w:rsidR="004E2069">
        <w:rPr>
          <w:rFonts w:ascii="Times New Roman" w:hAnsi="Times New Roman"/>
          <w:sz w:val="24"/>
          <w:szCs w:val="24"/>
        </w:rPr>
        <w:t>крупнейши</w:t>
      </w:r>
      <w:r w:rsidR="001728A7">
        <w:rPr>
          <w:rFonts w:ascii="Times New Roman" w:hAnsi="Times New Roman"/>
          <w:sz w:val="24"/>
          <w:szCs w:val="24"/>
        </w:rPr>
        <w:t>ми</w:t>
      </w:r>
      <w:r w:rsidR="004E2069">
        <w:rPr>
          <w:rFonts w:ascii="Times New Roman" w:hAnsi="Times New Roman"/>
          <w:sz w:val="24"/>
          <w:szCs w:val="24"/>
        </w:rPr>
        <w:t xml:space="preserve"> </w:t>
      </w:r>
      <w:r w:rsidR="001728A7">
        <w:rPr>
          <w:rFonts w:ascii="Times New Roman" w:hAnsi="Times New Roman"/>
          <w:sz w:val="24"/>
          <w:szCs w:val="24"/>
        </w:rPr>
        <w:t>странами-</w:t>
      </w:r>
      <w:r w:rsidR="004E2069">
        <w:rPr>
          <w:rFonts w:ascii="Times New Roman" w:hAnsi="Times New Roman"/>
          <w:sz w:val="24"/>
          <w:szCs w:val="24"/>
        </w:rPr>
        <w:t>экспортер</w:t>
      </w:r>
      <w:r w:rsidR="001728A7">
        <w:rPr>
          <w:rFonts w:ascii="Times New Roman" w:hAnsi="Times New Roman"/>
          <w:sz w:val="24"/>
          <w:szCs w:val="24"/>
        </w:rPr>
        <w:t>ами</w:t>
      </w:r>
      <w:r w:rsidR="004E2069">
        <w:rPr>
          <w:rFonts w:ascii="Times New Roman" w:hAnsi="Times New Roman"/>
          <w:sz w:val="24"/>
          <w:szCs w:val="24"/>
        </w:rPr>
        <w:t xml:space="preserve"> нефти. </w:t>
      </w:r>
      <w:r w:rsidR="001728A7">
        <w:rPr>
          <w:rFonts w:ascii="Times New Roman" w:hAnsi="Times New Roman"/>
          <w:sz w:val="24"/>
          <w:szCs w:val="24"/>
        </w:rPr>
        <w:t xml:space="preserve">Договоренности направлены на снижение </w:t>
      </w:r>
      <w:r w:rsidR="00186385">
        <w:rPr>
          <w:rFonts w:ascii="Times New Roman" w:hAnsi="Times New Roman"/>
          <w:sz w:val="24"/>
          <w:szCs w:val="24"/>
        </w:rPr>
        <w:t>избыточных запасов нефти на мировом рынке, чтобы, таким образом, ускорить переход в равновесное состояние. Такие договоренности, однако, не могут повлиять на долгосрочный уровень равновесных цен (см. вставку «Равновесный уровень цен на мировом рынке нефти») – определяемый уровнем издержек (включая требуемый возврат на капиталовложения) добычи маржинального барреля нефти.</w:t>
      </w:r>
    </w:p>
    <w:p w:rsidR="0068260B" w:rsidRDefault="00186385" w:rsidP="00B04970">
      <w:pPr>
        <w:spacing w:before="80" w:after="80"/>
        <w:jc w:val="both"/>
        <w:rPr>
          <w:rFonts w:ascii="Times New Roman" w:hAnsi="Times New Roman"/>
          <w:b/>
          <w:sz w:val="24"/>
          <w:szCs w:val="24"/>
        </w:rPr>
      </w:pPr>
      <w:r w:rsidRPr="00090F12">
        <w:rPr>
          <w:rFonts w:ascii="Times New Roman" w:hAnsi="Times New Roman"/>
          <w:b/>
          <w:sz w:val="24"/>
          <w:szCs w:val="24"/>
        </w:rPr>
        <w:t xml:space="preserve">Таким образом, с высокой вероятностью цены на нефть на средне- и долгосрочном горизонте </w:t>
      </w:r>
      <w:r w:rsidR="00090F12" w:rsidRPr="00090F12">
        <w:rPr>
          <w:rFonts w:ascii="Times New Roman" w:hAnsi="Times New Roman"/>
          <w:b/>
          <w:sz w:val="24"/>
          <w:szCs w:val="24"/>
        </w:rPr>
        <w:t>с</w:t>
      </w:r>
      <w:r w:rsidR="0068260B" w:rsidRPr="00090F12">
        <w:rPr>
          <w:rFonts w:ascii="Times New Roman" w:hAnsi="Times New Roman"/>
          <w:b/>
          <w:sz w:val="24"/>
          <w:szCs w:val="24"/>
        </w:rPr>
        <w:t>табилизи</w:t>
      </w:r>
      <w:r w:rsidR="00090F12" w:rsidRPr="00090F12">
        <w:rPr>
          <w:rFonts w:ascii="Times New Roman" w:hAnsi="Times New Roman"/>
          <w:b/>
          <w:sz w:val="24"/>
          <w:szCs w:val="24"/>
        </w:rPr>
        <w:t xml:space="preserve">руются в диапазоне </w:t>
      </w:r>
      <w:r w:rsidR="0068260B" w:rsidRPr="00090F12">
        <w:rPr>
          <w:rFonts w:ascii="Times New Roman" w:hAnsi="Times New Roman"/>
          <w:b/>
          <w:sz w:val="24"/>
          <w:szCs w:val="24"/>
        </w:rPr>
        <w:t>40-</w:t>
      </w:r>
      <w:r w:rsidR="00090F12" w:rsidRPr="00090F12">
        <w:rPr>
          <w:rFonts w:ascii="Times New Roman" w:hAnsi="Times New Roman"/>
          <w:b/>
          <w:sz w:val="24"/>
          <w:szCs w:val="24"/>
        </w:rPr>
        <w:t>45</w:t>
      </w:r>
      <w:r w:rsidR="0068260B" w:rsidRPr="00090F12">
        <w:rPr>
          <w:rFonts w:ascii="Times New Roman" w:hAnsi="Times New Roman"/>
          <w:b/>
          <w:sz w:val="24"/>
          <w:szCs w:val="24"/>
        </w:rPr>
        <w:t xml:space="preserve"> долларов за баррель в постоянных ценах.</w:t>
      </w:r>
    </w:p>
    <w:p w:rsidR="00866D20" w:rsidRDefault="00866D20" w:rsidP="00B04970">
      <w:pPr>
        <w:spacing w:before="80" w:after="80"/>
        <w:jc w:val="both"/>
        <w:rPr>
          <w:rFonts w:ascii="Times New Roman" w:hAnsi="Times New Roman"/>
          <w:b/>
          <w:sz w:val="24"/>
          <w:szCs w:val="24"/>
        </w:rPr>
      </w:pPr>
    </w:p>
    <w:p w:rsidR="004E2069" w:rsidRPr="00496715" w:rsidRDefault="004E2069" w:rsidP="00B04970">
      <w:pPr>
        <w:spacing w:before="80" w:after="80"/>
        <w:jc w:val="both"/>
        <w:rPr>
          <w:rFonts w:ascii="Times New Roman" w:hAnsi="Times New Roman"/>
          <w:b/>
          <w:sz w:val="28"/>
          <w:szCs w:val="24"/>
        </w:rPr>
      </w:pPr>
      <w:r w:rsidRPr="00496715">
        <w:rPr>
          <w:rFonts w:ascii="Times New Roman" w:hAnsi="Times New Roman"/>
          <w:b/>
          <w:sz w:val="28"/>
          <w:szCs w:val="24"/>
        </w:rPr>
        <w:t>Внешние финансовые условия</w:t>
      </w:r>
    </w:p>
    <w:p w:rsidR="00090F12" w:rsidRDefault="001A54EF" w:rsidP="00B04970">
      <w:pPr>
        <w:spacing w:before="80" w:after="80"/>
        <w:jc w:val="both"/>
        <w:rPr>
          <w:rFonts w:ascii="Times New Roman" w:hAnsi="Times New Roman"/>
          <w:sz w:val="24"/>
          <w:szCs w:val="24"/>
        </w:rPr>
      </w:pPr>
      <w:r>
        <w:rPr>
          <w:noProof/>
          <w:lang w:eastAsia="ru-RU"/>
        </w:rPr>
        <mc:AlternateContent>
          <mc:Choice Requires="wps">
            <w:drawing>
              <wp:anchor distT="45720" distB="45720" distL="114300" distR="114300" simplePos="0" relativeHeight="251658240" behindDoc="0" locked="0" layoutInCell="1" allowOverlap="1" wp14:anchorId="5D383163" wp14:editId="4FCB972E">
                <wp:simplePos x="0" y="0"/>
                <wp:positionH relativeFrom="margin">
                  <wp:posOffset>-38100</wp:posOffset>
                </wp:positionH>
                <wp:positionV relativeFrom="paragraph">
                  <wp:posOffset>1575435</wp:posOffset>
                </wp:positionV>
                <wp:extent cx="5894705" cy="5313680"/>
                <wp:effectExtent l="0" t="0" r="0" b="1270"/>
                <wp:wrapSquare wrapText="bothSides"/>
                <wp:docPr id="1038" name="Надпись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5313680"/>
                        </a:xfrm>
                        <a:prstGeom prst="rect">
                          <a:avLst/>
                        </a:prstGeom>
                        <a:solidFill>
                          <a:sysClr val="window" lastClr="FFFFFF">
                            <a:lumMod val="95000"/>
                          </a:sysClr>
                        </a:solidFill>
                        <a:ln w="9525">
                          <a:noFill/>
                          <a:miter lim="800000"/>
                          <a:headEnd/>
                          <a:tailEnd/>
                        </a:ln>
                      </wps:spPr>
                      <wps:txbx>
                        <w:txbxContent>
                          <w:p w:rsidR="007E5DFE" w:rsidRDefault="007E5DFE" w:rsidP="001D0CDF">
                            <w:pPr>
                              <w:spacing w:after="60"/>
                              <w:rPr>
                                <w:rFonts w:ascii="Times New Roman" w:hAnsi="Times New Roman"/>
                                <w:b/>
                                <w:sz w:val="24"/>
                                <w:szCs w:val="24"/>
                              </w:rPr>
                            </w:pPr>
                            <w:r>
                              <w:rPr>
                                <w:rFonts w:ascii="Times New Roman" w:hAnsi="Times New Roman"/>
                                <w:b/>
                                <w:sz w:val="24"/>
                                <w:szCs w:val="24"/>
                              </w:rPr>
                              <w:t>Денежно-кредитная политика крупнейших развитых стран</w:t>
                            </w:r>
                          </w:p>
                          <w:p w:rsidR="007E5DFE" w:rsidRPr="005D6010" w:rsidRDefault="007E5DFE" w:rsidP="001D0CDF">
                            <w:pPr>
                              <w:spacing w:after="60"/>
                              <w:jc w:val="both"/>
                              <w:rPr>
                                <w:rFonts w:ascii="Times New Roman" w:hAnsi="Times New Roman"/>
                                <w:sz w:val="20"/>
                                <w:szCs w:val="20"/>
                              </w:rPr>
                            </w:pPr>
                            <w:r w:rsidRPr="005D6010">
                              <w:rPr>
                                <w:rFonts w:ascii="Times New Roman" w:hAnsi="Times New Roman"/>
                                <w:sz w:val="20"/>
                                <w:szCs w:val="20"/>
                              </w:rPr>
                              <w:t xml:space="preserve">На фоне неуверенного восстановления экономического роста в Еврозоне, </w:t>
                            </w:r>
                            <w:r w:rsidRPr="005D6010">
                              <w:rPr>
                                <w:rFonts w:ascii="Times New Roman" w:hAnsi="Times New Roman"/>
                                <w:b/>
                                <w:sz w:val="20"/>
                                <w:szCs w:val="20"/>
                              </w:rPr>
                              <w:t>ЕЦБ</w:t>
                            </w:r>
                            <w:r>
                              <w:rPr>
                                <w:rFonts w:ascii="Times New Roman" w:hAnsi="Times New Roman"/>
                                <w:sz w:val="20"/>
                                <w:szCs w:val="20"/>
                              </w:rPr>
                              <w:t xml:space="preserve"> </w:t>
                            </w:r>
                            <w:r w:rsidRPr="005D6010">
                              <w:rPr>
                                <w:rFonts w:ascii="Times New Roman" w:hAnsi="Times New Roman"/>
                                <w:sz w:val="20"/>
                                <w:szCs w:val="20"/>
                              </w:rPr>
                              <w:t>сохраняет процентные ставки вблизи нуля (ключевая процентная ставка составляет 0,0%, ставка по депозитам в центральном банке -0,40%) и осуществляет покупки активов на отк</w:t>
                            </w:r>
                            <w:r>
                              <w:rPr>
                                <w:rFonts w:ascii="Times New Roman" w:hAnsi="Times New Roman"/>
                                <w:sz w:val="20"/>
                                <w:szCs w:val="20"/>
                              </w:rPr>
                              <w:t>рытом рынке. В декабре 2016 года ЕЦБ принял решение о сокращении ежемесячного объема выкупа активов (начиная с апреля 2017) с 80 до 60 </w:t>
                            </w:r>
                            <w:proofErr w:type="gramStart"/>
                            <w:r>
                              <w:rPr>
                                <w:rFonts w:ascii="Times New Roman" w:hAnsi="Times New Roman"/>
                                <w:sz w:val="20"/>
                                <w:szCs w:val="20"/>
                              </w:rPr>
                              <w:t>млрд</w:t>
                            </w:r>
                            <w:proofErr w:type="gramEnd"/>
                            <w:r>
                              <w:rPr>
                                <w:rFonts w:ascii="Times New Roman" w:hAnsi="Times New Roman"/>
                                <w:sz w:val="20"/>
                                <w:szCs w:val="20"/>
                              </w:rPr>
                              <w:t> евро, однако продлил срок действия программы до конца 2017 года</w:t>
                            </w:r>
                            <w:r w:rsidRPr="005D6010">
                              <w:rPr>
                                <w:rFonts w:ascii="Times New Roman" w:hAnsi="Times New Roman"/>
                                <w:sz w:val="20"/>
                                <w:szCs w:val="20"/>
                              </w:rPr>
                              <w:t xml:space="preserve">. </w:t>
                            </w:r>
                            <w:r>
                              <w:rPr>
                                <w:rFonts w:ascii="Times New Roman" w:hAnsi="Times New Roman"/>
                                <w:sz w:val="20"/>
                                <w:szCs w:val="20"/>
                              </w:rPr>
                              <w:t>З</w:t>
                            </w:r>
                            <w:r w:rsidRPr="005D6010">
                              <w:rPr>
                                <w:rFonts w:ascii="Times New Roman" w:hAnsi="Times New Roman"/>
                                <w:sz w:val="20"/>
                                <w:szCs w:val="20"/>
                              </w:rPr>
                              <w:t>а пределами обозначенного горизонта</w:t>
                            </w:r>
                            <w:r>
                              <w:rPr>
                                <w:rFonts w:ascii="Times New Roman" w:hAnsi="Times New Roman"/>
                                <w:sz w:val="20"/>
                                <w:szCs w:val="20"/>
                              </w:rPr>
                              <w:t>,</w:t>
                            </w:r>
                            <w:r w:rsidRPr="005D6010">
                              <w:rPr>
                                <w:rFonts w:ascii="Times New Roman" w:hAnsi="Times New Roman"/>
                                <w:sz w:val="20"/>
                                <w:szCs w:val="20"/>
                              </w:rPr>
                              <w:t xml:space="preserve"> по мере п</w:t>
                            </w:r>
                            <w:r>
                              <w:rPr>
                                <w:rFonts w:ascii="Times New Roman" w:hAnsi="Times New Roman"/>
                                <w:sz w:val="20"/>
                                <w:szCs w:val="20"/>
                              </w:rPr>
                              <w:t xml:space="preserve">риближения инфляции к целевому </w:t>
                            </w:r>
                            <w:r w:rsidRPr="005D6010">
                              <w:rPr>
                                <w:rFonts w:ascii="Times New Roman" w:hAnsi="Times New Roman"/>
                                <w:sz w:val="20"/>
                                <w:szCs w:val="20"/>
                              </w:rPr>
                              <w:t>уровню («чуть менее 2%»)</w:t>
                            </w:r>
                            <w:r>
                              <w:rPr>
                                <w:rFonts w:ascii="Times New Roman" w:hAnsi="Times New Roman"/>
                                <w:sz w:val="20"/>
                                <w:szCs w:val="20"/>
                              </w:rPr>
                              <w:t>, предполагается, что ЕЦБ перейдет</w:t>
                            </w:r>
                            <w:r w:rsidRPr="005D6010">
                              <w:rPr>
                                <w:rFonts w:ascii="Times New Roman" w:hAnsi="Times New Roman"/>
                                <w:sz w:val="20"/>
                                <w:szCs w:val="20"/>
                              </w:rPr>
                              <w:t xml:space="preserve"> к постепенной нормализации денежно-кредитной политики, </w:t>
                            </w:r>
                            <w:r>
                              <w:rPr>
                                <w:rFonts w:ascii="Times New Roman" w:hAnsi="Times New Roman"/>
                                <w:sz w:val="20"/>
                                <w:szCs w:val="20"/>
                              </w:rPr>
                              <w:t>продолжив</w:t>
                            </w:r>
                            <w:r w:rsidRPr="005D6010">
                              <w:rPr>
                                <w:rFonts w:ascii="Times New Roman" w:hAnsi="Times New Roman"/>
                                <w:sz w:val="20"/>
                                <w:szCs w:val="20"/>
                              </w:rPr>
                              <w:t xml:space="preserve"> </w:t>
                            </w:r>
                            <w:r>
                              <w:rPr>
                                <w:rFonts w:ascii="Times New Roman" w:hAnsi="Times New Roman"/>
                                <w:sz w:val="20"/>
                                <w:szCs w:val="20"/>
                              </w:rPr>
                              <w:t>сокращение программы</w:t>
                            </w:r>
                            <w:r w:rsidRPr="005D6010">
                              <w:rPr>
                                <w:rFonts w:ascii="Times New Roman" w:hAnsi="Times New Roman"/>
                                <w:sz w:val="20"/>
                                <w:szCs w:val="20"/>
                              </w:rPr>
                              <w:t xml:space="preserve"> покупки активов.</w:t>
                            </w:r>
                          </w:p>
                          <w:p w:rsidR="007E5DFE" w:rsidRPr="005D6010" w:rsidRDefault="007E5DFE" w:rsidP="001D0CDF">
                            <w:pPr>
                              <w:spacing w:after="60"/>
                              <w:jc w:val="both"/>
                              <w:rPr>
                                <w:rFonts w:ascii="Times New Roman" w:hAnsi="Times New Roman"/>
                                <w:sz w:val="20"/>
                                <w:szCs w:val="20"/>
                              </w:rPr>
                            </w:pPr>
                            <w:r w:rsidRPr="005D6010">
                              <w:rPr>
                                <w:rFonts w:ascii="Times New Roman" w:hAnsi="Times New Roman"/>
                                <w:sz w:val="20"/>
                                <w:szCs w:val="20"/>
                              </w:rPr>
                              <w:t xml:space="preserve">Ставка денежно-кредитной политики </w:t>
                            </w:r>
                            <w:r w:rsidRPr="005D6010">
                              <w:rPr>
                                <w:rFonts w:ascii="Times New Roman" w:hAnsi="Times New Roman"/>
                                <w:b/>
                                <w:sz w:val="20"/>
                                <w:szCs w:val="20"/>
                              </w:rPr>
                              <w:t>Банка Англии</w:t>
                            </w:r>
                            <w:r w:rsidRPr="005D6010">
                              <w:rPr>
                                <w:rFonts w:ascii="Times New Roman" w:hAnsi="Times New Roman"/>
                                <w:sz w:val="20"/>
                                <w:szCs w:val="20"/>
                              </w:rPr>
                              <w:t xml:space="preserve"> после выхода Великобритании из </w:t>
                            </w:r>
                            <w:r>
                              <w:rPr>
                                <w:rFonts w:ascii="Times New Roman" w:hAnsi="Times New Roman"/>
                                <w:sz w:val="20"/>
                                <w:szCs w:val="20"/>
                              </w:rPr>
                              <w:t xml:space="preserve">ЕС </w:t>
                            </w:r>
                            <w:r w:rsidRPr="005D6010">
                              <w:rPr>
                                <w:rFonts w:ascii="Times New Roman" w:hAnsi="Times New Roman"/>
                                <w:sz w:val="20"/>
                                <w:szCs w:val="20"/>
                              </w:rPr>
                              <w:t xml:space="preserve">была снижена до 0,25% и также находится теперь вблизи эффективной нулевой границы. Снижение процентной ставки Банк Англии сопроводил расширением программы выкупа государственных и корпоративных облигаций. </w:t>
                            </w:r>
                            <w:r>
                              <w:rPr>
                                <w:rFonts w:ascii="Times New Roman" w:hAnsi="Times New Roman"/>
                                <w:sz w:val="20"/>
                                <w:szCs w:val="20"/>
                              </w:rPr>
                              <w:t xml:space="preserve">В конце июня глава Банка Англии Марк </w:t>
                            </w:r>
                            <w:proofErr w:type="spellStart"/>
                            <w:r>
                              <w:rPr>
                                <w:rFonts w:ascii="Times New Roman" w:hAnsi="Times New Roman"/>
                                <w:sz w:val="20"/>
                                <w:szCs w:val="20"/>
                              </w:rPr>
                              <w:t>Карни</w:t>
                            </w:r>
                            <w:proofErr w:type="spellEnd"/>
                            <w:r>
                              <w:rPr>
                                <w:rFonts w:ascii="Times New Roman" w:hAnsi="Times New Roman"/>
                                <w:sz w:val="20"/>
                                <w:szCs w:val="20"/>
                              </w:rPr>
                              <w:t xml:space="preserve"> заявил о том, что возможно в скором времени потребуется сокращение экономических стимулов со стороны монетарной политики. Учитывая, что все большее количество </w:t>
                            </w:r>
                            <w:proofErr w:type="gramStart"/>
                            <w:r>
                              <w:rPr>
                                <w:rFonts w:ascii="Times New Roman" w:hAnsi="Times New Roman"/>
                                <w:sz w:val="20"/>
                                <w:szCs w:val="20"/>
                              </w:rPr>
                              <w:t>членов Совета директоров Банка Англии</w:t>
                            </w:r>
                            <w:proofErr w:type="gramEnd"/>
                            <w:r>
                              <w:rPr>
                                <w:rFonts w:ascii="Times New Roman" w:hAnsi="Times New Roman"/>
                                <w:sz w:val="20"/>
                                <w:szCs w:val="20"/>
                              </w:rPr>
                              <w:t xml:space="preserve"> голосует за повышение процентной ставки (при сохранении неизменных объемов программы выкупа активов)</w:t>
                            </w:r>
                            <w:r w:rsidRPr="005D6010">
                              <w:rPr>
                                <w:rFonts w:ascii="Times New Roman" w:hAnsi="Times New Roman"/>
                                <w:sz w:val="20"/>
                                <w:szCs w:val="20"/>
                              </w:rPr>
                              <w:t xml:space="preserve">, </w:t>
                            </w:r>
                            <w:r>
                              <w:rPr>
                                <w:rFonts w:ascii="Times New Roman" w:hAnsi="Times New Roman"/>
                                <w:sz w:val="20"/>
                                <w:szCs w:val="20"/>
                              </w:rPr>
                              <w:t>начало</w:t>
                            </w:r>
                            <w:r w:rsidRPr="005D6010">
                              <w:rPr>
                                <w:rFonts w:ascii="Times New Roman" w:hAnsi="Times New Roman"/>
                                <w:sz w:val="20"/>
                                <w:szCs w:val="20"/>
                              </w:rPr>
                              <w:t xml:space="preserve"> нормализации денежно-кредитной политики</w:t>
                            </w:r>
                            <w:r>
                              <w:rPr>
                                <w:rFonts w:ascii="Times New Roman" w:hAnsi="Times New Roman"/>
                                <w:sz w:val="20"/>
                                <w:szCs w:val="20"/>
                              </w:rPr>
                              <w:t xml:space="preserve"> вероятно уже в этом году</w:t>
                            </w:r>
                            <w:r w:rsidRPr="005D6010">
                              <w:rPr>
                                <w:rFonts w:ascii="Times New Roman" w:hAnsi="Times New Roman"/>
                                <w:sz w:val="20"/>
                                <w:szCs w:val="20"/>
                              </w:rPr>
                              <w:t>.</w:t>
                            </w:r>
                          </w:p>
                          <w:p w:rsidR="007E5DFE" w:rsidRPr="005D6010" w:rsidRDefault="007E5DFE" w:rsidP="001D0CDF">
                            <w:pPr>
                              <w:spacing w:after="60"/>
                              <w:jc w:val="both"/>
                              <w:rPr>
                                <w:rFonts w:ascii="Times New Roman" w:hAnsi="Times New Roman"/>
                                <w:sz w:val="20"/>
                                <w:szCs w:val="20"/>
                              </w:rPr>
                            </w:pPr>
                            <w:r w:rsidRPr="00780D0A">
                              <w:rPr>
                                <w:rFonts w:ascii="Times New Roman" w:hAnsi="Times New Roman"/>
                                <w:sz w:val="20"/>
                                <w:szCs w:val="20"/>
                              </w:rPr>
                              <w:t>В США, в которых восстановление экономики началось раньше и идет несколько быстрее, чем в большинстве прочих развитых стран, монетарные власти приступили к повышению ключевой ставки</w:t>
                            </w:r>
                            <w:r>
                              <w:rPr>
                                <w:rFonts w:ascii="Times New Roman" w:hAnsi="Times New Roman"/>
                                <w:sz w:val="20"/>
                                <w:szCs w:val="20"/>
                              </w:rPr>
                              <w:t xml:space="preserve"> (</w:t>
                            </w:r>
                            <w:r w:rsidRPr="00780D0A">
                              <w:rPr>
                                <w:rFonts w:ascii="Times New Roman" w:hAnsi="Times New Roman"/>
                                <w:b/>
                                <w:sz w:val="20"/>
                                <w:szCs w:val="20"/>
                              </w:rPr>
                              <w:t>ФРС США</w:t>
                            </w:r>
                            <w:r w:rsidRPr="00780D0A">
                              <w:rPr>
                                <w:rFonts w:ascii="Times New Roman" w:hAnsi="Times New Roman"/>
                                <w:sz w:val="20"/>
                                <w:szCs w:val="20"/>
                              </w:rPr>
                              <w:t xml:space="preserve"> повысила ставку уже трижды</w:t>
                            </w:r>
                            <w:r>
                              <w:rPr>
                                <w:rFonts w:ascii="Times New Roman" w:hAnsi="Times New Roman"/>
                                <w:sz w:val="20"/>
                                <w:szCs w:val="20"/>
                              </w:rPr>
                              <w:t>)</w:t>
                            </w:r>
                            <w:r w:rsidRPr="00780D0A">
                              <w:rPr>
                                <w:rFonts w:ascii="Times New Roman" w:hAnsi="Times New Roman"/>
                                <w:sz w:val="20"/>
                                <w:szCs w:val="20"/>
                              </w:rPr>
                              <w:t>. При этом на июньском заседании Комитет по открытым рынкам обозначил, что нормализация политики будет проводиться не только за счет повышения процентных ставок, но и сокращения баланса ФРС. Начавшаяся нормализация денежно-кредитной политики уже нашла отражение в росте долгосрочных процентных ставок – в 2017 году 10-летние ставки по государственным облигациям в США находятся на более высоких уровнях, чем в 2015-2016</w:t>
                            </w:r>
                            <w:r>
                              <w:rPr>
                                <w:rFonts w:ascii="Times New Roman" w:hAnsi="Times New Roman"/>
                                <w:sz w:val="20"/>
                                <w:szCs w:val="20"/>
                              </w:rPr>
                              <w:t xml:space="preserve"> годах.</w:t>
                            </w:r>
                          </w:p>
                          <w:p w:rsidR="007E5DFE" w:rsidRDefault="007E5DFE" w:rsidP="001D0CDF">
                            <w:pPr>
                              <w:spacing w:after="60"/>
                              <w:jc w:val="both"/>
                              <w:rPr>
                                <w:rFonts w:ascii="Times New Roman" w:hAnsi="Times New Roman"/>
                                <w:sz w:val="20"/>
                                <w:szCs w:val="20"/>
                              </w:rPr>
                            </w:pPr>
                            <w:r w:rsidRPr="005D6010">
                              <w:rPr>
                                <w:rFonts w:ascii="Times New Roman" w:hAnsi="Times New Roman"/>
                                <w:b/>
                                <w:sz w:val="20"/>
                                <w:szCs w:val="20"/>
                              </w:rPr>
                              <w:t>Банк Японии</w:t>
                            </w:r>
                            <w:r w:rsidRPr="005D6010">
                              <w:rPr>
                                <w:rFonts w:ascii="Times New Roman" w:hAnsi="Times New Roman"/>
                                <w:sz w:val="20"/>
                                <w:szCs w:val="20"/>
                              </w:rPr>
                              <w:t xml:space="preserve"> в текущий момент держит отрицательную ключевую процентную ставку (-0,1%) и проводит масштабную программу выкупа финансовых активов различных типов</w:t>
                            </w:r>
                            <w:r>
                              <w:rPr>
                                <w:rFonts w:ascii="Times New Roman" w:hAnsi="Times New Roman"/>
                                <w:sz w:val="20"/>
                                <w:szCs w:val="20"/>
                              </w:rPr>
                              <w:t xml:space="preserve">, </w:t>
                            </w:r>
                            <w:proofErr w:type="spellStart"/>
                            <w:r>
                              <w:rPr>
                                <w:rFonts w:ascii="Times New Roman" w:hAnsi="Times New Roman"/>
                                <w:sz w:val="20"/>
                                <w:szCs w:val="20"/>
                              </w:rPr>
                              <w:t>таргетируя</w:t>
                            </w:r>
                            <w:proofErr w:type="spellEnd"/>
                            <w:r>
                              <w:rPr>
                                <w:rFonts w:ascii="Times New Roman" w:hAnsi="Times New Roman"/>
                                <w:sz w:val="20"/>
                                <w:szCs w:val="20"/>
                              </w:rPr>
                              <w:t xml:space="preserve"> доходность 10-летних облигаций вблизи нулевого уровня. Стенограммы последних заседаний говорят о том, что монетарные власти Японии</w:t>
                            </w:r>
                            <w:r w:rsidRPr="005D6010">
                              <w:rPr>
                                <w:rFonts w:ascii="Times New Roman" w:hAnsi="Times New Roman"/>
                                <w:sz w:val="20"/>
                                <w:szCs w:val="20"/>
                              </w:rPr>
                              <w:t xml:space="preserve"> пока </w:t>
                            </w:r>
                            <w:r>
                              <w:rPr>
                                <w:rFonts w:ascii="Times New Roman" w:hAnsi="Times New Roman"/>
                                <w:sz w:val="20"/>
                                <w:szCs w:val="20"/>
                              </w:rPr>
                              <w:t xml:space="preserve">не рассматривают вопрос </w:t>
                            </w:r>
                            <w:r w:rsidRPr="005D6010">
                              <w:rPr>
                                <w:rFonts w:ascii="Times New Roman" w:hAnsi="Times New Roman"/>
                                <w:sz w:val="20"/>
                                <w:szCs w:val="20"/>
                              </w:rPr>
                              <w:t>относительно времени изменения направленности денежно-кредитной политики</w:t>
                            </w:r>
                            <w:r>
                              <w:rPr>
                                <w:rFonts w:ascii="Times New Roman" w:hAnsi="Times New Roman"/>
                                <w:sz w:val="20"/>
                                <w:szCs w:val="20"/>
                              </w:rPr>
                              <w:t>.</w:t>
                            </w:r>
                          </w:p>
                          <w:p w:rsidR="007E5DFE" w:rsidRDefault="007E5DFE" w:rsidP="00090F12">
                            <w:pPr>
                              <w:spacing w:before="120" w:after="120"/>
                              <w:jc w:val="both"/>
                              <w:rPr>
                                <w:rFonts w:ascii="Times New Roman" w:hAnsi="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1038" o:spid="_x0000_s1033" type="#_x0000_t202" style="position:absolute;left:0;text-align:left;margin-left:-3pt;margin-top:124.05pt;width:464.15pt;height:418.4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" fillcolor="#f2f2f2" stroked="f">
                <v:textbox>
                  <w:txbxContent>
                    <w:p w:rsidR="007E5DFE" w:rsidRDefault="007E5DFE" w:rsidP="001D0CDF">
                      <w:pPr>
                        <w:spacing w:after="60"/>
                        <w:rPr>
                          <w:rFonts w:ascii="Times New Roman" w:hAnsi="Times New Roman"/>
                          <w:b/>
                          <w:sz w:val="24"/>
                          <w:szCs w:val="24"/>
                        </w:rPr>
                      </w:pPr>
                      <w:r>
                        <w:rPr>
                          <w:rFonts w:ascii="Times New Roman" w:hAnsi="Times New Roman"/>
                          <w:b/>
                          <w:sz w:val="24"/>
                          <w:szCs w:val="24"/>
                        </w:rPr>
                        <w:t>Денежно-кредитная политика крупнейших развитых стран</w:t>
                      </w:r>
                    </w:p>
                    <w:p w:rsidR="007E5DFE" w:rsidRPr="005D6010" w:rsidRDefault="007E5DFE" w:rsidP="001D0CDF">
                      <w:pPr>
                        <w:spacing w:after="60"/>
                        <w:jc w:val="both"/>
                        <w:rPr>
                          <w:rFonts w:ascii="Times New Roman" w:hAnsi="Times New Roman"/>
                          <w:sz w:val="20"/>
                          <w:szCs w:val="20"/>
                        </w:rPr>
                      </w:pPr>
                      <w:r w:rsidRPr="005D6010">
                        <w:rPr>
                          <w:rFonts w:ascii="Times New Roman" w:hAnsi="Times New Roman"/>
                          <w:sz w:val="20"/>
                          <w:szCs w:val="20"/>
                        </w:rPr>
                        <w:t xml:space="preserve">На фоне неуверенного восстановления экономического роста в Еврозоне, </w:t>
                      </w:r>
                      <w:r w:rsidRPr="005D6010">
                        <w:rPr>
                          <w:rFonts w:ascii="Times New Roman" w:hAnsi="Times New Roman"/>
                          <w:b/>
                          <w:sz w:val="20"/>
                          <w:szCs w:val="20"/>
                        </w:rPr>
                        <w:t>ЕЦБ</w:t>
                      </w:r>
                      <w:r>
                        <w:rPr>
                          <w:rFonts w:ascii="Times New Roman" w:hAnsi="Times New Roman"/>
                          <w:sz w:val="20"/>
                          <w:szCs w:val="20"/>
                        </w:rPr>
                        <w:t xml:space="preserve"> </w:t>
                      </w:r>
                      <w:r w:rsidRPr="005D6010">
                        <w:rPr>
                          <w:rFonts w:ascii="Times New Roman" w:hAnsi="Times New Roman"/>
                          <w:sz w:val="20"/>
                          <w:szCs w:val="20"/>
                        </w:rPr>
                        <w:t>сохраняет процентные ставки вблизи нуля (ключевая процентная ставка составляет 0,0%, ставка по депозитам в центральном банке -0,40%) и осуществляет покупки активов на отк</w:t>
                      </w:r>
                      <w:r>
                        <w:rPr>
                          <w:rFonts w:ascii="Times New Roman" w:hAnsi="Times New Roman"/>
                          <w:sz w:val="20"/>
                          <w:szCs w:val="20"/>
                        </w:rPr>
                        <w:t>рытом рынке. В декабре 2016 года ЕЦБ принял решение о сокращении ежемесячного объема выкупа активов (начиная с апреля 2017) с 80 до 60 </w:t>
                      </w:r>
                      <w:proofErr w:type="gramStart"/>
                      <w:r>
                        <w:rPr>
                          <w:rFonts w:ascii="Times New Roman" w:hAnsi="Times New Roman"/>
                          <w:sz w:val="20"/>
                          <w:szCs w:val="20"/>
                        </w:rPr>
                        <w:t>млрд</w:t>
                      </w:r>
                      <w:proofErr w:type="gramEnd"/>
                      <w:r>
                        <w:rPr>
                          <w:rFonts w:ascii="Times New Roman" w:hAnsi="Times New Roman"/>
                          <w:sz w:val="20"/>
                          <w:szCs w:val="20"/>
                        </w:rPr>
                        <w:t> евро, однако продлил срок действия программы до конца 2017 года</w:t>
                      </w:r>
                      <w:r w:rsidRPr="005D6010">
                        <w:rPr>
                          <w:rFonts w:ascii="Times New Roman" w:hAnsi="Times New Roman"/>
                          <w:sz w:val="20"/>
                          <w:szCs w:val="20"/>
                        </w:rPr>
                        <w:t xml:space="preserve">. </w:t>
                      </w:r>
                      <w:r>
                        <w:rPr>
                          <w:rFonts w:ascii="Times New Roman" w:hAnsi="Times New Roman"/>
                          <w:sz w:val="20"/>
                          <w:szCs w:val="20"/>
                        </w:rPr>
                        <w:t>З</w:t>
                      </w:r>
                      <w:r w:rsidRPr="005D6010">
                        <w:rPr>
                          <w:rFonts w:ascii="Times New Roman" w:hAnsi="Times New Roman"/>
                          <w:sz w:val="20"/>
                          <w:szCs w:val="20"/>
                        </w:rPr>
                        <w:t>а пределами обозначенного горизонта</w:t>
                      </w:r>
                      <w:r>
                        <w:rPr>
                          <w:rFonts w:ascii="Times New Roman" w:hAnsi="Times New Roman"/>
                          <w:sz w:val="20"/>
                          <w:szCs w:val="20"/>
                        </w:rPr>
                        <w:t>,</w:t>
                      </w:r>
                      <w:r w:rsidRPr="005D6010">
                        <w:rPr>
                          <w:rFonts w:ascii="Times New Roman" w:hAnsi="Times New Roman"/>
                          <w:sz w:val="20"/>
                          <w:szCs w:val="20"/>
                        </w:rPr>
                        <w:t xml:space="preserve"> по мере п</w:t>
                      </w:r>
                      <w:r>
                        <w:rPr>
                          <w:rFonts w:ascii="Times New Roman" w:hAnsi="Times New Roman"/>
                          <w:sz w:val="20"/>
                          <w:szCs w:val="20"/>
                        </w:rPr>
                        <w:t xml:space="preserve">риближения инфляции к целевому </w:t>
                      </w:r>
                      <w:r w:rsidRPr="005D6010">
                        <w:rPr>
                          <w:rFonts w:ascii="Times New Roman" w:hAnsi="Times New Roman"/>
                          <w:sz w:val="20"/>
                          <w:szCs w:val="20"/>
                        </w:rPr>
                        <w:t>уровню («чуть менее 2%»)</w:t>
                      </w:r>
                      <w:r>
                        <w:rPr>
                          <w:rFonts w:ascii="Times New Roman" w:hAnsi="Times New Roman"/>
                          <w:sz w:val="20"/>
                          <w:szCs w:val="20"/>
                        </w:rPr>
                        <w:t>, предполагается, что ЕЦБ перейдет</w:t>
                      </w:r>
                      <w:r w:rsidRPr="005D6010">
                        <w:rPr>
                          <w:rFonts w:ascii="Times New Roman" w:hAnsi="Times New Roman"/>
                          <w:sz w:val="20"/>
                          <w:szCs w:val="20"/>
                        </w:rPr>
                        <w:t xml:space="preserve"> к постепенной нормализации денежно-кредитной политики, </w:t>
                      </w:r>
                      <w:r>
                        <w:rPr>
                          <w:rFonts w:ascii="Times New Roman" w:hAnsi="Times New Roman"/>
                          <w:sz w:val="20"/>
                          <w:szCs w:val="20"/>
                        </w:rPr>
                        <w:t>продолжив</w:t>
                      </w:r>
                      <w:r w:rsidRPr="005D6010">
                        <w:rPr>
                          <w:rFonts w:ascii="Times New Roman" w:hAnsi="Times New Roman"/>
                          <w:sz w:val="20"/>
                          <w:szCs w:val="20"/>
                        </w:rPr>
                        <w:t xml:space="preserve"> </w:t>
                      </w:r>
                      <w:r>
                        <w:rPr>
                          <w:rFonts w:ascii="Times New Roman" w:hAnsi="Times New Roman"/>
                          <w:sz w:val="20"/>
                          <w:szCs w:val="20"/>
                        </w:rPr>
                        <w:t>сокращение программы</w:t>
                      </w:r>
                      <w:r w:rsidRPr="005D6010">
                        <w:rPr>
                          <w:rFonts w:ascii="Times New Roman" w:hAnsi="Times New Roman"/>
                          <w:sz w:val="20"/>
                          <w:szCs w:val="20"/>
                        </w:rPr>
                        <w:t xml:space="preserve"> покупки активов.</w:t>
                      </w:r>
                    </w:p>
                    <w:p w:rsidR="007E5DFE" w:rsidRPr="005D6010" w:rsidRDefault="007E5DFE" w:rsidP="001D0CDF">
                      <w:pPr>
                        <w:spacing w:after="60"/>
                        <w:jc w:val="both"/>
                        <w:rPr>
                          <w:rFonts w:ascii="Times New Roman" w:hAnsi="Times New Roman"/>
                          <w:sz w:val="20"/>
                          <w:szCs w:val="20"/>
                        </w:rPr>
                      </w:pPr>
                      <w:r w:rsidRPr="005D6010">
                        <w:rPr>
                          <w:rFonts w:ascii="Times New Roman" w:hAnsi="Times New Roman"/>
                          <w:sz w:val="20"/>
                          <w:szCs w:val="20"/>
                        </w:rPr>
                        <w:t xml:space="preserve">Ставка денежно-кредитной политики </w:t>
                      </w:r>
                      <w:r w:rsidRPr="005D6010">
                        <w:rPr>
                          <w:rFonts w:ascii="Times New Roman" w:hAnsi="Times New Roman"/>
                          <w:b/>
                          <w:sz w:val="20"/>
                          <w:szCs w:val="20"/>
                        </w:rPr>
                        <w:t>Банка Англии</w:t>
                      </w:r>
                      <w:r w:rsidRPr="005D6010">
                        <w:rPr>
                          <w:rFonts w:ascii="Times New Roman" w:hAnsi="Times New Roman"/>
                          <w:sz w:val="20"/>
                          <w:szCs w:val="20"/>
                        </w:rPr>
                        <w:t xml:space="preserve"> после выхода Великобритании из </w:t>
                      </w:r>
                      <w:r>
                        <w:rPr>
                          <w:rFonts w:ascii="Times New Roman" w:hAnsi="Times New Roman"/>
                          <w:sz w:val="20"/>
                          <w:szCs w:val="20"/>
                        </w:rPr>
                        <w:t xml:space="preserve">ЕС </w:t>
                      </w:r>
                      <w:r w:rsidRPr="005D6010">
                        <w:rPr>
                          <w:rFonts w:ascii="Times New Roman" w:hAnsi="Times New Roman"/>
                          <w:sz w:val="20"/>
                          <w:szCs w:val="20"/>
                        </w:rPr>
                        <w:t xml:space="preserve">была снижена до 0,25% и также находится теперь вблизи эффективной нулевой границы. Снижение процентной ставки Банк Англии сопроводил расширением программы выкупа государственных и корпоративных облигаций. </w:t>
                      </w:r>
                      <w:r>
                        <w:rPr>
                          <w:rFonts w:ascii="Times New Roman" w:hAnsi="Times New Roman"/>
                          <w:sz w:val="20"/>
                          <w:szCs w:val="20"/>
                        </w:rPr>
                        <w:t xml:space="preserve">В конце июня глава Банка Англии Марк </w:t>
                      </w:r>
                      <w:proofErr w:type="spellStart"/>
                      <w:r>
                        <w:rPr>
                          <w:rFonts w:ascii="Times New Roman" w:hAnsi="Times New Roman"/>
                          <w:sz w:val="20"/>
                          <w:szCs w:val="20"/>
                        </w:rPr>
                        <w:t>Карни</w:t>
                      </w:r>
                      <w:proofErr w:type="spellEnd"/>
                      <w:r>
                        <w:rPr>
                          <w:rFonts w:ascii="Times New Roman" w:hAnsi="Times New Roman"/>
                          <w:sz w:val="20"/>
                          <w:szCs w:val="20"/>
                        </w:rPr>
                        <w:t xml:space="preserve"> заявил о том, что возможно в скором времени потребуется сокращение экономических стимулов со стороны монетарной политики. Учитывая, что все большее количество </w:t>
                      </w:r>
                      <w:proofErr w:type="gramStart"/>
                      <w:r>
                        <w:rPr>
                          <w:rFonts w:ascii="Times New Roman" w:hAnsi="Times New Roman"/>
                          <w:sz w:val="20"/>
                          <w:szCs w:val="20"/>
                        </w:rPr>
                        <w:t>членов Совета директоров Банка Англии</w:t>
                      </w:r>
                      <w:proofErr w:type="gramEnd"/>
                      <w:r>
                        <w:rPr>
                          <w:rFonts w:ascii="Times New Roman" w:hAnsi="Times New Roman"/>
                          <w:sz w:val="20"/>
                          <w:szCs w:val="20"/>
                        </w:rPr>
                        <w:t xml:space="preserve"> голосует за повышение процентной ставки (при сохранении неизменных объемов программы выкупа активов)</w:t>
                      </w:r>
                      <w:r w:rsidRPr="005D6010">
                        <w:rPr>
                          <w:rFonts w:ascii="Times New Roman" w:hAnsi="Times New Roman"/>
                          <w:sz w:val="20"/>
                          <w:szCs w:val="20"/>
                        </w:rPr>
                        <w:t xml:space="preserve">, </w:t>
                      </w:r>
                      <w:r>
                        <w:rPr>
                          <w:rFonts w:ascii="Times New Roman" w:hAnsi="Times New Roman"/>
                          <w:sz w:val="20"/>
                          <w:szCs w:val="20"/>
                        </w:rPr>
                        <w:t>начало</w:t>
                      </w:r>
                      <w:r w:rsidRPr="005D6010">
                        <w:rPr>
                          <w:rFonts w:ascii="Times New Roman" w:hAnsi="Times New Roman"/>
                          <w:sz w:val="20"/>
                          <w:szCs w:val="20"/>
                        </w:rPr>
                        <w:t xml:space="preserve"> нормализации денежно-кредитной политики</w:t>
                      </w:r>
                      <w:r>
                        <w:rPr>
                          <w:rFonts w:ascii="Times New Roman" w:hAnsi="Times New Roman"/>
                          <w:sz w:val="20"/>
                          <w:szCs w:val="20"/>
                        </w:rPr>
                        <w:t xml:space="preserve"> вероятно уже в этом году</w:t>
                      </w:r>
                      <w:r w:rsidRPr="005D6010">
                        <w:rPr>
                          <w:rFonts w:ascii="Times New Roman" w:hAnsi="Times New Roman"/>
                          <w:sz w:val="20"/>
                          <w:szCs w:val="20"/>
                        </w:rPr>
                        <w:t>.</w:t>
                      </w:r>
                    </w:p>
                    <w:p w:rsidR="007E5DFE" w:rsidRPr="005D6010" w:rsidRDefault="007E5DFE" w:rsidP="001D0CDF">
                      <w:pPr>
                        <w:spacing w:after="60"/>
                        <w:jc w:val="both"/>
                        <w:rPr>
                          <w:rFonts w:ascii="Times New Roman" w:hAnsi="Times New Roman"/>
                          <w:sz w:val="20"/>
                          <w:szCs w:val="20"/>
                        </w:rPr>
                      </w:pPr>
                      <w:r w:rsidRPr="00780D0A">
                        <w:rPr>
                          <w:rFonts w:ascii="Times New Roman" w:hAnsi="Times New Roman"/>
                          <w:sz w:val="20"/>
                          <w:szCs w:val="20"/>
                        </w:rPr>
                        <w:t>В США, в которых восстановление экономики началось раньше и идет несколько быстрее, чем в большинстве прочих развитых стран, монетарные власти приступили к повышению ключевой ставки</w:t>
                      </w:r>
                      <w:r>
                        <w:rPr>
                          <w:rFonts w:ascii="Times New Roman" w:hAnsi="Times New Roman"/>
                          <w:sz w:val="20"/>
                          <w:szCs w:val="20"/>
                        </w:rPr>
                        <w:t xml:space="preserve"> (</w:t>
                      </w:r>
                      <w:r w:rsidRPr="00780D0A">
                        <w:rPr>
                          <w:rFonts w:ascii="Times New Roman" w:hAnsi="Times New Roman"/>
                          <w:b/>
                          <w:sz w:val="20"/>
                          <w:szCs w:val="20"/>
                        </w:rPr>
                        <w:t>ФРС США</w:t>
                      </w:r>
                      <w:r w:rsidRPr="00780D0A">
                        <w:rPr>
                          <w:rFonts w:ascii="Times New Roman" w:hAnsi="Times New Roman"/>
                          <w:sz w:val="20"/>
                          <w:szCs w:val="20"/>
                        </w:rPr>
                        <w:t xml:space="preserve"> повысила ставку уже трижды</w:t>
                      </w:r>
                      <w:r>
                        <w:rPr>
                          <w:rFonts w:ascii="Times New Roman" w:hAnsi="Times New Roman"/>
                          <w:sz w:val="20"/>
                          <w:szCs w:val="20"/>
                        </w:rPr>
                        <w:t>)</w:t>
                      </w:r>
                      <w:r w:rsidRPr="00780D0A">
                        <w:rPr>
                          <w:rFonts w:ascii="Times New Roman" w:hAnsi="Times New Roman"/>
                          <w:sz w:val="20"/>
                          <w:szCs w:val="20"/>
                        </w:rPr>
                        <w:t>. При этом на июньском заседании Комитет по открытым рынкам обозначил, что нормализация политики будет проводиться не только за счет повышения процентных ставок, но и сокращения баланса ФРС. Начавшаяся нормализация денежно-кредитной политики уже нашла отражение в росте долгосрочных процентных ставок – в 2017 году 10-летние ставки по государственным облигациям в США находятся на более высоких уровнях, чем в 2015-2016</w:t>
                      </w:r>
                      <w:r>
                        <w:rPr>
                          <w:rFonts w:ascii="Times New Roman" w:hAnsi="Times New Roman"/>
                          <w:sz w:val="20"/>
                          <w:szCs w:val="20"/>
                        </w:rPr>
                        <w:t xml:space="preserve"> годах.</w:t>
                      </w:r>
                    </w:p>
                    <w:p w:rsidR="007E5DFE" w:rsidRDefault="007E5DFE" w:rsidP="001D0CDF">
                      <w:pPr>
                        <w:spacing w:after="60"/>
                        <w:jc w:val="both"/>
                        <w:rPr>
                          <w:rFonts w:ascii="Times New Roman" w:hAnsi="Times New Roman"/>
                          <w:sz w:val="20"/>
                          <w:szCs w:val="20"/>
                        </w:rPr>
                      </w:pPr>
                      <w:r w:rsidRPr="005D6010">
                        <w:rPr>
                          <w:rFonts w:ascii="Times New Roman" w:hAnsi="Times New Roman"/>
                          <w:b/>
                          <w:sz w:val="20"/>
                          <w:szCs w:val="20"/>
                        </w:rPr>
                        <w:t>Банк Японии</w:t>
                      </w:r>
                      <w:r w:rsidRPr="005D6010">
                        <w:rPr>
                          <w:rFonts w:ascii="Times New Roman" w:hAnsi="Times New Roman"/>
                          <w:sz w:val="20"/>
                          <w:szCs w:val="20"/>
                        </w:rPr>
                        <w:t xml:space="preserve"> в текущий момент держит отрицательную ключевую процентную ставку (-0,1%) и проводит масштабную программу выкупа финансовых активов различных типов</w:t>
                      </w:r>
                      <w:r>
                        <w:rPr>
                          <w:rFonts w:ascii="Times New Roman" w:hAnsi="Times New Roman"/>
                          <w:sz w:val="20"/>
                          <w:szCs w:val="20"/>
                        </w:rPr>
                        <w:t xml:space="preserve">, </w:t>
                      </w:r>
                      <w:proofErr w:type="spellStart"/>
                      <w:r>
                        <w:rPr>
                          <w:rFonts w:ascii="Times New Roman" w:hAnsi="Times New Roman"/>
                          <w:sz w:val="20"/>
                          <w:szCs w:val="20"/>
                        </w:rPr>
                        <w:t>таргетируя</w:t>
                      </w:r>
                      <w:proofErr w:type="spellEnd"/>
                      <w:r>
                        <w:rPr>
                          <w:rFonts w:ascii="Times New Roman" w:hAnsi="Times New Roman"/>
                          <w:sz w:val="20"/>
                          <w:szCs w:val="20"/>
                        </w:rPr>
                        <w:t xml:space="preserve"> доходность 10-летних облигаций вблизи нулевого уровня. Стенограммы последних заседаний говорят о том, что монетарные власти Японии</w:t>
                      </w:r>
                      <w:r w:rsidRPr="005D6010">
                        <w:rPr>
                          <w:rFonts w:ascii="Times New Roman" w:hAnsi="Times New Roman"/>
                          <w:sz w:val="20"/>
                          <w:szCs w:val="20"/>
                        </w:rPr>
                        <w:t xml:space="preserve"> пока </w:t>
                      </w:r>
                      <w:r>
                        <w:rPr>
                          <w:rFonts w:ascii="Times New Roman" w:hAnsi="Times New Roman"/>
                          <w:sz w:val="20"/>
                          <w:szCs w:val="20"/>
                        </w:rPr>
                        <w:t xml:space="preserve">не рассматривают вопрос </w:t>
                      </w:r>
                      <w:r w:rsidRPr="005D6010">
                        <w:rPr>
                          <w:rFonts w:ascii="Times New Roman" w:hAnsi="Times New Roman"/>
                          <w:sz w:val="20"/>
                          <w:szCs w:val="20"/>
                        </w:rPr>
                        <w:t>относительно времени изменения направленности денежно-кредитной политики</w:t>
                      </w:r>
                      <w:r>
                        <w:rPr>
                          <w:rFonts w:ascii="Times New Roman" w:hAnsi="Times New Roman"/>
                          <w:sz w:val="20"/>
                          <w:szCs w:val="20"/>
                        </w:rPr>
                        <w:t>.</w:t>
                      </w:r>
                    </w:p>
                    <w:p w:rsidR="007E5DFE" w:rsidRDefault="007E5DFE" w:rsidP="00090F12">
                      <w:pPr>
                        <w:spacing w:before="120" w:after="120"/>
                        <w:jc w:val="both"/>
                        <w:rPr>
                          <w:rFonts w:ascii="Times New Roman" w:hAnsi="Times New Roman"/>
                          <w:sz w:val="20"/>
                          <w:szCs w:val="20"/>
                        </w:rPr>
                      </w:pPr>
                    </w:p>
                  </w:txbxContent>
                </v:textbox>
                <w10:wrap type="square" anchorx="margin"/>
              </v:shape>
            </w:pict>
          </mc:Fallback>
        </mc:AlternateContent>
      </w:r>
      <w:r w:rsidR="00B04970" w:rsidRPr="002C48FF">
        <w:rPr>
          <w:rFonts w:ascii="Times New Roman" w:hAnsi="Times New Roman"/>
          <w:sz w:val="24"/>
          <w:szCs w:val="24"/>
        </w:rPr>
        <w:t>Слабые темпы восстановления экономики в большинстве развитых стран обусл</w:t>
      </w:r>
      <w:r w:rsidR="00B04970">
        <w:rPr>
          <w:rFonts w:ascii="Times New Roman" w:hAnsi="Times New Roman"/>
          <w:sz w:val="24"/>
          <w:szCs w:val="24"/>
        </w:rPr>
        <w:t xml:space="preserve">овили </w:t>
      </w:r>
      <w:r w:rsidR="00B04970" w:rsidRPr="002C48FF">
        <w:rPr>
          <w:rFonts w:ascii="Times New Roman" w:hAnsi="Times New Roman"/>
          <w:sz w:val="24"/>
          <w:szCs w:val="24"/>
        </w:rPr>
        <w:t xml:space="preserve"> проведение крайне мягкой денежно-кредитной политики</w:t>
      </w:r>
      <w:r w:rsidR="00B04970">
        <w:rPr>
          <w:rFonts w:ascii="Times New Roman" w:hAnsi="Times New Roman"/>
          <w:sz w:val="24"/>
          <w:szCs w:val="24"/>
        </w:rPr>
        <w:t>:</w:t>
      </w:r>
      <w:r w:rsidR="00B04970" w:rsidRPr="002C48FF">
        <w:rPr>
          <w:rFonts w:ascii="Times New Roman" w:hAnsi="Times New Roman"/>
          <w:sz w:val="24"/>
          <w:szCs w:val="24"/>
        </w:rPr>
        <w:t xml:space="preserve"> </w:t>
      </w:r>
      <w:r w:rsidR="00B04970">
        <w:rPr>
          <w:rFonts w:ascii="Times New Roman" w:hAnsi="Times New Roman"/>
          <w:sz w:val="24"/>
          <w:szCs w:val="24"/>
        </w:rPr>
        <w:t>к</w:t>
      </w:r>
      <w:r w:rsidR="00B04970" w:rsidRPr="002C48FF">
        <w:rPr>
          <w:rFonts w:ascii="Times New Roman" w:hAnsi="Times New Roman"/>
          <w:sz w:val="24"/>
          <w:szCs w:val="24"/>
        </w:rPr>
        <w:t>лючевые ставки ведущих центральных банков находятся на минимальных уровнях</w:t>
      </w:r>
      <w:r w:rsidR="00B04970">
        <w:rPr>
          <w:rFonts w:ascii="Times New Roman" w:hAnsi="Times New Roman"/>
          <w:sz w:val="24"/>
          <w:szCs w:val="24"/>
        </w:rPr>
        <w:t xml:space="preserve">. Более того, </w:t>
      </w:r>
      <w:r w:rsidR="00B04970" w:rsidRPr="002C48FF">
        <w:rPr>
          <w:rFonts w:ascii="Times New Roman" w:hAnsi="Times New Roman"/>
          <w:sz w:val="24"/>
          <w:szCs w:val="24"/>
        </w:rPr>
        <w:t>дополн</w:t>
      </w:r>
      <w:r w:rsidR="00B04970">
        <w:rPr>
          <w:rFonts w:ascii="Times New Roman" w:hAnsi="Times New Roman"/>
          <w:sz w:val="24"/>
          <w:szCs w:val="24"/>
        </w:rPr>
        <w:t xml:space="preserve">ительно </w:t>
      </w:r>
      <w:r w:rsidR="00B04970" w:rsidRPr="002C48FF">
        <w:rPr>
          <w:rFonts w:ascii="Times New Roman" w:hAnsi="Times New Roman"/>
          <w:sz w:val="24"/>
          <w:szCs w:val="24"/>
        </w:rPr>
        <w:t>проводятся программы количественного смягчения.</w:t>
      </w:r>
      <w:r w:rsidR="00B04970">
        <w:rPr>
          <w:rFonts w:ascii="Times New Roman" w:hAnsi="Times New Roman"/>
          <w:sz w:val="24"/>
          <w:szCs w:val="24"/>
        </w:rPr>
        <w:t xml:space="preserve"> Реализация такой политики </w:t>
      </w:r>
      <w:r w:rsidR="00B04970" w:rsidRPr="002C48FF">
        <w:rPr>
          <w:rFonts w:ascii="Times New Roman" w:hAnsi="Times New Roman"/>
          <w:sz w:val="24"/>
          <w:szCs w:val="24"/>
        </w:rPr>
        <w:t>является</w:t>
      </w:r>
      <w:r w:rsidR="00090F12" w:rsidRPr="002C48FF">
        <w:rPr>
          <w:rFonts w:ascii="Times New Roman" w:hAnsi="Times New Roman"/>
          <w:sz w:val="24"/>
          <w:szCs w:val="24"/>
        </w:rPr>
        <w:t xml:space="preserve"> одной из основных причин высокой склонности к риску глобальных </w:t>
      </w:r>
      <w:proofErr w:type="gramStart"/>
      <w:r w:rsidR="00090F12" w:rsidRPr="002C48FF">
        <w:rPr>
          <w:rFonts w:ascii="Times New Roman" w:hAnsi="Times New Roman"/>
          <w:sz w:val="24"/>
          <w:szCs w:val="24"/>
        </w:rPr>
        <w:t>инвесторов</w:t>
      </w:r>
      <w:proofErr w:type="gramEnd"/>
      <w:r w:rsidR="00090F12" w:rsidRPr="002C48FF">
        <w:rPr>
          <w:rFonts w:ascii="Times New Roman" w:hAnsi="Times New Roman"/>
          <w:sz w:val="24"/>
          <w:szCs w:val="24"/>
        </w:rPr>
        <w:t xml:space="preserve"> </w:t>
      </w:r>
      <w:r w:rsidR="00090F12">
        <w:rPr>
          <w:rFonts w:ascii="Times New Roman" w:hAnsi="Times New Roman"/>
          <w:sz w:val="24"/>
          <w:szCs w:val="24"/>
        </w:rPr>
        <w:t xml:space="preserve">в том числе в части </w:t>
      </w:r>
      <w:r w:rsidR="00090F12" w:rsidRPr="002C48FF">
        <w:rPr>
          <w:rFonts w:ascii="Times New Roman" w:hAnsi="Times New Roman"/>
          <w:sz w:val="24"/>
          <w:szCs w:val="24"/>
        </w:rPr>
        <w:t>инвести</w:t>
      </w:r>
      <w:r w:rsidR="00090F12">
        <w:rPr>
          <w:rFonts w:ascii="Times New Roman" w:hAnsi="Times New Roman"/>
          <w:sz w:val="24"/>
          <w:szCs w:val="24"/>
        </w:rPr>
        <w:t xml:space="preserve">ций </w:t>
      </w:r>
      <w:r w:rsidR="00090F12" w:rsidRPr="002C48FF">
        <w:rPr>
          <w:rFonts w:ascii="Times New Roman" w:hAnsi="Times New Roman"/>
          <w:sz w:val="24"/>
          <w:szCs w:val="24"/>
        </w:rPr>
        <w:t>в активы стран с формирующимися рынками.</w:t>
      </w:r>
    </w:p>
    <w:p w:rsidR="0043253A" w:rsidRDefault="0043253A" w:rsidP="00B04970">
      <w:pPr>
        <w:spacing w:before="80" w:after="80"/>
        <w:jc w:val="both"/>
        <w:rPr>
          <w:rFonts w:ascii="Times New Roman" w:hAnsi="Times New Roman"/>
          <w:sz w:val="24"/>
          <w:szCs w:val="24"/>
        </w:rPr>
      </w:pPr>
      <w:r w:rsidRPr="002C48FF">
        <w:rPr>
          <w:rFonts w:ascii="Times New Roman" w:hAnsi="Times New Roman"/>
          <w:sz w:val="24"/>
          <w:szCs w:val="24"/>
        </w:rPr>
        <w:t>Таким образом, в настоящее время денежно-кредитная политика большинства ведущих центральных банков развитых стран остается мягкой, что является одной из основных причин сохранения высокой склонности к риску глобальных инвесторов и их желания инвестировать в активы стран с формирующимися рынками</w:t>
      </w:r>
      <w:r>
        <w:rPr>
          <w:rFonts w:ascii="Times New Roman" w:hAnsi="Times New Roman"/>
          <w:sz w:val="24"/>
          <w:szCs w:val="24"/>
        </w:rPr>
        <w:t>.</w:t>
      </w:r>
    </w:p>
    <w:p w:rsidR="00822410" w:rsidRDefault="00842953" w:rsidP="00711F0F">
      <w:pPr>
        <w:spacing w:before="60" w:after="60" w:line="259" w:lineRule="auto"/>
        <w:jc w:val="both"/>
        <w:rPr>
          <w:rFonts w:ascii="Times New Roman" w:hAnsi="Times New Roman"/>
          <w:sz w:val="24"/>
          <w:szCs w:val="24"/>
        </w:rPr>
      </w:pPr>
      <w:r w:rsidRPr="002C48FF">
        <w:rPr>
          <w:rFonts w:ascii="Times New Roman" w:hAnsi="Times New Roman"/>
          <w:sz w:val="24"/>
          <w:szCs w:val="24"/>
        </w:rPr>
        <w:t>В течение 201</w:t>
      </w:r>
      <w:r>
        <w:rPr>
          <w:rFonts w:ascii="Times New Roman" w:hAnsi="Times New Roman"/>
          <w:sz w:val="24"/>
          <w:szCs w:val="24"/>
        </w:rPr>
        <w:t>8-2020</w:t>
      </w:r>
      <w:r w:rsidRPr="002C48FF">
        <w:rPr>
          <w:rFonts w:ascii="Times New Roman" w:hAnsi="Times New Roman"/>
          <w:sz w:val="24"/>
          <w:szCs w:val="24"/>
        </w:rPr>
        <w:t xml:space="preserve"> годов стоит ожидать практически повсеместной нормализации монетарной политики за исключением, возможно, Банка Японии (из ведущих центральных банков развитых стран решения Банка Японии оказывают наименьшее влияние на настроения </w:t>
      </w:r>
      <w:r w:rsidR="00273214" w:rsidRPr="002C48FF">
        <w:rPr>
          <w:rFonts w:ascii="Times New Roman" w:hAnsi="Times New Roman"/>
          <w:sz w:val="24"/>
          <w:szCs w:val="24"/>
        </w:rPr>
        <w:t>глобальных инвесторов и направлени</w:t>
      </w:r>
      <w:r w:rsidR="00273214">
        <w:rPr>
          <w:rFonts w:ascii="Times New Roman" w:hAnsi="Times New Roman"/>
          <w:sz w:val="24"/>
          <w:szCs w:val="24"/>
        </w:rPr>
        <w:t>е</w:t>
      </w:r>
      <w:r w:rsidR="00273214" w:rsidRPr="002C48FF">
        <w:rPr>
          <w:rFonts w:ascii="Times New Roman" w:hAnsi="Times New Roman"/>
          <w:sz w:val="24"/>
          <w:szCs w:val="24"/>
        </w:rPr>
        <w:t xml:space="preserve"> потоков капитала). Это будет постепенно менять оценки глобальны</w:t>
      </w:r>
      <w:r w:rsidR="00273214">
        <w:rPr>
          <w:rFonts w:ascii="Times New Roman" w:hAnsi="Times New Roman"/>
          <w:sz w:val="24"/>
          <w:szCs w:val="24"/>
        </w:rPr>
        <w:t>х</w:t>
      </w:r>
      <w:r w:rsidR="00273214" w:rsidRPr="002C48FF">
        <w:rPr>
          <w:rFonts w:ascii="Times New Roman" w:hAnsi="Times New Roman"/>
          <w:sz w:val="24"/>
          <w:szCs w:val="24"/>
        </w:rPr>
        <w:t xml:space="preserve"> инвестор</w:t>
      </w:r>
      <w:r w:rsidR="00273214">
        <w:rPr>
          <w:rFonts w:ascii="Times New Roman" w:hAnsi="Times New Roman"/>
          <w:sz w:val="24"/>
          <w:szCs w:val="24"/>
        </w:rPr>
        <w:t>ов</w:t>
      </w:r>
      <w:r w:rsidR="00273214" w:rsidRPr="002C48FF">
        <w:rPr>
          <w:rFonts w:ascii="Times New Roman" w:hAnsi="Times New Roman"/>
          <w:sz w:val="24"/>
          <w:szCs w:val="24"/>
        </w:rPr>
        <w:t xml:space="preserve"> соотношения риска и доходности вложений в финансовые активы в пользу </w:t>
      </w:r>
      <w:r w:rsidR="00822410">
        <w:rPr>
          <w:rFonts w:ascii="Times New Roman" w:hAnsi="Times New Roman"/>
          <w:sz w:val="24"/>
          <w:szCs w:val="24"/>
        </w:rPr>
        <w:t>развитых стран.</w:t>
      </w:r>
    </w:p>
    <w:p w:rsidR="004E2069" w:rsidRDefault="00842953" w:rsidP="00711F0F">
      <w:pPr>
        <w:spacing w:before="60" w:after="60" w:line="259" w:lineRule="auto"/>
        <w:jc w:val="both"/>
        <w:rPr>
          <w:rFonts w:ascii="Times New Roman" w:hAnsi="Times New Roman"/>
          <w:b/>
          <w:sz w:val="24"/>
          <w:szCs w:val="24"/>
        </w:rPr>
      </w:pPr>
      <w:r w:rsidRPr="00273214">
        <w:rPr>
          <w:rFonts w:ascii="Times New Roman" w:hAnsi="Times New Roman"/>
          <w:b/>
          <w:sz w:val="24"/>
          <w:szCs w:val="24"/>
        </w:rPr>
        <w:t>Соответственно, на прогнозном горизонте можно ожидать постепенного ужесточения условий внешних заимствований для стран с формирующимися рынками, в том числе и для России.</w:t>
      </w:r>
    </w:p>
    <w:p w:rsidR="00866D20" w:rsidRPr="00273214" w:rsidRDefault="00866D20" w:rsidP="00711F0F">
      <w:pPr>
        <w:spacing w:before="60" w:after="60" w:line="259" w:lineRule="auto"/>
        <w:jc w:val="both"/>
        <w:rPr>
          <w:rFonts w:ascii="Times New Roman" w:hAnsi="Times New Roman"/>
          <w:b/>
          <w:sz w:val="24"/>
          <w:szCs w:val="24"/>
        </w:rPr>
      </w:pPr>
    </w:p>
    <w:p w:rsidR="004E2069" w:rsidRPr="00B61C48" w:rsidRDefault="004E2069" w:rsidP="00711F0F">
      <w:pPr>
        <w:pStyle w:val="20"/>
        <w:numPr>
          <w:ilvl w:val="1"/>
          <w:numId w:val="3"/>
        </w:numPr>
        <w:spacing w:before="60" w:after="60" w:line="259" w:lineRule="auto"/>
        <w:rPr>
          <w:rFonts w:ascii="Times New Roman" w:hAnsi="Times New Roman"/>
          <w:sz w:val="28"/>
          <w:szCs w:val="28"/>
        </w:rPr>
      </w:pPr>
      <w:bookmarkStart w:id="16" w:name="_Toc442927404"/>
      <w:bookmarkStart w:id="17" w:name="_Toc494788032"/>
      <w:r w:rsidRPr="00B61C48">
        <w:rPr>
          <w:rFonts w:ascii="Times New Roman" w:hAnsi="Times New Roman"/>
          <w:sz w:val="28"/>
          <w:szCs w:val="28"/>
        </w:rPr>
        <w:t>В</w:t>
      </w:r>
      <w:bookmarkEnd w:id="16"/>
      <w:r w:rsidRPr="00B61C48">
        <w:rPr>
          <w:rFonts w:ascii="Times New Roman" w:hAnsi="Times New Roman"/>
          <w:sz w:val="28"/>
          <w:szCs w:val="28"/>
        </w:rPr>
        <w:t>НУТРЕННИЕ УСЛОВИЯ</w:t>
      </w:r>
      <w:bookmarkEnd w:id="17"/>
    </w:p>
    <w:p w:rsidR="00383EB8" w:rsidRDefault="00383EB8" w:rsidP="00711F0F">
      <w:pPr>
        <w:spacing w:before="60" w:after="60" w:line="259" w:lineRule="auto"/>
        <w:jc w:val="both"/>
        <w:rPr>
          <w:rFonts w:ascii="Times New Roman" w:hAnsi="Times New Roman"/>
          <w:sz w:val="24"/>
          <w:szCs w:val="24"/>
        </w:rPr>
      </w:pPr>
      <w:r w:rsidRPr="007E776A">
        <w:rPr>
          <w:rFonts w:ascii="Times New Roman" w:hAnsi="Times New Roman"/>
          <w:sz w:val="24"/>
          <w:szCs w:val="24"/>
        </w:rPr>
        <w:t>Помимо сравнительно неблагоприятных внешнеэкономических условий, в российской экономике остается ряд нерешенных внутренних структурных проблем, ограничивающих возможности для экономического роста.</w:t>
      </w:r>
    </w:p>
    <w:p w:rsidR="00383EB8" w:rsidRDefault="00383EB8" w:rsidP="00711F0F">
      <w:pPr>
        <w:pStyle w:val="a9"/>
        <w:numPr>
          <w:ilvl w:val="0"/>
          <w:numId w:val="4"/>
        </w:numPr>
        <w:spacing w:before="60" w:after="60" w:line="259" w:lineRule="auto"/>
        <w:contextualSpacing w:val="0"/>
        <w:jc w:val="both"/>
        <w:rPr>
          <w:rFonts w:ascii="Times New Roman" w:hAnsi="Times New Roman"/>
          <w:sz w:val="24"/>
          <w:szCs w:val="24"/>
        </w:rPr>
      </w:pPr>
      <w:r w:rsidRPr="00792BE2">
        <w:rPr>
          <w:rFonts w:ascii="Times New Roman" w:hAnsi="Times New Roman"/>
          <w:i/>
          <w:sz w:val="24"/>
          <w:szCs w:val="24"/>
        </w:rPr>
        <w:t>Сложная демографическая ситуация.</w:t>
      </w:r>
      <w:r w:rsidRPr="00792BE2">
        <w:rPr>
          <w:rFonts w:ascii="Times New Roman" w:hAnsi="Times New Roman"/>
          <w:sz w:val="24"/>
          <w:szCs w:val="24"/>
        </w:rPr>
        <w:t xml:space="preserve"> По всем трем варианта</w:t>
      </w:r>
      <w:r>
        <w:rPr>
          <w:rFonts w:ascii="Times New Roman" w:hAnsi="Times New Roman"/>
          <w:sz w:val="24"/>
          <w:szCs w:val="24"/>
        </w:rPr>
        <w:t>м</w:t>
      </w:r>
      <w:r w:rsidRPr="00792BE2">
        <w:rPr>
          <w:rFonts w:ascii="Times New Roman" w:hAnsi="Times New Roman"/>
          <w:sz w:val="24"/>
          <w:szCs w:val="24"/>
        </w:rPr>
        <w:t xml:space="preserve"> демографического прогноза Росстата ожидается продолжение снижения численности населения в трудоспособном возрасте </w:t>
      </w:r>
      <w:r>
        <w:rPr>
          <w:rFonts w:ascii="Times New Roman" w:hAnsi="Times New Roman"/>
          <w:sz w:val="24"/>
          <w:szCs w:val="24"/>
        </w:rPr>
        <w:t>(-2,</w:t>
      </w:r>
      <w:r w:rsidRPr="0075465C">
        <w:rPr>
          <w:rFonts w:ascii="Times New Roman" w:hAnsi="Times New Roman"/>
          <w:sz w:val="24"/>
          <w:szCs w:val="24"/>
        </w:rPr>
        <w:t>0</w:t>
      </w:r>
      <w:r>
        <w:rPr>
          <w:rFonts w:ascii="Times New Roman" w:hAnsi="Times New Roman"/>
          <w:sz w:val="24"/>
          <w:szCs w:val="24"/>
        </w:rPr>
        <w:t xml:space="preserve"> </w:t>
      </w:r>
      <w:proofErr w:type="gramStart"/>
      <w:r>
        <w:rPr>
          <w:rFonts w:ascii="Times New Roman" w:hAnsi="Times New Roman"/>
          <w:sz w:val="24"/>
          <w:szCs w:val="24"/>
        </w:rPr>
        <w:t>млн</w:t>
      </w:r>
      <w:proofErr w:type="gramEnd"/>
      <w:r>
        <w:rPr>
          <w:rFonts w:ascii="Times New Roman" w:hAnsi="Times New Roman"/>
          <w:sz w:val="24"/>
          <w:szCs w:val="24"/>
        </w:rPr>
        <w:t xml:space="preserve"> человек в течение 201</w:t>
      </w:r>
      <w:r w:rsidRPr="0075465C">
        <w:rPr>
          <w:rFonts w:ascii="Times New Roman" w:hAnsi="Times New Roman"/>
          <w:sz w:val="24"/>
          <w:szCs w:val="24"/>
        </w:rPr>
        <w:t>8</w:t>
      </w:r>
      <w:r>
        <w:rPr>
          <w:rFonts w:ascii="Times New Roman" w:hAnsi="Times New Roman"/>
          <w:sz w:val="24"/>
          <w:szCs w:val="24"/>
        </w:rPr>
        <w:t>-20</w:t>
      </w:r>
      <w:r w:rsidRPr="0075465C">
        <w:rPr>
          <w:rFonts w:ascii="Times New Roman" w:hAnsi="Times New Roman"/>
          <w:sz w:val="24"/>
          <w:szCs w:val="24"/>
        </w:rPr>
        <w:t>20</w:t>
      </w:r>
      <w:r>
        <w:rPr>
          <w:rFonts w:ascii="Times New Roman" w:hAnsi="Times New Roman"/>
          <w:sz w:val="24"/>
          <w:szCs w:val="24"/>
        </w:rPr>
        <w:t xml:space="preserve"> гг.) </w:t>
      </w:r>
      <w:r w:rsidRPr="00792BE2">
        <w:rPr>
          <w:rFonts w:ascii="Times New Roman" w:hAnsi="Times New Roman"/>
          <w:sz w:val="24"/>
          <w:szCs w:val="24"/>
        </w:rPr>
        <w:t xml:space="preserve">на фоне быстрого роста численности </w:t>
      </w:r>
      <w:r>
        <w:rPr>
          <w:rFonts w:ascii="Times New Roman" w:hAnsi="Times New Roman"/>
          <w:sz w:val="24"/>
          <w:szCs w:val="24"/>
        </w:rPr>
        <w:t xml:space="preserve">населения </w:t>
      </w:r>
      <w:r w:rsidRPr="008D58CC">
        <w:rPr>
          <w:rFonts w:ascii="Times New Roman" w:hAnsi="Times New Roman"/>
          <w:sz w:val="24"/>
          <w:szCs w:val="24"/>
        </w:rPr>
        <w:t>старше трудоспособного возраста</w:t>
      </w:r>
      <w:r>
        <w:rPr>
          <w:rFonts w:ascii="Times New Roman" w:hAnsi="Times New Roman"/>
          <w:sz w:val="24"/>
          <w:szCs w:val="24"/>
        </w:rPr>
        <w:t xml:space="preserve"> (+</w:t>
      </w:r>
      <w:r w:rsidRPr="0075465C">
        <w:rPr>
          <w:rFonts w:ascii="Times New Roman" w:hAnsi="Times New Roman"/>
          <w:sz w:val="24"/>
          <w:szCs w:val="24"/>
        </w:rPr>
        <w:t>1</w:t>
      </w:r>
      <w:r>
        <w:rPr>
          <w:rFonts w:ascii="Times New Roman" w:hAnsi="Times New Roman"/>
          <w:sz w:val="24"/>
          <w:szCs w:val="24"/>
        </w:rPr>
        <w:t>,</w:t>
      </w:r>
      <w:r w:rsidRPr="0075465C">
        <w:rPr>
          <w:rFonts w:ascii="Times New Roman" w:hAnsi="Times New Roman"/>
          <w:sz w:val="24"/>
          <w:szCs w:val="24"/>
        </w:rPr>
        <w:t>8</w:t>
      </w:r>
      <w:r>
        <w:rPr>
          <w:rFonts w:ascii="Times New Roman" w:hAnsi="Times New Roman"/>
          <w:sz w:val="24"/>
          <w:szCs w:val="24"/>
        </w:rPr>
        <w:t xml:space="preserve"> </w:t>
      </w:r>
      <w:r w:rsidR="007F725F">
        <w:rPr>
          <w:rFonts w:ascii="Times New Roman" w:hAnsi="Times New Roman"/>
          <w:sz w:val="24"/>
          <w:szCs w:val="24"/>
        </w:rPr>
        <w:t>млн</w:t>
      </w:r>
      <w:r>
        <w:rPr>
          <w:rFonts w:ascii="Times New Roman" w:hAnsi="Times New Roman"/>
          <w:sz w:val="24"/>
          <w:szCs w:val="24"/>
        </w:rPr>
        <w:t xml:space="preserve"> человек).</w:t>
      </w:r>
    </w:p>
    <w:p w:rsidR="00383EB8" w:rsidRPr="00792BE2" w:rsidRDefault="00822410" w:rsidP="00711F0F">
      <w:pPr>
        <w:pStyle w:val="a9"/>
        <w:spacing w:before="60" w:after="60" w:line="259" w:lineRule="auto"/>
        <w:ind w:left="357"/>
        <w:contextualSpacing w:val="0"/>
        <w:jc w:val="both"/>
        <w:rPr>
          <w:rFonts w:ascii="Times New Roman" w:hAnsi="Times New Roman"/>
          <w:sz w:val="24"/>
          <w:szCs w:val="24"/>
        </w:rPr>
      </w:pPr>
      <w:r w:rsidRPr="00BF1AEF">
        <w:rPr>
          <w:rFonts w:ascii="Times New Roman" w:hAnsi="Times New Roman"/>
          <w:sz w:val="24"/>
          <w:szCs w:val="24"/>
        </w:rPr>
        <w:t>Поддержание стабильного коэффициента замещения (соотношение среднего уровня пенсии и заработной платы в экономике) потребует дополнительного перераспределения ресурсов в экономике либо: (1) за счет повышения налоговой нагрузки, либо (2) посредством перераспределения средств внутри бюджетных расходов. В обоих случаях это грозит усугублением структурных дисбалансов и вытеснением сбережений/инвестиций</w:t>
      </w:r>
      <w:r w:rsidR="00383EB8" w:rsidRPr="00792BE2">
        <w:rPr>
          <w:rFonts w:ascii="Times New Roman" w:hAnsi="Times New Roman"/>
          <w:sz w:val="24"/>
          <w:szCs w:val="24"/>
        </w:rPr>
        <w:t>.</w:t>
      </w:r>
    </w:p>
    <w:p w:rsidR="0075465C" w:rsidRDefault="00383EB8" w:rsidP="00711F0F">
      <w:pPr>
        <w:pStyle w:val="a9"/>
        <w:spacing w:before="60" w:after="60" w:line="259" w:lineRule="auto"/>
        <w:ind w:left="357"/>
        <w:contextualSpacing w:val="0"/>
        <w:jc w:val="both"/>
        <w:rPr>
          <w:rFonts w:ascii="Times New Roman" w:hAnsi="Times New Roman"/>
          <w:sz w:val="24"/>
          <w:szCs w:val="24"/>
        </w:rPr>
      </w:pPr>
      <w:r>
        <w:rPr>
          <w:rFonts w:ascii="Times New Roman" w:hAnsi="Times New Roman"/>
          <w:sz w:val="24"/>
          <w:szCs w:val="24"/>
        </w:rPr>
        <w:t xml:space="preserve">Негативные </w:t>
      </w:r>
      <w:r w:rsidRPr="007E776A">
        <w:rPr>
          <w:rFonts w:ascii="Times New Roman" w:hAnsi="Times New Roman"/>
          <w:sz w:val="24"/>
          <w:szCs w:val="24"/>
        </w:rPr>
        <w:t xml:space="preserve">демографические тенденции усугубляются низкой продолжительностью активной жизни, </w:t>
      </w:r>
      <w:r>
        <w:rPr>
          <w:rFonts w:ascii="Times New Roman" w:hAnsi="Times New Roman"/>
          <w:sz w:val="24"/>
          <w:szCs w:val="24"/>
        </w:rPr>
        <w:t>невысокой</w:t>
      </w:r>
      <w:r w:rsidRPr="007E776A">
        <w:rPr>
          <w:rFonts w:ascii="Times New Roman" w:hAnsi="Times New Roman"/>
          <w:sz w:val="24"/>
          <w:szCs w:val="24"/>
        </w:rPr>
        <w:t xml:space="preserve"> мобильностью рабочей силы, а также ограниченными возможностями для работников по повышению квалификации и переквалификации</w:t>
      </w:r>
      <w:r>
        <w:rPr>
          <w:rFonts w:ascii="Times New Roman" w:hAnsi="Times New Roman"/>
          <w:sz w:val="24"/>
          <w:szCs w:val="24"/>
        </w:rPr>
        <w:t>.</w:t>
      </w:r>
    </w:p>
    <w:tbl>
      <w:tblPr>
        <w:tblStyle w:val="Smalltable"/>
        <w:tblW w:w="10180" w:type="dxa"/>
        <w:tblInd w:w="-398" w:type="dxa"/>
        <w:tblLayout w:type="fixed"/>
        <w:tblLook w:val="04A0" w:firstRow="1" w:lastRow="0" w:firstColumn="1" w:lastColumn="0" w:noHBand="0" w:noVBand="1"/>
      </w:tblPr>
      <w:tblGrid>
        <w:gridCol w:w="4962"/>
        <w:gridCol w:w="236"/>
        <w:gridCol w:w="4442"/>
        <w:gridCol w:w="540"/>
      </w:tblGrid>
      <w:tr w:rsidR="0075465C" w:rsidRPr="00E65DE3" w:rsidTr="00383EB8">
        <w:trPr>
          <w:gridAfter w:val="1"/>
          <w:wAfter w:w="540" w:type="dxa"/>
          <w:trHeight w:val="458"/>
        </w:trPr>
        <w:tc>
          <w:tcPr>
            <w:tcW w:w="4962" w:type="dxa"/>
            <w:shd w:val="clear" w:color="auto" w:fill="auto"/>
          </w:tcPr>
          <w:p w:rsidR="0075465C" w:rsidRPr="004F621B" w:rsidRDefault="0075465C" w:rsidP="005230C8">
            <w:pPr>
              <w:pStyle w:val="GraphTitle"/>
              <w:rPr>
                <w:rFonts w:ascii="Times New Roman" w:hAnsi="Times New Roman" w:cs="Times New Roman"/>
                <w:b/>
                <w:sz w:val="24"/>
                <w:szCs w:val="24"/>
                <w:lang w:val="ru-RU"/>
              </w:rPr>
            </w:pPr>
            <w:r w:rsidRPr="004F621B">
              <w:rPr>
                <w:rFonts w:ascii="Times New Roman" w:hAnsi="Times New Roman" w:cs="Times New Roman"/>
                <w:b/>
                <w:sz w:val="24"/>
                <w:szCs w:val="24"/>
                <w:lang w:val="ru-RU"/>
              </w:rPr>
              <w:t xml:space="preserve">Население </w:t>
            </w:r>
            <w:r w:rsidR="0004221C">
              <w:rPr>
                <w:rFonts w:ascii="Times New Roman" w:hAnsi="Times New Roman" w:cs="Times New Roman"/>
                <w:b/>
                <w:sz w:val="24"/>
                <w:szCs w:val="24"/>
                <w:lang w:val="ru-RU"/>
              </w:rPr>
              <w:t>по возрастным группам</w:t>
            </w:r>
          </w:p>
        </w:tc>
        <w:tc>
          <w:tcPr>
            <w:tcW w:w="236" w:type="dxa"/>
            <w:shd w:val="clear" w:color="auto" w:fill="auto"/>
          </w:tcPr>
          <w:p w:rsidR="0075465C" w:rsidRPr="004F621B" w:rsidRDefault="0075465C" w:rsidP="005230C8">
            <w:pPr>
              <w:pStyle w:val="GraphTitle"/>
              <w:rPr>
                <w:rFonts w:ascii="Times New Roman" w:hAnsi="Times New Roman" w:cs="Times New Roman"/>
                <w:sz w:val="24"/>
                <w:szCs w:val="24"/>
                <w:lang w:val="ru-RU"/>
              </w:rPr>
            </w:pPr>
          </w:p>
        </w:tc>
        <w:tc>
          <w:tcPr>
            <w:tcW w:w="4442" w:type="dxa"/>
            <w:shd w:val="clear" w:color="auto" w:fill="auto"/>
          </w:tcPr>
          <w:p w:rsidR="0075465C" w:rsidRPr="004F621B" w:rsidRDefault="0004221C" w:rsidP="005230C8">
            <w:pPr>
              <w:pStyle w:val="GraphTitle"/>
              <w:rPr>
                <w:rFonts w:ascii="Times New Roman" w:hAnsi="Times New Roman" w:cs="Times New Roman"/>
                <w:b/>
                <w:sz w:val="24"/>
                <w:szCs w:val="24"/>
                <w:lang w:val="ru-RU"/>
              </w:rPr>
            </w:pPr>
            <w:r>
              <w:rPr>
                <w:rFonts w:ascii="Times New Roman" w:hAnsi="Times New Roman" w:cs="Times New Roman"/>
                <w:b/>
                <w:sz w:val="24"/>
                <w:szCs w:val="24"/>
                <w:lang w:val="ru-RU"/>
              </w:rPr>
              <w:t>Изменение н</w:t>
            </w:r>
            <w:r w:rsidR="0075465C" w:rsidRPr="004F621B">
              <w:rPr>
                <w:rFonts w:ascii="Times New Roman" w:hAnsi="Times New Roman" w:cs="Times New Roman"/>
                <w:b/>
                <w:sz w:val="24"/>
                <w:szCs w:val="24"/>
                <w:lang w:val="ru-RU"/>
              </w:rPr>
              <w:t xml:space="preserve">аселение </w:t>
            </w:r>
            <w:r>
              <w:rPr>
                <w:rFonts w:ascii="Times New Roman" w:hAnsi="Times New Roman" w:cs="Times New Roman"/>
                <w:b/>
                <w:sz w:val="24"/>
                <w:szCs w:val="24"/>
                <w:lang w:val="ru-RU"/>
              </w:rPr>
              <w:t>по возрастным группам</w:t>
            </w:r>
          </w:p>
        </w:tc>
      </w:tr>
      <w:tr w:rsidR="0075465C" w:rsidRPr="00E65DE3" w:rsidTr="00383EB8">
        <w:trPr>
          <w:trHeight w:hRule="exact" w:val="28"/>
        </w:trPr>
        <w:tc>
          <w:tcPr>
            <w:tcW w:w="4962" w:type="dxa"/>
            <w:tcBorders>
              <w:bottom w:val="single" w:sz="4" w:space="0" w:color="auto"/>
            </w:tcBorders>
            <w:shd w:val="clear" w:color="auto" w:fill="auto"/>
          </w:tcPr>
          <w:p w:rsidR="0075465C" w:rsidRPr="00E65DE3" w:rsidRDefault="0075465C" w:rsidP="005230C8">
            <w:pPr>
              <w:pStyle w:val="TabText"/>
              <w:rPr>
                <w:rFonts w:ascii="Times New Roman" w:hAnsi="Times New Roman" w:cs="Times New Roman"/>
                <w:lang w:val="ru-RU"/>
              </w:rPr>
            </w:pPr>
          </w:p>
        </w:tc>
        <w:tc>
          <w:tcPr>
            <w:tcW w:w="236" w:type="dxa"/>
            <w:shd w:val="clear" w:color="auto" w:fill="auto"/>
          </w:tcPr>
          <w:p w:rsidR="0075465C" w:rsidRPr="00E65DE3" w:rsidRDefault="0075465C" w:rsidP="005230C8">
            <w:pPr>
              <w:pStyle w:val="TabText"/>
              <w:rPr>
                <w:rFonts w:ascii="Times New Roman" w:hAnsi="Times New Roman" w:cs="Times New Roman"/>
                <w:lang w:val="ru-RU"/>
              </w:rPr>
            </w:pPr>
          </w:p>
        </w:tc>
        <w:tc>
          <w:tcPr>
            <w:tcW w:w="4442" w:type="dxa"/>
            <w:tcBorders>
              <w:bottom w:val="single" w:sz="4" w:space="0" w:color="auto"/>
            </w:tcBorders>
            <w:shd w:val="clear" w:color="auto" w:fill="auto"/>
          </w:tcPr>
          <w:p w:rsidR="0075465C" w:rsidRPr="00E65DE3" w:rsidRDefault="0075465C" w:rsidP="005230C8">
            <w:pPr>
              <w:pStyle w:val="TabText"/>
              <w:rPr>
                <w:rFonts w:ascii="Times New Roman" w:hAnsi="Times New Roman" w:cs="Times New Roman"/>
                <w:lang w:val="ru-RU"/>
              </w:rPr>
            </w:pPr>
          </w:p>
        </w:tc>
        <w:tc>
          <w:tcPr>
            <w:tcW w:w="540" w:type="dxa"/>
            <w:shd w:val="clear" w:color="auto" w:fill="auto"/>
          </w:tcPr>
          <w:p w:rsidR="0075465C" w:rsidRPr="00E65DE3" w:rsidRDefault="0075465C" w:rsidP="005230C8">
            <w:pPr>
              <w:pStyle w:val="TabText"/>
              <w:rPr>
                <w:rFonts w:ascii="Times New Roman" w:hAnsi="Times New Roman" w:cs="Times New Roman"/>
                <w:lang w:val="ru-RU"/>
              </w:rPr>
            </w:pPr>
          </w:p>
        </w:tc>
      </w:tr>
      <w:tr w:rsidR="0075465C" w:rsidRPr="00E65DE3" w:rsidTr="00383EB8">
        <w:tblPrEx>
          <w:tblCellMar>
            <w:left w:w="108" w:type="dxa"/>
            <w:right w:w="108" w:type="dxa"/>
          </w:tblCellMar>
        </w:tblPrEx>
        <w:trPr>
          <w:gridAfter w:val="1"/>
          <w:wAfter w:w="540" w:type="dxa"/>
          <w:trHeight w:val="2200"/>
        </w:trPr>
        <w:tc>
          <w:tcPr>
            <w:tcW w:w="4962" w:type="dxa"/>
            <w:tcBorders>
              <w:top w:val="single" w:sz="4" w:space="0" w:color="auto"/>
              <w:bottom w:val="single" w:sz="4" w:space="0" w:color="auto"/>
            </w:tcBorders>
            <w:shd w:val="clear" w:color="auto" w:fill="auto"/>
            <w:tcMar>
              <w:left w:w="0" w:type="nil"/>
              <w:right w:w="0" w:type="nil"/>
            </w:tcMar>
            <w:vAlign w:val="center"/>
          </w:tcPr>
          <w:p w:rsidR="0075465C" w:rsidRPr="00E65DE3" w:rsidRDefault="0004221C" w:rsidP="005230C8">
            <w:pPr>
              <w:pStyle w:val="TabText"/>
              <w:jc w:val="center"/>
              <w:rPr>
                <w:rFonts w:ascii="Times New Roman" w:hAnsi="Times New Roman" w:cs="Times New Roman"/>
                <w:lang w:val="ru-RU"/>
              </w:rPr>
            </w:pPr>
            <w:r>
              <w:rPr>
                <w:noProof/>
                <w:lang w:val="ru-RU" w:bidi="ar-SA"/>
              </w:rPr>
              <w:drawing>
                <wp:inline distT="0" distB="0" distL="0" distR="0" wp14:anchorId="50738EFC" wp14:editId="7C413A20">
                  <wp:extent cx="2734146" cy="2190938"/>
                  <wp:effectExtent l="0" t="0" r="0" b="0"/>
                  <wp:docPr id="1041" name="Диаграмма 104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B4D3DC62-1C4A-440C-98C3-2382C381F9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236" w:type="dxa"/>
            <w:shd w:val="clear" w:color="auto" w:fill="auto"/>
            <w:tcMar>
              <w:left w:w="0" w:type="nil"/>
              <w:right w:w="0" w:type="nil"/>
            </w:tcMar>
          </w:tcPr>
          <w:p w:rsidR="0075465C" w:rsidRPr="00E65DE3" w:rsidRDefault="0075465C" w:rsidP="005230C8">
            <w:pPr>
              <w:pStyle w:val="TabText"/>
              <w:rPr>
                <w:rFonts w:ascii="Times New Roman" w:hAnsi="Times New Roman" w:cs="Times New Roman"/>
                <w:lang w:val="ru-RU"/>
              </w:rPr>
            </w:pPr>
          </w:p>
        </w:tc>
        <w:tc>
          <w:tcPr>
            <w:tcW w:w="4442" w:type="dxa"/>
            <w:tcBorders>
              <w:top w:val="single" w:sz="4" w:space="0" w:color="auto"/>
              <w:bottom w:val="single" w:sz="4" w:space="0" w:color="auto"/>
            </w:tcBorders>
            <w:shd w:val="clear" w:color="auto" w:fill="auto"/>
            <w:tcMar>
              <w:left w:w="0" w:type="nil"/>
              <w:right w:w="0" w:type="nil"/>
            </w:tcMar>
            <w:vAlign w:val="center"/>
          </w:tcPr>
          <w:p w:rsidR="0075465C" w:rsidRPr="00E65DE3" w:rsidRDefault="0004221C" w:rsidP="005230C8">
            <w:pPr>
              <w:pStyle w:val="TabText"/>
              <w:jc w:val="center"/>
              <w:rPr>
                <w:rFonts w:ascii="Times New Roman" w:hAnsi="Times New Roman" w:cs="Times New Roman"/>
                <w:lang w:val="ru-RU"/>
              </w:rPr>
            </w:pPr>
            <w:r>
              <w:rPr>
                <w:noProof/>
                <w:lang w:val="ru-RU" w:bidi="ar-SA"/>
              </w:rPr>
              <w:drawing>
                <wp:inline distT="0" distB="0" distL="0" distR="0" wp14:anchorId="6D5FE2FF" wp14:editId="129436C4">
                  <wp:extent cx="2803525" cy="2115879"/>
                  <wp:effectExtent l="0" t="0" r="0" b="0"/>
                  <wp:docPr id="1042" name="Диаграмма 1042">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3AA3CCC-A6D4-4657-A9CA-6153145ADF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75465C" w:rsidRPr="00E65DE3" w:rsidTr="00383EB8">
        <w:trPr>
          <w:gridAfter w:val="1"/>
          <w:wAfter w:w="540" w:type="dxa"/>
          <w:trHeight w:val="198"/>
        </w:trPr>
        <w:tc>
          <w:tcPr>
            <w:tcW w:w="4962" w:type="dxa"/>
            <w:tcBorders>
              <w:top w:val="single" w:sz="4" w:space="0" w:color="auto"/>
            </w:tcBorders>
            <w:shd w:val="clear" w:color="auto" w:fill="auto"/>
          </w:tcPr>
          <w:p w:rsidR="0075465C" w:rsidRPr="00054632" w:rsidRDefault="0075465C" w:rsidP="005230C8">
            <w:pPr>
              <w:pStyle w:val="SourceLarge"/>
              <w:spacing w:after="240"/>
              <w:rPr>
                <w:rFonts w:ascii="Times New Roman" w:hAnsi="Times New Roman" w:cs="Times New Roman"/>
                <w:i/>
                <w:lang w:val="ru-RU"/>
              </w:rPr>
            </w:pPr>
            <w:proofErr w:type="spellStart"/>
            <w:r w:rsidRPr="003633FC">
              <w:rPr>
                <w:rFonts w:ascii="Times New Roman" w:hAnsi="Times New Roman" w:cs="Times New Roman"/>
                <w:i/>
                <w:sz w:val="14"/>
                <w:szCs w:val="14"/>
              </w:rPr>
              <w:t>Источник</w:t>
            </w:r>
            <w:proofErr w:type="spellEnd"/>
            <w:r w:rsidRPr="003633FC">
              <w:rPr>
                <w:rFonts w:ascii="Times New Roman" w:hAnsi="Times New Roman" w:cs="Times New Roman"/>
                <w:i/>
                <w:sz w:val="14"/>
                <w:szCs w:val="14"/>
              </w:rPr>
              <w:t>: </w:t>
            </w:r>
            <w:r>
              <w:rPr>
                <w:rFonts w:ascii="Times New Roman" w:hAnsi="Times New Roman" w:cs="Times New Roman"/>
                <w:i/>
                <w:sz w:val="14"/>
                <w:szCs w:val="14"/>
                <w:lang w:val="ru-RU"/>
              </w:rPr>
              <w:t>Росстат</w:t>
            </w:r>
          </w:p>
        </w:tc>
        <w:tc>
          <w:tcPr>
            <w:tcW w:w="236" w:type="dxa"/>
            <w:shd w:val="clear" w:color="auto" w:fill="auto"/>
          </w:tcPr>
          <w:p w:rsidR="0075465C" w:rsidRPr="00802DC4" w:rsidRDefault="0075465C" w:rsidP="005230C8">
            <w:pPr>
              <w:pStyle w:val="SourceLarge"/>
              <w:spacing w:after="240"/>
              <w:rPr>
                <w:rFonts w:ascii="Times New Roman" w:hAnsi="Times New Roman" w:cs="Times New Roman"/>
                <w:lang w:val="ru-RU"/>
              </w:rPr>
            </w:pPr>
          </w:p>
        </w:tc>
        <w:tc>
          <w:tcPr>
            <w:tcW w:w="4442" w:type="dxa"/>
            <w:tcBorders>
              <w:top w:val="single" w:sz="4" w:space="0" w:color="auto"/>
            </w:tcBorders>
            <w:shd w:val="clear" w:color="auto" w:fill="auto"/>
          </w:tcPr>
          <w:p w:rsidR="0075465C" w:rsidRPr="003633FC" w:rsidRDefault="0075465C" w:rsidP="005230C8">
            <w:pPr>
              <w:pStyle w:val="SourceLarge"/>
              <w:spacing w:after="240"/>
              <w:rPr>
                <w:rFonts w:ascii="Times New Roman" w:hAnsi="Times New Roman" w:cs="Times New Roman"/>
                <w:i/>
                <w:lang w:val="en-US"/>
              </w:rPr>
            </w:pPr>
            <w:proofErr w:type="spellStart"/>
            <w:r w:rsidRPr="003633FC">
              <w:rPr>
                <w:rFonts w:ascii="Times New Roman" w:hAnsi="Times New Roman" w:cs="Times New Roman"/>
                <w:i/>
                <w:sz w:val="14"/>
                <w:szCs w:val="14"/>
              </w:rPr>
              <w:t>Источник</w:t>
            </w:r>
            <w:proofErr w:type="spellEnd"/>
            <w:r w:rsidRPr="003633FC">
              <w:rPr>
                <w:rFonts w:ascii="Times New Roman" w:hAnsi="Times New Roman" w:cs="Times New Roman"/>
                <w:i/>
                <w:sz w:val="14"/>
                <w:szCs w:val="14"/>
              </w:rPr>
              <w:t>: </w:t>
            </w:r>
            <w:r>
              <w:rPr>
                <w:rFonts w:ascii="Times New Roman" w:hAnsi="Times New Roman" w:cs="Times New Roman"/>
                <w:i/>
                <w:sz w:val="14"/>
                <w:szCs w:val="14"/>
                <w:lang w:val="ru-RU"/>
              </w:rPr>
              <w:t>Росстат</w:t>
            </w:r>
          </w:p>
        </w:tc>
      </w:tr>
    </w:tbl>
    <w:p w:rsidR="00477A82" w:rsidRPr="00866D20" w:rsidRDefault="00866D20" w:rsidP="00477A82">
      <w:pPr>
        <w:pStyle w:val="a9"/>
        <w:numPr>
          <w:ilvl w:val="0"/>
          <w:numId w:val="4"/>
        </w:numPr>
        <w:spacing w:before="120" w:after="120" w:line="240" w:lineRule="auto"/>
        <w:contextualSpacing w:val="0"/>
        <w:jc w:val="both"/>
        <w:rPr>
          <w:rFonts w:ascii="Times New Roman" w:hAnsi="Times New Roman"/>
          <w:sz w:val="24"/>
          <w:szCs w:val="24"/>
        </w:rPr>
      </w:pPr>
      <w:r w:rsidRPr="00866D20">
        <w:rPr>
          <w:rFonts w:ascii="Times New Roman" w:hAnsi="Times New Roman"/>
          <w:i/>
          <w:sz w:val="24"/>
          <w:szCs w:val="24"/>
        </w:rPr>
        <w:t xml:space="preserve">Недостаточный </w:t>
      </w:r>
      <w:r w:rsidR="0075465C" w:rsidRPr="00866D20">
        <w:rPr>
          <w:rFonts w:ascii="Times New Roman" w:hAnsi="Times New Roman"/>
          <w:i/>
          <w:sz w:val="24"/>
          <w:szCs w:val="24"/>
        </w:rPr>
        <w:t xml:space="preserve">уровень инвестиций. </w:t>
      </w:r>
      <w:r w:rsidR="0075465C" w:rsidRPr="00866D20">
        <w:rPr>
          <w:rFonts w:ascii="Times New Roman" w:hAnsi="Times New Roman"/>
          <w:sz w:val="24"/>
          <w:szCs w:val="24"/>
        </w:rPr>
        <w:t>На фоне высокой степени износа основных фондов расширение производственного потенциала российской экономики требует дополнительных инвестиций в основной капитал.</w:t>
      </w:r>
    </w:p>
    <w:p w:rsidR="0075465C" w:rsidRPr="00275535" w:rsidRDefault="0075465C" w:rsidP="00477A82">
      <w:pPr>
        <w:pStyle w:val="a9"/>
        <w:spacing w:before="120" w:after="120" w:line="240" w:lineRule="auto"/>
        <w:ind w:left="360"/>
        <w:contextualSpacing w:val="0"/>
        <w:jc w:val="both"/>
        <w:rPr>
          <w:rFonts w:ascii="Times New Roman" w:hAnsi="Times New Roman"/>
          <w:sz w:val="24"/>
          <w:szCs w:val="24"/>
        </w:rPr>
      </w:pPr>
      <w:r w:rsidRPr="00EF2302">
        <w:rPr>
          <w:rFonts w:ascii="Times New Roman" w:hAnsi="Times New Roman"/>
          <w:sz w:val="24"/>
          <w:szCs w:val="24"/>
        </w:rPr>
        <w:t>По итогам 2015</w:t>
      </w:r>
      <w:r>
        <w:rPr>
          <w:rFonts w:ascii="Times New Roman" w:hAnsi="Times New Roman"/>
          <w:sz w:val="24"/>
          <w:szCs w:val="24"/>
        </w:rPr>
        <w:t>-2016</w:t>
      </w:r>
      <w:r w:rsidRPr="00EF2302">
        <w:rPr>
          <w:rFonts w:ascii="Times New Roman" w:hAnsi="Times New Roman"/>
          <w:sz w:val="24"/>
          <w:szCs w:val="24"/>
        </w:rPr>
        <w:t xml:space="preserve"> </w:t>
      </w:r>
      <w:r>
        <w:rPr>
          <w:rFonts w:ascii="Times New Roman" w:hAnsi="Times New Roman"/>
          <w:sz w:val="24"/>
          <w:szCs w:val="24"/>
        </w:rPr>
        <w:t xml:space="preserve">гг. </w:t>
      </w:r>
      <w:r w:rsidRPr="00EF2302">
        <w:rPr>
          <w:rFonts w:ascii="Times New Roman" w:hAnsi="Times New Roman"/>
          <w:sz w:val="24"/>
          <w:szCs w:val="24"/>
        </w:rPr>
        <w:t>объем инвестиций в осно</w:t>
      </w:r>
      <w:r w:rsidR="00982198">
        <w:rPr>
          <w:rFonts w:ascii="Times New Roman" w:hAnsi="Times New Roman"/>
          <w:sz w:val="24"/>
          <w:szCs w:val="24"/>
        </w:rPr>
        <w:t>вной капитал составлял порядка 17</w:t>
      </w:r>
      <w:r w:rsidRPr="00EF2302">
        <w:rPr>
          <w:rFonts w:ascii="Times New Roman" w:hAnsi="Times New Roman"/>
          <w:sz w:val="24"/>
          <w:szCs w:val="24"/>
        </w:rPr>
        <w:t>% ВВП, что по оценкам, основанным на анализе динамики экономик широкого спектра ст</w:t>
      </w:r>
      <w:r>
        <w:rPr>
          <w:rFonts w:ascii="Times New Roman" w:hAnsi="Times New Roman"/>
          <w:sz w:val="24"/>
          <w:szCs w:val="24"/>
        </w:rPr>
        <w:t xml:space="preserve">ран за период с 1981 по 2014 гг. </w:t>
      </w:r>
      <w:r w:rsidRPr="00EF035C">
        <w:rPr>
          <w:rFonts w:ascii="Times New Roman" w:hAnsi="Times New Roman"/>
          <w:sz w:val="24"/>
          <w:szCs w:val="24"/>
        </w:rPr>
        <w:t xml:space="preserve">(см. вставку), может обеспечить долгосрочные темпы роста ВВП на одного работающего </w:t>
      </w:r>
      <w:r w:rsidR="00982198">
        <w:rPr>
          <w:rFonts w:ascii="Times New Roman" w:hAnsi="Times New Roman"/>
          <w:sz w:val="24"/>
          <w:szCs w:val="24"/>
        </w:rPr>
        <w:t xml:space="preserve">в пределах </w:t>
      </w:r>
      <w:r w:rsidRPr="00EF035C">
        <w:rPr>
          <w:rFonts w:ascii="Times New Roman" w:hAnsi="Times New Roman"/>
          <w:sz w:val="24"/>
          <w:szCs w:val="24"/>
        </w:rPr>
        <w:t>1,5% в год.</w:t>
      </w:r>
      <w:r w:rsidR="00982198">
        <w:rPr>
          <w:rFonts w:ascii="Times New Roman" w:hAnsi="Times New Roman"/>
          <w:sz w:val="24"/>
          <w:szCs w:val="24"/>
        </w:rPr>
        <w:t xml:space="preserve"> З</w:t>
      </w:r>
      <w:r w:rsidRPr="00EF2302">
        <w:rPr>
          <w:rFonts w:ascii="Times New Roman" w:hAnsi="Times New Roman"/>
          <w:sz w:val="24"/>
          <w:szCs w:val="24"/>
        </w:rPr>
        <w:t>начительно</w:t>
      </w:r>
      <w:r>
        <w:rPr>
          <w:rFonts w:ascii="Times New Roman" w:hAnsi="Times New Roman"/>
          <w:sz w:val="24"/>
          <w:szCs w:val="24"/>
        </w:rPr>
        <w:t>е</w:t>
      </w:r>
      <w:r w:rsidRPr="00EF2302">
        <w:rPr>
          <w:rFonts w:ascii="Times New Roman" w:hAnsi="Times New Roman"/>
          <w:sz w:val="24"/>
          <w:szCs w:val="24"/>
        </w:rPr>
        <w:t xml:space="preserve"> количеств</w:t>
      </w:r>
      <w:r>
        <w:rPr>
          <w:rFonts w:ascii="Times New Roman" w:hAnsi="Times New Roman"/>
          <w:sz w:val="24"/>
          <w:szCs w:val="24"/>
        </w:rPr>
        <w:t>о</w:t>
      </w:r>
      <w:r w:rsidRPr="00EF2302">
        <w:rPr>
          <w:rFonts w:ascii="Times New Roman" w:hAnsi="Times New Roman"/>
          <w:sz w:val="24"/>
          <w:szCs w:val="24"/>
        </w:rPr>
        <w:t xml:space="preserve"> инвестиционных проектов с </w:t>
      </w:r>
      <w:r>
        <w:rPr>
          <w:rFonts w:ascii="Times New Roman" w:hAnsi="Times New Roman"/>
          <w:sz w:val="24"/>
          <w:szCs w:val="24"/>
        </w:rPr>
        <w:t xml:space="preserve">низкой или </w:t>
      </w:r>
      <w:r w:rsidRPr="00EF2302">
        <w:rPr>
          <w:rFonts w:ascii="Times New Roman" w:hAnsi="Times New Roman"/>
          <w:sz w:val="24"/>
          <w:szCs w:val="24"/>
        </w:rPr>
        <w:t xml:space="preserve">отрицательной рентабельностью </w:t>
      </w:r>
      <w:r>
        <w:rPr>
          <w:rFonts w:ascii="Times New Roman" w:hAnsi="Times New Roman"/>
          <w:sz w:val="24"/>
          <w:szCs w:val="24"/>
        </w:rPr>
        <w:t xml:space="preserve">может </w:t>
      </w:r>
      <w:r w:rsidR="00982198">
        <w:rPr>
          <w:rFonts w:ascii="Times New Roman" w:hAnsi="Times New Roman"/>
          <w:sz w:val="24"/>
          <w:szCs w:val="24"/>
        </w:rPr>
        <w:t xml:space="preserve">означать, что эта оценка </w:t>
      </w:r>
      <w:r>
        <w:rPr>
          <w:rFonts w:ascii="Times New Roman" w:hAnsi="Times New Roman"/>
          <w:sz w:val="24"/>
          <w:szCs w:val="24"/>
        </w:rPr>
        <w:t>ока</w:t>
      </w:r>
      <w:r w:rsidR="00982198">
        <w:rPr>
          <w:rFonts w:ascii="Times New Roman" w:hAnsi="Times New Roman"/>
          <w:sz w:val="24"/>
          <w:szCs w:val="24"/>
        </w:rPr>
        <w:t>же</w:t>
      </w:r>
      <w:r>
        <w:rPr>
          <w:rFonts w:ascii="Times New Roman" w:hAnsi="Times New Roman"/>
          <w:sz w:val="24"/>
          <w:szCs w:val="24"/>
        </w:rPr>
        <w:t>тся еще ниже</w:t>
      </w:r>
      <w:r w:rsidRPr="00EF2302">
        <w:rPr>
          <w:rFonts w:ascii="Times New Roman" w:hAnsi="Times New Roman"/>
          <w:sz w:val="24"/>
          <w:szCs w:val="24"/>
        </w:rPr>
        <w:t>.</w:t>
      </w:r>
    </w:p>
    <w:p w:rsidR="00866D20" w:rsidRPr="00866D20" w:rsidRDefault="00866D20" w:rsidP="00477A82">
      <w:pPr>
        <w:pStyle w:val="a9"/>
        <w:spacing w:before="120" w:after="120" w:line="240" w:lineRule="auto"/>
        <w:ind w:left="360"/>
        <w:contextualSpacing w:val="0"/>
        <w:jc w:val="both"/>
        <w:rPr>
          <w:rFonts w:ascii="Times New Roman" w:hAnsi="Times New Roman"/>
          <w:sz w:val="24"/>
          <w:szCs w:val="24"/>
        </w:rPr>
      </w:pPr>
      <w:r w:rsidRPr="008C0987">
        <w:rPr>
          <w:noProof/>
          <w:lang w:eastAsia="ru-RU"/>
        </w:rPr>
        <mc:AlternateContent>
          <mc:Choice Requires="wps">
            <w:drawing>
              <wp:anchor distT="45720" distB="45720" distL="114300" distR="114300" simplePos="0" relativeHeight="251655680" behindDoc="0" locked="0" layoutInCell="1" allowOverlap="1" wp14:anchorId="5B05C6DB" wp14:editId="07AAAE9B">
                <wp:simplePos x="0" y="0"/>
                <wp:positionH relativeFrom="margin">
                  <wp:posOffset>-45720</wp:posOffset>
                </wp:positionH>
                <wp:positionV relativeFrom="paragraph">
                  <wp:posOffset>1012190</wp:posOffset>
                </wp:positionV>
                <wp:extent cx="5861050" cy="6000750"/>
                <wp:effectExtent l="0" t="0" r="6350" b="0"/>
                <wp:wrapSquare wrapText="bothSides"/>
                <wp:docPr id="10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6000750"/>
                        </a:xfrm>
                        <a:prstGeom prst="rect">
                          <a:avLst/>
                        </a:prstGeom>
                        <a:solidFill>
                          <a:schemeClr val="bg1">
                            <a:lumMod val="95000"/>
                          </a:schemeClr>
                        </a:solidFill>
                        <a:ln w="9525">
                          <a:noFill/>
                          <a:miter lim="800000"/>
                          <a:headEnd/>
                          <a:tailEnd/>
                        </a:ln>
                      </wps:spPr>
                      <wps:txbx>
                        <w:txbxContent>
                          <w:p w:rsidR="007E5DFE" w:rsidRDefault="007E5DFE" w:rsidP="0075465C">
                            <w:pPr>
                              <w:rPr>
                                <w:rFonts w:ascii="Times New Roman" w:hAnsi="Times New Roman"/>
                                <w:b/>
                                <w:sz w:val="24"/>
                                <w:szCs w:val="24"/>
                              </w:rPr>
                            </w:pPr>
                            <w:r>
                              <w:rPr>
                                <w:rFonts w:ascii="Times New Roman" w:hAnsi="Times New Roman"/>
                                <w:b/>
                                <w:sz w:val="24"/>
                                <w:szCs w:val="24"/>
                              </w:rPr>
                              <w:t>Модель потенциального роста</w:t>
                            </w:r>
                          </w:p>
                          <w:p w:rsidR="007E5DFE" w:rsidRDefault="007E5DFE" w:rsidP="0007579B">
                            <w:pPr>
                              <w:spacing w:before="120" w:after="120"/>
                              <w:jc w:val="both"/>
                              <w:rPr>
                                <w:rFonts w:ascii="Times New Roman" w:hAnsi="Times New Roman"/>
                                <w:sz w:val="20"/>
                                <w:szCs w:val="20"/>
                              </w:rPr>
                            </w:pPr>
                            <w:r w:rsidRPr="00524848">
                              <w:rPr>
                                <w:rFonts w:ascii="Times New Roman" w:hAnsi="Times New Roman"/>
                                <w:sz w:val="20"/>
                                <w:szCs w:val="20"/>
                              </w:rPr>
                              <w:t xml:space="preserve">Современные теоретические модели </w:t>
                            </w:r>
                            <w:r>
                              <w:rPr>
                                <w:rFonts w:ascii="Times New Roman" w:hAnsi="Times New Roman"/>
                                <w:sz w:val="20"/>
                                <w:szCs w:val="20"/>
                              </w:rPr>
                              <w:t xml:space="preserve">долгосрочного </w:t>
                            </w:r>
                            <w:r w:rsidRPr="00524848">
                              <w:rPr>
                                <w:rFonts w:ascii="Times New Roman" w:hAnsi="Times New Roman"/>
                                <w:sz w:val="20"/>
                                <w:szCs w:val="20"/>
                              </w:rPr>
                              <w:t>экономического роста рассматривают значительное количество факторов: от накопительных эффектов освоения подходов к производству до институциональных и культурных факторов вроде ассиметричной информации и уровня доверия</w:t>
                            </w:r>
                            <w:r>
                              <w:rPr>
                                <w:rFonts w:ascii="Times New Roman" w:hAnsi="Times New Roman"/>
                                <w:sz w:val="20"/>
                                <w:szCs w:val="20"/>
                              </w:rPr>
                              <w:t>.</w:t>
                            </w:r>
                          </w:p>
                          <w:p w:rsidR="007E5DFE" w:rsidRDefault="007E5DFE" w:rsidP="0007579B">
                            <w:pPr>
                              <w:spacing w:before="120" w:after="120"/>
                              <w:jc w:val="both"/>
                              <w:rPr>
                                <w:rFonts w:ascii="Times New Roman" w:hAnsi="Times New Roman"/>
                                <w:sz w:val="20"/>
                                <w:szCs w:val="20"/>
                              </w:rPr>
                            </w:pPr>
                            <w:r w:rsidRPr="00750638">
                              <w:rPr>
                                <w:rFonts w:ascii="Times New Roman" w:hAnsi="Times New Roman"/>
                                <w:sz w:val="20"/>
                                <w:szCs w:val="20"/>
                              </w:rPr>
                              <w:t>Вместе с тем, несмотря на разнообразие моделей</w:t>
                            </w:r>
                            <w:r>
                              <w:rPr>
                                <w:rFonts w:ascii="Times New Roman" w:hAnsi="Times New Roman"/>
                                <w:sz w:val="20"/>
                                <w:szCs w:val="20"/>
                              </w:rPr>
                              <w:t>,</w:t>
                            </w:r>
                            <w:r w:rsidRPr="00750638">
                              <w:rPr>
                                <w:rFonts w:ascii="Times New Roman" w:hAnsi="Times New Roman"/>
                                <w:sz w:val="20"/>
                                <w:szCs w:val="20"/>
                              </w:rPr>
                              <w:t xml:space="preserve"> академическую литературу можно разделить на две традиции</w:t>
                            </w:r>
                            <w:r>
                              <w:rPr>
                                <w:rFonts w:ascii="Times New Roman" w:hAnsi="Times New Roman"/>
                                <w:sz w:val="20"/>
                                <w:szCs w:val="20"/>
                              </w:rPr>
                              <w:t>,</w:t>
                            </w:r>
                            <w:r w:rsidRPr="00750638">
                              <w:rPr>
                                <w:rFonts w:ascii="Times New Roman" w:hAnsi="Times New Roman"/>
                                <w:sz w:val="20"/>
                                <w:szCs w:val="20"/>
                              </w:rPr>
                              <w:t xml:space="preserve"> дающие два ответа на вопрос о возможности увеличения потенциального роста за счет стимулирования инвестиций</w:t>
                            </w:r>
                            <w:r>
                              <w:rPr>
                                <w:rFonts w:ascii="Times New Roman" w:hAnsi="Times New Roman"/>
                                <w:sz w:val="20"/>
                                <w:szCs w:val="20"/>
                              </w:rPr>
                              <w:t>.</w:t>
                            </w:r>
                          </w:p>
                          <w:p w:rsidR="007E5DFE" w:rsidRPr="00750638" w:rsidRDefault="007E5DFE" w:rsidP="0007579B">
                            <w:pPr>
                              <w:spacing w:before="120" w:after="120"/>
                              <w:jc w:val="both"/>
                              <w:rPr>
                                <w:rFonts w:ascii="Times New Roman" w:hAnsi="Times New Roman"/>
                                <w:sz w:val="20"/>
                                <w:szCs w:val="20"/>
                              </w:rPr>
                            </w:pPr>
                            <w:r w:rsidRPr="00750638">
                              <w:rPr>
                                <w:rFonts w:ascii="Times New Roman" w:hAnsi="Times New Roman"/>
                                <w:sz w:val="20"/>
                                <w:szCs w:val="20"/>
                              </w:rPr>
                              <w:t xml:space="preserve">Первую традицию представляет стандартная модель </w:t>
                            </w:r>
                            <w:proofErr w:type="spellStart"/>
                            <w:r w:rsidRPr="00750638">
                              <w:rPr>
                                <w:rFonts w:ascii="Times New Roman" w:hAnsi="Times New Roman"/>
                                <w:sz w:val="20"/>
                                <w:szCs w:val="20"/>
                              </w:rPr>
                              <w:t>Солоу</w:t>
                            </w:r>
                            <w:proofErr w:type="spellEnd"/>
                            <w:r w:rsidRPr="00750638">
                              <w:rPr>
                                <w:rFonts w:ascii="Times New Roman" w:hAnsi="Times New Roman"/>
                                <w:sz w:val="20"/>
                                <w:szCs w:val="20"/>
                              </w:rPr>
                              <w:t>, в рамках которой доля инвестиций в выпуске не влияет на скорость роста экономики. Рост выпуска полностью определяется темпом технологического прогресса. При этом увеличение доли инвестиций в выпуске позволяет достичь более высоког</w:t>
                            </w:r>
                            <w:r>
                              <w:rPr>
                                <w:rFonts w:ascii="Times New Roman" w:hAnsi="Times New Roman"/>
                                <w:sz w:val="20"/>
                                <w:szCs w:val="20"/>
                              </w:rPr>
                              <w:t xml:space="preserve">о равновесного выпуска на душу </w:t>
                            </w:r>
                            <w:r w:rsidRPr="00750638">
                              <w:rPr>
                                <w:rFonts w:ascii="Times New Roman" w:hAnsi="Times New Roman"/>
                                <w:sz w:val="20"/>
                                <w:szCs w:val="20"/>
                              </w:rPr>
                              <w:t>населения, но не прив</w:t>
                            </w:r>
                            <w:r>
                              <w:rPr>
                                <w:rFonts w:ascii="Times New Roman" w:hAnsi="Times New Roman"/>
                                <w:sz w:val="20"/>
                                <w:szCs w:val="20"/>
                              </w:rPr>
                              <w:t>о</w:t>
                            </w:r>
                            <w:r w:rsidRPr="00750638">
                              <w:rPr>
                                <w:rFonts w:ascii="Times New Roman" w:hAnsi="Times New Roman"/>
                                <w:sz w:val="20"/>
                                <w:szCs w:val="20"/>
                              </w:rPr>
                              <w:t>д</w:t>
                            </w:r>
                            <w:r>
                              <w:rPr>
                                <w:rFonts w:ascii="Times New Roman" w:hAnsi="Times New Roman"/>
                                <w:sz w:val="20"/>
                                <w:szCs w:val="20"/>
                              </w:rPr>
                              <w:t>и</w:t>
                            </w:r>
                            <w:r w:rsidRPr="00750638">
                              <w:rPr>
                                <w:rFonts w:ascii="Times New Roman" w:hAnsi="Times New Roman"/>
                                <w:sz w:val="20"/>
                                <w:szCs w:val="20"/>
                              </w:rPr>
                              <w:t>т к увеличению скорости роста выпуска.</w:t>
                            </w:r>
                            <w:r>
                              <w:rPr>
                                <w:rFonts w:ascii="Times New Roman" w:hAnsi="Times New Roman"/>
                                <w:sz w:val="20"/>
                                <w:szCs w:val="20"/>
                              </w:rPr>
                              <w:t xml:space="preserve"> </w:t>
                            </w:r>
                            <w:r w:rsidRPr="00750638">
                              <w:rPr>
                                <w:rFonts w:ascii="Times New Roman" w:hAnsi="Times New Roman"/>
                                <w:sz w:val="20"/>
                                <w:szCs w:val="20"/>
                              </w:rPr>
                              <w:t>Несмотря на общую последовательность выводов модели, предположени</w:t>
                            </w:r>
                            <w:r>
                              <w:rPr>
                                <w:rFonts w:ascii="Times New Roman" w:hAnsi="Times New Roman"/>
                                <w:sz w:val="20"/>
                                <w:szCs w:val="20"/>
                              </w:rPr>
                              <w:t>е</w:t>
                            </w:r>
                            <w:r w:rsidRPr="00750638">
                              <w:rPr>
                                <w:rFonts w:ascii="Times New Roman" w:hAnsi="Times New Roman"/>
                                <w:sz w:val="20"/>
                                <w:szCs w:val="20"/>
                              </w:rPr>
                              <w:t xml:space="preserve"> о независимости уровня инвестиций в основной капитал и темпов технологического прогресса</w:t>
                            </w:r>
                            <w:r>
                              <w:rPr>
                                <w:rFonts w:ascii="Times New Roman" w:hAnsi="Times New Roman"/>
                                <w:sz w:val="20"/>
                                <w:szCs w:val="20"/>
                              </w:rPr>
                              <w:t xml:space="preserve"> интуитивно представляется недостаточно обоснованным</w:t>
                            </w:r>
                            <w:r w:rsidRPr="00750638">
                              <w:rPr>
                                <w:rFonts w:ascii="Times New Roman" w:hAnsi="Times New Roman"/>
                                <w:sz w:val="20"/>
                                <w:szCs w:val="20"/>
                              </w:rPr>
                              <w:t>.</w:t>
                            </w:r>
                          </w:p>
                          <w:p w:rsidR="007E5DFE" w:rsidRDefault="007E5DFE" w:rsidP="0007579B">
                            <w:pPr>
                              <w:spacing w:before="120" w:after="120"/>
                              <w:jc w:val="both"/>
                              <w:rPr>
                                <w:rFonts w:ascii="Times New Roman" w:hAnsi="Times New Roman"/>
                                <w:sz w:val="20"/>
                                <w:szCs w:val="20"/>
                              </w:rPr>
                            </w:pPr>
                            <w:r w:rsidRPr="00750638">
                              <w:rPr>
                                <w:rFonts w:ascii="Times New Roman" w:hAnsi="Times New Roman"/>
                                <w:sz w:val="20"/>
                                <w:szCs w:val="20"/>
                              </w:rPr>
                              <w:t xml:space="preserve">Вторая традиция ведет свой отсчет от модели экономического роста </w:t>
                            </w:r>
                            <w:proofErr w:type="spellStart"/>
                            <w:r w:rsidRPr="00750638">
                              <w:rPr>
                                <w:rFonts w:ascii="Times New Roman" w:hAnsi="Times New Roman"/>
                                <w:sz w:val="20"/>
                                <w:szCs w:val="20"/>
                              </w:rPr>
                              <w:t>Харрода-Домара</w:t>
                            </w:r>
                            <w:proofErr w:type="spellEnd"/>
                            <w:r w:rsidRPr="00750638">
                              <w:rPr>
                                <w:rFonts w:ascii="Times New Roman" w:hAnsi="Times New Roman"/>
                                <w:sz w:val="20"/>
                                <w:szCs w:val="20"/>
                              </w:rPr>
                              <w:t xml:space="preserve">. </w:t>
                            </w:r>
                            <w:proofErr w:type="gramStart"/>
                            <w:r w:rsidRPr="00750638">
                              <w:rPr>
                                <w:rFonts w:ascii="Times New Roman" w:hAnsi="Times New Roman"/>
                                <w:sz w:val="20"/>
                                <w:szCs w:val="20"/>
                              </w:rPr>
                              <w:t>В ней склонность к сбережению напрямую определяет скорость экономического роста</w:t>
                            </w:r>
                            <w:r>
                              <w:rPr>
                                <w:rFonts w:ascii="Times New Roman" w:hAnsi="Times New Roman"/>
                                <w:sz w:val="20"/>
                                <w:szCs w:val="20"/>
                              </w:rPr>
                              <w:t xml:space="preserve">, а логика модели подсказывает </w:t>
                            </w:r>
                            <w:r w:rsidRPr="00750638">
                              <w:rPr>
                                <w:rFonts w:ascii="Times New Roman" w:hAnsi="Times New Roman"/>
                                <w:sz w:val="20"/>
                                <w:szCs w:val="20"/>
                              </w:rPr>
                              <w:t>три основных источника увеличения скорости роста выпуска:</w:t>
                            </w:r>
                            <w:r>
                              <w:rPr>
                                <w:rFonts w:ascii="Times New Roman" w:hAnsi="Times New Roman"/>
                                <w:sz w:val="20"/>
                                <w:szCs w:val="20"/>
                              </w:rPr>
                              <w:t xml:space="preserve"> </w:t>
                            </w:r>
                            <w:r w:rsidRPr="00750638">
                              <w:rPr>
                                <w:rFonts w:ascii="Times New Roman" w:hAnsi="Times New Roman"/>
                                <w:sz w:val="20"/>
                                <w:szCs w:val="20"/>
                              </w:rPr>
                              <w:t>i</w:t>
                            </w:r>
                            <w:r>
                              <w:rPr>
                                <w:rFonts w:ascii="Times New Roman" w:hAnsi="Times New Roman"/>
                                <w:sz w:val="20"/>
                                <w:szCs w:val="20"/>
                              </w:rPr>
                              <w:t xml:space="preserve">) </w:t>
                            </w:r>
                            <w:r w:rsidRPr="00750638">
                              <w:rPr>
                                <w:rFonts w:ascii="Times New Roman" w:hAnsi="Times New Roman"/>
                                <w:sz w:val="20"/>
                                <w:szCs w:val="20"/>
                              </w:rPr>
                              <w:t>более высок</w:t>
                            </w:r>
                            <w:r>
                              <w:rPr>
                                <w:rFonts w:ascii="Times New Roman" w:hAnsi="Times New Roman"/>
                                <w:sz w:val="20"/>
                                <w:szCs w:val="20"/>
                              </w:rPr>
                              <w:t>ая</w:t>
                            </w:r>
                            <w:r w:rsidRPr="00750638">
                              <w:rPr>
                                <w:rFonts w:ascii="Times New Roman" w:hAnsi="Times New Roman"/>
                                <w:sz w:val="20"/>
                                <w:szCs w:val="20"/>
                              </w:rPr>
                              <w:t xml:space="preserve"> эффективност</w:t>
                            </w:r>
                            <w:r>
                              <w:rPr>
                                <w:rFonts w:ascii="Times New Roman" w:hAnsi="Times New Roman"/>
                                <w:sz w:val="20"/>
                                <w:szCs w:val="20"/>
                              </w:rPr>
                              <w:t>ь</w:t>
                            </w:r>
                            <w:r w:rsidRPr="00750638">
                              <w:rPr>
                                <w:rFonts w:ascii="Times New Roman" w:hAnsi="Times New Roman"/>
                                <w:sz w:val="20"/>
                                <w:szCs w:val="20"/>
                              </w:rPr>
                              <w:t xml:space="preserve"> использования капитала;</w:t>
                            </w:r>
                            <w:r>
                              <w:rPr>
                                <w:rFonts w:ascii="Times New Roman" w:hAnsi="Times New Roman"/>
                                <w:sz w:val="20"/>
                                <w:szCs w:val="20"/>
                              </w:rPr>
                              <w:t xml:space="preserve"> </w:t>
                            </w:r>
                            <w:proofErr w:type="spellStart"/>
                            <w:r w:rsidRPr="00750638">
                              <w:rPr>
                                <w:rFonts w:ascii="Times New Roman" w:hAnsi="Times New Roman"/>
                                <w:sz w:val="20"/>
                                <w:szCs w:val="20"/>
                              </w:rPr>
                              <w:t>ii</w:t>
                            </w:r>
                            <w:proofErr w:type="spellEnd"/>
                            <w:r>
                              <w:rPr>
                                <w:rFonts w:ascii="Times New Roman" w:hAnsi="Times New Roman"/>
                                <w:sz w:val="20"/>
                                <w:szCs w:val="20"/>
                              </w:rPr>
                              <w:t xml:space="preserve">) </w:t>
                            </w:r>
                            <w:r w:rsidRPr="00750638">
                              <w:rPr>
                                <w:rFonts w:ascii="Times New Roman" w:hAnsi="Times New Roman"/>
                                <w:sz w:val="20"/>
                                <w:szCs w:val="20"/>
                              </w:rPr>
                              <w:t>более низк</w:t>
                            </w:r>
                            <w:r>
                              <w:rPr>
                                <w:rFonts w:ascii="Times New Roman" w:hAnsi="Times New Roman"/>
                                <w:sz w:val="20"/>
                                <w:szCs w:val="20"/>
                              </w:rPr>
                              <w:t>ая</w:t>
                            </w:r>
                            <w:r w:rsidRPr="00750638">
                              <w:rPr>
                                <w:rFonts w:ascii="Times New Roman" w:hAnsi="Times New Roman"/>
                                <w:sz w:val="20"/>
                                <w:szCs w:val="20"/>
                              </w:rPr>
                              <w:t xml:space="preserve"> амортизаци</w:t>
                            </w:r>
                            <w:r>
                              <w:rPr>
                                <w:rFonts w:ascii="Times New Roman" w:hAnsi="Times New Roman"/>
                                <w:sz w:val="20"/>
                                <w:szCs w:val="20"/>
                              </w:rPr>
                              <w:t>я</w:t>
                            </w:r>
                            <w:r w:rsidRPr="00750638">
                              <w:rPr>
                                <w:rFonts w:ascii="Times New Roman" w:hAnsi="Times New Roman"/>
                                <w:sz w:val="20"/>
                                <w:szCs w:val="20"/>
                              </w:rPr>
                              <w:t xml:space="preserve"> капитала</w:t>
                            </w:r>
                            <w:r>
                              <w:rPr>
                                <w:rFonts w:ascii="Times New Roman" w:hAnsi="Times New Roman"/>
                                <w:sz w:val="20"/>
                                <w:szCs w:val="20"/>
                              </w:rPr>
                              <w:t xml:space="preserve">; </w:t>
                            </w:r>
                            <w:proofErr w:type="spellStart"/>
                            <w:r w:rsidRPr="00750638">
                              <w:rPr>
                                <w:rFonts w:ascii="Times New Roman" w:hAnsi="Times New Roman"/>
                                <w:sz w:val="20"/>
                                <w:szCs w:val="20"/>
                              </w:rPr>
                              <w:t>iii</w:t>
                            </w:r>
                            <w:proofErr w:type="spellEnd"/>
                            <w:r w:rsidRPr="00750638">
                              <w:rPr>
                                <w:rFonts w:ascii="Times New Roman" w:hAnsi="Times New Roman"/>
                                <w:sz w:val="20"/>
                                <w:szCs w:val="20"/>
                              </w:rPr>
                              <w:t>)</w:t>
                            </w:r>
                            <w:r>
                              <w:rPr>
                                <w:rFonts w:ascii="Times New Roman" w:hAnsi="Times New Roman"/>
                                <w:sz w:val="20"/>
                                <w:szCs w:val="20"/>
                              </w:rPr>
                              <w:t xml:space="preserve"> </w:t>
                            </w:r>
                            <w:r w:rsidRPr="00750638">
                              <w:rPr>
                                <w:rFonts w:ascii="Times New Roman" w:hAnsi="Times New Roman"/>
                                <w:sz w:val="20"/>
                                <w:szCs w:val="20"/>
                              </w:rPr>
                              <w:t>более высок</w:t>
                            </w:r>
                            <w:r>
                              <w:rPr>
                                <w:rFonts w:ascii="Times New Roman" w:hAnsi="Times New Roman"/>
                                <w:sz w:val="20"/>
                                <w:szCs w:val="20"/>
                              </w:rPr>
                              <w:t>ая</w:t>
                            </w:r>
                            <w:r w:rsidRPr="00750638">
                              <w:rPr>
                                <w:rFonts w:ascii="Times New Roman" w:hAnsi="Times New Roman"/>
                                <w:sz w:val="20"/>
                                <w:szCs w:val="20"/>
                              </w:rPr>
                              <w:t xml:space="preserve"> дол</w:t>
                            </w:r>
                            <w:r>
                              <w:rPr>
                                <w:rFonts w:ascii="Times New Roman" w:hAnsi="Times New Roman"/>
                                <w:sz w:val="20"/>
                                <w:szCs w:val="20"/>
                              </w:rPr>
                              <w:t>я</w:t>
                            </w:r>
                            <w:r w:rsidRPr="00750638">
                              <w:rPr>
                                <w:rFonts w:ascii="Times New Roman" w:hAnsi="Times New Roman"/>
                                <w:sz w:val="20"/>
                                <w:szCs w:val="20"/>
                              </w:rPr>
                              <w:t xml:space="preserve"> инвестиций в выпуске.</w:t>
                            </w:r>
                            <w:proofErr w:type="gramEnd"/>
                          </w:p>
                          <w:p w:rsidR="007E5DFE" w:rsidRPr="00750638" w:rsidRDefault="007E5DFE" w:rsidP="0007579B">
                            <w:pPr>
                              <w:spacing w:before="120" w:after="120"/>
                              <w:jc w:val="both"/>
                              <w:rPr>
                                <w:rFonts w:ascii="Times New Roman" w:hAnsi="Times New Roman"/>
                                <w:sz w:val="20"/>
                                <w:szCs w:val="20"/>
                              </w:rPr>
                            </w:pPr>
                            <w:r>
                              <w:rPr>
                                <w:rFonts w:ascii="Times New Roman" w:hAnsi="Times New Roman"/>
                                <w:sz w:val="20"/>
                                <w:szCs w:val="20"/>
                              </w:rPr>
                              <w:t xml:space="preserve">В соответствии со второй традицией </w:t>
                            </w:r>
                            <w:r w:rsidRPr="00750638">
                              <w:rPr>
                                <w:rFonts w:ascii="Times New Roman" w:hAnsi="Times New Roman"/>
                                <w:sz w:val="20"/>
                                <w:szCs w:val="20"/>
                              </w:rPr>
                              <w:t xml:space="preserve">была оценена модель </w:t>
                            </w:r>
                            <w:r>
                              <w:rPr>
                                <w:rFonts w:ascii="Times New Roman" w:hAnsi="Times New Roman"/>
                                <w:sz w:val="20"/>
                                <w:szCs w:val="20"/>
                              </w:rPr>
                              <w:t xml:space="preserve">потенциального роста с помощью </w:t>
                            </w:r>
                            <w:r w:rsidRPr="00750638">
                              <w:rPr>
                                <w:rFonts w:ascii="Times New Roman" w:hAnsi="Times New Roman"/>
                                <w:sz w:val="20"/>
                                <w:szCs w:val="20"/>
                              </w:rPr>
                              <w:t>панельной регрессии с фиксированными и временными эффектами. В выборку</w:t>
                            </w:r>
                            <w:r>
                              <w:rPr>
                                <w:rFonts w:ascii="Times New Roman" w:hAnsi="Times New Roman"/>
                                <w:sz w:val="20"/>
                                <w:szCs w:val="20"/>
                              </w:rPr>
                              <w:t xml:space="preserve"> включены </w:t>
                            </w:r>
                            <w:r w:rsidRPr="00750638">
                              <w:rPr>
                                <w:rFonts w:ascii="Times New Roman" w:hAnsi="Times New Roman"/>
                                <w:sz w:val="20"/>
                                <w:szCs w:val="20"/>
                              </w:rPr>
                              <w:t>64 страны</w:t>
                            </w:r>
                            <w:r>
                              <w:rPr>
                                <w:rFonts w:ascii="Times New Roman" w:hAnsi="Times New Roman"/>
                                <w:sz w:val="20"/>
                                <w:szCs w:val="20"/>
                              </w:rPr>
                              <w:t>,</w:t>
                            </w:r>
                            <w:r w:rsidRPr="00750638">
                              <w:rPr>
                                <w:rFonts w:ascii="Times New Roman" w:hAnsi="Times New Roman"/>
                                <w:sz w:val="20"/>
                                <w:szCs w:val="20"/>
                              </w:rPr>
                              <w:t xml:space="preserve"> которые представляют как развитые, так и развивающиеся экономики на различных этапах становления рыночных отношений. Период наблюдения охватывает в большинстве случаев 1985-2013 гг.</w:t>
                            </w:r>
                            <w:r>
                              <w:rPr>
                                <w:rFonts w:ascii="Times New Roman" w:hAnsi="Times New Roman"/>
                                <w:sz w:val="20"/>
                                <w:szCs w:val="20"/>
                              </w:rPr>
                              <w:t>, а и</w:t>
                            </w:r>
                            <w:r w:rsidRPr="00750638">
                              <w:rPr>
                                <w:rFonts w:ascii="Times New Roman" w:hAnsi="Times New Roman"/>
                                <w:sz w:val="20"/>
                                <w:szCs w:val="20"/>
                              </w:rPr>
                              <w:t xml:space="preserve">сточниками данных </w:t>
                            </w:r>
                            <w:r>
                              <w:rPr>
                                <w:rFonts w:ascii="Times New Roman" w:hAnsi="Times New Roman"/>
                                <w:sz w:val="20"/>
                                <w:szCs w:val="20"/>
                              </w:rPr>
                              <w:t xml:space="preserve">служат две базы данных: </w:t>
                            </w:r>
                            <w:r w:rsidRPr="00750638">
                              <w:rPr>
                                <w:rFonts w:ascii="Times New Roman" w:hAnsi="Times New Roman"/>
                                <w:sz w:val="20"/>
                                <w:szCs w:val="20"/>
                              </w:rPr>
                              <w:t xml:space="preserve">МВФ </w:t>
                            </w:r>
                            <w:proofErr w:type="spellStart"/>
                            <w:r w:rsidRPr="00750638">
                              <w:rPr>
                                <w:rFonts w:ascii="Times New Roman" w:hAnsi="Times New Roman"/>
                                <w:sz w:val="20"/>
                                <w:szCs w:val="20"/>
                              </w:rPr>
                              <w:t>Word</w:t>
                            </w:r>
                            <w:proofErr w:type="spellEnd"/>
                            <w:r w:rsidRPr="00750638">
                              <w:rPr>
                                <w:rFonts w:ascii="Times New Roman" w:hAnsi="Times New Roman"/>
                                <w:sz w:val="20"/>
                                <w:szCs w:val="20"/>
                              </w:rPr>
                              <w:t xml:space="preserve"> </w:t>
                            </w:r>
                            <w:proofErr w:type="spellStart"/>
                            <w:r w:rsidRPr="00750638">
                              <w:rPr>
                                <w:rFonts w:ascii="Times New Roman" w:hAnsi="Times New Roman"/>
                                <w:sz w:val="20"/>
                                <w:szCs w:val="20"/>
                              </w:rPr>
                              <w:t>Economic</w:t>
                            </w:r>
                            <w:proofErr w:type="spellEnd"/>
                            <w:r w:rsidRPr="00750638">
                              <w:rPr>
                                <w:rFonts w:ascii="Times New Roman" w:hAnsi="Times New Roman"/>
                                <w:sz w:val="20"/>
                                <w:szCs w:val="20"/>
                              </w:rPr>
                              <w:t xml:space="preserve"> </w:t>
                            </w:r>
                            <w:proofErr w:type="spellStart"/>
                            <w:r w:rsidRPr="00750638">
                              <w:rPr>
                                <w:rFonts w:ascii="Times New Roman" w:hAnsi="Times New Roman"/>
                                <w:sz w:val="20"/>
                                <w:szCs w:val="20"/>
                              </w:rPr>
                              <w:t>Outlook</w:t>
                            </w:r>
                            <w:proofErr w:type="spellEnd"/>
                            <w:r w:rsidRPr="00750638">
                              <w:rPr>
                                <w:rFonts w:ascii="Times New Roman" w:hAnsi="Times New Roman"/>
                                <w:sz w:val="20"/>
                                <w:szCs w:val="20"/>
                              </w:rPr>
                              <w:t xml:space="preserve"> и </w:t>
                            </w:r>
                            <w:proofErr w:type="spellStart"/>
                            <w:r w:rsidRPr="00750638">
                              <w:rPr>
                                <w:rFonts w:ascii="Times New Roman" w:hAnsi="Times New Roman"/>
                                <w:sz w:val="20"/>
                                <w:szCs w:val="20"/>
                              </w:rPr>
                              <w:t>Penn</w:t>
                            </w:r>
                            <w:proofErr w:type="spellEnd"/>
                            <w:r w:rsidRPr="00750638">
                              <w:rPr>
                                <w:rFonts w:ascii="Times New Roman" w:hAnsi="Times New Roman"/>
                                <w:sz w:val="20"/>
                                <w:szCs w:val="20"/>
                              </w:rPr>
                              <w:t xml:space="preserve"> </w:t>
                            </w:r>
                            <w:proofErr w:type="spellStart"/>
                            <w:r w:rsidRPr="00750638">
                              <w:rPr>
                                <w:rFonts w:ascii="Times New Roman" w:hAnsi="Times New Roman"/>
                                <w:sz w:val="20"/>
                                <w:szCs w:val="20"/>
                              </w:rPr>
                              <w:t>World</w:t>
                            </w:r>
                            <w:proofErr w:type="spellEnd"/>
                            <w:r w:rsidRPr="00750638">
                              <w:rPr>
                                <w:rFonts w:ascii="Times New Roman" w:hAnsi="Times New Roman"/>
                                <w:sz w:val="20"/>
                                <w:szCs w:val="20"/>
                              </w:rPr>
                              <w:t xml:space="preserve"> </w:t>
                            </w:r>
                            <w:proofErr w:type="spellStart"/>
                            <w:r w:rsidRPr="00750638">
                              <w:rPr>
                                <w:rFonts w:ascii="Times New Roman" w:hAnsi="Times New Roman"/>
                                <w:sz w:val="20"/>
                                <w:szCs w:val="20"/>
                              </w:rPr>
                              <w:t>Tables</w:t>
                            </w:r>
                            <w:proofErr w:type="spellEnd"/>
                            <w:r>
                              <w:rPr>
                                <w:rFonts w:ascii="Times New Roman" w:hAnsi="Times New Roman"/>
                                <w:sz w:val="20"/>
                                <w:szCs w:val="20"/>
                              </w:rPr>
                              <w:t>.</w:t>
                            </w:r>
                          </w:p>
                          <w:p w:rsidR="007E5DFE" w:rsidRDefault="007E5DFE" w:rsidP="0075465C">
                            <w:pPr>
                              <w:spacing w:before="120" w:after="120"/>
                              <w:jc w:val="both"/>
                              <w:rPr>
                                <w:rFonts w:ascii="Times New Roman" w:hAnsi="Times New Roman"/>
                                <w:sz w:val="20"/>
                                <w:szCs w:val="20"/>
                              </w:rPr>
                            </w:pPr>
                            <w:r w:rsidRPr="00750638">
                              <w:rPr>
                                <w:rFonts w:ascii="Times New Roman" w:hAnsi="Times New Roman"/>
                                <w:sz w:val="20"/>
                                <w:szCs w:val="20"/>
                              </w:rPr>
                              <w:t>Зависимой переменной является прирост выпуска в пост</w:t>
                            </w:r>
                            <w:r>
                              <w:rPr>
                                <w:rFonts w:ascii="Times New Roman" w:hAnsi="Times New Roman"/>
                                <w:sz w:val="20"/>
                                <w:szCs w:val="20"/>
                              </w:rPr>
                              <w:t>оянных ценах на одного занятого, а в</w:t>
                            </w:r>
                            <w:r w:rsidRPr="00750638">
                              <w:rPr>
                                <w:rFonts w:ascii="Times New Roman" w:hAnsi="Times New Roman"/>
                                <w:sz w:val="20"/>
                                <w:szCs w:val="20"/>
                              </w:rPr>
                              <w:t xml:space="preserve"> качестве объясняющих переменных используются следующие показатели</w:t>
                            </w:r>
                            <w:r>
                              <w:rPr>
                                <w:rFonts w:ascii="Times New Roman" w:hAnsi="Times New Roman"/>
                                <w:sz w:val="20"/>
                                <w:szCs w:val="20"/>
                              </w:rPr>
                              <w:t>:</w:t>
                            </w:r>
                          </w:p>
                          <w:p w:rsidR="007E5DFE" w:rsidRDefault="007E5DFE" w:rsidP="009F1CCA">
                            <w:pPr>
                              <w:pStyle w:val="a9"/>
                              <w:numPr>
                                <w:ilvl w:val="0"/>
                                <w:numId w:val="28"/>
                              </w:numPr>
                              <w:spacing w:before="120" w:after="120"/>
                              <w:ind w:left="624" w:hanging="624"/>
                              <w:contextualSpacing w:val="0"/>
                              <w:jc w:val="both"/>
                              <w:rPr>
                                <w:rFonts w:ascii="Times New Roman" w:hAnsi="Times New Roman"/>
                                <w:sz w:val="20"/>
                                <w:szCs w:val="20"/>
                              </w:rPr>
                            </w:pPr>
                            <w:r w:rsidRPr="00054632">
                              <w:rPr>
                                <w:rFonts w:ascii="Times New Roman" w:hAnsi="Times New Roman"/>
                                <w:sz w:val="20"/>
                                <w:szCs w:val="20"/>
                              </w:rPr>
                              <w:t>отношение инвестиций в основной капитал к ВВП</w:t>
                            </w:r>
                            <w:r>
                              <w:rPr>
                                <w:rFonts w:ascii="Times New Roman" w:hAnsi="Times New Roman"/>
                                <w:sz w:val="20"/>
                                <w:szCs w:val="20"/>
                              </w:rPr>
                              <w:t xml:space="preserve"> / </w:t>
                            </w:r>
                            <w:r w:rsidRPr="00054632">
                              <w:rPr>
                                <w:rFonts w:ascii="Times New Roman" w:hAnsi="Times New Roman"/>
                                <w:sz w:val="20"/>
                                <w:szCs w:val="20"/>
                              </w:rPr>
                              <w:t>оценка прироста основных средств;</w:t>
                            </w:r>
                          </w:p>
                          <w:p w:rsidR="007E5DFE" w:rsidRDefault="007E5DFE" w:rsidP="009F1CCA">
                            <w:pPr>
                              <w:pStyle w:val="a9"/>
                              <w:numPr>
                                <w:ilvl w:val="0"/>
                                <w:numId w:val="28"/>
                              </w:numPr>
                              <w:spacing w:before="120" w:after="120"/>
                              <w:ind w:left="624" w:hanging="624"/>
                              <w:contextualSpacing w:val="0"/>
                              <w:jc w:val="both"/>
                              <w:rPr>
                                <w:rFonts w:ascii="Times New Roman" w:hAnsi="Times New Roman"/>
                                <w:sz w:val="20"/>
                                <w:szCs w:val="20"/>
                              </w:rPr>
                            </w:pPr>
                            <w:r w:rsidRPr="00054632">
                              <w:rPr>
                                <w:rFonts w:ascii="Times New Roman" w:hAnsi="Times New Roman"/>
                                <w:sz w:val="20"/>
                                <w:szCs w:val="20"/>
                              </w:rPr>
                              <w:t>изменение</w:t>
                            </w:r>
                            <w:r>
                              <w:rPr>
                                <w:rFonts w:ascii="Times New Roman" w:hAnsi="Times New Roman"/>
                                <w:sz w:val="20"/>
                                <w:szCs w:val="20"/>
                              </w:rPr>
                              <w:t xml:space="preserve"> условий торговли;</w:t>
                            </w:r>
                          </w:p>
                          <w:p w:rsidR="007E5DFE" w:rsidRDefault="007E5DFE" w:rsidP="009F1CCA">
                            <w:pPr>
                              <w:pStyle w:val="a9"/>
                              <w:numPr>
                                <w:ilvl w:val="0"/>
                                <w:numId w:val="28"/>
                              </w:numPr>
                              <w:spacing w:before="120" w:after="120"/>
                              <w:ind w:left="624" w:hanging="624"/>
                              <w:contextualSpacing w:val="0"/>
                              <w:jc w:val="both"/>
                              <w:rPr>
                                <w:rFonts w:ascii="Times New Roman" w:hAnsi="Times New Roman"/>
                                <w:sz w:val="20"/>
                                <w:szCs w:val="20"/>
                              </w:rPr>
                            </w:pPr>
                            <w:r w:rsidRPr="00054632">
                              <w:rPr>
                                <w:rFonts w:ascii="Times New Roman" w:hAnsi="Times New Roman"/>
                                <w:sz w:val="20"/>
                                <w:szCs w:val="20"/>
                              </w:rPr>
                              <w:t>отношение бюджетных расходов к ВВП</w:t>
                            </w:r>
                            <w:r>
                              <w:rPr>
                                <w:rFonts w:ascii="Times New Roman" w:hAnsi="Times New Roman"/>
                                <w:sz w:val="20"/>
                                <w:szCs w:val="20"/>
                              </w:rPr>
                              <w:t>;</w:t>
                            </w:r>
                          </w:p>
                          <w:p w:rsidR="007E5DFE" w:rsidRPr="00054632" w:rsidRDefault="007E5DFE" w:rsidP="009F1CCA">
                            <w:pPr>
                              <w:pStyle w:val="a9"/>
                              <w:numPr>
                                <w:ilvl w:val="0"/>
                                <w:numId w:val="28"/>
                              </w:numPr>
                              <w:spacing w:before="120" w:after="120"/>
                              <w:ind w:left="624" w:hanging="624"/>
                              <w:contextualSpacing w:val="0"/>
                              <w:jc w:val="both"/>
                              <w:rPr>
                                <w:rFonts w:ascii="Times New Roman" w:hAnsi="Times New Roman"/>
                                <w:sz w:val="20"/>
                                <w:szCs w:val="20"/>
                              </w:rPr>
                            </w:pPr>
                            <w:r w:rsidRPr="00054632">
                              <w:rPr>
                                <w:rFonts w:ascii="Times New Roman" w:hAnsi="Times New Roman"/>
                                <w:sz w:val="20"/>
                                <w:szCs w:val="20"/>
                              </w:rPr>
                              <w:t xml:space="preserve">отклонение уровня ВВП по </w:t>
                            </w:r>
                            <w:r>
                              <w:rPr>
                                <w:rFonts w:ascii="Times New Roman" w:hAnsi="Times New Roman"/>
                                <w:sz w:val="20"/>
                                <w:szCs w:val="20"/>
                              </w:rPr>
                              <w:t>ППС</w:t>
                            </w:r>
                            <w:r w:rsidRPr="00054632">
                              <w:rPr>
                                <w:rFonts w:ascii="Times New Roman" w:hAnsi="Times New Roman"/>
                                <w:sz w:val="20"/>
                                <w:szCs w:val="20"/>
                              </w:rPr>
                              <w:t xml:space="preserve"> страны от среднего по выборке</w:t>
                            </w:r>
                            <w:r w:rsidRPr="00156BE5">
                              <w:rPr>
                                <w:rFonts w:ascii="Times New Roman" w:hAnsi="Times New Roman"/>
                                <w:sz w:val="20"/>
                                <w:szCs w:val="20"/>
                              </w:rPr>
                              <w:t xml:space="preserve"> </w:t>
                            </w:r>
                            <w:r w:rsidRPr="00054632">
                              <w:rPr>
                                <w:rFonts w:ascii="Times New Roman" w:hAnsi="Times New Roman"/>
                                <w:sz w:val="20"/>
                                <w:szCs w:val="20"/>
                              </w:rPr>
                              <w:t>уровня</w:t>
                            </w:r>
                            <w:r>
                              <w:rPr>
                                <w:rFonts w:ascii="Times New Roman" w:hAnsi="Times New Roman"/>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6pt;margin-top:79.7pt;width:461.5pt;height:472.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" fillcolor="#f2f2f2 [3052]" stroked="f">
                <v:textbox>
                  <w:txbxContent>
                    <w:p w:rsidR="007E5DFE" w:rsidRDefault="007E5DFE" w:rsidP="0075465C">
                      <w:pPr>
                        <w:rPr>
                          <w:rFonts w:ascii="Times New Roman" w:hAnsi="Times New Roman"/>
                          <w:b/>
                          <w:sz w:val="24"/>
                          <w:szCs w:val="24"/>
                        </w:rPr>
                      </w:pPr>
                      <w:r>
                        <w:rPr>
                          <w:rFonts w:ascii="Times New Roman" w:hAnsi="Times New Roman"/>
                          <w:b/>
                          <w:sz w:val="24"/>
                          <w:szCs w:val="24"/>
                        </w:rPr>
                        <w:t>Модель потенциального роста</w:t>
                      </w:r>
                    </w:p>
                    <w:p w:rsidR="007E5DFE" w:rsidRDefault="007E5DFE" w:rsidP="0007579B">
                      <w:pPr>
                        <w:spacing w:before="120" w:after="120"/>
                        <w:jc w:val="both"/>
                        <w:rPr>
                          <w:rFonts w:ascii="Times New Roman" w:hAnsi="Times New Roman"/>
                          <w:sz w:val="20"/>
                          <w:szCs w:val="20"/>
                        </w:rPr>
                      </w:pPr>
                      <w:r w:rsidRPr="00524848">
                        <w:rPr>
                          <w:rFonts w:ascii="Times New Roman" w:hAnsi="Times New Roman"/>
                          <w:sz w:val="20"/>
                          <w:szCs w:val="20"/>
                        </w:rPr>
                        <w:t xml:space="preserve">Современные теоретические модели </w:t>
                      </w:r>
                      <w:r>
                        <w:rPr>
                          <w:rFonts w:ascii="Times New Roman" w:hAnsi="Times New Roman"/>
                          <w:sz w:val="20"/>
                          <w:szCs w:val="20"/>
                        </w:rPr>
                        <w:t xml:space="preserve">долгосрочного </w:t>
                      </w:r>
                      <w:r w:rsidRPr="00524848">
                        <w:rPr>
                          <w:rFonts w:ascii="Times New Roman" w:hAnsi="Times New Roman"/>
                          <w:sz w:val="20"/>
                          <w:szCs w:val="20"/>
                        </w:rPr>
                        <w:t>экономического роста рассматривают значительное количество факторов: от накопительных эффектов освоения подходов к производству до институциональных и культурных факторов вроде ассиметричной информации и уровня доверия</w:t>
                      </w:r>
                      <w:r>
                        <w:rPr>
                          <w:rFonts w:ascii="Times New Roman" w:hAnsi="Times New Roman"/>
                          <w:sz w:val="20"/>
                          <w:szCs w:val="20"/>
                        </w:rPr>
                        <w:t>.</w:t>
                      </w:r>
                    </w:p>
                    <w:p w:rsidR="007E5DFE" w:rsidRDefault="007E5DFE" w:rsidP="0007579B">
                      <w:pPr>
                        <w:spacing w:before="120" w:after="120"/>
                        <w:jc w:val="both"/>
                        <w:rPr>
                          <w:rFonts w:ascii="Times New Roman" w:hAnsi="Times New Roman"/>
                          <w:sz w:val="20"/>
                          <w:szCs w:val="20"/>
                        </w:rPr>
                      </w:pPr>
                      <w:r w:rsidRPr="00750638">
                        <w:rPr>
                          <w:rFonts w:ascii="Times New Roman" w:hAnsi="Times New Roman"/>
                          <w:sz w:val="20"/>
                          <w:szCs w:val="20"/>
                        </w:rPr>
                        <w:t>Вместе с тем, несмотря на разнообразие моделей</w:t>
                      </w:r>
                      <w:r>
                        <w:rPr>
                          <w:rFonts w:ascii="Times New Roman" w:hAnsi="Times New Roman"/>
                          <w:sz w:val="20"/>
                          <w:szCs w:val="20"/>
                        </w:rPr>
                        <w:t>,</w:t>
                      </w:r>
                      <w:r w:rsidRPr="00750638">
                        <w:rPr>
                          <w:rFonts w:ascii="Times New Roman" w:hAnsi="Times New Roman"/>
                          <w:sz w:val="20"/>
                          <w:szCs w:val="20"/>
                        </w:rPr>
                        <w:t xml:space="preserve"> академическую литературу можно разделить на две традиции</w:t>
                      </w:r>
                      <w:r>
                        <w:rPr>
                          <w:rFonts w:ascii="Times New Roman" w:hAnsi="Times New Roman"/>
                          <w:sz w:val="20"/>
                          <w:szCs w:val="20"/>
                        </w:rPr>
                        <w:t>,</w:t>
                      </w:r>
                      <w:r w:rsidRPr="00750638">
                        <w:rPr>
                          <w:rFonts w:ascii="Times New Roman" w:hAnsi="Times New Roman"/>
                          <w:sz w:val="20"/>
                          <w:szCs w:val="20"/>
                        </w:rPr>
                        <w:t xml:space="preserve"> дающие два ответа на вопрос о возможности увеличения потенциального роста за счет стимулирования инвестиций</w:t>
                      </w:r>
                      <w:r>
                        <w:rPr>
                          <w:rFonts w:ascii="Times New Roman" w:hAnsi="Times New Roman"/>
                          <w:sz w:val="20"/>
                          <w:szCs w:val="20"/>
                        </w:rPr>
                        <w:t>.</w:t>
                      </w:r>
                    </w:p>
                    <w:p w:rsidR="007E5DFE" w:rsidRPr="00750638" w:rsidRDefault="007E5DFE" w:rsidP="0007579B">
                      <w:pPr>
                        <w:spacing w:before="120" w:after="120"/>
                        <w:jc w:val="both"/>
                        <w:rPr>
                          <w:rFonts w:ascii="Times New Roman" w:hAnsi="Times New Roman"/>
                          <w:sz w:val="20"/>
                          <w:szCs w:val="20"/>
                        </w:rPr>
                      </w:pPr>
                      <w:r w:rsidRPr="00750638">
                        <w:rPr>
                          <w:rFonts w:ascii="Times New Roman" w:hAnsi="Times New Roman"/>
                          <w:sz w:val="20"/>
                          <w:szCs w:val="20"/>
                        </w:rPr>
                        <w:t xml:space="preserve">Первую традицию представляет стандартная модель </w:t>
                      </w:r>
                      <w:proofErr w:type="spellStart"/>
                      <w:r w:rsidRPr="00750638">
                        <w:rPr>
                          <w:rFonts w:ascii="Times New Roman" w:hAnsi="Times New Roman"/>
                          <w:sz w:val="20"/>
                          <w:szCs w:val="20"/>
                        </w:rPr>
                        <w:t>Солоу</w:t>
                      </w:r>
                      <w:proofErr w:type="spellEnd"/>
                      <w:r w:rsidRPr="00750638">
                        <w:rPr>
                          <w:rFonts w:ascii="Times New Roman" w:hAnsi="Times New Roman"/>
                          <w:sz w:val="20"/>
                          <w:szCs w:val="20"/>
                        </w:rPr>
                        <w:t>, в рамках которой доля инвестиций в выпуске не влияет на скорость роста экономики. Рост выпуска полностью определяется темпом технологического прогресса. При этом увеличение доли инвестиций в выпуске позволяет достичь более высоког</w:t>
                      </w:r>
                      <w:r>
                        <w:rPr>
                          <w:rFonts w:ascii="Times New Roman" w:hAnsi="Times New Roman"/>
                          <w:sz w:val="20"/>
                          <w:szCs w:val="20"/>
                        </w:rPr>
                        <w:t xml:space="preserve">о равновесного выпуска на душу </w:t>
                      </w:r>
                      <w:r w:rsidRPr="00750638">
                        <w:rPr>
                          <w:rFonts w:ascii="Times New Roman" w:hAnsi="Times New Roman"/>
                          <w:sz w:val="20"/>
                          <w:szCs w:val="20"/>
                        </w:rPr>
                        <w:t>населения, но не прив</w:t>
                      </w:r>
                      <w:r>
                        <w:rPr>
                          <w:rFonts w:ascii="Times New Roman" w:hAnsi="Times New Roman"/>
                          <w:sz w:val="20"/>
                          <w:szCs w:val="20"/>
                        </w:rPr>
                        <w:t>о</w:t>
                      </w:r>
                      <w:r w:rsidRPr="00750638">
                        <w:rPr>
                          <w:rFonts w:ascii="Times New Roman" w:hAnsi="Times New Roman"/>
                          <w:sz w:val="20"/>
                          <w:szCs w:val="20"/>
                        </w:rPr>
                        <w:t>д</w:t>
                      </w:r>
                      <w:r>
                        <w:rPr>
                          <w:rFonts w:ascii="Times New Roman" w:hAnsi="Times New Roman"/>
                          <w:sz w:val="20"/>
                          <w:szCs w:val="20"/>
                        </w:rPr>
                        <w:t>и</w:t>
                      </w:r>
                      <w:r w:rsidRPr="00750638">
                        <w:rPr>
                          <w:rFonts w:ascii="Times New Roman" w:hAnsi="Times New Roman"/>
                          <w:sz w:val="20"/>
                          <w:szCs w:val="20"/>
                        </w:rPr>
                        <w:t>т к увеличению скорости роста выпуска.</w:t>
                      </w:r>
                      <w:r>
                        <w:rPr>
                          <w:rFonts w:ascii="Times New Roman" w:hAnsi="Times New Roman"/>
                          <w:sz w:val="20"/>
                          <w:szCs w:val="20"/>
                        </w:rPr>
                        <w:t xml:space="preserve"> </w:t>
                      </w:r>
                      <w:r w:rsidRPr="00750638">
                        <w:rPr>
                          <w:rFonts w:ascii="Times New Roman" w:hAnsi="Times New Roman"/>
                          <w:sz w:val="20"/>
                          <w:szCs w:val="20"/>
                        </w:rPr>
                        <w:t>Несмотря на общую последовательность выводов модели, предположени</w:t>
                      </w:r>
                      <w:r>
                        <w:rPr>
                          <w:rFonts w:ascii="Times New Roman" w:hAnsi="Times New Roman"/>
                          <w:sz w:val="20"/>
                          <w:szCs w:val="20"/>
                        </w:rPr>
                        <w:t>е</w:t>
                      </w:r>
                      <w:r w:rsidRPr="00750638">
                        <w:rPr>
                          <w:rFonts w:ascii="Times New Roman" w:hAnsi="Times New Roman"/>
                          <w:sz w:val="20"/>
                          <w:szCs w:val="20"/>
                        </w:rPr>
                        <w:t xml:space="preserve"> о независимости уровня инвестиций в основной капитал и темпов технологического прогресса</w:t>
                      </w:r>
                      <w:r>
                        <w:rPr>
                          <w:rFonts w:ascii="Times New Roman" w:hAnsi="Times New Roman"/>
                          <w:sz w:val="20"/>
                          <w:szCs w:val="20"/>
                        </w:rPr>
                        <w:t xml:space="preserve"> интуитивно представляется недостаточно обоснованным</w:t>
                      </w:r>
                      <w:r w:rsidRPr="00750638">
                        <w:rPr>
                          <w:rFonts w:ascii="Times New Roman" w:hAnsi="Times New Roman"/>
                          <w:sz w:val="20"/>
                          <w:szCs w:val="20"/>
                        </w:rPr>
                        <w:t>.</w:t>
                      </w:r>
                    </w:p>
                    <w:p w:rsidR="007E5DFE" w:rsidRDefault="007E5DFE" w:rsidP="0007579B">
                      <w:pPr>
                        <w:spacing w:before="120" w:after="120"/>
                        <w:jc w:val="both"/>
                        <w:rPr>
                          <w:rFonts w:ascii="Times New Roman" w:hAnsi="Times New Roman"/>
                          <w:sz w:val="20"/>
                          <w:szCs w:val="20"/>
                        </w:rPr>
                      </w:pPr>
                      <w:r w:rsidRPr="00750638">
                        <w:rPr>
                          <w:rFonts w:ascii="Times New Roman" w:hAnsi="Times New Roman"/>
                          <w:sz w:val="20"/>
                          <w:szCs w:val="20"/>
                        </w:rPr>
                        <w:t xml:space="preserve">Вторая традиция ведет свой отсчет от модели экономического роста </w:t>
                      </w:r>
                      <w:proofErr w:type="spellStart"/>
                      <w:r w:rsidRPr="00750638">
                        <w:rPr>
                          <w:rFonts w:ascii="Times New Roman" w:hAnsi="Times New Roman"/>
                          <w:sz w:val="20"/>
                          <w:szCs w:val="20"/>
                        </w:rPr>
                        <w:t>Харрода-Домара</w:t>
                      </w:r>
                      <w:proofErr w:type="spellEnd"/>
                      <w:r w:rsidRPr="00750638">
                        <w:rPr>
                          <w:rFonts w:ascii="Times New Roman" w:hAnsi="Times New Roman"/>
                          <w:sz w:val="20"/>
                          <w:szCs w:val="20"/>
                        </w:rPr>
                        <w:t xml:space="preserve">. </w:t>
                      </w:r>
                      <w:proofErr w:type="gramStart"/>
                      <w:r w:rsidRPr="00750638">
                        <w:rPr>
                          <w:rFonts w:ascii="Times New Roman" w:hAnsi="Times New Roman"/>
                          <w:sz w:val="20"/>
                          <w:szCs w:val="20"/>
                        </w:rPr>
                        <w:t>В ней склонность к сбережению напрямую определяет скорость экономического роста</w:t>
                      </w:r>
                      <w:r>
                        <w:rPr>
                          <w:rFonts w:ascii="Times New Roman" w:hAnsi="Times New Roman"/>
                          <w:sz w:val="20"/>
                          <w:szCs w:val="20"/>
                        </w:rPr>
                        <w:t xml:space="preserve">, а логика модели подсказывает </w:t>
                      </w:r>
                      <w:r w:rsidRPr="00750638">
                        <w:rPr>
                          <w:rFonts w:ascii="Times New Roman" w:hAnsi="Times New Roman"/>
                          <w:sz w:val="20"/>
                          <w:szCs w:val="20"/>
                        </w:rPr>
                        <w:t>три основных источника увеличения скорости роста выпуска:</w:t>
                      </w:r>
                      <w:r>
                        <w:rPr>
                          <w:rFonts w:ascii="Times New Roman" w:hAnsi="Times New Roman"/>
                          <w:sz w:val="20"/>
                          <w:szCs w:val="20"/>
                        </w:rPr>
                        <w:t xml:space="preserve"> </w:t>
                      </w:r>
                      <w:r w:rsidRPr="00750638">
                        <w:rPr>
                          <w:rFonts w:ascii="Times New Roman" w:hAnsi="Times New Roman"/>
                          <w:sz w:val="20"/>
                          <w:szCs w:val="20"/>
                        </w:rPr>
                        <w:t>i</w:t>
                      </w:r>
                      <w:r>
                        <w:rPr>
                          <w:rFonts w:ascii="Times New Roman" w:hAnsi="Times New Roman"/>
                          <w:sz w:val="20"/>
                          <w:szCs w:val="20"/>
                        </w:rPr>
                        <w:t xml:space="preserve">) </w:t>
                      </w:r>
                      <w:r w:rsidRPr="00750638">
                        <w:rPr>
                          <w:rFonts w:ascii="Times New Roman" w:hAnsi="Times New Roman"/>
                          <w:sz w:val="20"/>
                          <w:szCs w:val="20"/>
                        </w:rPr>
                        <w:t>более высок</w:t>
                      </w:r>
                      <w:r>
                        <w:rPr>
                          <w:rFonts w:ascii="Times New Roman" w:hAnsi="Times New Roman"/>
                          <w:sz w:val="20"/>
                          <w:szCs w:val="20"/>
                        </w:rPr>
                        <w:t>ая</w:t>
                      </w:r>
                      <w:r w:rsidRPr="00750638">
                        <w:rPr>
                          <w:rFonts w:ascii="Times New Roman" w:hAnsi="Times New Roman"/>
                          <w:sz w:val="20"/>
                          <w:szCs w:val="20"/>
                        </w:rPr>
                        <w:t xml:space="preserve"> эффективност</w:t>
                      </w:r>
                      <w:r>
                        <w:rPr>
                          <w:rFonts w:ascii="Times New Roman" w:hAnsi="Times New Roman"/>
                          <w:sz w:val="20"/>
                          <w:szCs w:val="20"/>
                        </w:rPr>
                        <w:t>ь</w:t>
                      </w:r>
                      <w:r w:rsidRPr="00750638">
                        <w:rPr>
                          <w:rFonts w:ascii="Times New Roman" w:hAnsi="Times New Roman"/>
                          <w:sz w:val="20"/>
                          <w:szCs w:val="20"/>
                        </w:rPr>
                        <w:t xml:space="preserve"> использования капитала;</w:t>
                      </w:r>
                      <w:r>
                        <w:rPr>
                          <w:rFonts w:ascii="Times New Roman" w:hAnsi="Times New Roman"/>
                          <w:sz w:val="20"/>
                          <w:szCs w:val="20"/>
                        </w:rPr>
                        <w:t xml:space="preserve"> </w:t>
                      </w:r>
                      <w:proofErr w:type="spellStart"/>
                      <w:r w:rsidRPr="00750638">
                        <w:rPr>
                          <w:rFonts w:ascii="Times New Roman" w:hAnsi="Times New Roman"/>
                          <w:sz w:val="20"/>
                          <w:szCs w:val="20"/>
                        </w:rPr>
                        <w:t>ii</w:t>
                      </w:r>
                      <w:proofErr w:type="spellEnd"/>
                      <w:r>
                        <w:rPr>
                          <w:rFonts w:ascii="Times New Roman" w:hAnsi="Times New Roman"/>
                          <w:sz w:val="20"/>
                          <w:szCs w:val="20"/>
                        </w:rPr>
                        <w:t xml:space="preserve">) </w:t>
                      </w:r>
                      <w:r w:rsidRPr="00750638">
                        <w:rPr>
                          <w:rFonts w:ascii="Times New Roman" w:hAnsi="Times New Roman"/>
                          <w:sz w:val="20"/>
                          <w:szCs w:val="20"/>
                        </w:rPr>
                        <w:t>более низк</w:t>
                      </w:r>
                      <w:r>
                        <w:rPr>
                          <w:rFonts w:ascii="Times New Roman" w:hAnsi="Times New Roman"/>
                          <w:sz w:val="20"/>
                          <w:szCs w:val="20"/>
                        </w:rPr>
                        <w:t>ая</w:t>
                      </w:r>
                      <w:r w:rsidRPr="00750638">
                        <w:rPr>
                          <w:rFonts w:ascii="Times New Roman" w:hAnsi="Times New Roman"/>
                          <w:sz w:val="20"/>
                          <w:szCs w:val="20"/>
                        </w:rPr>
                        <w:t xml:space="preserve"> амортизаци</w:t>
                      </w:r>
                      <w:r>
                        <w:rPr>
                          <w:rFonts w:ascii="Times New Roman" w:hAnsi="Times New Roman"/>
                          <w:sz w:val="20"/>
                          <w:szCs w:val="20"/>
                        </w:rPr>
                        <w:t>я</w:t>
                      </w:r>
                      <w:r w:rsidRPr="00750638">
                        <w:rPr>
                          <w:rFonts w:ascii="Times New Roman" w:hAnsi="Times New Roman"/>
                          <w:sz w:val="20"/>
                          <w:szCs w:val="20"/>
                        </w:rPr>
                        <w:t xml:space="preserve"> капитала</w:t>
                      </w:r>
                      <w:r>
                        <w:rPr>
                          <w:rFonts w:ascii="Times New Roman" w:hAnsi="Times New Roman"/>
                          <w:sz w:val="20"/>
                          <w:szCs w:val="20"/>
                        </w:rPr>
                        <w:t xml:space="preserve">; </w:t>
                      </w:r>
                      <w:proofErr w:type="spellStart"/>
                      <w:r w:rsidRPr="00750638">
                        <w:rPr>
                          <w:rFonts w:ascii="Times New Roman" w:hAnsi="Times New Roman"/>
                          <w:sz w:val="20"/>
                          <w:szCs w:val="20"/>
                        </w:rPr>
                        <w:t>iii</w:t>
                      </w:r>
                      <w:proofErr w:type="spellEnd"/>
                      <w:r w:rsidRPr="00750638">
                        <w:rPr>
                          <w:rFonts w:ascii="Times New Roman" w:hAnsi="Times New Roman"/>
                          <w:sz w:val="20"/>
                          <w:szCs w:val="20"/>
                        </w:rPr>
                        <w:t>)</w:t>
                      </w:r>
                      <w:r>
                        <w:rPr>
                          <w:rFonts w:ascii="Times New Roman" w:hAnsi="Times New Roman"/>
                          <w:sz w:val="20"/>
                          <w:szCs w:val="20"/>
                        </w:rPr>
                        <w:t xml:space="preserve"> </w:t>
                      </w:r>
                      <w:r w:rsidRPr="00750638">
                        <w:rPr>
                          <w:rFonts w:ascii="Times New Roman" w:hAnsi="Times New Roman"/>
                          <w:sz w:val="20"/>
                          <w:szCs w:val="20"/>
                        </w:rPr>
                        <w:t>более высок</w:t>
                      </w:r>
                      <w:r>
                        <w:rPr>
                          <w:rFonts w:ascii="Times New Roman" w:hAnsi="Times New Roman"/>
                          <w:sz w:val="20"/>
                          <w:szCs w:val="20"/>
                        </w:rPr>
                        <w:t>ая</w:t>
                      </w:r>
                      <w:r w:rsidRPr="00750638">
                        <w:rPr>
                          <w:rFonts w:ascii="Times New Roman" w:hAnsi="Times New Roman"/>
                          <w:sz w:val="20"/>
                          <w:szCs w:val="20"/>
                        </w:rPr>
                        <w:t xml:space="preserve"> дол</w:t>
                      </w:r>
                      <w:r>
                        <w:rPr>
                          <w:rFonts w:ascii="Times New Roman" w:hAnsi="Times New Roman"/>
                          <w:sz w:val="20"/>
                          <w:szCs w:val="20"/>
                        </w:rPr>
                        <w:t>я</w:t>
                      </w:r>
                      <w:r w:rsidRPr="00750638">
                        <w:rPr>
                          <w:rFonts w:ascii="Times New Roman" w:hAnsi="Times New Roman"/>
                          <w:sz w:val="20"/>
                          <w:szCs w:val="20"/>
                        </w:rPr>
                        <w:t xml:space="preserve"> инвестиций в выпуске.</w:t>
                      </w:r>
                      <w:proofErr w:type="gramEnd"/>
                    </w:p>
                    <w:p w:rsidR="007E5DFE" w:rsidRPr="00750638" w:rsidRDefault="007E5DFE" w:rsidP="0007579B">
                      <w:pPr>
                        <w:spacing w:before="120" w:after="120"/>
                        <w:jc w:val="both"/>
                        <w:rPr>
                          <w:rFonts w:ascii="Times New Roman" w:hAnsi="Times New Roman"/>
                          <w:sz w:val="20"/>
                          <w:szCs w:val="20"/>
                        </w:rPr>
                      </w:pPr>
                      <w:r>
                        <w:rPr>
                          <w:rFonts w:ascii="Times New Roman" w:hAnsi="Times New Roman"/>
                          <w:sz w:val="20"/>
                          <w:szCs w:val="20"/>
                        </w:rPr>
                        <w:t xml:space="preserve">В соответствии со второй традицией </w:t>
                      </w:r>
                      <w:r w:rsidRPr="00750638">
                        <w:rPr>
                          <w:rFonts w:ascii="Times New Roman" w:hAnsi="Times New Roman"/>
                          <w:sz w:val="20"/>
                          <w:szCs w:val="20"/>
                        </w:rPr>
                        <w:t xml:space="preserve">была оценена модель </w:t>
                      </w:r>
                      <w:r>
                        <w:rPr>
                          <w:rFonts w:ascii="Times New Roman" w:hAnsi="Times New Roman"/>
                          <w:sz w:val="20"/>
                          <w:szCs w:val="20"/>
                        </w:rPr>
                        <w:t xml:space="preserve">потенциального роста с помощью </w:t>
                      </w:r>
                      <w:r w:rsidRPr="00750638">
                        <w:rPr>
                          <w:rFonts w:ascii="Times New Roman" w:hAnsi="Times New Roman"/>
                          <w:sz w:val="20"/>
                          <w:szCs w:val="20"/>
                        </w:rPr>
                        <w:t>панельной регрессии с фиксированными и временными эффектами. В выборку</w:t>
                      </w:r>
                      <w:r>
                        <w:rPr>
                          <w:rFonts w:ascii="Times New Roman" w:hAnsi="Times New Roman"/>
                          <w:sz w:val="20"/>
                          <w:szCs w:val="20"/>
                        </w:rPr>
                        <w:t xml:space="preserve"> включены </w:t>
                      </w:r>
                      <w:r w:rsidRPr="00750638">
                        <w:rPr>
                          <w:rFonts w:ascii="Times New Roman" w:hAnsi="Times New Roman"/>
                          <w:sz w:val="20"/>
                          <w:szCs w:val="20"/>
                        </w:rPr>
                        <w:t>64 страны</w:t>
                      </w:r>
                      <w:r>
                        <w:rPr>
                          <w:rFonts w:ascii="Times New Roman" w:hAnsi="Times New Roman"/>
                          <w:sz w:val="20"/>
                          <w:szCs w:val="20"/>
                        </w:rPr>
                        <w:t>,</w:t>
                      </w:r>
                      <w:r w:rsidRPr="00750638">
                        <w:rPr>
                          <w:rFonts w:ascii="Times New Roman" w:hAnsi="Times New Roman"/>
                          <w:sz w:val="20"/>
                          <w:szCs w:val="20"/>
                        </w:rPr>
                        <w:t xml:space="preserve"> которые представляют как развитые, так и развивающиеся экономики на различных этапах становления рыночных отношений. Период наблюдения охватывает в большинстве случаев 1985-2013 гг.</w:t>
                      </w:r>
                      <w:r>
                        <w:rPr>
                          <w:rFonts w:ascii="Times New Roman" w:hAnsi="Times New Roman"/>
                          <w:sz w:val="20"/>
                          <w:szCs w:val="20"/>
                        </w:rPr>
                        <w:t>, а и</w:t>
                      </w:r>
                      <w:r w:rsidRPr="00750638">
                        <w:rPr>
                          <w:rFonts w:ascii="Times New Roman" w:hAnsi="Times New Roman"/>
                          <w:sz w:val="20"/>
                          <w:szCs w:val="20"/>
                        </w:rPr>
                        <w:t xml:space="preserve">сточниками данных </w:t>
                      </w:r>
                      <w:r>
                        <w:rPr>
                          <w:rFonts w:ascii="Times New Roman" w:hAnsi="Times New Roman"/>
                          <w:sz w:val="20"/>
                          <w:szCs w:val="20"/>
                        </w:rPr>
                        <w:t xml:space="preserve">служат две базы данных: </w:t>
                      </w:r>
                      <w:r w:rsidRPr="00750638">
                        <w:rPr>
                          <w:rFonts w:ascii="Times New Roman" w:hAnsi="Times New Roman"/>
                          <w:sz w:val="20"/>
                          <w:szCs w:val="20"/>
                        </w:rPr>
                        <w:t xml:space="preserve">МВФ </w:t>
                      </w:r>
                      <w:proofErr w:type="spellStart"/>
                      <w:r w:rsidRPr="00750638">
                        <w:rPr>
                          <w:rFonts w:ascii="Times New Roman" w:hAnsi="Times New Roman"/>
                          <w:sz w:val="20"/>
                          <w:szCs w:val="20"/>
                        </w:rPr>
                        <w:t>Word</w:t>
                      </w:r>
                      <w:proofErr w:type="spellEnd"/>
                      <w:r w:rsidRPr="00750638">
                        <w:rPr>
                          <w:rFonts w:ascii="Times New Roman" w:hAnsi="Times New Roman"/>
                          <w:sz w:val="20"/>
                          <w:szCs w:val="20"/>
                        </w:rPr>
                        <w:t xml:space="preserve"> </w:t>
                      </w:r>
                      <w:proofErr w:type="spellStart"/>
                      <w:r w:rsidRPr="00750638">
                        <w:rPr>
                          <w:rFonts w:ascii="Times New Roman" w:hAnsi="Times New Roman"/>
                          <w:sz w:val="20"/>
                          <w:szCs w:val="20"/>
                        </w:rPr>
                        <w:t>Economic</w:t>
                      </w:r>
                      <w:proofErr w:type="spellEnd"/>
                      <w:r w:rsidRPr="00750638">
                        <w:rPr>
                          <w:rFonts w:ascii="Times New Roman" w:hAnsi="Times New Roman"/>
                          <w:sz w:val="20"/>
                          <w:szCs w:val="20"/>
                        </w:rPr>
                        <w:t xml:space="preserve"> </w:t>
                      </w:r>
                      <w:proofErr w:type="spellStart"/>
                      <w:r w:rsidRPr="00750638">
                        <w:rPr>
                          <w:rFonts w:ascii="Times New Roman" w:hAnsi="Times New Roman"/>
                          <w:sz w:val="20"/>
                          <w:szCs w:val="20"/>
                        </w:rPr>
                        <w:t>Outlook</w:t>
                      </w:r>
                      <w:proofErr w:type="spellEnd"/>
                      <w:r w:rsidRPr="00750638">
                        <w:rPr>
                          <w:rFonts w:ascii="Times New Roman" w:hAnsi="Times New Roman"/>
                          <w:sz w:val="20"/>
                          <w:szCs w:val="20"/>
                        </w:rPr>
                        <w:t xml:space="preserve"> и </w:t>
                      </w:r>
                      <w:proofErr w:type="spellStart"/>
                      <w:r w:rsidRPr="00750638">
                        <w:rPr>
                          <w:rFonts w:ascii="Times New Roman" w:hAnsi="Times New Roman"/>
                          <w:sz w:val="20"/>
                          <w:szCs w:val="20"/>
                        </w:rPr>
                        <w:t>Penn</w:t>
                      </w:r>
                      <w:proofErr w:type="spellEnd"/>
                      <w:r w:rsidRPr="00750638">
                        <w:rPr>
                          <w:rFonts w:ascii="Times New Roman" w:hAnsi="Times New Roman"/>
                          <w:sz w:val="20"/>
                          <w:szCs w:val="20"/>
                        </w:rPr>
                        <w:t xml:space="preserve"> </w:t>
                      </w:r>
                      <w:proofErr w:type="spellStart"/>
                      <w:r w:rsidRPr="00750638">
                        <w:rPr>
                          <w:rFonts w:ascii="Times New Roman" w:hAnsi="Times New Roman"/>
                          <w:sz w:val="20"/>
                          <w:szCs w:val="20"/>
                        </w:rPr>
                        <w:t>World</w:t>
                      </w:r>
                      <w:proofErr w:type="spellEnd"/>
                      <w:r w:rsidRPr="00750638">
                        <w:rPr>
                          <w:rFonts w:ascii="Times New Roman" w:hAnsi="Times New Roman"/>
                          <w:sz w:val="20"/>
                          <w:szCs w:val="20"/>
                        </w:rPr>
                        <w:t xml:space="preserve"> </w:t>
                      </w:r>
                      <w:proofErr w:type="spellStart"/>
                      <w:r w:rsidRPr="00750638">
                        <w:rPr>
                          <w:rFonts w:ascii="Times New Roman" w:hAnsi="Times New Roman"/>
                          <w:sz w:val="20"/>
                          <w:szCs w:val="20"/>
                        </w:rPr>
                        <w:t>Tables</w:t>
                      </w:r>
                      <w:proofErr w:type="spellEnd"/>
                      <w:r>
                        <w:rPr>
                          <w:rFonts w:ascii="Times New Roman" w:hAnsi="Times New Roman"/>
                          <w:sz w:val="20"/>
                          <w:szCs w:val="20"/>
                        </w:rPr>
                        <w:t>.</w:t>
                      </w:r>
                    </w:p>
                    <w:p w:rsidR="007E5DFE" w:rsidRDefault="007E5DFE" w:rsidP="0075465C">
                      <w:pPr>
                        <w:spacing w:before="120" w:after="120"/>
                        <w:jc w:val="both"/>
                        <w:rPr>
                          <w:rFonts w:ascii="Times New Roman" w:hAnsi="Times New Roman"/>
                          <w:sz w:val="20"/>
                          <w:szCs w:val="20"/>
                        </w:rPr>
                      </w:pPr>
                      <w:r w:rsidRPr="00750638">
                        <w:rPr>
                          <w:rFonts w:ascii="Times New Roman" w:hAnsi="Times New Roman"/>
                          <w:sz w:val="20"/>
                          <w:szCs w:val="20"/>
                        </w:rPr>
                        <w:t>Зависимой переменной является прирост выпуска в пост</w:t>
                      </w:r>
                      <w:r>
                        <w:rPr>
                          <w:rFonts w:ascii="Times New Roman" w:hAnsi="Times New Roman"/>
                          <w:sz w:val="20"/>
                          <w:szCs w:val="20"/>
                        </w:rPr>
                        <w:t>оянных ценах на одного занятого, а в</w:t>
                      </w:r>
                      <w:r w:rsidRPr="00750638">
                        <w:rPr>
                          <w:rFonts w:ascii="Times New Roman" w:hAnsi="Times New Roman"/>
                          <w:sz w:val="20"/>
                          <w:szCs w:val="20"/>
                        </w:rPr>
                        <w:t xml:space="preserve"> качестве объясняющих переменных используются следующие показатели</w:t>
                      </w:r>
                      <w:r>
                        <w:rPr>
                          <w:rFonts w:ascii="Times New Roman" w:hAnsi="Times New Roman"/>
                          <w:sz w:val="20"/>
                          <w:szCs w:val="20"/>
                        </w:rPr>
                        <w:t>:</w:t>
                      </w:r>
                    </w:p>
                    <w:p w:rsidR="007E5DFE" w:rsidRDefault="007E5DFE" w:rsidP="009F1CCA">
                      <w:pPr>
                        <w:pStyle w:val="a9"/>
                        <w:numPr>
                          <w:ilvl w:val="0"/>
                          <w:numId w:val="28"/>
                        </w:numPr>
                        <w:spacing w:before="120" w:after="120"/>
                        <w:ind w:left="624" w:hanging="624"/>
                        <w:contextualSpacing w:val="0"/>
                        <w:jc w:val="both"/>
                        <w:rPr>
                          <w:rFonts w:ascii="Times New Roman" w:hAnsi="Times New Roman"/>
                          <w:sz w:val="20"/>
                          <w:szCs w:val="20"/>
                        </w:rPr>
                      </w:pPr>
                      <w:r w:rsidRPr="00054632">
                        <w:rPr>
                          <w:rFonts w:ascii="Times New Roman" w:hAnsi="Times New Roman"/>
                          <w:sz w:val="20"/>
                          <w:szCs w:val="20"/>
                        </w:rPr>
                        <w:t>отношение инвестиций в основной капитал к ВВП</w:t>
                      </w:r>
                      <w:r>
                        <w:rPr>
                          <w:rFonts w:ascii="Times New Roman" w:hAnsi="Times New Roman"/>
                          <w:sz w:val="20"/>
                          <w:szCs w:val="20"/>
                        </w:rPr>
                        <w:t xml:space="preserve"> / </w:t>
                      </w:r>
                      <w:r w:rsidRPr="00054632">
                        <w:rPr>
                          <w:rFonts w:ascii="Times New Roman" w:hAnsi="Times New Roman"/>
                          <w:sz w:val="20"/>
                          <w:szCs w:val="20"/>
                        </w:rPr>
                        <w:t>оценка прироста основных средств;</w:t>
                      </w:r>
                    </w:p>
                    <w:p w:rsidR="007E5DFE" w:rsidRDefault="007E5DFE" w:rsidP="009F1CCA">
                      <w:pPr>
                        <w:pStyle w:val="a9"/>
                        <w:numPr>
                          <w:ilvl w:val="0"/>
                          <w:numId w:val="28"/>
                        </w:numPr>
                        <w:spacing w:before="120" w:after="120"/>
                        <w:ind w:left="624" w:hanging="624"/>
                        <w:contextualSpacing w:val="0"/>
                        <w:jc w:val="both"/>
                        <w:rPr>
                          <w:rFonts w:ascii="Times New Roman" w:hAnsi="Times New Roman"/>
                          <w:sz w:val="20"/>
                          <w:szCs w:val="20"/>
                        </w:rPr>
                      </w:pPr>
                      <w:r w:rsidRPr="00054632">
                        <w:rPr>
                          <w:rFonts w:ascii="Times New Roman" w:hAnsi="Times New Roman"/>
                          <w:sz w:val="20"/>
                          <w:szCs w:val="20"/>
                        </w:rPr>
                        <w:t>изменение</w:t>
                      </w:r>
                      <w:r>
                        <w:rPr>
                          <w:rFonts w:ascii="Times New Roman" w:hAnsi="Times New Roman"/>
                          <w:sz w:val="20"/>
                          <w:szCs w:val="20"/>
                        </w:rPr>
                        <w:t xml:space="preserve"> условий торговли;</w:t>
                      </w:r>
                    </w:p>
                    <w:p w:rsidR="007E5DFE" w:rsidRDefault="007E5DFE" w:rsidP="009F1CCA">
                      <w:pPr>
                        <w:pStyle w:val="a9"/>
                        <w:numPr>
                          <w:ilvl w:val="0"/>
                          <w:numId w:val="28"/>
                        </w:numPr>
                        <w:spacing w:before="120" w:after="120"/>
                        <w:ind w:left="624" w:hanging="624"/>
                        <w:contextualSpacing w:val="0"/>
                        <w:jc w:val="both"/>
                        <w:rPr>
                          <w:rFonts w:ascii="Times New Roman" w:hAnsi="Times New Roman"/>
                          <w:sz w:val="20"/>
                          <w:szCs w:val="20"/>
                        </w:rPr>
                      </w:pPr>
                      <w:r w:rsidRPr="00054632">
                        <w:rPr>
                          <w:rFonts w:ascii="Times New Roman" w:hAnsi="Times New Roman"/>
                          <w:sz w:val="20"/>
                          <w:szCs w:val="20"/>
                        </w:rPr>
                        <w:t>отношение бюджетных расходов к ВВП</w:t>
                      </w:r>
                      <w:r>
                        <w:rPr>
                          <w:rFonts w:ascii="Times New Roman" w:hAnsi="Times New Roman"/>
                          <w:sz w:val="20"/>
                          <w:szCs w:val="20"/>
                        </w:rPr>
                        <w:t>;</w:t>
                      </w:r>
                    </w:p>
                    <w:p w:rsidR="007E5DFE" w:rsidRPr="00054632" w:rsidRDefault="007E5DFE" w:rsidP="009F1CCA">
                      <w:pPr>
                        <w:pStyle w:val="a9"/>
                        <w:numPr>
                          <w:ilvl w:val="0"/>
                          <w:numId w:val="28"/>
                        </w:numPr>
                        <w:spacing w:before="120" w:after="120"/>
                        <w:ind w:left="624" w:hanging="624"/>
                        <w:contextualSpacing w:val="0"/>
                        <w:jc w:val="both"/>
                        <w:rPr>
                          <w:rFonts w:ascii="Times New Roman" w:hAnsi="Times New Roman"/>
                          <w:sz w:val="20"/>
                          <w:szCs w:val="20"/>
                        </w:rPr>
                      </w:pPr>
                      <w:r w:rsidRPr="00054632">
                        <w:rPr>
                          <w:rFonts w:ascii="Times New Roman" w:hAnsi="Times New Roman"/>
                          <w:sz w:val="20"/>
                          <w:szCs w:val="20"/>
                        </w:rPr>
                        <w:t xml:space="preserve">отклонение уровня ВВП по </w:t>
                      </w:r>
                      <w:r>
                        <w:rPr>
                          <w:rFonts w:ascii="Times New Roman" w:hAnsi="Times New Roman"/>
                          <w:sz w:val="20"/>
                          <w:szCs w:val="20"/>
                        </w:rPr>
                        <w:t>ППС</w:t>
                      </w:r>
                      <w:r w:rsidRPr="00054632">
                        <w:rPr>
                          <w:rFonts w:ascii="Times New Roman" w:hAnsi="Times New Roman"/>
                          <w:sz w:val="20"/>
                          <w:szCs w:val="20"/>
                        </w:rPr>
                        <w:t xml:space="preserve"> страны от среднего по выборке</w:t>
                      </w:r>
                      <w:r w:rsidRPr="00156BE5">
                        <w:rPr>
                          <w:rFonts w:ascii="Times New Roman" w:hAnsi="Times New Roman"/>
                          <w:sz w:val="20"/>
                          <w:szCs w:val="20"/>
                        </w:rPr>
                        <w:t xml:space="preserve"> </w:t>
                      </w:r>
                      <w:r w:rsidRPr="00054632">
                        <w:rPr>
                          <w:rFonts w:ascii="Times New Roman" w:hAnsi="Times New Roman"/>
                          <w:sz w:val="20"/>
                          <w:szCs w:val="20"/>
                        </w:rPr>
                        <w:t>уровня</w:t>
                      </w:r>
                      <w:r>
                        <w:rPr>
                          <w:rFonts w:ascii="Times New Roman" w:hAnsi="Times New Roman"/>
                          <w:sz w:val="20"/>
                          <w:szCs w:val="20"/>
                        </w:rPr>
                        <w:t>.</w:t>
                      </w:r>
                    </w:p>
                  </w:txbxContent>
                </v:textbox>
                <w10:wrap type="square" anchorx="margin"/>
              </v:shape>
            </w:pict>
          </mc:Fallback>
        </mc:AlternateContent>
      </w:r>
      <w:r>
        <w:rPr>
          <w:rFonts w:ascii="Times New Roman" w:hAnsi="Times New Roman"/>
          <w:sz w:val="24"/>
          <w:szCs w:val="24"/>
        </w:rPr>
        <w:t>П</w:t>
      </w:r>
      <w:r w:rsidRPr="0075186F">
        <w:rPr>
          <w:rFonts w:ascii="Times New Roman" w:hAnsi="Times New Roman"/>
          <w:sz w:val="24"/>
          <w:szCs w:val="24"/>
        </w:rPr>
        <w:t xml:space="preserve">о итогам </w:t>
      </w:r>
      <w:r>
        <w:rPr>
          <w:rFonts w:ascii="Times New Roman" w:hAnsi="Times New Roman"/>
          <w:sz w:val="24"/>
          <w:szCs w:val="24"/>
          <w:lang w:val="en-US"/>
        </w:rPr>
        <w:t>I</w:t>
      </w:r>
      <w:r w:rsidRPr="0075186F">
        <w:rPr>
          <w:rFonts w:ascii="Times New Roman" w:hAnsi="Times New Roman"/>
          <w:sz w:val="24"/>
          <w:szCs w:val="24"/>
        </w:rPr>
        <w:t xml:space="preserve"> </w:t>
      </w:r>
      <w:r>
        <w:rPr>
          <w:rFonts w:ascii="Times New Roman" w:hAnsi="Times New Roman"/>
          <w:sz w:val="24"/>
          <w:szCs w:val="24"/>
        </w:rPr>
        <w:t xml:space="preserve">полугодия 2017 года, на фоне улучшения настроений производителей, </w:t>
      </w:r>
      <w:r w:rsidR="00ED0E15">
        <w:rPr>
          <w:rFonts w:ascii="Times New Roman" w:hAnsi="Times New Roman"/>
          <w:sz w:val="24"/>
          <w:szCs w:val="24"/>
        </w:rPr>
        <w:t xml:space="preserve">в отдельных секторах </w:t>
      </w:r>
      <w:r w:rsidR="00ED0E15" w:rsidRPr="0075186F">
        <w:rPr>
          <w:rFonts w:ascii="Times New Roman" w:hAnsi="Times New Roman"/>
          <w:sz w:val="24"/>
          <w:szCs w:val="24"/>
        </w:rPr>
        <w:t>наблюда</w:t>
      </w:r>
      <w:r w:rsidR="00ED0E15">
        <w:rPr>
          <w:rFonts w:ascii="Times New Roman" w:hAnsi="Times New Roman"/>
          <w:sz w:val="24"/>
          <w:szCs w:val="24"/>
        </w:rPr>
        <w:t>ется</w:t>
      </w:r>
      <w:r w:rsidR="00ED0E15" w:rsidRPr="0075186F">
        <w:rPr>
          <w:rFonts w:ascii="Times New Roman" w:hAnsi="Times New Roman"/>
          <w:sz w:val="24"/>
          <w:szCs w:val="24"/>
        </w:rPr>
        <w:t xml:space="preserve"> быстрый рост капиталовложений</w:t>
      </w:r>
      <w:r w:rsidR="00ED0E15" w:rsidRPr="00ED0E15">
        <w:rPr>
          <w:rFonts w:ascii="Times New Roman" w:hAnsi="Times New Roman"/>
          <w:sz w:val="24"/>
          <w:szCs w:val="24"/>
        </w:rPr>
        <w:t xml:space="preserve"> (</w:t>
      </w:r>
      <w:r>
        <w:rPr>
          <w:rFonts w:ascii="Times New Roman" w:hAnsi="Times New Roman"/>
          <w:sz w:val="24"/>
          <w:szCs w:val="24"/>
        </w:rPr>
        <w:t xml:space="preserve">инвестиции в основной капитал </w:t>
      </w:r>
      <w:r w:rsidRPr="0075186F">
        <w:rPr>
          <w:rFonts w:ascii="Times New Roman" w:hAnsi="Times New Roman"/>
          <w:sz w:val="24"/>
          <w:szCs w:val="24"/>
        </w:rPr>
        <w:t xml:space="preserve">выросли на </w:t>
      </w:r>
      <w:r>
        <w:rPr>
          <w:rFonts w:ascii="Times New Roman" w:hAnsi="Times New Roman"/>
          <w:sz w:val="24"/>
          <w:szCs w:val="24"/>
        </w:rPr>
        <w:t>4</w:t>
      </w:r>
      <w:r w:rsidRPr="0075186F">
        <w:rPr>
          <w:rFonts w:ascii="Times New Roman" w:hAnsi="Times New Roman"/>
          <w:sz w:val="24"/>
          <w:szCs w:val="24"/>
        </w:rPr>
        <w:t>,</w:t>
      </w:r>
      <w:r>
        <w:rPr>
          <w:rFonts w:ascii="Times New Roman" w:hAnsi="Times New Roman"/>
          <w:sz w:val="24"/>
          <w:szCs w:val="24"/>
        </w:rPr>
        <w:t>8</w:t>
      </w:r>
      <w:r w:rsidRPr="0075186F">
        <w:rPr>
          <w:rFonts w:ascii="Times New Roman" w:hAnsi="Times New Roman"/>
          <w:sz w:val="24"/>
          <w:szCs w:val="24"/>
        </w:rPr>
        <w:t>% г/г</w:t>
      </w:r>
      <w:r w:rsidR="00ED0E15" w:rsidRPr="00ED0E15">
        <w:rPr>
          <w:rFonts w:ascii="Times New Roman" w:hAnsi="Times New Roman"/>
          <w:sz w:val="24"/>
          <w:szCs w:val="24"/>
        </w:rPr>
        <w:t>)</w:t>
      </w:r>
      <w:r w:rsidRPr="0075186F">
        <w:rPr>
          <w:rFonts w:ascii="Times New Roman" w:hAnsi="Times New Roman"/>
          <w:sz w:val="24"/>
          <w:szCs w:val="24"/>
        </w:rPr>
        <w:t>.</w:t>
      </w:r>
      <w:r>
        <w:rPr>
          <w:rFonts w:ascii="Times New Roman" w:hAnsi="Times New Roman"/>
          <w:sz w:val="24"/>
          <w:szCs w:val="24"/>
        </w:rPr>
        <w:t xml:space="preserve"> В то же время</w:t>
      </w:r>
      <w:r w:rsidR="00ED0E15" w:rsidRPr="00ED0E15">
        <w:rPr>
          <w:rFonts w:ascii="Times New Roman" w:hAnsi="Times New Roman"/>
          <w:sz w:val="24"/>
          <w:szCs w:val="24"/>
        </w:rPr>
        <w:t xml:space="preserve"> </w:t>
      </w:r>
      <w:r w:rsidR="00ED0E15">
        <w:rPr>
          <w:rFonts w:ascii="Times New Roman" w:hAnsi="Times New Roman"/>
          <w:sz w:val="24"/>
          <w:szCs w:val="24"/>
        </w:rPr>
        <w:t>для устойчивого сохранения указанной динамики потребуется реализация дополнительных</w:t>
      </w:r>
      <w:r w:rsidR="00ED0E15" w:rsidRPr="00512277">
        <w:rPr>
          <w:rFonts w:ascii="Times New Roman" w:hAnsi="Times New Roman"/>
          <w:sz w:val="24"/>
          <w:szCs w:val="24"/>
        </w:rPr>
        <w:t xml:space="preserve"> мер структурной экономической политики</w:t>
      </w:r>
      <w:r w:rsidR="00ED0E15">
        <w:rPr>
          <w:rFonts w:ascii="Times New Roman" w:hAnsi="Times New Roman"/>
          <w:sz w:val="24"/>
          <w:szCs w:val="24"/>
        </w:rPr>
        <w:t>.</w:t>
      </w:r>
    </w:p>
    <w:p w:rsidR="0075465C" w:rsidRPr="00711F0F" w:rsidRDefault="0075465C" w:rsidP="0075465C">
      <w:pPr>
        <w:pStyle w:val="a9"/>
        <w:numPr>
          <w:ilvl w:val="0"/>
          <w:numId w:val="4"/>
        </w:numPr>
        <w:spacing w:before="120" w:after="120"/>
        <w:ind w:left="357" w:hanging="357"/>
        <w:contextualSpacing w:val="0"/>
        <w:jc w:val="both"/>
        <w:rPr>
          <w:rFonts w:ascii="Times New Roman" w:hAnsi="Times New Roman"/>
          <w:sz w:val="24"/>
          <w:szCs w:val="24"/>
        </w:rPr>
      </w:pPr>
      <w:r w:rsidRPr="00711F0F">
        <w:rPr>
          <w:rFonts w:ascii="Times New Roman" w:hAnsi="Times New Roman"/>
          <w:noProof/>
          <w:sz w:val="24"/>
          <w:szCs w:val="24"/>
          <w:u w:val="single"/>
          <w:lang w:eastAsia="ru-RU"/>
        </w:rPr>
        <mc:AlternateContent>
          <mc:Choice Requires="wps">
            <w:drawing>
              <wp:anchor distT="45720" distB="45720" distL="114300" distR="114300" simplePos="0" relativeHeight="251662848" behindDoc="0" locked="0" layoutInCell="1" allowOverlap="1" wp14:anchorId="39F92B21" wp14:editId="26F85B05">
                <wp:simplePos x="0" y="0"/>
                <wp:positionH relativeFrom="margin">
                  <wp:align>left</wp:align>
                </wp:positionH>
                <wp:positionV relativeFrom="paragraph">
                  <wp:posOffset>3175</wp:posOffset>
                </wp:positionV>
                <wp:extent cx="5764530" cy="6296025"/>
                <wp:effectExtent l="0" t="0" r="7620" b="9525"/>
                <wp:wrapSquare wrapText="bothSides"/>
                <wp:docPr id="1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4530" cy="6296025"/>
                        </a:xfrm>
                        <a:prstGeom prst="rect">
                          <a:avLst/>
                        </a:prstGeom>
                        <a:solidFill>
                          <a:schemeClr val="bg1">
                            <a:lumMod val="95000"/>
                          </a:schemeClr>
                        </a:solidFill>
                        <a:ln w="9525">
                          <a:noFill/>
                          <a:miter lim="800000"/>
                          <a:headEnd/>
                          <a:tailEnd/>
                        </a:ln>
                      </wps:spPr>
                      <wps:txbx>
                        <w:txbxContent>
                          <w:tbl>
                            <w:tblPr>
                              <w:tblStyle w:val="Smalltable"/>
                              <w:tblW w:w="6188" w:type="dxa"/>
                              <w:tblInd w:w="1309" w:type="dxa"/>
                              <w:tblLook w:val="04A0" w:firstRow="1" w:lastRow="0" w:firstColumn="1" w:lastColumn="0" w:noHBand="0" w:noVBand="1"/>
                            </w:tblPr>
                            <w:tblGrid>
                              <w:gridCol w:w="6126"/>
                              <w:gridCol w:w="62"/>
                            </w:tblGrid>
                            <w:tr w:rsidR="007E5DFE" w:rsidRPr="00E65DE3" w:rsidTr="005A0337">
                              <w:trPr>
                                <w:gridAfter w:val="1"/>
                                <w:wAfter w:w="62" w:type="dxa"/>
                                <w:trHeight w:val="198"/>
                              </w:trPr>
                              <w:tc>
                                <w:tcPr>
                                  <w:tcW w:w="6126" w:type="dxa"/>
                                  <w:shd w:val="clear" w:color="auto" w:fill="auto"/>
                                </w:tcPr>
                                <w:p w:rsidR="007E5DFE" w:rsidRPr="00235B64" w:rsidRDefault="007E5DFE" w:rsidP="00ED0C00">
                                  <w:pPr>
                                    <w:pStyle w:val="GraphTitle"/>
                                    <w:rPr>
                                      <w:rFonts w:ascii="Times New Roman" w:hAnsi="Times New Roman" w:cs="Times New Roman"/>
                                      <w:b/>
                                      <w:sz w:val="20"/>
                                      <w:szCs w:val="20"/>
                                      <w:lang w:val="ru-RU"/>
                                    </w:rPr>
                                  </w:pPr>
                                  <w:r w:rsidRPr="00235B64">
                                    <w:rPr>
                                      <w:rFonts w:ascii="Times New Roman" w:hAnsi="Times New Roman" w:cs="Times New Roman"/>
                                      <w:b/>
                                      <w:sz w:val="20"/>
                                      <w:szCs w:val="20"/>
                                      <w:lang w:val="ru-RU"/>
                                    </w:rPr>
                                    <w:t>Долгосрочные темпы роста и инвестиции</w:t>
                                  </w:r>
                                </w:p>
                              </w:tc>
                            </w:tr>
                            <w:tr w:rsidR="007E5DFE" w:rsidRPr="00E65DE3" w:rsidTr="005A0337">
                              <w:trPr>
                                <w:trHeight w:hRule="exact" w:val="28"/>
                              </w:trPr>
                              <w:tc>
                                <w:tcPr>
                                  <w:tcW w:w="6126" w:type="dxa"/>
                                  <w:tcBorders>
                                    <w:bottom w:val="single" w:sz="4" w:space="0" w:color="auto"/>
                                  </w:tcBorders>
                                  <w:shd w:val="clear" w:color="auto" w:fill="auto"/>
                                </w:tcPr>
                                <w:p w:rsidR="007E5DFE" w:rsidRPr="00E65DE3" w:rsidRDefault="007E5DFE" w:rsidP="00ED0C00">
                                  <w:pPr>
                                    <w:pStyle w:val="TabText"/>
                                    <w:rPr>
                                      <w:rFonts w:ascii="Times New Roman" w:hAnsi="Times New Roman" w:cs="Times New Roman"/>
                                      <w:lang w:val="ru-RU"/>
                                    </w:rPr>
                                  </w:pPr>
                                </w:p>
                              </w:tc>
                              <w:tc>
                                <w:tcPr>
                                  <w:tcW w:w="62" w:type="dxa"/>
                                  <w:shd w:val="clear" w:color="auto" w:fill="auto"/>
                                </w:tcPr>
                                <w:p w:rsidR="007E5DFE" w:rsidRPr="00E65DE3" w:rsidRDefault="007E5DFE" w:rsidP="00ED0C00">
                                  <w:pPr>
                                    <w:pStyle w:val="TabText"/>
                                    <w:rPr>
                                      <w:rFonts w:ascii="Times New Roman" w:hAnsi="Times New Roman" w:cs="Times New Roman"/>
                                      <w:lang w:val="ru-RU"/>
                                    </w:rPr>
                                  </w:pPr>
                                </w:p>
                              </w:tc>
                            </w:tr>
                            <w:tr w:rsidR="007E5DFE" w:rsidRPr="00E65DE3" w:rsidTr="005A0337">
                              <w:tblPrEx>
                                <w:tblCellMar>
                                  <w:left w:w="108" w:type="dxa"/>
                                  <w:right w:w="108" w:type="dxa"/>
                                </w:tblCellMar>
                              </w:tblPrEx>
                              <w:trPr>
                                <w:gridAfter w:val="1"/>
                                <w:wAfter w:w="62" w:type="dxa"/>
                                <w:trHeight w:val="2200"/>
                              </w:trPr>
                              <w:tc>
                                <w:tcPr>
                                  <w:tcW w:w="6126" w:type="dxa"/>
                                  <w:tcBorders>
                                    <w:top w:val="single" w:sz="4" w:space="0" w:color="auto"/>
                                    <w:bottom w:val="single" w:sz="4" w:space="0" w:color="auto"/>
                                  </w:tcBorders>
                                  <w:shd w:val="clear" w:color="auto" w:fill="auto"/>
                                  <w:tcMar>
                                    <w:left w:w="0" w:type="nil"/>
                                    <w:right w:w="0" w:type="nil"/>
                                  </w:tcMar>
                                </w:tcPr>
                                <w:p w:rsidR="007E5DFE" w:rsidRPr="00E65DE3" w:rsidRDefault="007E5DFE" w:rsidP="00ED0C00">
                                  <w:pPr>
                                    <w:pStyle w:val="TabText"/>
                                    <w:rPr>
                                      <w:rFonts w:ascii="Times New Roman" w:hAnsi="Times New Roman" w:cs="Times New Roman"/>
                                      <w:lang w:val="ru-RU"/>
                                    </w:rPr>
                                  </w:pPr>
                                  <w:r w:rsidRPr="003E2F41">
                                    <w:rPr>
                                      <w:rFonts w:ascii="Times New Roman" w:hAnsi="Times New Roman" w:cs="Times New Roman"/>
                                      <w:noProof/>
                                      <w:lang w:val="ru-RU" w:bidi="ar-SA"/>
                                    </w:rPr>
                                    <w:drawing>
                                      <wp:inline distT="0" distB="0" distL="0" distR="0" wp14:anchorId="6706BC71" wp14:editId="087836B9">
                                        <wp:extent cx="3753135" cy="3166977"/>
                                        <wp:effectExtent l="0" t="0" r="0" b="0"/>
                                        <wp:docPr id="1029" name="Диаграмма 10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7E5DFE" w:rsidRPr="00E65DE3" w:rsidTr="005A0337">
                              <w:trPr>
                                <w:gridAfter w:val="1"/>
                                <w:wAfter w:w="62" w:type="dxa"/>
                                <w:trHeight w:val="198"/>
                              </w:trPr>
                              <w:tc>
                                <w:tcPr>
                                  <w:tcW w:w="6126" w:type="dxa"/>
                                  <w:tcBorders>
                                    <w:top w:val="single" w:sz="4" w:space="0" w:color="auto"/>
                                  </w:tcBorders>
                                  <w:shd w:val="clear" w:color="auto" w:fill="auto"/>
                                </w:tcPr>
                                <w:p w:rsidR="007E5DFE" w:rsidRPr="00235B64" w:rsidRDefault="007E5DFE" w:rsidP="00ED0C00">
                                  <w:pPr>
                                    <w:pStyle w:val="SourceLarge"/>
                                    <w:spacing w:after="240"/>
                                    <w:rPr>
                                      <w:rFonts w:ascii="Times New Roman" w:hAnsi="Times New Roman" w:cs="Times New Roman"/>
                                      <w:i/>
                                      <w:lang w:val="ru-RU"/>
                                    </w:rPr>
                                  </w:pPr>
                                  <w:r w:rsidRPr="00235B64">
                                    <w:rPr>
                                      <w:rFonts w:ascii="Times New Roman" w:hAnsi="Times New Roman" w:cs="Times New Roman"/>
                                      <w:i/>
                                      <w:sz w:val="14"/>
                                      <w:szCs w:val="14"/>
                                      <w:lang w:val="ru-RU"/>
                                    </w:rPr>
                                    <w:t>Источник:</w:t>
                                  </w:r>
                                  <w:r w:rsidRPr="003633FC">
                                    <w:rPr>
                                      <w:rFonts w:ascii="Times New Roman" w:hAnsi="Times New Roman" w:cs="Times New Roman"/>
                                      <w:i/>
                                      <w:sz w:val="14"/>
                                      <w:szCs w:val="14"/>
                                    </w:rPr>
                                    <w:t> </w:t>
                                  </w:r>
                                  <w:r>
                                    <w:rPr>
                                      <w:rFonts w:ascii="Times New Roman" w:hAnsi="Times New Roman" w:cs="Times New Roman"/>
                                      <w:i/>
                                      <w:sz w:val="14"/>
                                      <w:szCs w:val="14"/>
                                      <w:lang w:val="ru-RU"/>
                                    </w:rPr>
                                    <w:t>МВФ</w:t>
                                  </w:r>
                                  <w:r w:rsidRPr="00235B64">
                                    <w:rPr>
                                      <w:rFonts w:ascii="Times New Roman" w:hAnsi="Times New Roman" w:cs="Times New Roman"/>
                                      <w:i/>
                                      <w:sz w:val="14"/>
                                      <w:szCs w:val="14"/>
                                      <w:lang w:val="ru-RU"/>
                                    </w:rPr>
                                    <w:t xml:space="preserve">, </w:t>
                                  </w:r>
                                  <w:r w:rsidRPr="00235B64">
                                    <w:rPr>
                                      <w:rFonts w:ascii="Times New Roman" w:hAnsi="Times New Roman" w:cs="Times New Roman"/>
                                      <w:i/>
                                      <w:sz w:val="14"/>
                                      <w:szCs w:val="14"/>
                                      <w:lang w:val="en-US"/>
                                    </w:rPr>
                                    <w:t>Penn</w:t>
                                  </w:r>
                                  <w:r w:rsidRPr="00235B64">
                                    <w:rPr>
                                      <w:rFonts w:ascii="Times New Roman" w:hAnsi="Times New Roman" w:cs="Times New Roman"/>
                                      <w:i/>
                                      <w:sz w:val="14"/>
                                      <w:szCs w:val="14"/>
                                      <w:lang w:val="ru-RU"/>
                                    </w:rPr>
                                    <w:t xml:space="preserve"> </w:t>
                                  </w:r>
                                  <w:r w:rsidRPr="00235B64">
                                    <w:rPr>
                                      <w:rFonts w:ascii="Times New Roman" w:hAnsi="Times New Roman" w:cs="Times New Roman"/>
                                      <w:i/>
                                      <w:sz w:val="14"/>
                                      <w:szCs w:val="14"/>
                                      <w:lang w:val="en-US"/>
                                    </w:rPr>
                                    <w:t>World</w:t>
                                  </w:r>
                                  <w:r w:rsidRPr="00235B64">
                                    <w:rPr>
                                      <w:rFonts w:ascii="Times New Roman" w:hAnsi="Times New Roman" w:cs="Times New Roman"/>
                                      <w:i/>
                                      <w:sz w:val="14"/>
                                      <w:szCs w:val="14"/>
                                      <w:lang w:val="ru-RU"/>
                                    </w:rPr>
                                    <w:t xml:space="preserve"> </w:t>
                                  </w:r>
                                  <w:r w:rsidRPr="00235B64">
                                    <w:rPr>
                                      <w:rFonts w:ascii="Times New Roman" w:hAnsi="Times New Roman" w:cs="Times New Roman"/>
                                      <w:i/>
                                      <w:sz w:val="14"/>
                                      <w:szCs w:val="14"/>
                                      <w:lang w:val="en-US"/>
                                    </w:rPr>
                                    <w:t>Tables</w:t>
                                  </w:r>
                                  <w:r>
                                    <w:rPr>
                                      <w:rFonts w:ascii="Times New Roman" w:hAnsi="Times New Roman" w:cs="Times New Roman"/>
                                      <w:i/>
                                      <w:sz w:val="14"/>
                                      <w:szCs w:val="14"/>
                                      <w:lang w:val="ru-RU"/>
                                    </w:rPr>
                                    <w:t>, оценки Минфина</w:t>
                                  </w:r>
                                </w:p>
                              </w:tc>
                            </w:tr>
                          </w:tbl>
                          <w:p w:rsidR="007E5DFE" w:rsidRDefault="007E5DFE" w:rsidP="0075465C">
                            <w:pPr>
                              <w:spacing w:before="120" w:after="120"/>
                              <w:jc w:val="both"/>
                              <w:rPr>
                                <w:rFonts w:ascii="Times New Roman" w:hAnsi="Times New Roman"/>
                                <w:sz w:val="20"/>
                                <w:szCs w:val="20"/>
                              </w:rPr>
                            </w:pPr>
                            <w:r w:rsidRPr="00054632">
                              <w:rPr>
                                <w:rFonts w:ascii="Times New Roman" w:hAnsi="Times New Roman"/>
                                <w:sz w:val="20"/>
                                <w:szCs w:val="20"/>
                              </w:rPr>
                              <w:t xml:space="preserve">Для оценки устойчивости полученных результатов были оценены 4 панельные модели для </w:t>
                            </w:r>
                            <w:r>
                              <w:rPr>
                                <w:rFonts w:ascii="Times New Roman" w:hAnsi="Times New Roman"/>
                                <w:sz w:val="20"/>
                                <w:szCs w:val="20"/>
                              </w:rPr>
                              <w:t>различных</w:t>
                            </w:r>
                            <w:r w:rsidRPr="00054632">
                              <w:rPr>
                                <w:rFonts w:ascii="Times New Roman" w:hAnsi="Times New Roman"/>
                                <w:sz w:val="20"/>
                                <w:szCs w:val="20"/>
                              </w:rPr>
                              <w:t xml:space="preserve"> </w:t>
                            </w:r>
                            <w:r>
                              <w:rPr>
                                <w:rFonts w:ascii="Times New Roman" w:hAnsi="Times New Roman"/>
                                <w:sz w:val="20"/>
                                <w:szCs w:val="20"/>
                              </w:rPr>
                              <w:t>комбинаций</w:t>
                            </w:r>
                            <w:r w:rsidRPr="00054632">
                              <w:rPr>
                                <w:rFonts w:ascii="Times New Roman" w:hAnsi="Times New Roman"/>
                                <w:sz w:val="20"/>
                                <w:szCs w:val="20"/>
                              </w:rPr>
                              <w:t xml:space="preserve"> объясняющих переменных.</w:t>
                            </w:r>
                          </w:p>
                          <w:p w:rsidR="007E5DFE" w:rsidRPr="00493EC5" w:rsidRDefault="007E5DFE" w:rsidP="0075465C">
                            <w:pPr>
                              <w:spacing w:before="120" w:after="120"/>
                              <w:jc w:val="both"/>
                              <w:rPr>
                                <w:rFonts w:ascii="Times New Roman" w:hAnsi="Times New Roman"/>
                                <w:sz w:val="20"/>
                                <w:szCs w:val="20"/>
                              </w:rPr>
                            </w:pPr>
                            <w:r w:rsidRPr="0002076E">
                              <w:rPr>
                                <w:rFonts w:ascii="Times New Roman" w:hAnsi="Times New Roman"/>
                                <w:sz w:val="20"/>
                                <w:szCs w:val="20"/>
                              </w:rPr>
                              <w:t>Полученные оценки соответствуют априорным ожиданиям и экономической логике</w:t>
                            </w:r>
                            <w:r>
                              <w:rPr>
                                <w:rFonts w:ascii="Times New Roman" w:hAnsi="Times New Roman"/>
                                <w:sz w:val="20"/>
                                <w:szCs w:val="20"/>
                              </w:rPr>
                              <w:t xml:space="preserve">. </w:t>
                            </w:r>
                            <w:r w:rsidRPr="00493EC5">
                              <w:rPr>
                                <w:rFonts w:ascii="Times New Roman" w:hAnsi="Times New Roman"/>
                                <w:sz w:val="20"/>
                                <w:szCs w:val="20"/>
                              </w:rPr>
                              <w:t xml:space="preserve">Чувствительность роста реального выпуска на одного занятого к доле инвестиций к ВВП устойчиво положительна и принимает значения в диапазоне 0,15-0,17. </w:t>
                            </w:r>
                            <w:r>
                              <w:rPr>
                                <w:rFonts w:ascii="Times New Roman" w:hAnsi="Times New Roman"/>
                                <w:sz w:val="20"/>
                                <w:szCs w:val="20"/>
                              </w:rPr>
                              <w:t xml:space="preserve">Для учета </w:t>
                            </w:r>
                            <w:r w:rsidRPr="00493EC5">
                              <w:rPr>
                                <w:rFonts w:ascii="Times New Roman" w:hAnsi="Times New Roman"/>
                                <w:sz w:val="20"/>
                                <w:szCs w:val="20"/>
                              </w:rPr>
                              <w:t>эффект</w:t>
                            </w:r>
                            <w:r>
                              <w:rPr>
                                <w:rFonts w:ascii="Times New Roman" w:hAnsi="Times New Roman"/>
                                <w:sz w:val="20"/>
                                <w:szCs w:val="20"/>
                              </w:rPr>
                              <w:t>а</w:t>
                            </w:r>
                            <w:r w:rsidRPr="00493EC5">
                              <w:rPr>
                                <w:rFonts w:ascii="Times New Roman" w:hAnsi="Times New Roman"/>
                                <w:sz w:val="20"/>
                                <w:szCs w:val="20"/>
                              </w:rPr>
                              <w:t xml:space="preserve"> догоняющего развития, когда экономики со сравнительно низким доходом на душу </w:t>
                            </w:r>
                            <w:r>
                              <w:rPr>
                                <w:rFonts w:ascii="Times New Roman" w:hAnsi="Times New Roman"/>
                                <w:sz w:val="20"/>
                                <w:szCs w:val="20"/>
                              </w:rPr>
                              <w:t xml:space="preserve">населения </w:t>
                            </w:r>
                            <w:r w:rsidRPr="00493EC5">
                              <w:rPr>
                                <w:rFonts w:ascii="Times New Roman" w:hAnsi="Times New Roman"/>
                                <w:sz w:val="20"/>
                                <w:szCs w:val="20"/>
                              </w:rPr>
                              <w:t>испытывают повышенный рост за счет импорта технологий из-за рубежа</w:t>
                            </w:r>
                            <w:r>
                              <w:rPr>
                                <w:rFonts w:ascii="Times New Roman" w:hAnsi="Times New Roman"/>
                                <w:sz w:val="20"/>
                                <w:szCs w:val="20"/>
                              </w:rPr>
                              <w:t>,</w:t>
                            </w:r>
                            <w:r w:rsidRPr="00493EC5">
                              <w:rPr>
                                <w:rFonts w:ascii="Times New Roman" w:hAnsi="Times New Roman"/>
                                <w:sz w:val="20"/>
                                <w:szCs w:val="20"/>
                              </w:rPr>
                              <w:t xml:space="preserve"> </w:t>
                            </w:r>
                            <w:r>
                              <w:rPr>
                                <w:rFonts w:ascii="Times New Roman" w:hAnsi="Times New Roman"/>
                                <w:sz w:val="20"/>
                                <w:szCs w:val="20"/>
                              </w:rPr>
                              <w:t xml:space="preserve">в модель был </w:t>
                            </w:r>
                            <w:r w:rsidRPr="00493EC5">
                              <w:rPr>
                                <w:rFonts w:ascii="Times New Roman" w:hAnsi="Times New Roman"/>
                                <w:sz w:val="20"/>
                                <w:szCs w:val="20"/>
                              </w:rPr>
                              <w:t>включ</w:t>
                            </w:r>
                            <w:r>
                              <w:rPr>
                                <w:rFonts w:ascii="Times New Roman" w:hAnsi="Times New Roman"/>
                                <w:sz w:val="20"/>
                                <w:szCs w:val="20"/>
                              </w:rPr>
                              <w:t>ен</w:t>
                            </w:r>
                            <w:r w:rsidRPr="00493EC5">
                              <w:rPr>
                                <w:rFonts w:ascii="Times New Roman" w:hAnsi="Times New Roman"/>
                                <w:sz w:val="20"/>
                                <w:szCs w:val="20"/>
                              </w:rPr>
                              <w:t xml:space="preserve"> </w:t>
                            </w:r>
                            <w:r>
                              <w:rPr>
                                <w:rFonts w:ascii="Times New Roman" w:hAnsi="Times New Roman"/>
                                <w:sz w:val="20"/>
                                <w:szCs w:val="20"/>
                              </w:rPr>
                              <w:t xml:space="preserve">показатель </w:t>
                            </w:r>
                            <w:r w:rsidRPr="00493EC5">
                              <w:rPr>
                                <w:rFonts w:ascii="Times New Roman" w:hAnsi="Times New Roman"/>
                                <w:sz w:val="20"/>
                                <w:szCs w:val="20"/>
                              </w:rPr>
                              <w:t>отклонени</w:t>
                            </w:r>
                            <w:r>
                              <w:rPr>
                                <w:rFonts w:ascii="Times New Roman" w:hAnsi="Times New Roman"/>
                                <w:sz w:val="20"/>
                                <w:szCs w:val="20"/>
                              </w:rPr>
                              <w:t>я</w:t>
                            </w:r>
                            <w:r w:rsidRPr="00493EC5">
                              <w:rPr>
                                <w:rFonts w:ascii="Times New Roman" w:hAnsi="Times New Roman"/>
                                <w:sz w:val="20"/>
                                <w:szCs w:val="20"/>
                              </w:rPr>
                              <w:t xml:space="preserve"> валового выпуска по паритету покупательной способности на душу </w:t>
                            </w:r>
                            <w:r>
                              <w:rPr>
                                <w:rFonts w:ascii="Times New Roman" w:hAnsi="Times New Roman"/>
                                <w:sz w:val="20"/>
                                <w:szCs w:val="20"/>
                              </w:rPr>
                              <w:t xml:space="preserve">населения </w:t>
                            </w:r>
                            <w:r w:rsidRPr="00493EC5">
                              <w:rPr>
                                <w:rFonts w:ascii="Times New Roman" w:hAnsi="Times New Roman"/>
                                <w:sz w:val="20"/>
                                <w:szCs w:val="20"/>
                              </w:rPr>
                              <w:t>от среднего по выборке стран. Ожидаемо более</w:t>
                            </w:r>
                            <w:r>
                              <w:rPr>
                                <w:rFonts w:ascii="Times New Roman" w:hAnsi="Times New Roman"/>
                                <w:sz w:val="20"/>
                                <w:szCs w:val="20"/>
                              </w:rPr>
                              <w:t xml:space="preserve"> низкий</w:t>
                            </w:r>
                            <w:r w:rsidRPr="00493EC5">
                              <w:rPr>
                                <w:rFonts w:ascii="Times New Roman" w:hAnsi="Times New Roman"/>
                                <w:sz w:val="20"/>
                                <w:szCs w:val="20"/>
                              </w:rPr>
                              <w:t xml:space="preserve"> уровень доходов ассоциируется с </w:t>
                            </w:r>
                            <w:r>
                              <w:rPr>
                                <w:rFonts w:ascii="Times New Roman" w:hAnsi="Times New Roman"/>
                                <w:sz w:val="20"/>
                                <w:szCs w:val="20"/>
                              </w:rPr>
                              <w:t>более</w:t>
                            </w:r>
                            <w:r w:rsidRPr="00493EC5">
                              <w:rPr>
                                <w:rFonts w:ascii="Times New Roman" w:hAnsi="Times New Roman"/>
                                <w:sz w:val="20"/>
                                <w:szCs w:val="20"/>
                              </w:rPr>
                              <w:t xml:space="preserve"> высоким ростом производительности, диапазон значение этого параметра составил -0,04 - -0,01.</w:t>
                            </w:r>
                          </w:p>
                          <w:p w:rsidR="007E5DFE" w:rsidRDefault="007E5DFE" w:rsidP="0075465C">
                            <w:pPr>
                              <w:spacing w:before="120" w:after="120"/>
                              <w:jc w:val="both"/>
                              <w:rPr>
                                <w:rFonts w:ascii="Times New Roman" w:hAnsi="Times New Roman"/>
                                <w:sz w:val="20"/>
                                <w:szCs w:val="20"/>
                              </w:rPr>
                            </w:pPr>
                            <w:r w:rsidRPr="00493EC5">
                              <w:rPr>
                                <w:rFonts w:ascii="Times New Roman" w:hAnsi="Times New Roman"/>
                                <w:sz w:val="20"/>
                                <w:szCs w:val="20"/>
                              </w:rPr>
                              <w:t>Другим фактором, оказывающим значительное</w:t>
                            </w:r>
                            <w:r>
                              <w:rPr>
                                <w:rFonts w:ascii="Times New Roman" w:hAnsi="Times New Roman"/>
                                <w:sz w:val="20"/>
                                <w:szCs w:val="20"/>
                              </w:rPr>
                              <w:t xml:space="preserve">, но на этот раз сдерживающее, </w:t>
                            </w:r>
                            <w:r w:rsidRPr="00493EC5">
                              <w:rPr>
                                <w:rFonts w:ascii="Times New Roman" w:hAnsi="Times New Roman"/>
                                <w:sz w:val="20"/>
                                <w:szCs w:val="20"/>
                              </w:rPr>
                              <w:t>влияние на рост производительности труда, оказалась доля потребления государства в ВВП. При росте этого показателя на 1п</w:t>
                            </w:r>
                            <w:r>
                              <w:rPr>
                                <w:rFonts w:ascii="Times New Roman" w:hAnsi="Times New Roman"/>
                                <w:sz w:val="20"/>
                                <w:szCs w:val="20"/>
                              </w:rPr>
                              <w:t>.</w:t>
                            </w:r>
                            <w:r w:rsidRPr="00493EC5">
                              <w:rPr>
                                <w:rFonts w:ascii="Times New Roman" w:hAnsi="Times New Roman"/>
                                <w:sz w:val="20"/>
                                <w:szCs w:val="20"/>
                              </w:rPr>
                              <w:t>п</w:t>
                            </w:r>
                            <w:r>
                              <w:rPr>
                                <w:rFonts w:ascii="Times New Roman" w:hAnsi="Times New Roman"/>
                                <w:sz w:val="20"/>
                                <w:szCs w:val="20"/>
                              </w:rPr>
                              <w:t>.</w:t>
                            </w:r>
                            <w:r w:rsidRPr="00493EC5">
                              <w:rPr>
                                <w:rFonts w:ascii="Times New Roman" w:hAnsi="Times New Roman"/>
                                <w:sz w:val="20"/>
                                <w:szCs w:val="20"/>
                              </w:rPr>
                              <w:t xml:space="preserve"> в </w:t>
                            </w:r>
                            <w:r>
                              <w:rPr>
                                <w:rFonts w:ascii="Times New Roman" w:hAnsi="Times New Roman"/>
                                <w:sz w:val="20"/>
                                <w:szCs w:val="20"/>
                              </w:rPr>
                              <w:t xml:space="preserve">представленной </w:t>
                            </w:r>
                            <w:r w:rsidRPr="00493EC5">
                              <w:rPr>
                                <w:rFonts w:ascii="Times New Roman" w:hAnsi="Times New Roman"/>
                                <w:sz w:val="20"/>
                                <w:szCs w:val="20"/>
                              </w:rPr>
                              <w:t>выборке рост замедлялся на -0,46</w:t>
                            </w:r>
                            <w:r>
                              <w:rPr>
                                <w:rFonts w:ascii="Times New Roman" w:hAnsi="Times New Roman"/>
                                <w:sz w:val="20"/>
                                <w:szCs w:val="20"/>
                              </w:rPr>
                              <w:t xml:space="preserve"> - -0,50п.п.</w:t>
                            </w:r>
                          </w:p>
                          <w:p w:rsidR="007E5DFE" w:rsidRPr="0031498D" w:rsidRDefault="007E5DFE" w:rsidP="0075465C">
                            <w:pPr>
                              <w:spacing w:before="120" w:after="120"/>
                              <w:jc w:val="both"/>
                              <w:rPr>
                                <w:rFonts w:ascii="Times New Roman" w:hAnsi="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0;margin-top:.25pt;width:453.9pt;height:495.75pt;z-index:251662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" fillcolor="#f2f2f2 [3052]" stroked="f">
                <v:textbox>
                  <w:txbxContent>
                    <w:tbl>
                      <w:tblPr>
                        <w:tblStyle w:val="Smalltable"/>
                        <w:tblW w:w="6188" w:type="dxa"/>
                        <w:tblInd w:w="1309" w:type="dxa"/>
                        <w:tblLook w:val="04A0" w:firstRow="1" w:lastRow="0" w:firstColumn="1" w:lastColumn="0" w:noHBand="0" w:noVBand="1"/>
                      </w:tblPr>
                      <w:tblGrid>
                        <w:gridCol w:w="6126"/>
                        <w:gridCol w:w="62"/>
                      </w:tblGrid>
                      <w:tr w:rsidR="007E5DFE" w:rsidRPr="00E65DE3" w:rsidTr="005A0337">
                        <w:trPr>
                          <w:gridAfter w:val="1"/>
                          <w:wAfter w:w="62" w:type="dxa"/>
                          <w:trHeight w:val="198"/>
                        </w:trPr>
                        <w:tc>
                          <w:tcPr>
                            <w:tcW w:w="6126" w:type="dxa"/>
                            <w:shd w:val="clear" w:color="auto" w:fill="auto"/>
                          </w:tcPr>
                          <w:p w:rsidR="007E5DFE" w:rsidRPr="00235B64" w:rsidRDefault="007E5DFE" w:rsidP="00ED0C00">
                            <w:pPr>
                              <w:pStyle w:val="GraphTitle"/>
                              <w:rPr>
                                <w:rFonts w:ascii="Times New Roman" w:hAnsi="Times New Roman" w:cs="Times New Roman"/>
                                <w:b/>
                                <w:sz w:val="20"/>
                                <w:szCs w:val="20"/>
                                <w:lang w:val="ru-RU"/>
                              </w:rPr>
                            </w:pPr>
                            <w:r w:rsidRPr="00235B64">
                              <w:rPr>
                                <w:rFonts w:ascii="Times New Roman" w:hAnsi="Times New Roman" w:cs="Times New Roman"/>
                                <w:b/>
                                <w:sz w:val="20"/>
                                <w:szCs w:val="20"/>
                                <w:lang w:val="ru-RU"/>
                              </w:rPr>
                              <w:t>Долгосрочные темпы роста и инвестиции</w:t>
                            </w:r>
                          </w:p>
                        </w:tc>
                      </w:tr>
                      <w:tr w:rsidR="007E5DFE" w:rsidRPr="00E65DE3" w:rsidTr="005A0337">
                        <w:trPr>
                          <w:trHeight w:hRule="exact" w:val="28"/>
                        </w:trPr>
                        <w:tc>
                          <w:tcPr>
                            <w:tcW w:w="6126" w:type="dxa"/>
                            <w:tcBorders>
                              <w:bottom w:val="single" w:sz="4" w:space="0" w:color="auto"/>
                            </w:tcBorders>
                            <w:shd w:val="clear" w:color="auto" w:fill="auto"/>
                          </w:tcPr>
                          <w:p w:rsidR="007E5DFE" w:rsidRPr="00E65DE3" w:rsidRDefault="007E5DFE" w:rsidP="00ED0C00">
                            <w:pPr>
                              <w:pStyle w:val="TabText"/>
                              <w:rPr>
                                <w:rFonts w:ascii="Times New Roman" w:hAnsi="Times New Roman" w:cs="Times New Roman"/>
                                <w:lang w:val="ru-RU"/>
                              </w:rPr>
                            </w:pPr>
                          </w:p>
                        </w:tc>
                        <w:tc>
                          <w:tcPr>
                            <w:tcW w:w="62" w:type="dxa"/>
                            <w:shd w:val="clear" w:color="auto" w:fill="auto"/>
                          </w:tcPr>
                          <w:p w:rsidR="007E5DFE" w:rsidRPr="00E65DE3" w:rsidRDefault="007E5DFE" w:rsidP="00ED0C00">
                            <w:pPr>
                              <w:pStyle w:val="TabText"/>
                              <w:rPr>
                                <w:rFonts w:ascii="Times New Roman" w:hAnsi="Times New Roman" w:cs="Times New Roman"/>
                                <w:lang w:val="ru-RU"/>
                              </w:rPr>
                            </w:pPr>
                          </w:p>
                        </w:tc>
                      </w:tr>
                      <w:tr w:rsidR="007E5DFE" w:rsidRPr="00E65DE3" w:rsidTr="005A0337">
                        <w:tblPrEx>
                          <w:tblCellMar>
                            <w:left w:w="108" w:type="dxa"/>
                            <w:right w:w="108" w:type="dxa"/>
                          </w:tblCellMar>
                        </w:tblPrEx>
                        <w:trPr>
                          <w:gridAfter w:val="1"/>
                          <w:wAfter w:w="62" w:type="dxa"/>
                          <w:trHeight w:val="2200"/>
                        </w:trPr>
                        <w:tc>
                          <w:tcPr>
                            <w:tcW w:w="6126" w:type="dxa"/>
                            <w:tcBorders>
                              <w:top w:val="single" w:sz="4" w:space="0" w:color="auto"/>
                              <w:bottom w:val="single" w:sz="4" w:space="0" w:color="auto"/>
                            </w:tcBorders>
                            <w:shd w:val="clear" w:color="auto" w:fill="auto"/>
                            <w:tcMar>
                              <w:left w:w="0" w:type="nil"/>
                              <w:right w:w="0" w:type="nil"/>
                            </w:tcMar>
                          </w:tcPr>
                          <w:p w:rsidR="007E5DFE" w:rsidRPr="00E65DE3" w:rsidRDefault="007E5DFE" w:rsidP="00ED0C00">
                            <w:pPr>
                              <w:pStyle w:val="TabText"/>
                              <w:rPr>
                                <w:rFonts w:ascii="Times New Roman" w:hAnsi="Times New Roman" w:cs="Times New Roman"/>
                                <w:lang w:val="ru-RU"/>
                              </w:rPr>
                            </w:pPr>
                            <w:r w:rsidRPr="003E2F41">
                              <w:rPr>
                                <w:rFonts w:ascii="Times New Roman" w:hAnsi="Times New Roman" w:cs="Times New Roman"/>
                                <w:noProof/>
                                <w:lang w:val="ru-RU" w:bidi="ar-SA"/>
                              </w:rPr>
                              <w:drawing>
                                <wp:inline distT="0" distB="0" distL="0" distR="0" wp14:anchorId="6706BC71" wp14:editId="087836B9">
                                  <wp:extent cx="3753135" cy="3166977"/>
                                  <wp:effectExtent l="0" t="0" r="0" b="0"/>
                                  <wp:docPr id="1029" name="Диаграмма 10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7E5DFE" w:rsidRPr="00E65DE3" w:rsidTr="005A0337">
                        <w:trPr>
                          <w:gridAfter w:val="1"/>
                          <w:wAfter w:w="62" w:type="dxa"/>
                          <w:trHeight w:val="198"/>
                        </w:trPr>
                        <w:tc>
                          <w:tcPr>
                            <w:tcW w:w="6126" w:type="dxa"/>
                            <w:tcBorders>
                              <w:top w:val="single" w:sz="4" w:space="0" w:color="auto"/>
                            </w:tcBorders>
                            <w:shd w:val="clear" w:color="auto" w:fill="auto"/>
                          </w:tcPr>
                          <w:p w:rsidR="007E5DFE" w:rsidRPr="00235B64" w:rsidRDefault="007E5DFE" w:rsidP="00ED0C00">
                            <w:pPr>
                              <w:pStyle w:val="SourceLarge"/>
                              <w:spacing w:after="240"/>
                              <w:rPr>
                                <w:rFonts w:ascii="Times New Roman" w:hAnsi="Times New Roman" w:cs="Times New Roman"/>
                                <w:i/>
                                <w:lang w:val="ru-RU"/>
                              </w:rPr>
                            </w:pPr>
                            <w:r w:rsidRPr="00235B64">
                              <w:rPr>
                                <w:rFonts w:ascii="Times New Roman" w:hAnsi="Times New Roman" w:cs="Times New Roman"/>
                                <w:i/>
                                <w:sz w:val="14"/>
                                <w:szCs w:val="14"/>
                                <w:lang w:val="ru-RU"/>
                              </w:rPr>
                              <w:t>Источник:</w:t>
                            </w:r>
                            <w:r w:rsidRPr="003633FC">
                              <w:rPr>
                                <w:rFonts w:ascii="Times New Roman" w:hAnsi="Times New Roman" w:cs="Times New Roman"/>
                                <w:i/>
                                <w:sz w:val="14"/>
                                <w:szCs w:val="14"/>
                              </w:rPr>
                              <w:t> </w:t>
                            </w:r>
                            <w:r>
                              <w:rPr>
                                <w:rFonts w:ascii="Times New Roman" w:hAnsi="Times New Roman" w:cs="Times New Roman"/>
                                <w:i/>
                                <w:sz w:val="14"/>
                                <w:szCs w:val="14"/>
                                <w:lang w:val="ru-RU"/>
                              </w:rPr>
                              <w:t>МВФ</w:t>
                            </w:r>
                            <w:r w:rsidRPr="00235B64">
                              <w:rPr>
                                <w:rFonts w:ascii="Times New Roman" w:hAnsi="Times New Roman" w:cs="Times New Roman"/>
                                <w:i/>
                                <w:sz w:val="14"/>
                                <w:szCs w:val="14"/>
                                <w:lang w:val="ru-RU"/>
                              </w:rPr>
                              <w:t xml:space="preserve">, </w:t>
                            </w:r>
                            <w:r w:rsidRPr="00235B64">
                              <w:rPr>
                                <w:rFonts w:ascii="Times New Roman" w:hAnsi="Times New Roman" w:cs="Times New Roman"/>
                                <w:i/>
                                <w:sz w:val="14"/>
                                <w:szCs w:val="14"/>
                                <w:lang w:val="en-US"/>
                              </w:rPr>
                              <w:t>Penn</w:t>
                            </w:r>
                            <w:r w:rsidRPr="00235B64">
                              <w:rPr>
                                <w:rFonts w:ascii="Times New Roman" w:hAnsi="Times New Roman" w:cs="Times New Roman"/>
                                <w:i/>
                                <w:sz w:val="14"/>
                                <w:szCs w:val="14"/>
                                <w:lang w:val="ru-RU"/>
                              </w:rPr>
                              <w:t xml:space="preserve"> </w:t>
                            </w:r>
                            <w:r w:rsidRPr="00235B64">
                              <w:rPr>
                                <w:rFonts w:ascii="Times New Roman" w:hAnsi="Times New Roman" w:cs="Times New Roman"/>
                                <w:i/>
                                <w:sz w:val="14"/>
                                <w:szCs w:val="14"/>
                                <w:lang w:val="en-US"/>
                              </w:rPr>
                              <w:t>World</w:t>
                            </w:r>
                            <w:r w:rsidRPr="00235B64">
                              <w:rPr>
                                <w:rFonts w:ascii="Times New Roman" w:hAnsi="Times New Roman" w:cs="Times New Roman"/>
                                <w:i/>
                                <w:sz w:val="14"/>
                                <w:szCs w:val="14"/>
                                <w:lang w:val="ru-RU"/>
                              </w:rPr>
                              <w:t xml:space="preserve"> </w:t>
                            </w:r>
                            <w:r w:rsidRPr="00235B64">
                              <w:rPr>
                                <w:rFonts w:ascii="Times New Roman" w:hAnsi="Times New Roman" w:cs="Times New Roman"/>
                                <w:i/>
                                <w:sz w:val="14"/>
                                <w:szCs w:val="14"/>
                                <w:lang w:val="en-US"/>
                              </w:rPr>
                              <w:t>Tables</w:t>
                            </w:r>
                            <w:r>
                              <w:rPr>
                                <w:rFonts w:ascii="Times New Roman" w:hAnsi="Times New Roman" w:cs="Times New Roman"/>
                                <w:i/>
                                <w:sz w:val="14"/>
                                <w:szCs w:val="14"/>
                                <w:lang w:val="ru-RU"/>
                              </w:rPr>
                              <w:t>, оценки Минфина</w:t>
                            </w:r>
                          </w:p>
                        </w:tc>
                      </w:tr>
                    </w:tbl>
                    <w:p w:rsidR="007E5DFE" w:rsidRDefault="007E5DFE" w:rsidP="0075465C">
                      <w:pPr>
                        <w:spacing w:before="120" w:after="120"/>
                        <w:jc w:val="both"/>
                        <w:rPr>
                          <w:rFonts w:ascii="Times New Roman" w:hAnsi="Times New Roman"/>
                          <w:sz w:val="20"/>
                          <w:szCs w:val="20"/>
                        </w:rPr>
                      </w:pPr>
                      <w:r w:rsidRPr="00054632">
                        <w:rPr>
                          <w:rFonts w:ascii="Times New Roman" w:hAnsi="Times New Roman"/>
                          <w:sz w:val="20"/>
                          <w:szCs w:val="20"/>
                        </w:rPr>
                        <w:t xml:space="preserve">Для оценки устойчивости полученных результатов были оценены 4 панельные модели для </w:t>
                      </w:r>
                      <w:r>
                        <w:rPr>
                          <w:rFonts w:ascii="Times New Roman" w:hAnsi="Times New Roman"/>
                          <w:sz w:val="20"/>
                          <w:szCs w:val="20"/>
                        </w:rPr>
                        <w:t>различных</w:t>
                      </w:r>
                      <w:r w:rsidRPr="00054632">
                        <w:rPr>
                          <w:rFonts w:ascii="Times New Roman" w:hAnsi="Times New Roman"/>
                          <w:sz w:val="20"/>
                          <w:szCs w:val="20"/>
                        </w:rPr>
                        <w:t xml:space="preserve"> </w:t>
                      </w:r>
                      <w:r>
                        <w:rPr>
                          <w:rFonts w:ascii="Times New Roman" w:hAnsi="Times New Roman"/>
                          <w:sz w:val="20"/>
                          <w:szCs w:val="20"/>
                        </w:rPr>
                        <w:t>комбинаций</w:t>
                      </w:r>
                      <w:r w:rsidRPr="00054632">
                        <w:rPr>
                          <w:rFonts w:ascii="Times New Roman" w:hAnsi="Times New Roman"/>
                          <w:sz w:val="20"/>
                          <w:szCs w:val="20"/>
                        </w:rPr>
                        <w:t xml:space="preserve"> объясняющих переменных.</w:t>
                      </w:r>
                    </w:p>
                    <w:p w:rsidR="007E5DFE" w:rsidRPr="00493EC5" w:rsidRDefault="007E5DFE" w:rsidP="0075465C">
                      <w:pPr>
                        <w:spacing w:before="120" w:after="120"/>
                        <w:jc w:val="both"/>
                        <w:rPr>
                          <w:rFonts w:ascii="Times New Roman" w:hAnsi="Times New Roman"/>
                          <w:sz w:val="20"/>
                          <w:szCs w:val="20"/>
                        </w:rPr>
                      </w:pPr>
                      <w:r w:rsidRPr="0002076E">
                        <w:rPr>
                          <w:rFonts w:ascii="Times New Roman" w:hAnsi="Times New Roman"/>
                          <w:sz w:val="20"/>
                          <w:szCs w:val="20"/>
                        </w:rPr>
                        <w:t>Полученные оценки соответствуют априорным ожиданиям и экономической логике</w:t>
                      </w:r>
                      <w:r>
                        <w:rPr>
                          <w:rFonts w:ascii="Times New Roman" w:hAnsi="Times New Roman"/>
                          <w:sz w:val="20"/>
                          <w:szCs w:val="20"/>
                        </w:rPr>
                        <w:t xml:space="preserve">. </w:t>
                      </w:r>
                      <w:r w:rsidRPr="00493EC5">
                        <w:rPr>
                          <w:rFonts w:ascii="Times New Roman" w:hAnsi="Times New Roman"/>
                          <w:sz w:val="20"/>
                          <w:szCs w:val="20"/>
                        </w:rPr>
                        <w:t xml:space="preserve">Чувствительность роста реального выпуска на одного занятого к доле инвестиций к ВВП устойчиво положительна и принимает значения в диапазоне 0,15-0,17. </w:t>
                      </w:r>
                      <w:r>
                        <w:rPr>
                          <w:rFonts w:ascii="Times New Roman" w:hAnsi="Times New Roman"/>
                          <w:sz w:val="20"/>
                          <w:szCs w:val="20"/>
                        </w:rPr>
                        <w:t xml:space="preserve">Для учета </w:t>
                      </w:r>
                      <w:r w:rsidRPr="00493EC5">
                        <w:rPr>
                          <w:rFonts w:ascii="Times New Roman" w:hAnsi="Times New Roman"/>
                          <w:sz w:val="20"/>
                          <w:szCs w:val="20"/>
                        </w:rPr>
                        <w:t>эффект</w:t>
                      </w:r>
                      <w:r>
                        <w:rPr>
                          <w:rFonts w:ascii="Times New Roman" w:hAnsi="Times New Roman"/>
                          <w:sz w:val="20"/>
                          <w:szCs w:val="20"/>
                        </w:rPr>
                        <w:t>а</w:t>
                      </w:r>
                      <w:r w:rsidRPr="00493EC5">
                        <w:rPr>
                          <w:rFonts w:ascii="Times New Roman" w:hAnsi="Times New Roman"/>
                          <w:sz w:val="20"/>
                          <w:szCs w:val="20"/>
                        </w:rPr>
                        <w:t xml:space="preserve"> догоняющего развития, когда экономики со сравнительно низким доходом на душу </w:t>
                      </w:r>
                      <w:r>
                        <w:rPr>
                          <w:rFonts w:ascii="Times New Roman" w:hAnsi="Times New Roman"/>
                          <w:sz w:val="20"/>
                          <w:szCs w:val="20"/>
                        </w:rPr>
                        <w:t xml:space="preserve">населения </w:t>
                      </w:r>
                      <w:r w:rsidRPr="00493EC5">
                        <w:rPr>
                          <w:rFonts w:ascii="Times New Roman" w:hAnsi="Times New Roman"/>
                          <w:sz w:val="20"/>
                          <w:szCs w:val="20"/>
                        </w:rPr>
                        <w:t>испытывают повышенный рост за счет импорта технологий из-за рубежа</w:t>
                      </w:r>
                      <w:r>
                        <w:rPr>
                          <w:rFonts w:ascii="Times New Roman" w:hAnsi="Times New Roman"/>
                          <w:sz w:val="20"/>
                          <w:szCs w:val="20"/>
                        </w:rPr>
                        <w:t>,</w:t>
                      </w:r>
                      <w:r w:rsidRPr="00493EC5">
                        <w:rPr>
                          <w:rFonts w:ascii="Times New Roman" w:hAnsi="Times New Roman"/>
                          <w:sz w:val="20"/>
                          <w:szCs w:val="20"/>
                        </w:rPr>
                        <w:t xml:space="preserve"> </w:t>
                      </w:r>
                      <w:r>
                        <w:rPr>
                          <w:rFonts w:ascii="Times New Roman" w:hAnsi="Times New Roman"/>
                          <w:sz w:val="20"/>
                          <w:szCs w:val="20"/>
                        </w:rPr>
                        <w:t xml:space="preserve">в модель был </w:t>
                      </w:r>
                      <w:r w:rsidRPr="00493EC5">
                        <w:rPr>
                          <w:rFonts w:ascii="Times New Roman" w:hAnsi="Times New Roman"/>
                          <w:sz w:val="20"/>
                          <w:szCs w:val="20"/>
                        </w:rPr>
                        <w:t>включ</w:t>
                      </w:r>
                      <w:r>
                        <w:rPr>
                          <w:rFonts w:ascii="Times New Roman" w:hAnsi="Times New Roman"/>
                          <w:sz w:val="20"/>
                          <w:szCs w:val="20"/>
                        </w:rPr>
                        <w:t>ен</w:t>
                      </w:r>
                      <w:r w:rsidRPr="00493EC5">
                        <w:rPr>
                          <w:rFonts w:ascii="Times New Roman" w:hAnsi="Times New Roman"/>
                          <w:sz w:val="20"/>
                          <w:szCs w:val="20"/>
                        </w:rPr>
                        <w:t xml:space="preserve"> </w:t>
                      </w:r>
                      <w:r>
                        <w:rPr>
                          <w:rFonts w:ascii="Times New Roman" w:hAnsi="Times New Roman"/>
                          <w:sz w:val="20"/>
                          <w:szCs w:val="20"/>
                        </w:rPr>
                        <w:t xml:space="preserve">показатель </w:t>
                      </w:r>
                      <w:r w:rsidRPr="00493EC5">
                        <w:rPr>
                          <w:rFonts w:ascii="Times New Roman" w:hAnsi="Times New Roman"/>
                          <w:sz w:val="20"/>
                          <w:szCs w:val="20"/>
                        </w:rPr>
                        <w:t>отклонени</w:t>
                      </w:r>
                      <w:r>
                        <w:rPr>
                          <w:rFonts w:ascii="Times New Roman" w:hAnsi="Times New Roman"/>
                          <w:sz w:val="20"/>
                          <w:szCs w:val="20"/>
                        </w:rPr>
                        <w:t>я</w:t>
                      </w:r>
                      <w:r w:rsidRPr="00493EC5">
                        <w:rPr>
                          <w:rFonts w:ascii="Times New Roman" w:hAnsi="Times New Roman"/>
                          <w:sz w:val="20"/>
                          <w:szCs w:val="20"/>
                        </w:rPr>
                        <w:t xml:space="preserve"> валового выпуска по паритету покупательной способности на душу </w:t>
                      </w:r>
                      <w:r>
                        <w:rPr>
                          <w:rFonts w:ascii="Times New Roman" w:hAnsi="Times New Roman"/>
                          <w:sz w:val="20"/>
                          <w:szCs w:val="20"/>
                        </w:rPr>
                        <w:t xml:space="preserve">населения </w:t>
                      </w:r>
                      <w:r w:rsidRPr="00493EC5">
                        <w:rPr>
                          <w:rFonts w:ascii="Times New Roman" w:hAnsi="Times New Roman"/>
                          <w:sz w:val="20"/>
                          <w:szCs w:val="20"/>
                        </w:rPr>
                        <w:t>от среднего по выборке стран. Ожидаемо более</w:t>
                      </w:r>
                      <w:r>
                        <w:rPr>
                          <w:rFonts w:ascii="Times New Roman" w:hAnsi="Times New Roman"/>
                          <w:sz w:val="20"/>
                          <w:szCs w:val="20"/>
                        </w:rPr>
                        <w:t xml:space="preserve"> низкий</w:t>
                      </w:r>
                      <w:r w:rsidRPr="00493EC5">
                        <w:rPr>
                          <w:rFonts w:ascii="Times New Roman" w:hAnsi="Times New Roman"/>
                          <w:sz w:val="20"/>
                          <w:szCs w:val="20"/>
                        </w:rPr>
                        <w:t xml:space="preserve"> уровень доходов ассоциируется с </w:t>
                      </w:r>
                      <w:r>
                        <w:rPr>
                          <w:rFonts w:ascii="Times New Roman" w:hAnsi="Times New Roman"/>
                          <w:sz w:val="20"/>
                          <w:szCs w:val="20"/>
                        </w:rPr>
                        <w:t>более</w:t>
                      </w:r>
                      <w:r w:rsidRPr="00493EC5">
                        <w:rPr>
                          <w:rFonts w:ascii="Times New Roman" w:hAnsi="Times New Roman"/>
                          <w:sz w:val="20"/>
                          <w:szCs w:val="20"/>
                        </w:rPr>
                        <w:t xml:space="preserve"> высоким ростом производительности, диапазон значение этого параметра составил -0,04 - -0,01.</w:t>
                      </w:r>
                    </w:p>
                    <w:p w:rsidR="007E5DFE" w:rsidRDefault="007E5DFE" w:rsidP="0075465C">
                      <w:pPr>
                        <w:spacing w:before="120" w:after="120"/>
                        <w:jc w:val="both"/>
                        <w:rPr>
                          <w:rFonts w:ascii="Times New Roman" w:hAnsi="Times New Roman"/>
                          <w:sz w:val="20"/>
                          <w:szCs w:val="20"/>
                        </w:rPr>
                      </w:pPr>
                      <w:r w:rsidRPr="00493EC5">
                        <w:rPr>
                          <w:rFonts w:ascii="Times New Roman" w:hAnsi="Times New Roman"/>
                          <w:sz w:val="20"/>
                          <w:szCs w:val="20"/>
                        </w:rPr>
                        <w:t>Другим фактором, оказывающим значительное</w:t>
                      </w:r>
                      <w:r>
                        <w:rPr>
                          <w:rFonts w:ascii="Times New Roman" w:hAnsi="Times New Roman"/>
                          <w:sz w:val="20"/>
                          <w:szCs w:val="20"/>
                        </w:rPr>
                        <w:t xml:space="preserve">, но на этот раз сдерживающее, </w:t>
                      </w:r>
                      <w:r w:rsidRPr="00493EC5">
                        <w:rPr>
                          <w:rFonts w:ascii="Times New Roman" w:hAnsi="Times New Roman"/>
                          <w:sz w:val="20"/>
                          <w:szCs w:val="20"/>
                        </w:rPr>
                        <w:t>влияние на рост производительности труда, оказалась доля потребления государства в ВВП. При росте этого показателя на 1п</w:t>
                      </w:r>
                      <w:r>
                        <w:rPr>
                          <w:rFonts w:ascii="Times New Roman" w:hAnsi="Times New Roman"/>
                          <w:sz w:val="20"/>
                          <w:szCs w:val="20"/>
                        </w:rPr>
                        <w:t>.</w:t>
                      </w:r>
                      <w:r w:rsidRPr="00493EC5">
                        <w:rPr>
                          <w:rFonts w:ascii="Times New Roman" w:hAnsi="Times New Roman"/>
                          <w:sz w:val="20"/>
                          <w:szCs w:val="20"/>
                        </w:rPr>
                        <w:t>п</w:t>
                      </w:r>
                      <w:r>
                        <w:rPr>
                          <w:rFonts w:ascii="Times New Roman" w:hAnsi="Times New Roman"/>
                          <w:sz w:val="20"/>
                          <w:szCs w:val="20"/>
                        </w:rPr>
                        <w:t>.</w:t>
                      </w:r>
                      <w:r w:rsidRPr="00493EC5">
                        <w:rPr>
                          <w:rFonts w:ascii="Times New Roman" w:hAnsi="Times New Roman"/>
                          <w:sz w:val="20"/>
                          <w:szCs w:val="20"/>
                        </w:rPr>
                        <w:t xml:space="preserve"> в </w:t>
                      </w:r>
                      <w:r>
                        <w:rPr>
                          <w:rFonts w:ascii="Times New Roman" w:hAnsi="Times New Roman"/>
                          <w:sz w:val="20"/>
                          <w:szCs w:val="20"/>
                        </w:rPr>
                        <w:t xml:space="preserve">представленной </w:t>
                      </w:r>
                      <w:r w:rsidRPr="00493EC5">
                        <w:rPr>
                          <w:rFonts w:ascii="Times New Roman" w:hAnsi="Times New Roman"/>
                          <w:sz w:val="20"/>
                          <w:szCs w:val="20"/>
                        </w:rPr>
                        <w:t>выборке рост замедлялся на -0,46</w:t>
                      </w:r>
                      <w:r>
                        <w:rPr>
                          <w:rFonts w:ascii="Times New Roman" w:hAnsi="Times New Roman"/>
                          <w:sz w:val="20"/>
                          <w:szCs w:val="20"/>
                        </w:rPr>
                        <w:t xml:space="preserve"> - -0,50п.п.</w:t>
                      </w:r>
                    </w:p>
                    <w:p w:rsidR="007E5DFE" w:rsidRPr="0031498D" w:rsidRDefault="007E5DFE" w:rsidP="0075465C">
                      <w:pPr>
                        <w:spacing w:before="120" w:after="120"/>
                        <w:jc w:val="both"/>
                        <w:rPr>
                          <w:rFonts w:ascii="Times New Roman" w:hAnsi="Times New Roman"/>
                          <w:sz w:val="20"/>
                          <w:szCs w:val="20"/>
                        </w:rPr>
                      </w:pPr>
                    </w:p>
                  </w:txbxContent>
                </v:textbox>
                <w10:wrap type="square" anchorx="margin"/>
              </v:shape>
            </w:pict>
          </mc:Fallback>
        </mc:AlternateContent>
      </w:r>
      <w:r w:rsidRPr="00711F0F">
        <w:rPr>
          <w:rFonts w:ascii="Times New Roman" w:hAnsi="Times New Roman"/>
          <w:i/>
          <w:sz w:val="24"/>
          <w:szCs w:val="24"/>
        </w:rPr>
        <w:t xml:space="preserve">Высокий уровень доли бюджетных расходов к ВВП, их </w:t>
      </w:r>
      <w:r w:rsidR="00515B31">
        <w:rPr>
          <w:rFonts w:ascii="Times New Roman" w:hAnsi="Times New Roman"/>
          <w:i/>
          <w:sz w:val="24"/>
          <w:szCs w:val="24"/>
        </w:rPr>
        <w:t>недостаточная эффективность и несбалансированная структура</w:t>
      </w:r>
      <w:r w:rsidRPr="00711F0F">
        <w:rPr>
          <w:rFonts w:ascii="Times New Roman" w:hAnsi="Times New Roman"/>
          <w:i/>
          <w:sz w:val="24"/>
          <w:szCs w:val="24"/>
        </w:rPr>
        <w:t xml:space="preserve">. </w:t>
      </w:r>
      <w:proofErr w:type="gramStart"/>
      <w:r w:rsidRPr="00711F0F">
        <w:rPr>
          <w:rFonts w:ascii="Times New Roman" w:hAnsi="Times New Roman"/>
          <w:sz w:val="24"/>
          <w:szCs w:val="24"/>
        </w:rPr>
        <w:t>По итогам 2016 года структурный первичный дефицит консолидированного бюджета состави</w:t>
      </w:r>
      <w:r w:rsidR="009D426B" w:rsidRPr="00711F0F">
        <w:rPr>
          <w:rFonts w:ascii="Times New Roman" w:hAnsi="Times New Roman"/>
          <w:sz w:val="24"/>
          <w:szCs w:val="24"/>
        </w:rPr>
        <w:t>л</w:t>
      </w:r>
      <w:r w:rsidRPr="00711F0F">
        <w:rPr>
          <w:rFonts w:ascii="Times New Roman" w:hAnsi="Times New Roman"/>
          <w:sz w:val="24"/>
          <w:szCs w:val="24"/>
        </w:rPr>
        <w:t xml:space="preserve"> </w:t>
      </w:r>
      <w:r w:rsidR="009D426B" w:rsidRPr="00711F0F">
        <w:rPr>
          <w:rFonts w:ascii="Times New Roman" w:hAnsi="Times New Roman"/>
          <w:sz w:val="24"/>
          <w:szCs w:val="24"/>
        </w:rPr>
        <w:t xml:space="preserve">более </w:t>
      </w:r>
      <w:r w:rsidR="002E57CB">
        <w:rPr>
          <w:rFonts w:ascii="Times New Roman" w:hAnsi="Times New Roman"/>
          <w:sz w:val="24"/>
          <w:szCs w:val="24"/>
        </w:rPr>
        <w:t>2,8</w:t>
      </w:r>
      <w:r w:rsidRPr="00711F0F">
        <w:rPr>
          <w:rFonts w:ascii="Times New Roman" w:hAnsi="Times New Roman"/>
          <w:sz w:val="24"/>
          <w:szCs w:val="24"/>
        </w:rPr>
        <w:t xml:space="preserve">% ВВП, а </w:t>
      </w:r>
      <w:r w:rsidR="009D426B" w:rsidRPr="00711F0F">
        <w:rPr>
          <w:rFonts w:ascii="Times New Roman" w:hAnsi="Times New Roman"/>
          <w:sz w:val="24"/>
          <w:szCs w:val="24"/>
        </w:rPr>
        <w:t xml:space="preserve">первичные </w:t>
      </w:r>
      <w:r w:rsidRPr="00711F0F">
        <w:rPr>
          <w:rFonts w:ascii="Times New Roman" w:hAnsi="Times New Roman"/>
          <w:sz w:val="24"/>
          <w:szCs w:val="24"/>
        </w:rPr>
        <w:t xml:space="preserve">расходы консолидированного бюджета </w:t>
      </w:r>
      <w:r w:rsidR="004707C2" w:rsidRPr="00711F0F">
        <w:rPr>
          <w:rFonts w:ascii="Times New Roman" w:hAnsi="Times New Roman"/>
          <w:sz w:val="24"/>
          <w:szCs w:val="24"/>
        </w:rPr>
        <w:t xml:space="preserve">по итогам 2016 года поднялись до 35,5% ВВП </w:t>
      </w:r>
      <w:r w:rsidRPr="00711F0F">
        <w:rPr>
          <w:rFonts w:ascii="Times New Roman" w:hAnsi="Times New Roman"/>
          <w:sz w:val="24"/>
          <w:szCs w:val="24"/>
        </w:rPr>
        <w:t xml:space="preserve">с уровня </w:t>
      </w:r>
      <w:r w:rsidR="00027B56">
        <w:rPr>
          <w:rFonts w:ascii="Times New Roman" w:hAnsi="Times New Roman"/>
          <w:sz w:val="24"/>
          <w:szCs w:val="24"/>
        </w:rPr>
        <w:t>ниже</w:t>
      </w:r>
      <w:r w:rsidRPr="00711F0F">
        <w:rPr>
          <w:rFonts w:ascii="Times New Roman" w:hAnsi="Times New Roman"/>
          <w:sz w:val="24"/>
          <w:szCs w:val="24"/>
        </w:rPr>
        <w:t xml:space="preserve"> </w:t>
      </w:r>
      <w:r w:rsidR="009D426B" w:rsidRPr="00711F0F">
        <w:rPr>
          <w:rFonts w:ascii="Times New Roman" w:hAnsi="Times New Roman"/>
          <w:sz w:val="24"/>
          <w:szCs w:val="24"/>
        </w:rPr>
        <w:t>3</w:t>
      </w:r>
      <w:r w:rsidR="00515B31">
        <w:rPr>
          <w:rFonts w:ascii="Times New Roman" w:hAnsi="Times New Roman"/>
          <w:sz w:val="24"/>
          <w:szCs w:val="24"/>
        </w:rPr>
        <w:t>0</w:t>
      </w:r>
      <w:r w:rsidRPr="00711F0F">
        <w:rPr>
          <w:rFonts w:ascii="Times New Roman" w:hAnsi="Times New Roman"/>
          <w:sz w:val="24"/>
          <w:szCs w:val="24"/>
        </w:rPr>
        <w:t>% ВВП в 20</w:t>
      </w:r>
      <w:r w:rsidR="00D7755F">
        <w:rPr>
          <w:rFonts w:ascii="Times New Roman" w:hAnsi="Times New Roman"/>
          <w:sz w:val="24"/>
          <w:szCs w:val="24"/>
        </w:rPr>
        <w:t>00</w:t>
      </w:r>
      <w:r w:rsidR="00D170C4">
        <w:rPr>
          <w:rFonts w:ascii="Times New Roman" w:hAnsi="Times New Roman"/>
          <w:sz w:val="24"/>
          <w:szCs w:val="24"/>
        </w:rPr>
        <w:t>-2006</w:t>
      </w:r>
      <w:r w:rsidR="009D426B" w:rsidRPr="00711F0F">
        <w:rPr>
          <w:rFonts w:ascii="Times New Roman" w:hAnsi="Times New Roman"/>
          <w:sz w:val="24"/>
          <w:szCs w:val="24"/>
        </w:rPr>
        <w:t xml:space="preserve"> гг.</w:t>
      </w:r>
      <w:r w:rsidRPr="00711F0F">
        <w:rPr>
          <w:rFonts w:ascii="Times New Roman" w:hAnsi="Times New Roman"/>
          <w:sz w:val="24"/>
          <w:szCs w:val="24"/>
        </w:rPr>
        <w:t xml:space="preserve"> Как показали результаты моделирования долгосрочного экономического роста, доля бюджетных расходов в ВВП имеет обратно-пропорциональную зависимость с темпами потенциального роста экономики.</w:t>
      </w:r>
      <w:proofErr w:type="gramEnd"/>
      <w:r w:rsidRPr="00711F0F">
        <w:rPr>
          <w:rFonts w:ascii="Times New Roman" w:hAnsi="Times New Roman"/>
          <w:sz w:val="24"/>
          <w:szCs w:val="24"/>
        </w:rPr>
        <w:t xml:space="preserve"> Усугубляет ситуацию</w:t>
      </w:r>
      <w:r w:rsidR="009D426B" w:rsidRPr="00711F0F">
        <w:rPr>
          <w:rFonts w:ascii="Times New Roman" w:hAnsi="Times New Roman"/>
          <w:sz w:val="24"/>
          <w:szCs w:val="24"/>
        </w:rPr>
        <w:t xml:space="preserve"> неоптимальная качественная структура расходов, с превалирующей долей текущих расходов на государственный аппарат (включая оборону и безопасность) и социальную политику (</w:t>
      </w:r>
      <w:r w:rsidRPr="00711F0F">
        <w:rPr>
          <w:rFonts w:ascii="Times New Roman" w:hAnsi="Times New Roman"/>
          <w:sz w:val="24"/>
          <w:szCs w:val="24"/>
        </w:rPr>
        <w:t>включая пенсионно</w:t>
      </w:r>
      <w:r w:rsidR="009D426B" w:rsidRPr="00711F0F">
        <w:rPr>
          <w:rFonts w:ascii="Times New Roman" w:hAnsi="Times New Roman"/>
          <w:sz w:val="24"/>
          <w:szCs w:val="24"/>
        </w:rPr>
        <w:t>е</w:t>
      </w:r>
      <w:r w:rsidRPr="00711F0F">
        <w:rPr>
          <w:rFonts w:ascii="Times New Roman" w:hAnsi="Times New Roman"/>
          <w:sz w:val="24"/>
          <w:szCs w:val="24"/>
        </w:rPr>
        <w:t xml:space="preserve"> </w:t>
      </w:r>
      <w:r w:rsidR="009D426B" w:rsidRPr="00711F0F">
        <w:rPr>
          <w:rFonts w:ascii="Times New Roman" w:hAnsi="Times New Roman"/>
          <w:sz w:val="24"/>
          <w:szCs w:val="24"/>
        </w:rPr>
        <w:t>обеспечение):</w:t>
      </w:r>
      <w:r w:rsidRPr="00711F0F">
        <w:rPr>
          <w:rFonts w:ascii="Times New Roman" w:hAnsi="Times New Roman"/>
          <w:sz w:val="24"/>
          <w:szCs w:val="24"/>
        </w:rPr>
        <w:t xml:space="preserve"> </w:t>
      </w:r>
      <w:r w:rsidR="002A773A" w:rsidRPr="00711F0F">
        <w:rPr>
          <w:rFonts w:ascii="Times New Roman" w:hAnsi="Times New Roman"/>
          <w:sz w:val="24"/>
          <w:szCs w:val="24"/>
        </w:rPr>
        <w:t>их доля выросла c 49% в</w:t>
      </w:r>
      <w:r w:rsidRPr="00711F0F">
        <w:rPr>
          <w:rFonts w:ascii="Times New Roman" w:hAnsi="Times New Roman"/>
          <w:sz w:val="24"/>
          <w:szCs w:val="24"/>
        </w:rPr>
        <w:t xml:space="preserve"> 2008 год</w:t>
      </w:r>
      <w:r w:rsidR="002A773A" w:rsidRPr="00711F0F">
        <w:rPr>
          <w:rFonts w:ascii="Times New Roman" w:hAnsi="Times New Roman"/>
          <w:sz w:val="24"/>
          <w:szCs w:val="24"/>
        </w:rPr>
        <w:t>у</w:t>
      </w:r>
      <w:r w:rsidRPr="00711F0F">
        <w:rPr>
          <w:rFonts w:ascii="Times New Roman" w:hAnsi="Times New Roman"/>
          <w:sz w:val="24"/>
          <w:szCs w:val="24"/>
        </w:rPr>
        <w:t xml:space="preserve"> до </w:t>
      </w:r>
      <w:r w:rsidR="009D426B" w:rsidRPr="00711F0F">
        <w:rPr>
          <w:rFonts w:ascii="Times New Roman" w:hAnsi="Times New Roman"/>
          <w:sz w:val="24"/>
          <w:szCs w:val="24"/>
        </w:rPr>
        <w:t>59</w:t>
      </w:r>
      <w:r w:rsidRPr="00711F0F">
        <w:rPr>
          <w:rFonts w:ascii="Times New Roman" w:hAnsi="Times New Roman"/>
          <w:sz w:val="24"/>
          <w:szCs w:val="24"/>
        </w:rPr>
        <w:t>%</w:t>
      </w:r>
      <w:r w:rsidR="009D426B" w:rsidRPr="00711F0F">
        <w:rPr>
          <w:rFonts w:ascii="Times New Roman" w:hAnsi="Times New Roman"/>
          <w:sz w:val="24"/>
          <w:szCs w:val="24"/>
        </w:rPr>
        <w:t xml:space="preserve"> в 2016 году</w:t>
      </w:r>
      <w:r w:rsidRPr="00711F0F">
        <w:rPr>
          <w:rFonts w:ascii="Times New Roman" w:hAnsi="Times New Roman"/>
          <w:sz w:val="24"/>
          <w:szCs w:val="24"/>
        </w:rPr>
        <w:t>.</w:t>
      </w:r>
    </w:p>
    <w:p w:rsidR="0075465C" w:rsidRDefault="0075465C" w:rsidP="0075465C">
      <w:pPr>
        <w:pStyle w:val="a9"/>
        <w:numPr>
          <w:ilvl w:val="0"/>
          <w:numId w:val="4"/>
        </w:numPr>
        <w:spacing w:before="120" w:after="120"/>
        <w:ind w:left="357" w:hanging="357"/>
        <w:contextualSpacing w:val="0"/>
        <w:jc w:val="both"/>
        <w:rPr>
          <w:rFonts w:ascii="Times New Roman" w:hAnsi="Times New Roman"/>
          <w:sz w:val="24"/>
          <w:szCs w:val="24"/>
        </w:rPr>
      </w:pPr>
      <w:r w:rsidRPr="00EF2302">
        <w:rPr>
          <w:rFonts w:ascii="Times New Roman" w:hAnsi="Times New Roman"/>
          <w:i/>
          <w:sz w:val="24"/>
          <w:szCs w:val="24"/>
        </w:rPr>
        <w:t>Низкая эффективность государственных компаний</w:t>
      </w:r>
      <w:r w:rsidR="00CE128C">
        <w:rPr>
          <w:rFonts w:ascii="Times New Roman" w:hAnsi="Times New Roman"/>
          <w:i/>
          <w:sz w:val="24"/>
          <w:szCs w:val="24"/>
        </w:rPr>
        <w:t xml:space="preserve">. </w:t>
      </w:r>
      <w:r w:rsidR="00CE128C" w:rsidRPr="00F947C2">
        <w:rPr>
          <w:rFonts w:ascii="Times New Roman" w:hAnsi="Times New Roman"/>
          <w:sz w:val="24"/>
          <w:szCs w:val="24"/>
        </w:rPr>
        <w:t>К</w:t>
      </w:r>
      <w:r w:rsidRPr="009D2EFE">
        <w:rPr>
          <w:rFonts w:ascii="Times New Roman" w:hAnsi="Times New Roman"/>
          <w:sz w:val="24"/>
          <w:szCs w:val="24"/>
        </w:rPr>
        <w:t xml:space="preserve">омпании с государственным участием являются крупнейшими потребителями </w:t>
      </w:r>
      <w:r w:rsidRPr="00F947C2">
        <w:rPr>
          <w:rFonts w:ascii="Times New Roman" w:hAnsi="Times New Roman"/>
          <w:sz w:val="24"/>
          <w:szCs w:val="24"/>
        </w:rPr>
        <w:t xml:space="preserve">в экономике как дефицитных трудовых, так и дефицитных финансовых ресурсов. </w:t>
      </w:r>
      <w:r w:rsidR="00FC30DC">
        <w:rPr>
          <w:rFonts w:ascii="Times New Roman" w:hAnsi="Times New Roman"/>
          <w:sz w:val="24"/>
          <w:szCs w:val="24"/>
        </w:rPr>
        <w:t xml:space="preserve">Одним из свидетельств </w:t>
      </w:r>
      <w:r w:rsidR="008E549D">
        <w:rPr>
          <w:rFonts w:ascii="Times New Roman" w:hAnsi="Times New Roman"/>
          <w:sz w:val="24"/>
          <w:szCs w:val="24"/>
        </w:rPr>
        <w:t>недостаточной</w:t>
      </w:r>
      <w:r w:rsidR="00FC30DC">
        <w:rPr>
          <w:rFonts w:ascii="Times New Roman" w:hAnsi="Times New Roman"/>
          <w:sz w:val="24"/>
          <w:szCs w:val="24"/>
        </w:rPr>
        <w:t xml:space="preserve"> эффективности госкомпаний и </w:t>
      </w:r>
      <w:r w:rsidR="00863773">
        <w:rPr>
          <w:rFonts w:ascii="Times New Roman" w:hAnsi="Times New Roman"/>
          <w:sz w:val="24"/>
          <w:szCs w:val="24"/>
        </w:rPr>
        <w:t xml:space="preserve">примером </w:t>
      </w:r>
      <w:r w:rsidR="00E86295">
        <w:rPr>
          <w:rFonts w:ascii="Times New Roman" w:hAnsi="Times New Roman"/>
          <w:sz w:val="24"/>
          <w:szCs w:val="24"/>
        </w:rPr>
        <w:t xml:space="preserve">искажения </w:t>
      </w:r>
      <w:r w:rsidR="00863773">
        <w:rPr>
          <w:rFonts w:ascii="Times New Roman" w:hAnsi="Times New Roman"/>
          <w:sz w:val="24"/>
          <w:szCs w:val="24"/>
        </w:rPr>
        <w:t xml:space="preserve">конкурентной рыночной среды является </w:t>
      </w:r>
      <w:r w:rsidR="00491375">
        <w:rPr>
          <w:rFonts w:ascii="Times New Roman" w:hAnsi="Times New Roman"/>
          <w:sz w:val="24"/>
          <w:szCs w:val="24"/>
        </w:rPr>
        <w:t xml:space="preserve">относительно </w:t>
      </w:r>
      <w:r w:rsidR="00863773">
        <w:rPr>
          <w:rFonts w:ascii="Times New Roman" w:hAnsi="Times New Roman"/>
          <w:sz w:val="24"/>
          <w:szCs w:val="24"/>
        </w:rPr>
        <w:t>н</w:t>
      </w:r>
      <w:r w:rsidR="00CE128C" w:rsidRPr="00F947C2">
        <w:rPr>
          <w:rFonts w:ascii="Times New Roman" w:hAnsi="Times New Roman"/>
          <w:sz w:val="24"/>
          <w:szCs w:val="24"/>
        </w:rPr>
        <w:t xml:space="preserve">изкий уровень дивидендной доходности </w:t>
      </w:r>
      <w:r w:rsidR="008E549D">
        <w:rPr>
          <w:rFonts w:ascii="Times New Roman" w:hAnsi="Times New Roman"/>
          <w:sz w:val="24"/>
          <w:szCs w:val="24"/>
        </w:rPr>
        <w:t xml:space="preserve">госкомпаний – что по сути является вменённой </w:t>
      </w:r>
      <w:r w:rsidR="00352DDF" w:rsidRPr="00F947C2">
        <w:rPr>
          <w:rFonts w:ascii="Times New Roman" w:hAnsi="Times New Roman"/>
          <w:sz w:val="24"/>
          <w:szCs w:val="24"/>
        </w:rPr>
        <w:t>субсидией государства</w:t>
      </w:r>
      <w:r w:rsidR="00067697" w:rsidRPr="00F947C2">
        <w:rPr>
          <w:rFonts w:ascii="Times New Roman" w:hAnsi="Times New Roman"/>
          <w:sz w:val="24"/>
          <w:szCs w:val="24"/>
        </w:rPr>
        <w:t xml:space="preserve">. Как следствие, </w:t>
      </w:r>
      <w:r w:rsidR="00357901" w:rsidRPr="00F947C2">
        <w:rPr>
          <w:rFonts w:ascii="Times New Roman" w:hAnsi="Times New Roman"/>
          <w:sz w:val="24"/>
          <w:szCs w:val="24"/>
        </w:rPr>
        <w:t>финансовые</w:t>
      </w:r>
      <w:r w:rsidR="00357901">
        <w:rPr>
          <w:rFonts w:ascii="Times New Roman" w:hAnsi="Times New Roman"/>
          <w:sz w:val="24"/>
          <w:szCs w:val="24"/>
        </w:rPr>
        <w:t xml:space="preserve"> ресурсы могут направляться в </w:t>
      </w:r>
      <w:proofErr w:type="spellStart"/>
      <w:r w:rsidR="00357901">
        <w:rPr>
          <w:rFonts w:ascii="Times New Roman" w:hAnsi="Times New Roman"/>
          <w:sz w:val="24"/>
          <w:szCs w:val="24"/>
        </w:rPr>
        <w:t>инвестицонные</w:t>
      </w:r>
      <w:proofErr w:type="spellEnd"/>
      <w:r w:rsidR="00357901">
        <w:rPr>
          <w:rFonts w:ascii="Times New Roman" w:hAnsi="Times New Roman"/>
          <w:sz w:val="24"/>
          <w:szCs w:val="24"/>
        </w:rPr>
        <w:t xml:space="preserve"> проекты</w:t>
      </w:r>
      <w:r w:rsidR="00C25115">
        <w:rPr>
          <w:rFonts w:ascii="Times New Roman" w:hAnsi="Times New Roman"/>
          <w:sz w:val="24"/>
          <w:szCs w:val="24"/>
        </w:rPr>
        <w:t>, имеющие отдачу ниже рыночного уровня.</w:t>
      </w:r>
    </w:p>
    <w:p w:rsidR="00D524A3" w:rsidRDefault="0075465C" w:rsidP="00DF7CB2">
      <w:pPr>
        <w:spacing w:before="120" w:after="120"/>
        <w:jc w:val="both"/>
        <w:rPr>
          <w:rFonts w:ascii="Times New Roman" w:hAnsi="Times New Roman"/>
          <w:sz w:val="24"/>
          <w:szCs w:val="24"/>
        </w:rPr>
      </w:pPr>
      <w:r w:rsidRPr="00FB3BC8">
        <w:rPr>
          <w:rFonts w:ascii="Times New Roman" w:hAnsi="Times New Roman"/>
          <w:sz w:val="24"/>
          <w:szCs w:val="24"/>
        </w:rPr>
        <w:t xml:space="preserve">Наложение внутренних ограничений для экономического развития на ожидаемые внешние условия </w:t>
      </w:r>
      <w:r w:rsidR="00FB3BC8" w:rsidRPr="00FB3BC8">
        <w:rPr>
          <w:rFonts w:ascii="Times New Roman" w:hAnsi="Times New Roman"/>
          <w:sz w:val="24"/>
          <w:szCs w:val="24"/>
        </w:rPr>
        <w:t xml:space="preserve">при </w:t>
      </w:r>
      <w:r w:rsidR="000D135E" w:rsidRPr="00FB3BC8">
        <w:rPr>
          <w:rFonts w:ascii="Times New Roman" w:hAnsi="Times New Roman"/>
          <w:sz w:val="24"/>
          <w:szCs w:val="24"/>
        </w:rPr>
        <w:t xml:space="preserve">инерционном </w:t>
      </w:r>
      <w:r w:rsidR="00FB3BC8" w:rsidRPr="00FB3BC8">
        <w:rPr>
          <w:rFonts w:ascii="Times New Roman" w:hAnsi="Times New Roman"/>
          <w:sz w:val="24"/>
          <w:szCs w:val="24"/>
        </w:rPr>
        <w:t xml:space="preserve">развитии событий </w:t>
      </w:r>
      <w:r w:rsidR="00512277" w:rsidRPr="00FB3BC8">
        <w:rPr>
          <w:rFonts w:ascii="Times New Roman" w:hAnsi="Times New Roman"/>
          <w:sz w:val="24"/>
          <w:szCs w:val="24"/>
        </w:rPr>
        <w:t xml:space="preserve">(в </w:t>
      </w:r>
      <w:proofErr w:type="spellStart"/>
      <w:r w:rsidR="00512277" w:rsidRPr="00FB3BC8">
        <w:rPr>
          <w:rFonts w:ascii="Times New Roman" w:hAnsi="Times New Roman"/>
          <w:sz w:val="24"/>
          <w:szCs w:val="24"/>
        </w:rPr>
        <w:t>отсутстви</w:t>
      </w:r>
      <w:r w:rsidR="002A773A" w:rsidRPr="00FB3BC8">
        <w:rPr>
          <w:rFonts w:ascii="Times New Roman" w:hAnsi="Times New Roman"/>
          <w:sz w:val="24"/>
          <w:szCs w:val="24"/>
        </w:rPr>
        <w:t>е</w:t>
      </w:r>
      <w:r w:rsidR="00512277" w:rsidRPr="00FB3BC8">
        <w:rPr>
          <w:rFonts w:ascii="Times New Roman" w:hAnsi="Times New Roman"/>
          <w:sz w:val="24"/>
          <w:szCs w:val="24"/>
        </w:rPr>
        <w:t>и</w:t>
      </w:r>
      <w:proofErr w:type="spellEnd"/>
      <w:r w:rsidR="00512277" w:rsidRPr="00FB3BC8">
        <w:rPr>
          <w:rFonts w:ascii="Times New Roman" w:hAnsi="Times New Roman"/>
          <w:sz w:val="24"/>
          <w:szCs w:val="24"/>
        </w:rPr>
        <w:t xml:space="preserve"> дополнительных мер структурной экономической политики) </w:t>
      </w:r>
      <w:r w:rsidR="00FB3BC8">
        <w:rPr>
          <w:rFonts w:ascii="Times New Roman" w:hAnsi="Times New Roman"/>
          <w:sz w:val="24"/>
          <w:szCs w:val="24"/>
        </w:rPr>
        <w:t xml:space="preserve">не позволило бы </w:t>
      </w:r>
      <w:r w:rsidRPr="00FB3BC8">
        <w:rPr>
          <w:rFonts w:ascii="Times New Roman" w:hAnsi="Times New Roman"/>
          <w:sz w:val="24"/>
          <w:szCs w:val="24"/>
        </w:rPr>
        <w:t>темп</w:t>
      </w:r>
      <w:r w:rsidR="00FB3BC8">
        <w:rPr>
          <w:rFonts w:ascii="Times New Roman" w:hAnsi="Times New Roman"/>
          <w:sz w:val="24"/>
          <w:szCs w:val="24"/>
        </w:rPr>
        <w:t xml:space="preserve">ам </w:t>
      </w:r>
      <w:r w:rsidRPr="00FB3BC8">
        <w:rPr>
          <w:rFonts w:ascii="Times New Roman" w:hAnsi="Times New Roman"/>
          <w:sz w:val="24"/>
          <w:szCs w:val="24"/>
        </w:rPr>
        <w:t xml:space="preserve">роста экономики </w:t>
      </w:r>
      <w:proofErr w:type="spellStart"/>
      <w:r w:rsidR="00FB3BC8">
        <w:rPr>
          <w:rFonts w:ascii="Times New Roman" w:hAnsi="Times New Roman"/>
          <w:sz w:val="24"/>
          <w:szCs w:val="24"/>
        </w:rPr>
        <w:t>преодалеть</w:t>
      </w:r>
      <w:proofErr w:type="spellEnd"/>
      <w:r w:rsidR="00FB3BC8">
        <w:rPr>
          <w:rFonts w:ascii="Times New Roman" w:hAnsi="Times New Roman"/>
          <w:sz w:val="24"/>
          <w:szCs w:val="24"/>
        </w:rPr>
        <w:t xml:space="preserve"> уровень в </w:t>
      </w:r>
      <w:r w:rsidR="00982198" w:rsidRPr="00FB3BC8">
        <w:rPr>
          <w:rFonts w:ascii="Times New Roman" w:hAnsi="Times New Roman"/>
          <w:sz w:val="24"/>
          <w:szCs w:val="24"/>
        </w:rPr>
        <w:t>1,5% в год.</w:t>
      </w:r>
    </w:p>
    <w:p w:rsidR="009A0F3F" w:rsidRPr="00F947C2" w:rsidRDefault="007E5403" w:rsidP="00DF7CB2">
      <w:pPr>
        <w:spacing w:before="120" w:after="120"/>
        <w:jc w:val="both"/>
        <w:rPr>
          <w:rFonts w:ascii="Times New Roman" w:hAnsi="Times New Roman"/>
          <w:sz w:val="24"/>
          <w:szCs w:val="24"/>
        </w:rPr>
      </w:pPr>
      <w:r>
        <w:rPr>
          <w:rFonts w:ascii="Times New Roman" w:hAnsi="Times New Roman"/>
          <w:sz w:val="24"/>
          <w:szCs w:val="24"/>
        </w:rPr>
        <w:t>В то же время последовательная реализация</w:t>
      </w:r>
      <w:r w:rsidR="00D524A3">
        <w:rPr>
          <w:rFonts w:ascii="Times New Roman" w:hAnsi="Times New Roman"/>
          <w:sz w:val="24"/>
          <w:szCs w:val="24"/>
        </w:rPr>
        <w:t xml:space="preserve"> в последние годы</w:t>
      </w:r>
      <w:r>
        <w:rPr>
          <w:rFonts w:ascii="Times New Roman" w:hAnsi="Times New Roman"/>
          <w:sz w:val="24"/>
          <w:szCs w:val="24"/>
        </w:rPr>
        <w:t xml:space="preserve"> мер</w:t>
      </w:r>
      <w:r w:rsidR="00F947C2">
        <w:rPr>
          <w:rFonts w:ascii="Times New Roman" w:hAnsi="Times New Roman"/>
          <w:sz w:val="24"/>
          <w:szCs w:val="24"/>
        </w:rPr>
        <w:t xml:space="preserve"> по </w:t>
      </w:r>
      <w:r w:rsidR="00F947C2" w:rsidRPr="00F947C2">
        <w:rPr>
          <w:rFonts w:ascii="Times New Roman" w:hAnsi="Times New Roman"/>
          <w:sz w:val="24"/>
          <w:szCs w:val="24"/>
        </w:rPr>
        <w:t>создани</w:t>
      </w:r>
      <w:r w:rsidR="00F947C2">
        <w:rPr>
          <w:rFonts w:ascii="Times New Roman" w:hAnsi="Times New Roman"/>
          <w:sz w:val="24"/>
          <w:szCs w:val="24"/>
        </w:rPr>
        <w:t xml:space="preserve">ю </w:t>
      </w:r>
      <w:r w:rsidR="00F947C2" w:rsidRPr="00F947C2">
        <w:rPr>
          <w:rFonts w:ascii="Times New Roman" w:hAnsi="Times New Roman"/>
          <w:sz w:val="24"/>
          <w:szCs w:val="24"/>
        </w:rPr>
        <w:t xml:space="preserve">устойчивой и предсказуемой </w:t>
      </w:r>
      <w:r w:rsidR="00D524A3">
        <w:rPr>
          <w:rFonts w:ascii="Times New Roman" w:hAnsi="Times New Roman"/>
          <w:sz w:val="24"/>
          <w:szCs w:val="24"/>
        </w:rPr>
        <w:t xml:space="preserve">макроэкономической </w:t>
      </w:r>
      <w:r w:rsidR="00F947C2" w:rsidRPr="00F947C2">
        <w:rPr>
          <w:rFonts w:ascii="Times New Roman" w:hAnsi="Times New Roman"/>
          <w:sz w:val="24"/>
          <w:szCs w:val="24"/>
        </w:rPr>
        <w:t xml:space="preserve">среды </w:t>
      </w:r>
      <w:r w:rsidR="00D524A3">
        <w:rPr>
          <w:rFonts w:ascii="Times New Roman" w:hAnsi="Times New Roman"/>
          <w:sz w:val="24"/>
          <w:szCs w:val="24"/>
        </w:rPr>
        <w:t xml:space="preserve">(плавающий валютный курс и инфляционное </w:t>
      </w:r>
      <w:proofErr w:type="spellStart"/>
      <w:r w:rsidR="00D524A3">
        <w:rPr>
          <w:rFonts w:ascii="Times New Roman" w:hAnsi="Times New Roman"/>
          <w:sz w:val="24"/>
          <w:szCs w:val="24"/>
        </w:rPr>
        <w:t>таргетирование</w:t>
      </w:r>
      <w:proofErr w:type="spellEnd"/>
      <w:r w:rsidR="00D524A3">
        <w:rPr>
          <w:rFonts w:ascii="Times New Roman" w:hAnsi="Times New Roman"/>
          <w:sz w:val="24"/>
          <w:szCs w:val="24"/>
        </w:rPr>
        <w:t xml:space="preserve">, бюджетное правило и </w:t>
      </w:r>
      <w:proofErr w:type="spellStart"/>
      <w:r w:rsidR="00D524A3">
        <w:rPr>
          <w:rFonts w:ascii="Times New Roman" w:hAnsi="Times New Roman"/>
          <w:sz w:val="24"/>
          <w:szCs w:val="24"/>
        </w:rPr>
        <w:t>сопряженый</w:t>
      </w:r>
      <w:proofErr w:type="spellEnd"/>
      <w:r w:rsidR="00D524A3">
        <w:rPr>
          <w:rFonts w:ascii="Times New Roman" w:hAnsi="Times New Roman"/>
          <w:sz w:val="24"/>
          <w:szCs w:val="24"/>
        </w:rPr>
        <w:t xml:space="preserve"> механизм операций на валютном рынке и др.) по оценкам может добавить</w:t>
      </w:r>
      <w:r w:rsidR="00F947C2" w:rsidRPr="00F947C2">
        <w:rPr>
          <w:rFonts w:ascii="Times New Roman" w:hAnsi="Times New Roman"/>
          <w:sz w:val="24"/>
          <w:szCs w:val="24"/>
        </w:rPr>
        <w:t xml:space="preserve"> к потенциал</w:t>
      </w:r>
      <w:r w:rsidR="00D524A3">
        <w:rPr>
          <w:rFonts w:ascii="Times New Roman" w:hAnsi="Times New Roman"/>
          <w:sz w:val="24"/>
          <w:szCs w:val="24"/>
        </w:rPr>
        <w:t>ьным темпам</w:t>
      </w:r>
      <w:r w:rsidR="00F947C2" w:rsidRPr="00F947C2">
        <w:rPr>
          <w:rFonts w:ascii="Times New Roman" w:hAnsi="Times New Roman"/>
          <w:sz w:val="24"/>
          <w:szCs w:val="24"/>
        </w:rPr>
        <w:t xml:space="preserve"> </w:t>
      </w:r>
      <w:r w:rsidR="00D524A3">
        <w:rPr>
          <w:rFonts w:ascii="Times New Roman" w:hAnsi="Times New Roman"/>
          <w:sz w:val="24"/>
          <w:szCs w:val="24"/>
        </w:rPr>
        <w:t xml:space="preserve">роста </w:t>
      </w:r>
      <w:r w:rsidR="00F947C2" w:rsidRPr="00F947C2">
        <w:rPr>
          <w:rFonts w:ascii="Times New Roman" w:hAnsi="Times New Roman"/>
          <w:sz w:val="24"/>
          <w:szCs w:val="24"/>
        </w:rPr>
        <w:t>экономики порядка 0,5п</w:t>
      </w:r>
      <w:r w:rsidR="00F947C2">
        <w:rPr>
          <w:rFonts w:ascii="Times New Roman" w:hAnsi="Times New Roman"/>
          <w:sz w:val="24"/>
          <w:szCs w:val="24"/>
        </w:rPr>
        <w:t>.</w:t>
      </w:r>
      <w:r w:rsidR="00F947C2" w:rsidRPr="00F947C2">
        <w:rPr>
          <w:rFonts w:ascii="Times New Roman" w:hAnsi="Times New Roman"/>
          <w:sz w:val="24"/>
          <w:szCs w:val="24"/>
        </w:rPr>
        <w:t>п</w:t>
      </w:r>
      <w:r w:rsidR="00F947C2">
        <w:rPr>
          <w:rFonts w:ascii="Times New Roman" w:hAnsi="Times New Roman"/>
          <w:sz w:val="24"/>
          <w:szCs w:val="24"/>
        </w:rPr>
        <w:t>.</w:t>
      </w:r>
      <w:r w:rsidR="00F947C2" w:rsidRPr="00F947C2">
        <w:rPr>
          <w:rFonts w:ascii="Times New Roman" w:hAnsi="Times New Roman"/>
          <w:sz w:val="24"/>
          <w:szCs w:val="24"/>
        </w:rPr>
        <w:t xml:space="preserve"> в год</w:t>
      </w:r>
      <w:r w:rsidR="00F947C2">
        <w:rPr>
          <w:rFonts w:ascii="Times New Roman" w:hAnsi="Times New Roman"/>
          <w:sz w:val="24"/>
          <w:szCs w:val="24"/>
        </w:rPr>
        <w:t>.</w:t>
      </w:r>
      <w:r w:rsidR="00F947C2" w:rsidRPr="00F947C2">
        <w:rPr>
          <w:rFonts w:ascii="Times New Roman" w:hAnsi="Times New Roman"/>
          <w:sz w:val="24"/>
          <w:szCs w:val="24"/>
        </w:rPr>
        <w:t xml:space="preserve"> </w:t>
      </w:r>
      <w:r w:rsidR="00F947C2">
        <w:rPr>
          <w:rFonts w:ascii="Times New Roman" w:hAnsi="Times New Roman"/>
          <w:sz w:val="24"/>
          <w:szCs w:val="24"/>
        </w:rPr>
        <w:t>Кроме того, постепенная реализация</w:t>
      </w:r>
      <w:r w:rsidR="00F947C2" w:rsidRPr="00F947C2">
        <w:rPr>
          <w:rFonts w:ascii="Times New Roman" w:hAnsi="Times New Roman"/>
          <w:sz w:val="24"/>
          <w:szCs w:val="24"/>
        </w:rPr>
        <w:t xml:space="preserve"> мер</w:t>
      </w:r>
      <w:r w:rsidR="00F947C2">
        <w:rPr>
          <w:rFonts w:ascii="Times New Roman" w:hAnsi="Times New Roman"/>
          <w:sz w:val="24"/>
          <w:szCs w:val="24"/>
        </w:rPr>
        <w:t>, направленных</w:t>
      </w:r>
      <w:r w:rsidR="00F947C2" w:rsidRPr="00F947C2">
        <w:rPr>
          <w:rFonts w:ascii="Times New Roman" w:hAnsi="Times New Roman"/>
          <w:sz w:val="24"/>
          <w:szCs w:val="24"/>
        </w:rPr>
        <w:t xml:space="preserve"> на </w:t>
      </w:r>
      <w:r w:rsidR="00F947C2">
        <w:rPr>
          <w:rFonts w:ascii="Times New Roman" w:hAnsi="Times New Roman"/>
          <w:sz w:val="24"/>
          <w:szCs w:val="24"/>
        </w:rPr>
        <w:t xml:space="preserve">устранение структурных ограничений, будет способствовать повышению </w:t>
      </w:r>
      <w:r w:rsidR="00F947C2" w:rsidRPr="00F947C2">
        <w:rPr>
          <w:rFonts w:ascii="Times New Roman" w:hAnsi="Times New Roman"/>
          <w:sz w:val="24"/>
          <w:szCs w:val="24"/>
        </w:rPr>
        <w:t xml:space="preserve">устойчивых темпов роста экономики </w:t>
      </w:r>
      <w:r w:rsidR="00F947C2">
        <w:rPr>
          <w:rFonts w:ascii="Times New Roman" w:hAnsi="Times New Roman"/>
          <w:sz w:val="24"/>
          <w:szCs w:val="24"/>
        </w:rPr>
        <w:t>до уровней сравнимых</w:t>
      </w:r>
      <w:r w:rsidR="00572A81">
        <w:rPr>
          <w:rFonts w:ascii="Times New Roman" w:hAnsi="Times New Roman"/>
          <w:sz w:val="24"/>
          <w:szCs w:val="24"/>
        </w:rPr>
        <w:t xml:space="preserve"> (и выше)</w:t>
      </w:r>
      <w:r w:rsidR="00F947C2">
        <w:rPr>
          <w:rFonts w:ascii="Times New Roman" w:hAnsi="Times New Roman"/>
          <w:sz w:val="24"/>
          <w:szCs w:val="24"/>
        </w:rPr>
        <w:t xml:space="preserve"> со </w:t>
      </w:r>
      <w:proofErr w:type="gramStart"/>
      <w:r w:rsidR="00F947C2">
        <w:rPr>
          <w:rFonts w:ascii="Times New Roman" w:hAnsi="Times New Roman"/>
          <w:sz w:val="24"/>
          <w:szCs w:val="24"/>
        </w:rPr>
        <w:t>среднемировыми</w:t>
      </w:r>
      <w:proofErr w:type="gramEnd"/>
      <w:r w:rsidR="00F947C2">
        <w:rPr>
          <w:rFonts w:ascii="Times New Roman" w:hAnsi="Times New Roman"/>
          <w:sz w:val="24"/>
          <w:szCs w:val="24"/>
        </w:rPr>
        <w:t>.</w:t>
      </w:r>
    </w:p>
    <w:p w:rsidR="004E2069" w:rsidRPr="0087129E" w:rsidRDefault="004E2069" w:rsidP="00145AC9">
      <w:pPr>
        <w:pStyle w:val="20"/>
        <w:numPr>
          <w:ilvl w:val="1"/>
          <w:numId w:val="3"/>
        </w:numPr>
        <w:spacing w:before="240" w:after="240"/>
        <w:rPr>
          <w:rFonts w:ascii="Times New Roman" w:hAnsi="Times New Roman"/>
          <w:sz w:val="28"/>
          <w:szCs w:val="28"/>
        </w:rPr>
      </w:pPr>
      <w:bookmarkStart w:id="18" w:name="_Toc494788033"/>
      <w:r w:rsidRPr="0087129E">
        <w:rPr>
          <w:rFonts w:ascii="Times New Roman" w:hAnsi="Times New Roman"/>
          <w:sz w:val="28"/>
          <w:szCs w:val="28"/>
        </w:rPr>
        <w:t>ОСНОВНЫЕ ПАРАМЕТРЫ ПРОГНОЗА</w:t>
      </w:r>
      <w:r w:rsidR="00145AC9">
        <w:rPr>
          <w:rFonts w:ascii="Times New Roman" w:hAnsi="Times New Roman"/>
          <w:sz w:val="28"/>
          <w:szCs w:val="28"/>
        </w:rPr>
        <w:t xml:space="preserve"> </w:t>
      </w:r>
      <w:r w:rsidR="0007579B">
        <w:rPr>
          <w:rFonts w:ascii="Times New Roman" w:hAnsi="Times New Roman"/>
          <w:sz w:val="28"/>
          <w:szCs w:val="28"/>
        </w:rPr>
        <w:br/>
      </w:r>
      <w:r w:rsidR="00145AC9">
        <w:rPr>
          <w:rFonts w:ascii="Times New Roman" w:hAnsi="Times New Roman"/>
          <w:sz w:val="28"/>
          <w:szCs w:val="28"/>
        </w:rPr>
        <w:t>СОЦИАЛЬНО-ЭКОНОМИЧЕСКОГО РАЗВИТИЯ</w:t>
      </w:r>
      <w:bookmarkEnd w:id="18"/>
    </w:p>
    <w:p w:rsidR="004E2069" w:rsidRPr="0087129E" w:rsidRDefault="004E2069" w:rsidP="0015016A">
      <w:pPr>
        <w:spacing w:before="120" w:after="120"/>
        <w:jc w:val="both"/>
        <w:rPr>
          <w:rFonts w:ascii="Times New Roman" w:hAnsi="Times New Roman"/>
          <w:sz w:val="24"/>
          <w:szCs w:val="24"/>
        </w:rPr>
      </w:pPr>
      <w:r w:rsidRPr="0087129E">
        <w:rPr>
          <w:rFonts w:ascii="Times New Roman" w:hAnsi="Times New Roman"/>
          <w:sz w:val="24"/>
          <w:szCs w:val="24"/>
        </w:rPr>
        <w:t>Основные направления бюджетной</w:t>
      </w:r>
      <w:r>
        <w:rPr>
          <w:rFonts w:ascii="Times New Roman" w:hAnsi="Times New Roman"/>
          <w:sz w:val="24"/>
          <w:szCs w:val="24"/>
        </w:rPr>
        <w:t>, налоговой и таможенно-тарифной</w:t>
      </w:r>
      <w:r w:rsidRPr="0087129E">
        <w:rPr>
          <w:rFonts w:ascii="Times New Roman" w:hAnsi="Times New Roman"/>
          <w:sz w:val="24"/>
          <w:szCs w:val="24"/>
        </w:rPr>
        <w:t xml:space="preserve"> политики на 201</w:t>
      </w:r>
      <w:r>
        <w:rPr>
          <w:rFonts w:ascii="Times New Roman" w:hAnsi="Times New Roman"/>
          <w:sz w:val="24"/>
          <w:szCs w:val="24"/>
        </w:rPr>
        <w:t>8</w:t>
      </w:r>
      <w:r w:rsidRPr="0087129E">
        <w:rPr>
          <w:rFonts w:ascii="Times New Roman" w:hAnsi="Times New Roman"/>
          <w:sz w:val="24"/>
          <w:szCs w:val="24"/>
        </w:rPr>
        <w:t xml:space="preserve"> год и плановый период 201</w:t>
      </w:r>
      <w:r>
        <w:rPr>
          <w:rFonts w:ascii="Times New Roman" w:hAnsi="Times New Roman"/>
          <w:sz w:val="24"/>
          <w:szCs w:val="24"/>
        </w:rPr>
        <w:t>9</w:t>
      </w:r>
      <w:r w:rsidRPr="0087129E">
        <w:rPr>
          <w:rFonts w:ascii="Times New Roman" w:hAnsi="Times New Roman"/>
          <w:sz w:val="24"/>
          <w:szCs w:val="24"/>
        </w:rPr>
        <w:t xml:space="preserve"> и 20</w:t>
      </w:r>
      <w:r>
        <w:rPr>
          <w:rFonts w:ascii="Times New Roman" w:hAnsi="Times New Roman"/>
          <w:sz w:val="24"/>
          <w:szCs w:val="24"/>
        </w:rPr>
        <w:t>20</w:t>
      </w:r>
      <w:r w:rsidRPr="0087129E">
        <w:rPr>
          <w:rFonts w:ascii="Times New Roman" w:hAnsi="Times New Roman"/>
          <w:sz w:val="24"/>
          <w:szCs w:val="24"/>
        </w:rPr>
        <w:t xml:space="preserve"> годов разработаны на основании базового варианта прогноза социально-экономического развития Российской Федерации на 201</w:t>
      </w:r>
      <w:r>
        <w:rPr>
          <w:rFonts w:ascii="Times New Roman" w:hAnsi="Times New Roman"/>
          <w:sz w:val="24"/>
          <w:szCs w:val="24"/>
        </w:rPr>
        <w:t>8</w:t>
      </w:r>
      <w:r w:rsidRPr="0087129E">
        <w:rPr>
          <w:rFonts w:ascii="Times New Roman" w:hAnsi="Times New Roman"/>
          <w:sz w:val="24"/>
          <w:szCs w:val="24"/>
        </w:rPr>
        <w:t xml:space="preserve"> год и плановый период 201</w:t>
      </w:r>
      <w:r>
        <w:rPr>
          <w:rFonts w:ascii="Times New Roman" w:hAnsi="Times New Roman"/>
          <w:sz w:val="24"/>
          <w:szCs w:val="24"/>
        </w:rPr>
        <w:t>9</w:t>
      </w:r>
      <w:r w:rsidRPr="0087129E">
        <w:rPr>
          <w:rFonts w:ascii="Times New Roman" w:hAnsi="Times New Roman"/>
          <w:sz w:val="24"/>
          <w:szCs w:val="24"/>
        </w:rPr>
        <w:t xml:space="preserve"> и 20</w:t>
      </w:r>
      <w:r>
        <w:rPr>
          <w:rFonts w:ascii="Times New Roman" w:hAnsi="Times New Roman"/>
          <w:sz w:val="24"/>
          <w:szCs w:val="24"/>
        </w:rPr>
        <w:t>20</w:t>
      </w:r>
      <w:r w:rsidRPr="0087129E">
        <w:rPr>
          <w:rFonts w:ascii="Times New Roman" w:hAnsi="Times New Roman"/>
          <w:sz w:val="24"/>
          <w:szCs w:val="24"/>
        </w:rPr>
        <w:t xml:space="preserve"> годов.</w:t>
      </w:r>
    </w:p>
    <w:p w:rsidR="004E2069" w:rsidRPr="0087129E" w:rsidRDefault="004E2069" w:rsidP="0015016A">
      <w:pPr>
        <w:spacing w:before="120" w:after="120"/>
        <w:jc w:val="both"/>
        <w:rPr>
          <w:rFonts w:ascii="Times New Roman" w:hAnsi="Times New Roman"/>
          <w:sz w:val="24"/>
          <w:szCs w:val="24"/>
        </w:rPr>
      </w:pPr>
      <w:proofErr w:type="gramStart"/>
      <w:r w:rsidRPr="0087129E">
        <w:rPr>
          <w:rFonts w:ascii="Times New Roman" w:hAnsi="Times New Roman"/>
          <w:sz w:val="24"/>
          <w:szCs w:val="24"/>
        </w:rPr>
        <w:t>Базовый прогноз среднесрочного экономического развития на 201</w:t>
      </w:r>
      <w:r>
        <w:rPr>
          <w:rFonts w:ascii="Times New Roman" w:hAnsi="Times New Roman"/>
          <w:sz w:val="24"/>
          <w:szCs w:val="24"/>
        </w:rPr>
        <w:t>8</w:t>
      </w:r>
      <w:r w:rsidRPr="0087129E">
        <w:rPr>
          <w:rFonts w:ascii="Times New Roman" w:hAnsi="Times New Roman"/>
          <w:sz w:val="24"/>
          <w:szCs w:val="24"/>
        </w:rPr>
        <w:t>-20</w:t>
      </w:r>
      <w:r>
        <w:rPr>
          <w:rFonts w:ascii="Times New Roman" w:hAnsi="Times New Roman"/>
          <w:sz w:val="24"/>
          <w:szCs w:val="24"/>
        </w:rPr>
        <w:t>20</w:t>
      </w:r>
      <w:r w:rsidRPr="0087129E">
        <w:rPr>
          <w:rFonts w:ascii="Times New Roman" w:hAnsi="Times New Roman"/>
          <w:sz w:val="24"/>
          <w:szCs w:val="24"/>
        </w:rPr>
        <w:t xml:space="preserve"> гг., положенный в основу параметров бюджета, построен на сценарных условиях, предполагающих </w:t>
      </w:r>
      <w:r>
        <w:rPr>
          <w:rFonts w:ascii="Times New Roman" w:hAnsi="Times New Roman"/>
          <w:sz w:val="24"/>
          <w:szCs w:val="24"/>
        </w:rPr>
        <w:t>постепенное замедление мирового экономического роста</w:t>
      </w:r>
      <w:r w:rsidRPr="0087129E">
        <w:rPr>
          <w:rFonts w:ascii="Times New Roman" w:hAnsi="Times New Roman"/>
          <w:sz w:val="24"/>
          <w:szCs w:val="24"/>
        </w:rPr>
        <w:t xml:space="preserve"> </w:t>
      </w:r>
      <w:r>
        <w:rPr>
          <w:rFonts w:ascii="Times New Roman" w:hAnsi="Times New Roman"/>
          <w:sz w:val="24"/>
          <w:szCs w:val="24"/>
        </w:rPr>
        <w:t>с 3,</w:t>
      </w:r>
      <w:r w:rsidR="0075541D">
        <w:rPr>
          <w:rFonts w:ascii="Times New Roman" w:hAnsi="Times New Roman"/>
          <w:sz w:val="24"/>
          <w:szCs w:val="24"/>
        </w:rPr>
        <w:t>1</w:t>
      </w:r>
      <w:r>
        <w:rPr>
          <w:rFonts w:ascii="Times New Roman" w:hAnsi="Times New Roman"/>
          <w:sz w:val="24"/>
          <w:szCs w:val="24"/>
        </w:rPr>
        <w:t>% в 2016 году до 2,8% к 2020 году, обусловленное ожиданием замедления темпов экономического роста как в развитых, так и в развивающихся странах.</w:t>
      </w:r>
      <w:proofErr w:type="gramEnd"/>
      <w:r>
        <w:rPr>
          <w:rFonts w:ascii="Times New Roman" w:hAnsi="Times New Roman"/>
          <w:sz w:val="24"/>
          <w:szCs w:val="24"/>
        </w:rPr>
        <w:t xml:space="preserve"> </w:t>
      </w:r>
      <w:proofErr w:type="gramStart"/>
      <w:r>
        <w:rPr>
          <w:rFonts w:ascii="Times New Roman" w:hAnsi="Times New Roman"/>
          <w:sz w:val="24"/>
          <w:szCs w:val="24"/>
        </w:rPr>
        <w:t>Вызванное этим замедление роста спроса на энергоносители,</w:t>
      </w:r>
      <w:r w:rsidR="0007579B">
        <w:rPr>
          <w:rFonts w:ascii="Times New Roman" w:hAnsi="Times New Roman"/>
          <w:sz w:val="24"/>
          <w:szCs w:val="24"/>
        </w:rPr>
        <w:t xml:space="preserve"> а также</w:t>
      </w:r>
      <w:r>
        <w:rPr>
          <w:rFonts w:ascii="Times New Roman" w:hAnsi="Times New Roman"/>
          <w:sz w:val="24"/>
          <w:szCs w:val="24"/>
        </w:rPr>
        <w:t xml:space="preserve"> наращивание добычи американской сланцевой нефти и завершение действия соглашения о заморозке добычи нефти странами ОПЕК будет способствовать </w:t>
      </w:r>
      <w:r w:rsidR="00A1594D">
        <w:rPr>
          <w:rFonts w:ascii="Times New Roman" w:hAnsi="Times New Roman"/>
          <w:sz w:val="24"/>
          <w:szCs w:val="24"/>
        </w:rPr>
        <w:t xml:space="preserve">снижению нефтяных котировок </w:t>
      </w:r>
      <w:r w:rsidR="00A1594D" w:rsidRPr="0087129E">
        <w:rPr>
          <w:rFonts w:ascii="Times New Roman" w:hAnsi="Times New Roman"/>
          <w:sz w:val="24"/>
          <w:szCs w:val="24"/>
        </w:rPr>
        <w:t>нефт</w:t>
      </w:r>
      <w:r w:rsidR="00A1594D">
        <w:rPr>
          <w:rFonts w:ascii="Times New Roman" w:hAnsi="Times New Roman"/>
          <w:sz w:val="24"/>
          <w:szCs w:val="24"/>
        </w:rPr>
        <w:t>и</w:t>
      </w:r>
      <w:r w:rsidR="00A1594D" w:rsidRPr="0087129E">
        <w:rPr>
          <w:rFonts w:ascii="Times New Roman" w:hAnsi="Times New Roman"/>
          <w:sz w:val="24"/>
          <w:szCs w:val="24"/>
        </w:rPr>
        <w:t xml:space="preserve"> марки «Юралс» </w:t>
      </w:r>
      <w:r w:rsidR="00A1594D">
        <w:rPr>
          <w:rFonts w:ascii="Times New Roman" w:hAnsi="Times New Roman"/>
          <w:sz w:val="24"/>
          <w:szCs w:val="24"/>
        </w:rPr>
        <w:t xml:space="preserve">и выходу на </w:t>
      </w:r>
      <w:r w:rsidR="001A54EF">
        <w:rPr>
          <w:rFonts w:ascii="Times New Roman" w:hAnsi="Times New Roman"/>
          <w:sz w:val="24"/>
          <w:szCs w:val="24"/>
        </w:rPr>
        <w:t>траектори</w:t>
      </w:r>
      <w:r w:rsidR="00A1594D">
        <w:rPr>
          <w:rFonts w:ascii="Times New Roman" w:hAnsi="Times New Roman"/>
          <w:sz w:val="24"/>
          <w:szCs w:val="24"/>
        </w:rPr>
        <w:t>ю</w:t>
      </w:r>
      <w:r w:rsidRPr="0087129E">
        <w:rPr>
          <w:rFonts w:ascii="Times New Roman" w:hAnsi="Times New Roman"/>
          <w:sz w:val="24"/>
          <w:szCs w:val="24"/>
        </w:rPr>
        <w:t xml:space="preserve"> на уровне 40 долл. США за баррель</w:t>
      </w:r>
      <w:r>
        <w:rPr>
          <w:rFonts w:ascii="Times New Roman" w:hAnsi="Times New Roman"/>
          <w:sz w:val="24"/>
          <w:szCs w:val="24"/>
        </w:rPr>
        <w:t xml:space="preserve"> (в ценах 2017 года)</w:t>
      </w:r>
      <w:r w:rsidRPr="0087129E">
        <w:rPr>
          <w:rFonts w:ascii="Times New Roman" w:hAnsi="Times New Roman"/>
          <w:sz w:val="24"/>
          <w:szCs w:val="24"/>
        </w:rPr>
        <w:t xml:space="preserve"> </w:t>
      </w:r>
      <w:r w:rsidR="001A54EF">
        <w:rPr>
          <w:rFonts w:ascii="Times New Roman" w:hAnsi="Times New Roman"/>
          <w:sz w:val="24"/>
          <w:szCs w:val="24"/>
        </w:rPr>
        <w:t>уже к концу 2018 года</w:t>
      </w:r>
      <w:r w:rsidRPr="0087129E">
        <w:rPr>
          <w:rFonts w:ascii="Times New Roman" w:hAnsi="Times New Roman"/>
          <w:sz w:val="24"/>
          <w:szCs w:val="24"/>
        </w:rPr>
        <w:t>.</w:t>
      </w:r>
      <w:proofErr w:type="gramEnd"/>
      <w:r w:rsidRPr="0087129E">
        <w:rPr>
          <w:rFonts w:ascii="Times New Roman" w:hAnsi="Times New Roman"/>
          <w:sz w:val="24"/>
          <w:szCs w:val="24"/>
        </w:rPr>
        <w:t xml:space="preserve"> Кроме того, прогноз</w:t>
      </w:r>
      <w:r w:rsidRPr="0087129E">
        <w:rPr>
          <w:rFonts w:ascii="Times New Roman" w:hAnsi="Times New Roman"/>
          <w:color w:val="FF0000"/>
          <w:sz w:val="28"/>
          <w:szCs w:val="28"/>
          <w:lang w:eastAsia="ru-RU"/>
        </w:rPr>
        <w:t xml:space="preserve"> </w:t>
      </w:r>
      <w:r w:rsidRPr="0087129E">
        <w:rPr>
          <w:rFonts w:ascii="Times New Roman" w:hAnsi="Times New Roman"/>
          <w:sz w:val="24"/>
          <w:szCs w:val="24"/>
        </w:rPr>
        <w:t>базируется на гипотезе о сохранении финансово-экономических санкций до конца прогнозного периода.</w:t>
      </w:r>
    </w:p>
    <w:p w:rsidR="00A1594D" w:rsidRPr="00711F0F" w:rsidRDefault="00A1594D" w:rsidP="00711F0F">
      <w:pPr>
        <w:spacing w:before="120" w:after="120"/>
        <w:jc w:val="both"/>
        <w:rPr>
          <w:rFonts w:ascii="Times New Roman" w:hAnsi="Times New Roman"/>
          <w:sz w:val="24"/>
          <w:szCs w:val="24"/>
        </w:rPr>
      </w:pPr>
      <w:r w:rsidRPr="00711F0F">
        <w:rPr>
          <w:rFonts w:ascii="Times New Roman" w:hAnsi="Times New Roman"/>
          <w:sz w:val="24"/>
          <w:szCs w:val="24"/>
        </w:rPr>
        <w:t xml:space="preserve">В рамках базового сценария прогнозируется постепенное увеличение темпов роста российской экономики с 2,1 % в 2017 году до 2,3 % к 2020 году. </w:t>
      </w:r>
    </w:p>
    <w:p w:rsidR="00BA744B" w:rsidRPr="00711F0F" w:rsidRDefault="00881FE2" w:rsidP="00711F0F">
      <w:pPr>
        <w:spacing w:before="120" w:after="120"/>
        <w:jc w:val="both"/>
        <w:rPr>
          <w:rFonts w:ascii="Times New Roman" w:hAnsi="Times New Roman"/>
          <w:sz w:val="24"/>
          <w:szCs w:val="24"/>
        </w:rPr>
      </w:pPr>
      <w:r w:rsidRPr="009529FE">
        <w:rPr>
          <w:rFonts w:ascii="Times New Roman" w:hAnsi="Times New Roman"/>
          <w:sz w:val="24"/>
          <w:szCs w:val="24"/>
        </w:rPr>
        <w:t xml:space="preserve">Основным драйвером экономического роста будет внутренний спрос. </w:t>
      </w:r>
      <w:r w:rsidR="0008618F">
        <w:rPr>
          <w:rFonts w:ascii="Times New Roman" w:hAnsi="Times New Roman"/>
          <w:sz w:val="24"/>
          <w:szCs w:val="24"/>
        </w:rPr>
        <w:t>Р</w:t>
      </w:r>
      <w:r w:rsidR="0008618F" w:rsidRPr="00711F0F">
        <w:rPr>
          <w:rFonts w:ascii="Times New Roman" w:hAnsi="Times New Roman"/>
          <w:sz w:val="24"/>
          <w:szCs w:val="24"/>
        </w:rPr>
        <w:t xml:space="preserve">яд разработанных мер Правительства Российской Федерации, активная реализация которых запланирована на следующий год, создают условия для роста </w:t>
      </w:r>
      <w:r w:rsidR="0008618F">
        <w:rPr>
          <w:rFonts w:ascii="Times New Roman" w:hAnsi="Times New Roman"/>
          <w:sz w:val="24"/>
          <w:szCs w:val="24"/>
        </w:rPr>
        <w:t>инвестиционной активности.</w:t>
      </w:r>
      <w:r w:rsidR="004A61F7">
        <w:rPr>
          <w:rFonts w:ascii="Times New Roman" w:hAnsi="Times New Roman"/>
          <w:sz w:val="24"/>
          <w:szCs w:val="24"/>
        </w:rPr>
        <w:t xml:space="preserve"> </w:t>
      </w:r>
      <w:r w:rsidR="0008618F">
        <w:rPr>
          <w:rFonts w:ascii="Times New Roman" w:hAnsi="Times New Roman"/>
          <w:sz w:val="24"/>
          <w:szCs w:val="24"/>
        </w:rPr>
        <w:t>С</w:t>
      </w:r>
      <w:r w:rsidR="00BA744B" w:rsidRPr="00711F0F">
        <w:rPr>
          <w:rFonts w:ascii="Times New Roman" w:hAnsi="Times New Roman"/>
          <w:sz w:val="24"/>
          <w:szCs w:val="24"/>
        </w:rPr>
        <w:t xml:space="preserve">редний темп роста </w:t>
      </w:r>
      <w:r w:rsidR="0008618F">
        <w:rPr>
          <w:rFonts w:ascii="Times New Roman" w:hAnsi="Times New Roman"/>
          <w:sz w:val="24"/>
          <w:szCs w:val="24"/>
        </w:rPr>
        <w:t xml:space="preserve">инвестиций в основной капитал </w:t>
      </w:r>
      <w:r w:rsidR="00BA744B" w:rsidRPr="00711F0F">
        <w:rPr>
          <w:rFonts w:ascii="Times New Roman" w:hAnsi="Times New Roman"/>
          <w:sz w:val="24"/>
          <w:szCs w:val="24"/>
        </w:rPr>
        <w:t>в 2018 – 2020 годах ожидается на уровне 5,3 процента.</w:t>
      </w:r>
    </w:p>
    <w:p w:rsidR="0008618F" w:rsidRPr="00711F0F" w:rsidRDefault="0008618F" w:rsidP="00711F0F">
      <w:pPr>
        <w:spacing w:before="120" w:after="120"/>
        <w:jc w:val="both"/>
        <w:rPr>
          <w:rFonts w:ascii="Times New Roman" w:hAnsi="Times New Roman"/>
          <w:sz w:val="24"/>
          <w:szCs w:val="24"/>
        </w:rPr>
      </w:pPr>
      <w:r w:rsidRPr="00711F0F">
        <w:rPr>
          <w:rFonts w:ascii="Times New Roman" w:hAnsi="Times New Roman"/>
          <w:sz w:val="24"/>
          <w:szCs w:val="24"/>
        </w:rPr>
        <w:t xml:space="preserve">Неблагоприятные демографические тенденции, с одной стороны, и уверенное восстановление экономической активности, с другой, – продолжат оказывать давление на рынок труда. </w:t>
      </w:r>
      <w:proofErr w:type="gramStart"/>
      <w:r w:rsidRPr="00711F0F">
        <w:rPr>
          <w:rFonts w:ascii="Times New Roman" w:hAnsi="Times New Roman"/>
          <w:sz w:val="24"/>
          <w:szCs w:val="24"/>
        </w:rPr>
        <w:t xml:space="preserve">В этих условиях в базовом сценарии прогнозируется снижение уровня безработицы с ожидаемых 5,2 % в 2017 году </w:t>
      </w:r>
      <w:r w:rsidR="004A61F7">
        <w:rPr>
          <w:rFonts w:ascii="Times New Roman" w:hAnsi="Times New Roman"/>
          <w:sz w:val="24"/>
          <w:szCs w:val="24"/>
        </w:rPr>
        <w:t xml:space="preserve">до </w:t>
      </w:r>
      <w:r w:rsidRPr="00711F0F">
        <w:rPr>
          <w:rFonts w:ascii="Times New Roman" w:hAnsi="Times New Roman"/>
          <w:sz w:val="24"/>
          <w:szCs w:val="24"/>
        </w:rPr>
        <w:t xml:space="preserve">4,7 % в 2020 году. </w:t>
      </w:r>
      <w:proofErr w:type="gramEnd"/>
    </w:p>
    <w:p w:rsidR="0008618F" w:rsidRPr="00711F0F" w:rsidRDefault="0008618F" w:rsidP="00711F0F">
      <w:pPr>
        <w:spacing w:before="120" w:after="120"/>
        <w:jc w:val="both"/>
        <w:rPr>
          <w:rFonts w:ascii="Times New Roman" w:hAnsi="Times New Roman"/>
          <w:sz w:val="24"/>
          <w:szCs w:val="24"/>
        </w:rPr>
      </w:pPr>
      <w:r w:rsidRPr="00711F0F">
        <w:rPr>
          <w:rFonts w:ascii="Times New Roman" w:hAnsi="Times New Roman"/>
          <w:sz w:val="24"/>
          <w:szCs w:val="24"/>
        </w:rPr>
        <w:t xml:space="preserve">В среднесрочном периоде в части оплаты труда определяющую роль будет играть выполнение в 2018 году обязательств, закрепленных в указах Президента Российской Федерации. В результате наибольший рост реальной заработной </w:t>
      </w:r>
      <w:r w:rsidR="00C33DD3">
        <w:rPr>
          <w:rFonts w:ascii="Times New Roman" w:hAnsi="Times New Roman"/>
          <w:sz w:val="24"/>
          <w:szCs w:val="24"/>
        </w:rPr>
        <w:t>платы ожидается в 2018 году (4,1</w:t>
      </w:r>
      <w:r w:rsidRPr="00711F0F">
        <w:rPr>
          <w:rFonts w:ascii="Times New Roman" w:hAnsi="Times New Roman"/>
          <w:sz w:val="24"/>
          <w:szCs w:val="24"/>
        </w:rPr>
        <w:t xml:space="preserve"> % по базовому варианту) с последующим замедлением (до 1,3–1,5 % в 2019 – 2020 гг.). Рост реальных заработных плат, наряду с восстановлением потребительского кредитования, продолжит оказывать поддержку потребительскому спросу, который будет уверенно расти в течение всего прогнозного периода.</w:t>
      </w:r>
    </w:p>
    <w:p w:rsidR="0008618F" w:rsidRDefault="0008618F" w:rsidP="0008618F">
      <w:pPr>
        <w:spacing w:before="120" w:after="120"/>
        <w:jc w:val="both"/>
        <w:rPr>
          <w:rFonts w:ascii="Times New Roman" w:hAnsi="Times New Roman"/>
          <w:sz w:val="24"/>
          <w:szCs w:val="24"/>
        </w:rPr>
      </w:pPr>
      <w:r w:rsidRPr="00711F0F">
        <w:rPr>
          <w:rFonts w:ascii="Times New Roman" w:hAnsi="Times New Roman"/>
          <w:sz w:val="24"/>
          <w:szCs w:val="24"/>
        </w:rPr>
        <w:t xml:space="preserve">Вместе с тем в базовом сценарии прогнозируется, что в среднесрочном периоде производительность труда будет расти темпами, опережающими рост заработных плат (за исключением 2018 года). В результате </w:t>
      </w:r>
      <w:r>
        <w:rPr>
          <w:rFonts w:ascii="Times New Roman" w:hAnsi="Times New Roman"/>
          <w:sz w:val="24"/>
          <w:szCs w:val="24"/>
        </w:rPr>
        <w:t>на про</w:t>
      </w:r>
      <w:r w:rsidR="00C33DD3">
        <w:rPr>
          <w:rFonts w:ascii="Times New Roman" w:hAnsi="Times New Roman"/>
          <w:sz w:val="24"/>
          <w:szCs w:val="24"/>
        </w:rPr>
        <w:t>г</w:t>
      </w:r>
      <w:r>
        <w:rPr>
          <w:rFonts w:ascii="Times New Roman" w:hAnsi="Times New Roman"/>
          <w:sz w:val="24"/>
          <w:szCs w:val="24"/>
        </w:rPr>
        <w:t xml:space="preserve">нозном горизонте </w:t>
      </w:r>
      <w:r w:rsidRPr="00711F0F">
        <w:rPr>
          <w:rFonts w:ascii="Times New Roman" w:hAnsi="Times New Roman"/>
          <w:sz w:val="24"/>
          <w:szCs w:val="24"/>
        </w:rPr>
        <w:t>не ожидается существенного повышательного давления на инфляцию</w:t>
      </w:r>
      <w:r>
        <w:rPr>
          <w:rFonts w:ascii="Times New Roman" w:hAnsi="Times New Roman"/>
          <w:sz w:val="24"/>
          <w:szCs w:val="24"/>
        </w:rPr>
        <w:t xml:space="preserve"> со стороны заработных плат</w:t>
      </w:r>
      <w:r w:rsidRPr="00711F0F">
        <w:rPr>
          <w:rFonts w:ascii="Times New Roman" w:hAnsi="Times New Roman"/>
          <w:sz w:val="24"/>
          <w:szCs w:val="24"/>
        </w:rPr>
        <w:t xml:space="preserve">. В этих условиях прогнозируется нахождение </w:t>
      </w:r>
      <w:r>
        <w:rPr>
          <w:rFonts w:ascii="Times New Roman" w:hAnsi="Times New Roman"/>
          <w:sz w:val="24"/>
          <w:szCs w:val="24"/>
        </w:rPr>
        <w:t xml:space="preserve">инфляции </w:t>
      </w:r>
      <w:r w:rsidRPr="00711F0F">
        <w:rPr>
          <w:rFonts w:ascii="Times New Roman" w:hAnsi="Times New Roman"/>
          <w:sz w:val="24"/>
          <w:szCs w:val="24"/>
        </w:rPr>
        <w:t>вблизи целевого уровня 4 % на протяжении всего прогнозного горизонта.</w:t>
      </w:r>
    </w:p>
    <w:p w:rsidR="004E2069" w:rsidRPr="0087129E" w:rsidRDefault="004E2069" w:rsidP="0015016A">
      <w:pPr>
        <w:spacing w:before="120" w:after="120"/>
        <w:jc w:val="both"/>
        <w:rPr>
          <w:rFonts w:ascii="Times New Roman" w:hAnsi="Times New Roman"/>
          <w:b/>
          <w:sz w:val="24"/>
          <w:szCs w:val="24"/>
        </w:rPr>
      </w:pPr>
      <w:r w:rsidRPr="0007579B">
        <w:rPr>
          <w:rFonts w:ascii="Times New Roman" w:hAnsi="Times New Roman"/>
          <w:b/>
          <w:sz w:val="24"/>
          <w:szCs w:val="24"/>
        </w:rPr>
        <w:t xml:space="preserve">Таблица </w:t>
      </w:r>
      <w:r w:rsidR="0007579B" w:rsidRPr="0007579B">
        <w:rPr>
          <w:rFonts w:ascii="Times New Roman" w:hAnsi="Times New Roman"/>
          <w:b/>
          <w:sz w:val="24"/>
          <w:szCs w:val="24"/>
        </w:rPr>
        <w:t>2</w:t>
      </w:r>
      <w:r w:rsidRPr="0007579B">
        <w:rPr>
          <w:rFonts w:ascii="Times New Roman" w:hAnsi="Times New Roman"/>
          <w:b/>
          <w:sz w:val="24"/>
          <w:szCs w:val="24"/>
        </w:rPr>
        <w:t>.3.1. Основные</w:t>
      </w:r>
      <w:r w:rsidRPr="0087129E">
        <w:rPr>
          <w:rFonts w:ascii="Times New Roman" w:hAnsi="Times New Roman"/>
          <w:b/>
          <w:sz w:val="24"/>
          <w:szCs w:val="24"/>
        </w:rPr>
        <w:t xml:space="preserve"> параметры </w:t>
      </w:r>
      <w:r>
        <w:rPr>
          <w:rFonts w:ascii="Times New Roman" w:hAnsi="Times New Roman"/>
          <w:b/>
          <w:sz w:val="24"/>
          <w:szCs w:val="24"/>
        </w:rPr>
        <w:t xml:space="preserve">базового </w:t>
      </w:r>
      <w:r w:rsidRPr="0087129E">
        <w:rPr>
          <w:rFonts w:ascii="Times New Roman" w:hAnsi="Times New Roman"/>
          <w:b/>
          <w:sz w:val="24"/>
          <w:szCs w:val="24"/>
        </w:rPr>
        <w:t>прогноза социально-экономического развития России</w:t>
      </w:r>
    </w:p>
    <w:tbl>
      <w:tblPr>
        <w:tblW w:w="9297" w:type="dxa"/>
        <w:tblInd w:w="108" w:type="dxa"/>
        <w:tblLayout w:type="fixed"/>
        <w:tblLook w:val="00A0" w:firstRow="1" w:lastRow="0" w:firstColumn="1" w:lastColumn="0" w:noHBand="0" w:noVBand="0"/>
      </w:tblPr>
      <w:tblGrid>
        <w:gridCol w:w="5387"/>
        <w:gridCol w:w="850"/>
        <w:gridCol w:w="1020"/>
        <w:gridCol w:w="1020"/>
        <w:gridCol w:w="1020"/>
      </w:tblGrid>
      <w:tr w:rsidR="004E2069" w:rsidRPr="00E11E0D" w:rsidTr="0007579B">
        <w:trPr>
          <w:trHeight w:val="454"/>
        </w:trPr>
        <w:tc>
          <w:tcPr>
            <w:tcW w:w="5387" w:type="dxa"/>
            <w:tcBorders>
              <w:bottom w:val="single" w:sz="4" w:space="0" w:color="auto"/>
            </w:tcBorders>
          </w:tcPr>
          <w:p w:rsidR="004E2069" w:rsidRPr="00E11E0D" w:rsidRDefault="004E2069" w:rsidP="00E11E0D">
            <w:pPr>
              <w:spacing w:after="0" w:line="240" w:lineRule="auto"/>
              <w:jc w:val="both"/>
              <w:rPr>
                <w:rFonts w:ascii="Times New Roman" w:hAnsi="Times New Roman"/>
                <w:b/>
                <w:bCs/>
                <w:szCs w:val="24"/>
              </w:rPr>
            </w:pPr>
            <w:r w:rsidRPr="00E11E0D">
              <w:rPr>
                <w:rFonts w:ascii="Times New Roman" w:hAnsi="Times New Roman"/>
                <w:b/>
                <w:bCs/>
                <w:szCs w:val="24"/>
              </w:rPr>
              <w:t>Показатель</w:t>
            </w:r>
          </w:p>
        </w:tc>
        <w:tc>
          <w:tcPr>
            <w:tcW w:w="850" w:type="dxa"/>
            <w:tcBorders>
              <w:bottom w:val="single" w:sz="4" w:space="0" w:color="auto"/>
            </w:tcBorders>
          </w:tcPr>
          <w:p w:rsidR="004E2069" w:rsidRPr="00E11E0D" w:rsidRDefault="004E2069" w:rsidP="00E11E0D">
            <w:pPr>
              <w:spacing w:after="0" w:line="240" w:lineRule="auto"/>
              <w:jc w:val="center"/>
              <w:rPr>
                <w:rFonts w:ascii="Times New Roman" w:hAnsi="Times New Roman"/>
                <w:b/>
                <w:bCs/>
                <w:szCs w:val="24"/>
              </w:rPr>
            </w:pPr>
            <w:r w:rsidRPr="00E11E0D">
              <w:rPr>
                <w:rFonts w:ascii="Times New Roman" w:hAnsi="Times New Roman"/>
                <w:b/>
                <w:bCs/>
                <w:szCs w:val="24"/>
              </w:rPr>
              <w:t>2017</w:t>
            </w:r>
          </w:p>
        </w:tc>
        <w:tc>
          <w:tcPr>
            <w:tcW w:w="1020" w:type="dxa"/>
            <w:tcBorders>
              <w:bottom w:val="single" w:sz="4" w:space="0" w:color="auto"/>
            </w:tcBorders>
          </w:tcPr>
          <w:p w:rsidR="004E2069" w:rsidRPr="00E11E0D" w:rsidRDefault="004E2069" w:rsidP="00E11E0D">
            <w:pPr>
              <w:spacing w:after="0" w:line="240" w:lineRule="auto"/>
              <w:jc w:val="center"/>
              <w:rPr>
                <w:rFonts w:ascii="Times New Roman" w:hAnsi="Times New Roman"/>
                <w:b/>
                <w:bCs/>
                <w:szCs w:val="24"/>
              </w:rPr>
            </w:pPr>
            <w:r w:rsidRPr="00E11E0D">
              <w:rPr>
                <w:rFonts w:ascii="Times New Roman" w:hAnsi="Times New Roman"/>
                <w:b/>
                <w:bCs/>
                <w:szCs w:val="24"/>
              </w:rPr>
              <w:t>2018</w:t>
            </w:r>
          </w:p>
        </w:tc>
        <w:tc>
          <w:tcPr>
            <w:tcW w:w="1020" w:type="dxa"/>
            <w:tcBorders>
              <w:bottom w:val="single" w:sz="4" w:space="0" w:color="auto"/>
            </w:tcBorders>
          </w:tcPr>
          <w:p w:rsidR="004E2069" w:rsidRPr="00E11E0D" w:rsidRDefault="004E2069" w:rsidP="00E11E0D">
            <w:pPr>
              <w:spacing w:after="0" w:line="240" w:lineRule="auto"/>
              <w:jc w:val="center"/>
              <w:rPr>
                <w:rFonts w:ascii="Times New Roman" w:hAnsi="Times New Roman"/>
                <w:b/>
                <w:bCs/>
                <w:szCs w:val="24"/>
              </w:rPr>
            </w:pPr>
            <w:r w:rsidRPr="00E11E0D">
              <w:rPr>
                <w:rFonts w:ascii="Times New Roman" w:hAnsi="Times New Roman"/>
                <w:b/>
                <w:bCs/>
                <w:szCs w:val="24"/>
              </w:rPr>
              <w:t>2019</w:t>
            </w:r>
          </w:p>
        </w:tc>
        <w:tc>
          <w:tcPr>
            <w:tcW w:w="1020" w:type="dxa"/>
            <w:tcBorders>
              <w:bottom w:val="single" w:sz="4" w:space="0" w:color="auto"/>
            </w:tcBorders>
          </w:tcPr>
          <w:p w:rsidR="004E2069" w:rsidRPr="00E11E0D" w:rsidRDefault="004E2069" w:rsidP="00E11E0D">
            <w:pPr>
              <w:spacing w:after="0" w:line="240" w:lineRule="auto"/>
              <w:jc w:val="center"/>
              <w:rPr>
                <w:rFonts w:ascii="Times New Roman" w:hAnsi="Times New Roman"/>
                <w:b/>
                <w:bCs/>
                <w:szCs w:val="24"/>
              </w:rPr>
            </w:pPr>
            <w:r w:rsidRPr="00E11E0D">
              <w:rPr>
                <w:rFonts w:ascii="Times New Roman" w:hAnsi="Times New Roman"/>
                <w:b/>
                <w:bCs/>
                <w:szCs w:val="24"/>
              </w:rPr>
              <w:t>2020</w:t>
            </w:r>
          </w:p>
        </w:tc>
      </w:tr>
      <w:tr w:rsidR="004E2069" w:rsidRPr="00E11E0D" w:rsidTr="0007579B">
        <w:trPr>
          <w:trHeight w:val="454"/>
        </w:trPr>
        <w:tc>
          <w:tcPr>
            <w:tcW w:w="5387" w:type="dxa"/>
            <w:tcBorders>
              <w:top w:val="single" w:sz="4" w:space="0" w:color="auto"/>
            </w:tcBorders>
            <w:shd w:val="clear" w:color="auto" w:fill="F2F2F2"/>
            <w:vAlign w:val="center"/>
          </w:tcPr>
          <w:p w:rsidR="004E2069" w:rsidRPr="00E11E0D" w:rsidRDefault="004E2069" w:rsidP="00E11E0D">
            <w:pPr>
              <w:spacing w:after="0" w:line="240" w:lineRule="auto"/>
              <w:rPr>
                <w:rFonts w:ascii="Times New Roman" w:hAnsi="Times New Roman"/>
                <w:b/>
                <w:bCs/>
                <w:szCs w:val="24"/>
              </w:rPr>
            </w:pPr>
            <w:r w:rsidRPr="00E11E0D">
              <w:rPr>
                <w:rFonts w:ascii="Times New Roman" w:hAnsi="Times New Roman"/>
                <w:bCs/>
                <w:szCs w:val="24"/>
              </w:rPr>
              <w:t>Цена на нефть марки «Юралс», долл. США за баррель</w:t>
            </w:r>
          </w:p>
        </w:tc>
        <w:tc>
          <w:tcPr>
            <w:tcW w:w="850" w:type="dxa"/>
            <w:tcBorders>
              <w:top w:val="single" w:sz="4" w:space="0" w:color="auto"/>
            </w:tcBorders>
            <w:shd w:val="clear" w:color="auto" w:fill="F2F2F2"/>
            <w:vAlign w:val="center"/>
          </w:tcPr>
          <w:p w:rsidR="004E2069" w:rsidRPr="00E11E0D" w:rsidRDefault="00C33DD3" w:rsidP="00E11E0D">
            <w:pPr>
              <w:spacing w:after="0" w:line="240" w:lineRule="auto"/>
              <w:jc w:val="right"/>
              <w:rPr>
                <w:rFonts w:ascii="Times New Roman" w:hAnsi="Times New Roman"/>
                <w:szCs w:val="24"/>
              </w:rPr>
            </w:pPr>
            <w:r>
              <w:rPr>
                <w:rFonts w:ascii="Times New Roman" w:hAnsi="Times New Roman"/>
                <w:szCs w:val="24"/>
              </w:rPr>
              <w:t>49,9</w:t>
            </w:r>
          </w:p>
        </w:tc>
        <w:tc>
          <w:tcPr>
            <w:tcW w:w="1020" w:type="dxa"/>
            <w:tcBorders>
              <w:top w:val="single" w:sz="4" w:space="0" w:color="auto"/>
            </w:tcBorders>
            <w:shd w:val="clear" w:color="auto" w:fill="F2F2F2"/>
            <w:vAlign w:val="center"/>
          </w:tcPr>
          <w:p w:rsidR="004E2069" w:rsidRPr="00E11E0D" w:rsidRDefault="001A54EF" w:rsidP="00E11E0D">
            <w:pPr>
              <w:spacing w:after="0" w:line="240" w:lineRule="auto"/>
              <w:jc w:val="right"/>
              <w:rPr>
                <w:rFonts w:ascii="Times New Roman" w:hAnsi="Times New Roman"/>
                <w:szCs w:val="24"/>
              </w:rPr>
            </w:pPr>
            <w:r>
              <w:rPr>
                <w:rFonts w:ascii="Times New Roman" w:hAnsi="Times New Roman"/>
                <w:szCs w:val="24"/>
              </w:rPr>
              <w:t>43,8</w:t>
            </w:r>
          </w:p>
        </w:tc>
        <w:tc>
          <w:tcPr>
            <w:tcW w:w="1020" w:type="dxa"/>
            <w:tcBorders>
              <w:top w:val="single" w:sz="4" w:space="0" w:color="auto"/>
            </w:tcBorders>
            <w:shd w:val="clear" w:color="auto" w:fill="F2F2F2"/>
            <w:vAlign w:val="center"/>
          </w:tcPr>
          <w:p w:rsidR="004E2069" w:rsidRPr="00E11E0D" w:rsidRDefault="004E2069" w:rsidP="00E11E0D">
            <w:pPr>
              <w:spacing w:after="0" w:line="240" w:lineRule="auto"/>
              <w:jc w:val="right"/>
              <w:rPr>
                <w:rFonts w:ascii="Times New Roman" w:hAnsi="Times New Roman"/>
                <w:szCs w:val="24"/>
              </w:rPr>
            </w:pPr>
            <w:r w:rsidRPr="00E11E0D">
              <w:rPr>
                <w:rFonts w:ascii="Times New Roman" w:hAnsi="Times New Roman"/>
                <w:szCs w:val="24"/>
              </w:rPr>
              <w:t>41,6</w:t>
            </w:r>
          </w:p>
        </w:tc>
        <w:tc>
          <w:tcPr>
            <w:tcW w:w="1020" w:type="dxa"/>
            <w:tcBorders>
              <w:top w:val="single" w:sz="4" w:space="0" w:color="auto"/>
            </w:tcBorders>
            <w:shd w:val="clear" w:color="auto" w:fill="F2F2F2"/>
            <w:vAlign w:val="center"/>
          </w:tcPr>
          <w:p w:rsidR="004E2069" w:rsidRPr="00E11E0D" w:rsidRDefault="004E2069" w:rsidP="00E11E0D">
            <w:pPr>
              <w:spacing w:after="0" w:line="240" w:lineRule="auto"/>
              <w:jc w:val="right"/>
              <w:rPr>
                <w:rFonts w:ascii="Times New Roman" w:hAnsi="Times New Roman"/>
                <w:szCs w:val="24"/>
              </w:rPr>
            </w:pPr>
            <w:r w:rsidRPr="00E11E0D">
              <w:rPr>
                <w:rFonts w:ascii="Times New Roman" w:hAnsi="Times New Roman"/>
                <w:szCs w:val="24"/>
              </w:rPr>
              <w:t>42,4</w:t>
            </w:r>
          </w:p>
        </w:tc>
      </w:tr>
      <w:tr w:rsidR="004E2069" w:rsidRPr="00E11E0D" w:rsidTr="0007579B">
        <w:trPr>
          <w:trHeight w:val="454"/>
        </w:trPr>
        <w:tc>
          <w:tcPr>
            <w:tcW w:w="5387" w:type="dxa"/>
            <w:vAlign w:val="center"/>
          </w:tcPr>
          <w:p w:rsidR="004E2069" w:rsidRPr="00E11E0D" w:rsidRDefault="004E2069" w:rsidP="0007579B">
            <w:pPr>
              <w:spacing w:after="0" w:line="240" w:lineRule="auto"/>
              <w:rPr>
                <w:rFonts w:ascii="Times New Roman" w:hAnsi="Times New Roman"/>
                <w:b/>
                <w:bCs/>
                <w:szCs w:val="24"/>
              </w:rPr>
            </w:pPr>
            <w:r w:rsidRPr="00E11E0D">
              <w:rPr>
                <w:rFonts w:ascii="Times New Roman" w:hAnsi="Times New Roman"/>
                <w:bCs/>
                <w:szCs w:val="24"/>
              </w:rPr>
              <w:t>Курс рубля к доллару США среднегодовой,</w:t>
            </w:r>
            <w:r w:rsidR="0007579B">
              <w:rPr>
                <w:rFonts w:ascii="Times New Roman" w:hAnsi="Times New Roman"/>
                <w:bCs/>
                <w:szCs w:val="24"/>
              </w:rPr>
              <w:br/>
            </w:r>
            <w:r w:rsidRPr="00E11E0D">
              <w:rPr>
                <w:rFonts w:ascii="Times New Roman" w:hAnsi="Times New Roman"/>
                <w:bCs/>
                <w:szCs w:val="24"/>
              </w:rPr>
              <w:t>руб. за долл. США</w:t>
            </w:r>
          </w:p>
        </w:tc>
        <w:tc>
          <w:tcPr>
            <w:tcW w:w="850" w:type="dxa"/>
            <w:vAlign w:val="center"/>
          </w:tcPr>
          <w:p w:rsidR="004E2069" w:rsidRPr="00E11E0D" w:rsidRDefault="00B85C58" w:rsidP="0007495D">
            <w:pPr>
              <w:spacing w:after="0" w:line="240" w:lineRule="auto"/>
              <w:jc w:val="right"/>
              <w:rPr>
                <w:rFonts w:ascii="Times New Roman" w:hAnsi="Times New Roman"/>
                <w:szCs w:val="24"/>
              </w:rPr>
            </w:pPr>
            <w:r>
              <w:rPr>
                <w:rFonts w:ascii="Times New Roman" w:hAnsi="Times New Roman"/>
                <w:szCs w:val="24"/>
              </w:rPr>
              <w:t>59,</w:t>
            </w:r>
            <w:r w:rsidR="0007495D">
              <w:rPr>
                <w:rFonts w:ascii="Times New Roman" w:hAnsi="Times New Roman"/>
                <w:szCs w:val="24"/>
              </w:rPr>
              <w:t>4</w:t>
            </w:r>
          </w:p>
        </w:tc>
        <w:tc>
          <w:tcPr>
            <w:tcW w:w="1020" w:type="dxa"/>
            <w:vAlign w:val="center"/>
          </w:tcPr>
          <w:p w:rsidR="004E2069" w:rsidRPr="00E11E0D" w:rsidRDefault="00B85C58" w:rsidP="00E11E0D">
            <w:pPr>
              <w:spacing w:after="0" w:line="240" w:lineRule="auto"/>
              <w:jc w:val="right"/>
              <w:rPr>
                <w:rFonts w:ascii="Times New Roman" w:hAnsi="Times New Roman"/>
                <w:szCs w:val="24"/>
              </w:rPr>
            </w:pPr>
            <w:r>
              <w:rPr>
                <w:rFonts w:ascii="Times New Roman" w:hAnsi="Times New Roman"/>
                <w:szCs w:val="24"/>
              </w:rPr>
              <w:t>64,7</w:t>
            </w:r>
          </w:p>
        </w:tc>
        <w:tc>
          <w:tcPr>
            <w:tcW w:w="1020" w:type="dxa"/>
            <w:vAlign w:val="center"/>
          </w:tcPr>
          <w:p w:rsidR="004E2069" w:rsidRPr="00E11E0D" w:rsidRDefault="00B85C58" w:rsidP="00E11E0D">
            <w:pPr>
              <w:spacing w:after="0" w:line="240" w:lineRule="auto"/>
              <w:jc w:val="right"/>
              <w:rPr>
                <w:rFonts w:ascii="Times New Roman" w:hAnsi="Times New Roman"/>
                <w:szCs w:val="24"/>
              </w:rPr>
            </w:pPr>
            <w:r>
              <w:rPr>
                <w:rFonts w:ascii="Times New Roman" w:hAnsi="Times New Roman"/>
                <w:szCs w:val="24"/>
              </w:rPr>
              <w:t>66,9</w:t>
            </w:r>
          </w:p>
        </w:tc>
        <w:tc>
          <w:tcPr>
            <w:tcW w:w="1020" w:type="dxa"/>
            <w:vAlign w:val="center"/>
          </w:tcPr>
          <w:p w:rsidR="004E2069" w:rsidRPr="00E11E0D" w:rsidRDefault="00B85C58" w:rsidP="00E11E0D">
            <w:pPr>
              <w:spacing w:after="0" w:line="240" w:lineRule="auto"/>
              <w:jc w:val="right"/>
              <w:rPr>
                <w:rFonts w:ascii="Times New Roman" w:hAnsi="Times New Roman"/>
                <w:szCs w:val="24"/>
              </w:rPr>
            </w:pPr>
            <w:r>
              <w:rPr>
                <w:rFonts w:ascii="Times New Roman" w:hAnsi="Times New Roman"/>
                <w:szCs w:val="24"/>
              </w:rPr>
              <w:t>68,0</w:t>
            </w:r>
          </w:p>
        </w:tc>
      </w:tr>
      <w:tr w:rsidR="004E2069" w:rsidRPr="00E11E0D" w:rsidTr="0007579B">
        <w:trPr>
          <w:trHeight w:val="454"/>
        </w:trPr>
        <w:tc>
          <w:tcPr>
            <w:tcW w:w="5387" w:type="dxa"/>
            <w:shd w:val="clear" w:color="auto" w:fill="F2F2F2"/>
            <w:vAlign w:val="center"/>
          </w:tcPr>
          <w:p w:rsidR="004E2069" w:rsidRPr="00E11E0D" w:rsidRDefault="004E2069" w:rsidP="00E11E0D">
            <w:pPr>
              <w:spacing w:after="0" w:line="240" w:lineRule="auto"/>
              <w:rPr>
                <w:rFonts w:ascii="Times New Roman" w:hAnsi="Times New Roman"/>
                <w:b/>
                <w:bCs/>
                <w:szCs w:val="24"/>
              </w:rPr>
            </w:pPr>
            <w:r w:rsidRPr="00E11E0D">
              <w:rPr>
                <w:rFonts w:ascii="Times New Roman" w:hAnsi="Times New Roman"/>
                <w:bCs/>
                <w:szCs w:val="24"/>
              </w:rPr>
              <w:t>Темп роста ВВП (% к предыдущему году)</w:t>
            </w:r>
          </w:p>
        </w:tc>
        <w:tc>
          <w:tcPr>
            <w:tcW w:w="850" w:type="dxa"/>
            <w:shd w:val="clear" w:color="auto" w:fill="F2F2F2"/>
            <w:vAlign w:val="center"/>
          </w:tcPr>
          <w:p w:rsidR="004E2069" w:rsidRPr="00E11E0D" w:rsidRDefault="001A54EF" w:rsidP="00E11E0D">
            <w:pPr>
              <w:spacing w:after="0" w:line="240" w:lineRule="auto"/>
              <w:jc w:val="right"/>
              <w:rPr>
                <w:rFonts w:ascii="Times New Roman" w:hAnsi="Times New Roman"/>
                <w:szCs w:val="24"/>
              </w:rPr>
            </w:pPr>
            <w:r>
              <w:rPr>
                <w:rFonts w:ascii="Times New Roman" w:hAnsi="Times New Roman"/>
                <w:szCs w:val="24"/>
              </w:rPr>
              <w:t>2,1</w:t>
            </w:r>
          </w:p>
        </w:tc>
        <w:tc>
          <w:tcPr>
            <w:tcW w:w="1020" w:type="dxa"/>
            <w:shd w:val="clear" w:color="auto" w:fill="F2F2F2"/>
            <w:vAlign w:val="center"/>
          </w:tcPr>
          <w:p w:rsidR="004E2069" w:rsidRPr="00E11E0D" w:rsidRDefault="001A54EF" w:rsidP="00E11E0D">
            <w:pPr>
              <w:spacing w:after="0" w:line="240" w:lineRule="auto"/>
              <w:jc w:val="right"/>
              <w:rPr>
                <w:rFonts w:ascii="Times New Roman" w:hAnsi="Times New Roman"/>
                <w:szCs w:val="24"/>
              </w:rPr>
            </w:pPr>
            <w:r>
              <w:rPr>
                <w:rFonts w:ascii="Times New Roman" w:hAnsi="Times New Roman"/>
                <w:szCs w:val="24"/>
              </w:rPr>
              <w:t>2,1</w:t>
            </w:r>
          </w:p>
        </w:tc>
        <w:tc>
          <w:tcPr>
            <w:tcW w:w="1020" w:type="dxa"/>
            <w:shd w:val="clear" w:color="auto" w:fill="F2F2F2"/>
            <w:vAlign w:val="center"/>
          </w:tcPr>
          <w:p w:rsidR="004E2069" w:rsidRPr="00E11E0D" w:rsidRDefault="001A54EF" w:rsidP="00E11E0D">
            <w:pPr>
              <w:spacing w:after="0" w:line="240" w:lineRule="auto"/>
              <w:jc w:val="right"/>
              <w:rPr>
                <w:rFonts w:ascii="Times New Roman" w:hAnsi="Times New Roman"/>
                <w:szCs w:val="24"/>
              </w:rPr>
            </w:pPr>
            <w:r>
              <w:rPr>
                <w:rFonts w:ascii="Times New Roman" w:hAnsi="Times New Roman"/>
                <w:szCs w:val="24"/>
              </w:rPr>
              <w:t>2,2</w:t>
            </w:r>
          </w:p>
        </w:tc>
        <w:tc>
          <w:tcPr>
            <w:tcW w:w="1020" w:type="dxa"/>
            <w:shd w:val="clear" w:color="auto" w:fill="F2F2F2"/>
            <w:vAlign w:val="center"/>
          </w:tcPr>
          <w:p w:rsidR="004E2069" w:rsidRPr="00E11E0D" w:rsidRDefault="001A54EF" w:rsidP="00E11E0D">
            <w:pPr>
              <w:spacing w:after="0" w:line="240" w:lineRule="auto"/>
              <w:jc w:val="right"/>
              <w:rPr>
                <w:rFonts w:ascii="Times New Roman" w:hAnsi="Times New Roman"/>
                <w:szCs w:val="24"/>
              </w:rPr>
            </w:pPr>
            <w:r>
              <w:rPr>
                <w:rFonts w:ascii="Times New Roman" w:hAnsi="Times New Roman"/>
                <w:szCs w:val="24"/>
              </w:rPr>
              <w:t>2,3</w:t>
            </w:r>
          </w:p>
        </w:tc>
      </w:tr>
      <w:tr w:rsidR="004E2069" w:rsidRPr="00E11E0D" w:rsidTr="0007579B">
        <w:trPr>
          <w:trHeight w:val="454"/>
        </w:trPr>
        <w:tc>
          <w:tcPr>
            <w:tcW w:w="5387" w:type="dxa"/>
            <w:vAlign w:val="center"/>
          </w:tcPr>
          <w:p w:rsidR="004E2069" w:rsidRPr="00E11E0D" w:rsidRDefault="004E2069" w:rsidP="00E11E0D">
            <w:pPr>
              <w:spacing w:after="0" w:line="240" w:lineRule="auto"/>
              <w:rPr>
                <w:rFonts w:ascii="Times New Roman" w:hAnsi="Times New Roman"/>
                <w:b/>
                <w:bCs/>
                <w:szCs w:val="24"/>
              </w:rPr>
            </w:pPr>
            <w:r w:rsidRPr="00E11E0D">
              <w:rPr>
                <w:rFonts w:ascii="Times New Roman" w:hAnsi="Times New Roman"/>
                <w:bCs/>
                <w:szCs w:val="24"/>
              </w:rPr>
              <w:t>Номинальный ВВП (</w:t>
            </w:r>
            <w:proofErr w:type="gramStart"/>
            <w:r w:rsidR="007F725F">
              <w:rPr>
                <w:rFonts w:ascii="Times New Roman" w:hAnsi="Times New Roman"/>
                <w:bCs/>
                <w:szCs w:val="24"/>
              </w:rPr>
              <w:t>млрд</w:t>
            </w:r>
            <w:proofErr w:type="gramEnd"/>
            <w:r w:rsidRPr="00E11E0D">
              <w:rPr>
                <w:rFonts w:ascii="Times New Roman" w:hAnsi="Times New Roman"/>
                <w:bCs/>
                <w:szCs w:val="24"/>
              </w:rPr>
              <w:t xml:space="preserve"> руб.)</w:t>
            </w:r>
          </w:p>
        </w:tc>
        <w:tc>
          <w:tcPr>
            <w:tcW w:w="850" w:type="dxa"/>
            <w:vAlign w:val="center"/>
          </w:tcPr>
          <w:p w:rsidR="004E2069" w:rsidRPr="00E11E0D" w:rsidRDefault="006605D9" w:rsidP="00E11E0D">
            <w:pPr>
              <w:spacing w:after="0" w:line="240" w:lineRule="auto"/>
              <w:jc w:val="right"/>
              <w:rPr>
                <w:rFonts w:ascii="Times New Roman" w:hAnsi="Times New Roman"/>
                <w:szCs w:val="24"/>
              </w:rPr>
            </w:pPr>
            <w:r>
              <w:rPr>
                <w:rFonts w:ascii="Times New Roman" w:hAnsi="Times New Roman"/>
                <w:szCs w:val="24"/>
              </w:rPr>
              <w:t>92 224</w:t>
            </w:r>
          </w:p>
        </w:tc>
        <w:tc>
          <w:tcPr>
            <w:tcW w:w="1020" w:type="dxa"/>
            <w:vAlign w:val="center"/>
          </w:tcPr>
          <w:p w:rsidR="004E2069" w:rsidRPr="00E11E0D" w:rsidRDefault="006605D9" w:rsidP="00E11E0D">
            <w:pPr>
              <w:spacing w:after="0" w:line="240" w:lineRule="auto"/>
              <w:jc w:val="right"/>
              <w:rPr>
                <w:rFonts w:ascii="Times New Roman" w:hAnsi="Times New Roman"/>
                <w:szCs w:val="24"/>
              </w:rPr>
            </w:pPr>
            <w:r>
              <w:rPr>
                <w:rFonts w:ascii="Times New Roman" w:hAnsi="Times New Roman"/>
                <w:szCs w:val="24"/>
              </w:rPr>
              <w:t>97 462</w:t>
            </w:r>
          </w:p>
        </w:tc>
        <w:tc>
          <w:tcPr>
            <w:tcW w:w="1020" w:type="dxa"/>
            <w:vAlign w:val="center"/>
          </w:tcPr>
          <w:p w:rsidR="004E2069" w:rsidRPr="00E11E0D" w:rsidRDefault="006605D9" w:rsidP="00E11E0D">
            <w:pPr>
              <w:spacing w:after="0" w:line="240" w:lineRule="auto"/>
              <w:jc w:val="right"/>
              <w:rPr>
                <w:rFonts w:ascii="Times New Roman" w:hAnsi="Times New Roman"/>
                <w:szCs w:val="24"/>
              </w:rPr>
            </w:pPr>
            <w:r>
              <w:rPr>
                <w:rFonts w:ascii="Times New Roman" w:hAnsi="Times New Roman"/>
                <w:szCs w:val="24"/>
              </w:rPr>
              <w:t>103 228</w:t>
            </w:r>
          </w:p>
        </w:tc>
        <w:tc>
          <w:tcPr>
            <w:tcW w:w="1020" w:type="dxa"/>
            <w:vAlign w:val="center"/>
          </w:tcPr>
          <w:p w:rsidR="004E2069" w:rsidRPr="00E11E0D" w:rsidRDefault="006605D9" w:rsidP="00E11E0D">
            <w:pPr>
              <w:spacing w:after="0" w:line="240" w:lineRule="auto"/>
              <w:jc w:val="right"/>
              <w:rPr>
                <w:rFonts w:ascii="Times New Roman" w:hAnsi="Times New Roman"/>
                <w:szCs w:val="24"/>
              </w:rPr>
            </w:pPr>
            <w:r>
              <w:rPr>
                <w:rFonts w:ascii="Times New Roman" w:hAnsi="Times New Roman"/>
                <w:szCs w:val="24"/>
              </w:rPr>
              <w:t>110 237</w:t>
            </w:r>
          </w:p>
        </w:tc>
      </w:tr>
      <w:tr w:rsidR="004E2069" w:rsidRPr="00E11E0D" w:rsidTr="0007579B">
        <w:trPr>
          <w:trHeight w:val="454"/>
        </w:trPr>
        <w:tc>
          <w:tcPr>
            <w:tcW w:w="5387" w:type="dxa"/>
            <w:shd w:val="clear" w:color="auto" w:fill="F2F2F2"/>
            <w:vAlign w:val="center"/>
          </w:tcPr>
          <w:p w:rsidR="004E2069" w:rsidRPr="00E11E0D" w:rsidRDefault="004E2069" w:rsidP="00E11E0D">
            <w:pPr>
              <w:spacing w:after="0" w:line="240" w:lineRule="auto"/>
              <w:rPr>
                <w:rFonts w:ascii="Times New Roman" w:hAnsi="Times New Roman"/>
                <w:b/>
                <w:bCs/>
                <w:szCs w:val="24"/>
              </w:rPr>
            </w:pPr>
            <w:r w:rsidRPr="00E11E0D">
              <w:rPr>
                <w:rFonts w:ascii="Times New Roman" w:hAnsi="Times New Roman"/>
                <w:bCs/>
                <w:szCs w:val="24"/>
              </w:rPr>
              <w:t>Индекс потребительских цен (в среднем за год)</w:t>
            </w:r>
          </w:p>
        </w:tc>
        <w:tc>
          <w:tcPr>
            <w:tcW w:w="850" w:type="dxa"/>
            <w:shd w:val="clear" w:color="auto" w:fill="F2F2F2"/>
            <w:vAlign w:val="center"/>
          </w:tcPr>
          <w:p w:rsidR="004E2069" w:rsidRPr="00E11E0D" w:rsidRDefault="001A54EF" w:rsidP="008D7B4E">
            <w:pPr>
              <w:spacing w:after="0" w:line="240" w:lineRule="auto"/>
              <w:jc w:val="right"/>
              <w:rPr>
                <w:rFonts w:ascii="Times New Roman" w:hAnsi="Times New Roman"/>
                <w:szCs w:val="24"/>
              </w:rPr>
            </w:pPr>
            <w:r>
              <w:rPr>
                <w:rFonts w:ascii="Times New Roman" w:hAnsi="Times New Roman"/>
                <w:szCs w:val="24"/>
              </w:rPr>
              <w:t>3,</w:t>
            </w:r>
            <w:r w:rsidR="008D7B4E">
              <w:rPr>
                <w:rFonts w:ascii="Times New Roman" w:hAnsi="Times New Roman"/>
                <w:szCs w:val="24"/>
              </w:rPr>
              <w:t>9</w:t>
            </w:r>
          </w:p>
        </w:tc>
        <w:tc>
          <w:tcPr>
            <w:tcW w:w="1020" w:type="dxa"/>
            <w:shd w:val="clear" w:color="auto" w:fill="F2F2F2"/>
            <w:vAlign w:val="center"/>
          </w:tcPr>
          <w:p w:rsidR="004E2069" w:rsidRPr="00E11E0D" w:rsidRDefault="008D7B4E" w:rsidP="00E11E0D">
            <w:pPr>
              <w:spacing w:after="0" w:line="240" w:lineRule="auto"/>
              <w:jc w:val="right"/>
              <w:rPr>
                <w:rFonts w:ascii="Times New Roman" w:hAnsi="Times New Roman"/>
                <w:szCs w:val="24"/>
              </w:rPr>
            </w:pPr>
            <w:r>
              <w:rPr>
                <w:rFonts w:ascii="Times New Roman" w:hAnsi="Times New Roman"/>
                <w:szCs w:val="24"/>
              </w:rPr>
              <w:t>3,7</w:t>
            </w:r>
          </w:p>
        </w:tc>
        <w:tc>
          <w:tcPr>
            <w:tcW w:w="1020" w:type="dxa"/>
            <w:shd w:val="clear" w:color="auto" w:fill="F2F2F2"/>
            <w:vAlign w:val="center"/>
          </w:tcPr>
          <w:p w:rsidR="004E2069" w:rsidRPr="00E11E0D" w:rsidRDefault="004E2069" w:rsidP="00E11E0D">
            <w:pPr>
              <w:spacing w:after="0" w:line="240" w:lineRule="auto"/>
              <w:jc w:val="right"/>
              <w:rPr>
                <w:rFonts w:ascii="Times New Roman" w:hAnsi="Times New Roman"/>
                <w:szCs w:val="24"/>
              </w:rPr>
            </w:pPr>
            <w:r w:rsidRPr="00E11E0D">
              <w:rPr>
                <w:rFonts w:ascii="Times New Roman" w:hAnsi="Times New Roman"/>
                <w:szCs w:val="24"/>
              </w:rPr>
              <w:t>4,0</w:t>
            </w:r>
          </w:p>
        </w:tc>
        <w:tc>
          <w:tcPr>
            <w:tcW w:w="1020" w:type="dxa"/>
            <w:shd w:val="clear" w:color="auto" w:fill="F2F2F2"/>
            <w:vAlign w:val="center"/>
          </w:tcPr>
          <w:p w:rsidR="004E2069" w:rsidRPr="00E11E0D" w:rsidRDefault="004E2069" w:rsidP="00E11E0D">
            <w:pPr>
              <w:spacing w:after="0" w:line="240" w:lineRule="auto"/>
              <w:jc w:val="right"/>
              <w:rPr>
                <w:rFonts w:ascii="Times New Roman" w:hAnsi="Times New Roman"/>
                <w:szCs w:val="24"/>
              </w:rPr>
            </w:pPr>
            <w:r w:rsidRPr="00E11E0D">
              <w:rPr>
                <w:rFonts w:ascii="Times New Roman" w:hAnsi="Times New Roman"/>
                <w:szCs w:val="24"/>
              </w:rPr>
              <w:t>4,0</w:t>
            </w:r>
          </w:p>
        </w:tc>
      </w:tr>
      <w:tr w:rsidR="004E2069" w:rsidRPr="00E11E0D" w:rsidTr="0007579B">
        <w:trPr>
          <w:trHeight w:val="454"/>
        </w:trPr>
        <w:tc>
          <w:tcPr>
            <w:tcW w:w="5387" w:type="dxa"/>
            <w:vAlign w:val="center"/>
          </w:tcPr>
          <w:p w:rsidR="004E2069" w:rsidRPr="00E11E0D" w:rsidRDefault="004E2069" w:rsidP="00E11E0D">
            <w:pPr>
              <w:spacing w:after="0" w:line="240" w:lineRule="auto"/>
              <w:rPr>
                <w:rFonts w:ascii="Times New Roman" w:hAnsi="Times New Roman"/>
                <w:b/>
                <w:bCs/>
                <w:szCs w:val="24"/>
              </w:rPr>
            </w:pPr>
            <w:r w:rsidRPr="00E11E0D">
              <w:rPr>
                <w:rFonts w:ascii="Times New Roman" w:hAnsi="Times New Roman"/>
                <w:bCs/>
                <w:szCs w:val="24"/>
              </w:rPr>
              <w:t xml:space="preserve">Экспорт товаров, </w:t>
            </w:r>
            <w:proofErr w:type="gramStart"/>
            <w:r w:rsidR="007F725F">
              <w:rPr>
                <w:rFonts w:ascii="Times New Roman" w:hAnsi="Times New Roman"/>
                <w:bCs/>
                <w:szCs w:val="24"/>
              </w:rPr>
              <w:t>млрд</w:t>
            </w:r>
            <w:proofErr w:type="gramEnd"/>
            <w:r w:rsidRPr="00E11E0D">
              <w:rPr>
                <w:rFonts w:ascii="Times New Roman" w:hAnsi="Times New Roman"/>
                <w:bCs/>
                <w:szCs w:val="24"/>
              </w:rPr>
              <w:t xml:space="preserve"> долл. США</w:t>
            </w:r>
          </w:p>
        </w:tc>
        <w:tc>
          <w:tcPr>
            <w:tcW w:w="850" w:type="dxa"/>
            <w:vAlign w:val="center"/>
          </w:tcPr>
          <w:p w:rsidR="004E2069" w:rsidRPr="00E11E0D" w:rsidRDefault="00C33DD3" w:rsidP="00E11E0D">
            <w:pPr>
              <w:spacing w:after="0" w:line="240" w:lineRule="auto"/>
              <w:jc w:val="right"/>
              <w:rPr>
                <w:rFonts w:ascii="Times New Roman" w:hAnsi="Times New Roman"/>
                <w:szCs w:val="24"/>
              </w:rPr>
            </w:pPr>
            <w:r>
              <w:rPr>
                <w:rFonts w:ascii="Times New Roman" w:hAnsi="Times New Roman"/>
                <w:szCs w:val="24"/>
              </w:rPr>
              <w:t>336,9</w:t>
            </w:r>
          </w:p>
        </w:tc>
        <w:tc>
          <w:tcPr>
            <w:tcW w:w="1020" w:type="dxa"/>
            <w:vAlign w:val="center"/>
          </w:tcPr>
          <w:p w:rsidR="004E2069" w:rsidRPr="00E11E0D" w:rsidRDefault="004614F8" w:rsidP="00E11E0D">
            <w:pPr>
              <w:spacing w:after="0" w:line="240" w:lineRule="auto"/>
              <w:jc w:val="right"/>
              <w:rPr>
                <w:rFonts w:ascii="Times New Roman" w:hAnsi="Times New Roman"/>
                <w:szCs w:val="24"/>
              </w:rPr>
            </w:pPr>
            <w:r>
              <w:rPr>
                <w:rFonts w:ascii="Times New Roman" w:hAnsi="Times New Roman"/>
                <w:szCs w:val="24"/>
              </w:rPr>
              <w:t>324,9</w:t>
            </w:r>
          </w:p>
        </w:tc>
        <w:tc>
          <w:tcPr>
            <w:tcW w:w="1020" w:type="dxa"/>
            <w:vAlign w:val="center"/>
          </w:tcPr>
          <w:p w:rsidR="004E2069" w:rsidRPr="00E11E0D" w:rsidRDefault="00C33DD3" w:rsidP="00E11E0D">
            <w:pPr>
              <w:spacing w:after="0" w:line="240" w:lineRule="auto"/>
              <w:jc w:val="right"/>
              <w:rPr>
                <w:rFonts w:ascii="Times New Roman" w:hAnsi="Times New Roman"/>
                <w:szCs w:val="24"/>
              </w:rPr>
            </w:pPr>
            <w:r>
              <w:rPr>
                <w:rFonts w:ascii="Times New Roman" w:hAnsi="Times New Roman"/>
                <w:szCs w:val="24"/>
              </w:rPr>
              <w:t>324,2</w:t>
            </w:r>
          </w:p>
        </w:tc>
        <w:tc>
          <w:tcPr>
            <w:tcW w:w="1020" w:type="dxa"/>
            <w:vAlign w:val="center"/>
          </w:tcPr>
          <w:p w:rsidR="004E2069" w:rsidRPr="00E11E0D" w:rsidRDefault="00C33DD3" w:rsidP="00E11E0D">
            <w:pPr>
              <w:spacing w:after="0" w:line="240" w:lineRule="auto"/>
              <w:jc w:val="right"/>
              <w:rPr>
                <w:rFonts w:ascii="Times New Roman" w:hAnsi="Times New Roman"/>
                <w:szCs w:val="24"/>
              </w:rPr>
            </w:pPr>
            <w:r>
              <w:rPr>
                <w:rFonts w:ascii="Times New Roman" w:hAnsi="Times New Roman"/>
                <w:szCs w:val="24"/>
              </w:rPr>
              <w:t>332,4</w:t>
            </w:r>
          </w:p>
        </w:tc>
      </w:tr>
      <w:tr w:rsidR="004E2069" w:rsidRPr="00E11E0D" w:rsidTr="0007579B">
        <w:trPr>
          <w:trHeight w:val="454"/>
        </w:trPr>
        <w:tc>
          <w:tcPr>
            <w:tcW w:w="5387" w:type="dxa"/>
            <w:tcBorders>
              <w:bottom w:val="single" w:sz="4" w:space="0" w:color="auto"/>
            </w:tcBorders>
            <w:shd w:val="clear" w:color="auto" w:fill="F2F2F2"/>
            <w:vAlign w:val="center"/>
          </w:tcPr>
          <w:p w:rsidR="004E2069" w:rsidRPr="00E11E0D" w:rsidRDefault="004E2069" w:rsidP="00E11E0D">
            <w:pPr>
              <w:spacing w:after="0" w:line="240" w:lineRule="auto"/>
              <w:rPr>
                <w:rFonts w:ascii="Times New Roman" w:hAnsi="Times New Roman"/>
                <w:b/>
                <w:bCs/>
                <w:szCs w:val="24"/>
              </w:rPr>
            </w:pPr>
            <w:r w:rsidRPr="00E11E0D">
              <w:rPr>
                <w:rFonts w:ascii="Times New Roman" w:hAnsi="Times New Roman"/>
                <w:bCs/>
                <w:szCs w:val="24"/>
              </w:rPr>
              <w:t xml:space="preserve">Импорт товаров, </w:t>
            </w:r>
            <w:proofErr w:type="gramStart"/>
            <w:r w:rsidR="007F725F">
              <w:rPr>
                <w:rFonts w:ascii="Times New Roman" w:hAnsi="Times New Roman"/>
                <w:bCs/>
                <w:szCs w:val="24"/>
              </w:rPr>
              <w:t>млрд</w:t>
            </w:r>
            <w:proofErr w:type="gramEnd"/>
            <w:r w:rsidRPr="00E11E0D">
              <w:rPr>
                <w:rFonts w:ascii="Times New Roman" w:hAnsi="Times New Roman"/>
                <w:bCs/>
                <w:szCs w:val="24"/>
              </w:rPr>
              <w:t xml:space="preserve"> долл. США</w:t>
            </w:r>
          </w:p>
        </w:tc>
        <w:tc>
          <w:tcPr>
            <w:tcW w:w="850" w:type="dxa"/>
            <w:tcBorders>
              <w:bottom w:val="single" w:sz="4" w:space="0" w:color="auto"/>
            </w:tcBorders>
            <w:shd w:val="clear" w:color="auto" w:fill="F2F2F2"/>
            <w:vAlign w:val="center"/>
          </w:tcPr>
          <w:p w:rsidR="004E2069" w:rsidRPr="00E11E0D" w:rsidRDefault="00B85C58" w:rsidP="00E11E0D">
            <w:pPr>
              <w:spacing w:after="0" w:line="240" w:lineRule="auto"/>
              <w:jc w:val="right"/>
              <w:rPr>
                <w:rFonts w:ascii="Times New Roman" w:hAnsi="Times New Roman"/>
                <w:szCs w:val="24"/>
              </w:rPr>
            </w:pPr>
            <w:r>
              <w:rPr>
                <w:rFonts w:ascii="Times New Roman" w:hAnsi="Times New Roman"/>
                <w:szCs w:val="24"/>
              </w:rPr>
              <w:t>227,8</w:t>
            </w:r>
          </w:p>
        </w:tc>
        <w:tc>
          <w:tcPr>
            <w:tcW w:w="1020" w:type="dxa"/>
            <w:tcBorders>
              <w:bottom w:val="single" w:sz="4" w:space="0" w:color="auto"/>
            </w:tcBorders>
            <w:shd w:val="clear" w:color="auto" w:fill="F2F2F2"/>
            <w:vAlign w:val="center"/>
          </w:tcPr>
          <w:p w:rsidR="004E2069" w:rsidRPr="00E11E0D" w:rsidRDefault="00B85C58" w:rsidP="00E11E0D">
            <w:pPr>
              <w:spacing w:after="0" w:line="240" w:lineRule="auto"/>
              <w:jc w:val="right"/>
              <w:rPr>
                <w:rFonts w:ascii="Times New Roman" w:hAnsi="Times New Roman"/>
                <w:szCs w:val="24"/>
              </w:rPr>
            </w:pPr>
            <w:r>
              <w:rPr>
                <w:rFonts w:ascii="Times New Roman" w:hAnsi="Times New Roman"/>
                <w:szCs w:val="24"/>
              </w:rPr>
              <w:t>234,8</w:t>
            </w:r>
          </w:p>
        </w:tc>
        <w:tc>
          <w:tcPr>
            <w:tcW w:w="1020" w:type="dxa"/>
            <w:tcBorders>
              <w:bottom w:val="single" w:sz="4" w:space="0" w:color="auto"/>
            </w:tcBorders>
            <w:shd w:val="clear" w:color="auto" w:fill="F2F2F2"/>
            <w:vAlign w:val="center"/>
          </w:tcPr>
          <w:p w:rsidR="004E2069" w:rsidRPr="00E11E0D" w:rsidRDefault="00B85C58" w:rsidP="00E11E0D">
            <w:pPr>
              <w:spacing w:after="0" w:line="240" w:lineRule="auto"/>
              <w:jc w:val="right"/>
              <w:rPr>
                <w:rFonts w:ascii="Times New Roman" w:hAnsi="Times New Roman"/>
                <w:szCs w:val="24"/>
              </w:rPr>
            </w:pPr>
            <w:r>
              <w:rPr>
                <w:rFonts w:ascii="Times New Roman" w:hAnsi="Times New Roman"/>
                <w:szCs w:val="24"/>
              </w:rPr>
              <w:t>238,0</w:t>
            </w:r>
          </w:p>
        </w:tc>
        <w:tc>
          <w:tcPr>
            <w:tcW w:w="1020" w:type="dxa"/>
            <w:tcBorders>
              <w:bottom w:val="single" w:sz="4" w:space="0" w:color="auto"/>
            </w:tcBorders>
            <w:shd w:val="clear" w:color="auto" w:fill="F2F2F2"/>
            <w:vAlign w:val="center"/>
          </w:tcPr>
          <w:p w:rsidR="004E2069" w:rsidRPr="00E11E0D" w:rsidRDefault="00B85C58" w:rsidP="00E11E0D">
            <w:pPr>
              <w:spacing w:after="0" w:line="240" w:lineRule="auto"/>
              <w:jc w:val="right"/>
              <w:rPr>
                <w:rFonts w:ascii="Times New Roman" w:hAnsi="Times New Roman"/>
                <w:szCs w:val="24"/>
              </w:rPr>
            </w:pPr>
            <w:r>
              <w:rPr>
                <w:rFonts w:ascii="Times New Roman" w:hAnsi="Times New Roman"/>
                <w:szCs w:val="24"/>
              </w:rPr>
              <w:t>241,0</w:t>
            </w:r>
          </w:p>
        </w:tc>
      </w:tr>
    </w:tbl>
    <w:p w:rsidR="004E2069" w:rsidRPr="003F0679" w:rsidRDefault="004E2069">
      <w:pPr>
        <w:rPr>
          <w:rFonts w:ascii="Times New Roman" w:hAnsi="Times New Roman"/>
          <w:sz w:val="24"/>
          <w:szCs w:val="24"/>
          <w:highlight w:val="lightGray"/>
        </w:rPr>
      </w:pPr>
      <w:r w:rsidRPr="003F0679">
        <w:rPr>
          <w:rFonts w:ascii="Times New Roman" w:hAnsi="Times New Roman"/>
          <w:sz w:val="24"/>
          <w:szCs w:val="24"/>
          <w:highlight w:val="lightGray"/>
        </w:rPr>
        <w:br w:type="page"/>
      </w:r>
    </w:p>
    <w:p w:rsidR="004E2069" w:rsidRPr="00841E25" w:rsidRDefault="004E2069" w:rsidP="00D65F4C">
      <w:pPr>
        <w:pStyle w:val="10"/>
        <w:numPr>
          <w:ilvl w:val="0"/>
          <w:numId w:val="3"/>
        </w:numPr>
        <w:spacing w:after="240"/>
        <w:rPr>
          <w:szCs w:val="32"/>
        </w:rPr>
      </w:pPr>
      <w:bookmarkStart w:id="19" w:name="_Toc494788034"/>
      <w:r w:rsidRPr="00841E25">
        <w:rPr>
          <w:szCs w:val="32"/>
        </w:rPr>
        <w:t xml:space="preserve">ЦЕЛИ И ЗАДАЧИ БЮДЖЕТНОЙ, НАЛОГОВОЙ И ТАМОЖЕННО-ТАРИФНОЙ </w:t>
      </w:r>
      <w:proofErr w:type="gramStart"/>
      <w:r w:rsidRPr="00841E25">
        <w:rPr>
          <w:szCs w:val="32"/>
        </w:rPr>
        <w:t>ПОЛИТИКИ</w:t>
      </w:r>
      <w:r w:rsidR="00881FE2">
        <w:rPr>
          <w:szCs w:val="32"/>
        </w:rPr>
        <w:t xml:space="preserve"> НА ПЕРИОД</w:t>
      </w:r>
      <w:proofErr w:type="gramEnd"/>
      <w:r w:rsidR="00881FE2">
        <w:rPr>
          <w:szCs w:val="32"/>
        </w:rPr>
        <w:t xml:space="preserve"> 2018-2020 ГОДОВ</w:t>
      </w:r>
      <w:bookmarkEnd w:id="19"/>
    </w:p>
    <w:p w:rsidR="00FA2FC5" w:rsidRDefault="00FA2FC5" w:rsidP="00FA2FC5">
      <w:pPr>
        <w:spacing w:before="120" w:after="120"/>
        <w:jc w:val="both"/>
        <w:rPr>
          <w:rFonts w:ascii="Times New Roman" w:hAnsi="Times New Roman"/>
          <w:sz w:val="24"/>
          <w:szCs w:val="24"/>
        </w:rPr>
      </w:pPr>
      <w:r>
        <w:rPr>
          <w:rFonts w:ascii="Times New Roman" w:hAnsi="Times New Roman"/>
          <w:sz w:val="24"/>
          <w:szCs w:val="24"/>
        </w:rPr>
        <w:t>З</w:t>
      </w:r>
      <w:r w:rsidRPr="00DA42A0">
        <w:rPr>
          <w:rFonts w:ascii="Times New Roman" w:hAnsi="Times New Roman"/>
          <w:sz w:val="24"/>
          <w:szCs w:val="24"/>
        </w:rPr>
        <w:t>авершени</w:t>
      </w:r>
      <w:r>
        <w:rPr>
          <w:rFonts w:ascii="Times New Roman" w:hAnsi="Times New Roman"/>
          <w:sz w:val="24"/>
          <w:szCs w:val="24"/>
        </w:rPr>
        <w:t>е</w:t>
      </w:r>
      <w:r w:rsidRPr="00DA42A0">
        <w:rPr>
          <w:rFonts w:ascii="Times New Roman" w:hAnsi="Times New Roman"/>
          <w:sz w:val="24"/>
          <w:szCs w:val="24"/>
        </w:rPr>
        <w:t xml:space="preserve"> </w:t>
      </w:r>
      <w:r>
        <w:rPr>
          <w:rFonts w:ascii="Times New Roman" w:hAnsi="Times New Roman"/>
          <w:sz w:val="24"/>
          <w:szCs w:val="24"/>
        </w:rPr>
        <w:t xml:space="preserve">подстройки российской экономики к внешним шокам, а также ожидаемое сохранение непростых внешних условий и сохранение/усугубление действия внутренних ограничений для развития предопределяет выход на </w:t>
      </w:r>
      <w:r w:rsidRPr="00DA42A0">
        <w:rPr>
          <w:rFonts w:ascii="Times New Roman" w:hAnsi="Times New Roman"/>
          <w:sz w:val="24"/>
          <w:szCs w:val="24"/>
        </w:rPr>
        <w:t>первый план повестки государственной экономической политики цел</w:t>
      </w:r>
      <w:r>
        <w:rPr>
          <w:rFonts w:ascii="Times New Roman" w:hAnsi="Times New Roman"/>
          <w:sz w:val="24"/>
          <w:szCs w:val="24"/>
        </w:rPr>
        <w:t>и</w:t>
      </w:r>
      <w:r w:rsidRPr="00DA42A0">
        <w:rPr>
          <w:rFonts w:ascii="Times New Roman" w:hAnsi="Times New Roman"/>
          <w:sz w:val="24"/>
          <w:szCs w:val="24"/>
        </w:rPr>
        <w:t xml:space="preserve"> по </w:t>
      </w:r>
      <w:r w:rsidRPr="007810ED">
        <w:rPr>
          <w:rFonts w:ascii="Times New Roman" w:hAnsi="Times New Roman"/>
          <w:b/>
          <w:sz w:val="24"/>
          <w:szCs w:val="24"/>
        </w:rPr>
        <w:t>обеспечению сбалансированного развития страны и расширению потенциала отечественной экономики</w:t>
      </w:r>
      <w:r>
        <w:rPr>
          <w:rFonts w:ascii="Times New Roman" w:hAnsi="Times New Roman"/>
          <w:b/>
          <w:sz w:val="24"/>
          <w:szCs w:val="24"/>
        </w:rPr>
        <w:t>.</w:t>
      </w:r>
    </w:p>
    <w:p w:rsidR="00FA2FC5" w:rsidRDefault="00FA2FC5" w:rsidP="00FA2FC5">
      <w:pPr>
        <w:spacing w:before="120" w:after="120"/>
        <w:jc w:val="both"/>
        <w:rPr>
          <w:rFonts w:ascii="Times New Roman" w:hAnsi="Times New Roman"/>
          <w:sz w:val="24"/>
          <w:szCs w:val="24"/>
        </w:rPr>
      </w:pPr>
      <w:r>
        <w:rPr>
          <w:rFonts w:ascii="Times New Roman" w:hAnsi="Times New Roman"/>
          <w:sz w:val="24"/>
          <w:szCs w:val="24"/>
        </w:rPr>
        <w:t>Достижение этой цели потребует проведения экономической политики, одновременно обеспечивающей:</w:t>
      </w:r>
    </w:p>
    <w:p w:rsidR="00FA2FC5" w:rsidRPr="00C30D52" w:rsidRDefault="00FA2FC5" w:rsidP="009F1CCA">
      <w:pPr>
        <w:pStyle w:val="a9"/>
        <w:numPr>
          <w:ilvl w:val="0"/>
          <w:numId w:val="29"/>
        </w:numPr>
        <w:spacing w:before="120" w:after="120"/>
        <w:contextualSpacing w:val="0"/>
        <w:jc w:val="both"/>
        <w:rPr>
          <w:rFonts w:ascii="Times New Roman" w:hAnsi="Times New Roman"/>
          <w:sz w:val="24"/>
          <w:szCs w:val="24"/>
        </w:rPr>
      </w:pPr>
      <w:r w:rsidRPr="00C30D52">
        <w:rPr>
          <w:rFonts w:ascii="Times New Roman" w:hAnsi="Times New Roman"/>
          <w:b/>
          <w:sz w:val="24"/>
          <w:szCs w:val="24"/>
        </w:rPr>
        <w:t>Создание предсказуемой и устойчивой среды</w:t>
      </w:r>
      <w:r w:rsidRPr="00C30D52">
        <w:rPr>
          <w:rFonts w:ascii="Times New Roman" w:hAnsi="Times New Roman"/>
          <w:sz w:val="24"/>
          <w:szCs w:val="24"/>
        </w:rPr>
        <w:t>, характеризующейся:</w:t>
      </w:r>
      <w:r w:rsidR="00C30D52" w:rsidRPr="00C30D52">
        <w:rPr>
          <w:rFonts w:ascii="Times New Roman" w:hAnsi="Times New Roman"/>
          <w:sz w:val="24"/>
          <w:szCs w:val="24"/>
        </w:rPr>
        <w:t xml:space="preserve"> (1) </w:t>
      </w:r>
      <w:r w:rsidR="00C30D52">
        <w:rPr>
          <w:rFonts w:ascii="Times New Roman" w:hAnsi="Times New Roman"/>
          <w:sz w:val="24"/>
          <w:szCs w:val="24"/>
        </w:rPr>
        <w:t xml:space="preserve">низким уровнем </w:t>
      </w:r>
      <w:r w:rsidR="0007579B">
        <w:rPr>
          <w:rFonts w:ascii="Times New Roman" w:hAnsi="Times New Roman"/>
          <w:sz w:val="24"/>
          <w:szCs w:val="24"/>
        </w:rPr>
        <w:t>восприимчивост</w:t>
      </w:r>
      <w:r w:rsidR="00C30D52">
        <w:rPr>
          <w:rFonts w:ascii="Times New Roman" w:hAnsi="Times New Roman"/>
          <w:sz w:val="24"/>
          <w:szCs w:val="24"/>
        </w:rPr>
        <w:t>и</w:t>
      </w:r>
      <w:r w:rsidR="00C30D52" w:rsidRPr="00C30D52">
        <w:rPr>
          <w:rFonts w:ascii="Times New Roman" w:hAnsi="Times New Roman"/>
          <w:sz w:val="24"/>
          <w:szCs w:val="24"/>
        </w:rPr>
        <w:t xml:space="preserve"> внутренних экономических показателей к колебаниям цен на нефть; (2) устойчиво низким уровнем инфляционных ожиданий и долгосрочных реальных процентных ставок;</w:t>
      </w:r>
      <w:r w:rsidR="00C30D52">
        <w:rPr>
          <w:rFonts w:ascii="Times New Roman" w:hAnsi="Times New Roman"/>
          <w:sz w:val="24"/>
          <w:szCs w:val="24"/>
        </w:rPr>
        <w:t xml:space="preserve"> (3) </w:t>
      </w:r>
      <w:r w:rsidR="00C30D52" w:rsidRPr="00C30D52">
        <w:rPr>
          <w:rFonts w:ascii="Times New Roman" w:hAnsi="Times New Roman"/>
          <w:sz w:val="24"/>
          <w:szCs w:val="24"/>
        </w:rPr>
        <w:t xml:space="preserve">стабильными налоговыми (и неналоговыми, в </w:t>
      </w:r>
      <w:proofErr w:type="spellStart"/>
      <w:r w:rsidR="00C30D52" w:rsidRPr="00C30D52">
        <w:rPr>
          <w:rFonts w:ascii="Times New Roman" w:hAnsi="Times New Roman"/>
          <w:sz w:val="24"/>
          <w:szCs w:val="24"/>
        </w:rPr>
        <w:t>т.ч</w:t>
      </w:r>
      <w:proofErr w:type="spellEnd"/>
      <w:r w:rsidR="00C30D52" w:rsidRPr="00C30D52">
        <w:rPr>
          <w:rFonts w:ascii="Times New Roman" w:hAnsi="Times New Roman"/>
          <w:sz w:val="24"/>
          <w:szCs w:val="24"/>
        </w:rPr>
        <w:t>. регуляторными) условиями</w:t>
      </w:r>
      <w:r w:rsidR="00C30D52">
        <w:rPr>
          <w:rFonts w:ascii="Times New Roman" w:hAnsi="Times New Roman"/>
          <w:sz w:val="24"/>
          <w:szCs w:val="24"/>
        </w:rPr>
        <w:t>.</w:t>
      </w:r>
    </w:p>
    <w:p w:rsidR="00FA2FC5" w:rsidRDefault="00FA2FC5" w:rsidP="009F1CCA">
      <w:pPr>
        <w:pStyle w:val="a9"/>
        <w:numPr>
          <w:ilvl w:val="0"/>
          <w:numId w:val="29"/>
        </w:numPr>
        <w:spacing w:before="120" w:after="120"/>
        <w:contextualSpacing w:val="0"/>
        <w:jc w:val="both"/>
        <w:rPr>
          <w:rFonts w:ascii="Times New Roman" w:hAnsi="Times New Roman"/>
          <w:sz w:val="24"/>
          <w:szCs w:val="24"/>
        </w:rPr>
      </w:pPr>
      <w:r>
        <w:rPr>
          <w:rFonts w:ascii="Times New Roman" w:hAnsi="Times New Roman"/>
          <w:b/>
          <w:sz w:val="24"/>
          <w:szCs w:val="24"/>
        </w:rPr>
        <w:t>У</w:t>
      </w:r>
      <w:r w:rsidRPr="002E0D19">
        <w:rPr>
          <w:rFonts w:ascii="Times New Roman" w:hAnsi="Times New Roman"/>
          <w:b/>
          <w:sz w:val="24"/>
          <w:szCs w:val="24"/>
        </w:rPr>
        <w:t xml:space="preserve">странение структурных дисбалансов и </w:t>
      </w:r>
      <w:r w:rsidR="00B906AC">
        <w:rPr>
          <w:rFonts w:ascii="Times New Roman" w:hAnsi="Times New Roman"/>
          <w:b/>
          <w:sz w:val="24"/>
          <w:szCs w:val="24"/>
        </w:rPr>
        <w:t>барьеров</w:t>
      </w:r>
      <w:r w:rsidRPr="002E0D19">
        <w:rPr>
          <w:rFonts w:ascii="Times New Roman" w:hAnsi="Times New Roman"/>
          <w:b/>
          <w:sz w:val="24"/>
          <w:szCs w:val="24"/>
        </w:rPr>
        <w:t xml:space="preserve"> для развития</w:t>
      </w:r>
      <w:r w:rsidRPr="007810ED">
        <w:rPr>
          <w:rFonts w:ascii="Times New Roman" w:hAnsi="Times New Roman"/>
          <w:sz w:val="24"/>
          <w:szCs w:val="24"/>
        </w:rPr>
        <w:t xml:space="preserve">, </w:t>
      </w:r>
      <w:proofErr w:type="gramStart"/>
      <w:r w:rsidRPr="007810ED">
        <w:rPr>
          <w:rFonts w:ascii="Times New Roman" w:hAnsi="Times New Roman"/>
          <w:sz w:val="24"/>
          <w:szCs w:val="24"/>
        </w:rPr>
        <w:t>связанных</w:t>
      </w:r>
      <w:proofErr w:type="gramEnd"/>
      <w:r w:rsidRPr="007810ED">
        <w:rPr>
          <w:rFonts w:ascii="Times New Roman" w:hAnsi="Times New Roman"/>
          <w:sz w:val="24"/>
          <w:szCs w:val="24"/>
        </w:rPr>
        <w:t xml:space="preserve"> </w:t>
      </w:r>
      <w:r>
        <w:rPr>
          <w:rFonts w:ascii="Times New Roman" w:hAnsi="Times New Roman"/>
          <w:sz w:val="24"/>
          <w:szCs w:val="24"/>
        </w:rPr>
        <w:t xml:space="preserve">в том числе </w:t>
      </w:r>
      <w:r w:rsidR="004A578F">
        <w:rPr>
          <w:rFonts w:ascii="Times New Roman" w:hAnsi="Times New Roman"/>
          <w:sz w:val="24"/>
          <w:szCs w:val="24"/>
        </w:rPr>
        <w:t xml:space="preserve">с </w:t>
      </w:r>
      <w:r w:rsidR="004A578F" w:rsidRPr="006C3868">
        <w:rPr>
          <w:rFonts w:ascii="Times New Roman" w:hAnsi="Times New Roman"/>
          <w:sz w:val="24"/>
          <w:szCs w:val="24"/>
        </w:rPr>
        <w:t>искажениями конкурентного ландшафта и стимулов к инвестициям</w:t>
      </w:r>
      <w:r w:rsidR="004A578F">
        <w:rPr>
          <w:rFonts w:ascii="Times New Roman" w:hAnsi="Times New Roman"/>
          <w:sz w:val="24"/>
          <w:szCs w:val="24"/>
        </w:rPr>
        <w:t>,</w:t>
      </w:r>
      <w:r w:rsidR="004A578F" w:rsidRPr="006C3868">
        <w:rPr>
          <w:rFonts w:ascii="Times New Roman" w:hAnsi="Times New Roman"/>
          <w:sz w:val="24"/>
          <w:szCs w:val="24"/>
        </w:rPr>
        <w:t xml:space="preserve"> </w:t>
      </w:r>
      <w:r w:rsidR="004A578F" w:rsidRPr="00FF4120">
        <w:rPr>
          <w:rFonts w:ascii="Times New Roman" w:hAnsi="Times New Roman"/>
          <w:sz w:val="24"/>
          <w:szCs w:val="27"/>
        </w:rPr>
        <w:t>качеством и эффективностью государственного управления</w:t>
      </w:r>
      <w:r w:rsidR="004A578F">
        <w:rPr>
          <w:rFonts w:ascii="Times New Roman" w:hAnsi="Times New Roman"/>
          <w:sz w:val="24"/>
          <w:szCs w:val="27"/>
        </w:rPr>
        <w:t xml:space="preserve">, демографическими тенденциями и </w:t>
      </w:r>
      <w:r w:rsidR="004A578F" w:rsidRPr="006C3868">
        <w:rPr>
          <w:rFonts w:ascii="Times New Roman" w:hAnsi="Times New Roman"/>
          <w:sz w:val="24"/>
          <w:szCs w:val="24"/>
        </w:rPr>
        <w:t>развитием человеческого капитала</w:t>
      </w:r>
      <w:r w:rsidR="004A578F">
        <w:rPr>
          <w:rFonts w:ascii="Times New Roman" w:hAnsi="Times New Roman"/>
          <w:sz w:val="24"/>
          <w:szCs w:val="24"/>
        </w:rPr>
        <w:t>.</w:t>
      </w:r>
    </w:p>
    <w:p w:rsidR="004E2069" w:rsidRPr="00841E25" w:rsidRDefault="004E2069" w:rsidP="00E60144">
      <w:pPr>
        <w:pStyle w:val="20"/>
        <w:numPr>
          <w:ilvl w:val="1"/>
          <w:numId w:val="3"/>
        </w:numPr>
        <w:spacing w:before="240" w:after="240"/>
        <w:rPr>
          <w:rFonts w:ascii="Times New Roman" w:hAnsi="Times New Roman"/>
          <w:sz w:val="28"/>
          <w:szCs w:val="28"/>
        </w:rPr>
      </w:pPr>
      <w:bookmarkStart w:id="20" w:name="_Toc494788035"/>
      <w:r w:rsidRPr="00841E25">
        <w:rPr>
          <w:rFonts w:ascii="Times New Roman" w:hAnsi="Times New Roman"/>
          <w:sz w:val="28"/>
          <w:szCs w:val="28"/>
        </w:rPr>
        <w:t>ПРЕДСКАЗУЕМАЯ И УСТОЙЧИВАЯ СРЕДА</w:t>
      </w:r>
      <w:bookmarkEnd w:id="20"/>
    </w:p>
    <w:p w:rsidR="004E2069" w:rsidRDefault="004E2069" w:rsidP="00273EE2">
      <w:pPr>
        <w:spacing w:before="120" w:after="120"/>
        <w:jc w:val="both"/>
        <w:rPr>
          <w:rFonts w:ascii="Times New Roman" w:hAnsi="Times New Roman"/>
          <w:sz w:val="24"/>
          <w:szCs w:val="24"/>
        </w:rPr>
      </w:pPr>
      <w:r w:rsidRPr="00273EE2">
        <w:rPr>
          <w:rFonts w:ascii="Times New Roman" w:hAnsi="Times New Roman"/>
          <w:sz w:val="24"/>
          <w:szCs w:val="24"/>
        </w:rPr>
        <w:t xml:space="preserve">Необходимым </w:t>
      </w:r>
      <w:r>
        <w:rPr>
          <w:rFonts w:ascii="Times New Roman" w:hAnsi="Times New Roman"/>
          <w:sz w:val="24"/>
          <w:szCs w:val="24"/>
        </w:rPr>
        <w:t>условием устойчивого экономического развития является обеспечение макроэкономической стабильности – предсказуемости внутренних экономических условий, низкой инфляции и долгосрочных процентных ставок, стабильной и понятной для экономических агентов налоговой систем</w:t>
      </w:r>
      <w:r w:rsidR="0007579B">
        <w:rPr>
          <w:rFonts w:ascii="Times New Roman" w:hAnsi="Times New Roman"/>
          <w:sz w:val="24"/>
          <w:szCs w:val="24"/>
        </w:rPr>
        <w:t>ы</w:t>
      </w:r>
      <w:r>
        <w:rPr>
          <w:rFonts w:ascii="Times New Roman" w:hAnsi="Times New Roman"/>
          <w:sz w:val="24"/>
          <w:szCs w:val="24"/>
        </w:rPr>
        <w:t>.</w:t>
      </w:r>
    </w:p>
    <w:p w:rsidR="004E2069" w:rsidRPr="007204FC" w:rsidRDefault="007204FC" w:rsidP="007204FC">
      <w:pPr>
        <w:spacing w:before="120" w:after="120"/>
        <w:jc w:val="both"/>
        <w:rPr>
          <w:rFonts w:ascii="Times New Roman" w:hAnsi="Times New Roman"/>
          <w:b/>
          <w:sz w:val="28"/>
          <w:szCs w:val="24"/>
        </w:rPr>
      </w:pPr>
      <w:r>
        <w:rPr>
          <w:rFonts w:ascii="Times New Roman" w:hAnsi="Times New Roman"/>
          <w:b/>
          <w:sz w:val="28"/>
          <w:szCs w:val="24"/>
        </w:rPr>
        <w:t>НОВАЯ КОНСТРУКЦИЯ БЮДЖЕТНЫХ ПРАВИЛ</w:t>
      </w:r>
    </w:p>
    <w:p w:rsidR="00B928AF" w:rsidRDefault="00B40965" w:rsidP="005F66C0">
      <w:pPr>
        <w:spacing w:before="120" w:after="120"/>
        <w:jc w:val="both"/>
        <w:rPr>
          <w:rFonts w:ascii="Times New Roman" w:hAnsi="Times New Roman"/>
          <w:sz w:val="24"/>
          <w:szCs w:val="24"/>
        </w:rPr>
      </w:pPr>
      <w:r w:rsidRPr="00BF1AEF">
        <w:rPr>
          <w:rFonts w:ascii="Times New Roman" w:hAnsi="Times New Roman"/>
          <w:sz w:val="24"/>
          <w:szCs w:val="24"/>
        </w:rPr>
        <w:t xml:space="preserve">Как один из крупнейших мировых экспортеров энергоресурсов и других сырьевых товаров, Россия сильно зависит от динамики цен на мировых сырьевых рынках. Существенные колебания нефтяных цен могут оказывать значительное влияние на темпы экономического роста и устойчивость бюджета, инфляцию и благосостояние населения, курсовые соотношения и процентные ставки в экономике. При этом опасны не только кратковременные колебания ценовой конъюнктуры, но и продолжительные периоды роста/снижения цен (так называемые </w:t>
      </w:r>
      <w:proofErr w:type="spellStart"/>
      <w:r w:rsidRPr="00BF1AEF">
        <w:rPr>
          <w:rFonts w:ascii="Times New Roman" w:hAnsi="Times New Roman"/>
          <w:sz w:val="24"/>
          <w:szCs w:val="24"/>
        </w:rPr>
        <w:t>суперциклы</w:t>
      </w:r>
      <w:proofErr w:type="spellEnd"/>
      <w:r w:rsidRPr="00BF1AEF">
        <w:rPr>
          <w:rFonts w:ascii="Times New Roman" w:hAnsi="Times New Roman"/>
          <w:sz w:val="24"/>
          <w:szCs w:val="24"/>
        </w:rPr>
        <w:t>), искажающие структуру относительных цен, способствуя неэффективному распределению ресурсов</w:t>
      </w:r>
      <w:r w:rsidR="004E2069">
        <w:rPr>
          <w:rFonts w:ascii="Times New Roman" w:hAnsi="Times New Roman"/>
          <w:sz w:val="24"/>
          <w:szCs w:val="24"/>
        </w:rPr>
        <w:t>.</w:t>
      </w:r>
    </w:p>
    <w:p w:rsidR="00A62172" w:rsidRDefault="00A62172" w:rsidP="005F66C0">
      <w:pPr>
        <w:spacing w:before="120" w:after="120"/>
        <w:jc w:val="both"/>
        <w:rPr>
          <w:rFonts w:ascii="Times New Roman" w:hAnsi="Times New Roman"/>
          <w:b/>
          <w:sz w:val="24"/>
          <w:szCs w:val="24"/>
        </w:rPr>
      </w:pPr>
      <w:r>
        <w:rPr>
          <w:rFonts w:ascii="Times New Roman" w:hAnsi="Times New Roman"/>
          <w:sz w:val="24"/>
          <w:szCs w:val="24"/>
        </w:rPr>
        <w:t xml:space="preserve">Как показывает богатый международный и отечественный опыт оптимальная конструкция макроэкономической политики в </w:t>
      </w:r>
      <w:r w:rsidR="00F146D6">
        <w:rPr>
          <w:rFonts w:ascii="Times New Roman" w:hAnsi="Times New Roman"/>
          <w:sz w:val="24"/>
          <w:szCs w:val="24"/>
        </w:rPr>
        <w:t>сырьевых</w:t>
      </w:r>
      <w:r>
        <w:rPr>
          <w:rFonts w:ascii="Times New Roman" w:hAnsi="Times New Roman"/>
          <w:sz w:val="24"/>
          <w:szCs w:val="24"/>
        </w:rPr>
        <w:t xml:space="preserve"> странах должна включать механизм, изолирующий внутреннюю экономику от волатильности конъюнктурных доходов. Единственным зарекомендовавшим себя </w:t>
      </w:r>
      <w:r w:rsidR="004743D0">
        <w:rPr>
          <w:rFonts w:ascii="Times New Roman" w:hAnsi="Times New Roman"/>
          <w:sz w:val="24"/>
          <w:szCs w:val="24"/>
        </w:rPr>
        <w:t xml:space="preserve">действенным </w:t>
      </w:r>
      <w:r>
        <w:rPr>
          <w:rFonts w:ascii="Times New Roman" w:hAnsi="Times New Roman"/>
          <w:sz w:val="24"/>
          <w:szCs w:val="24"/>
        </w:rPr>
        <w:t xml:space="preserve">механизмом минимизации восприимчивости внутренних экономических условий к колебаниям внешней конъюнктуры для сырьевых стран являются </w:t>
      </w:r>
      <w:r>
        <w:rPr>
          <w:rFonts w:ascii="Times New Roman" w:hAnsi="Times New Roman"/>
          <w:b/>
          <w:sz w:val="24"/>
          <w:szCs w:val="24"/>
        </w:rPr>
        <w:t>бюджетные правила.</w:t>
      </w:r>
    </w:p>
    <w:tbl>
      <w:tblPr>
        <w:tblW w:w="9350" w:type="dxa"/>
        <w:jc w:val="center"/>
        <w:tblCellMar>
          <w:left w:w="0" w:type="dxa"/>
          <w:right w:w="0" w:type="dxa"/>
        </w:tblCellMar>
        <w:tblLook w:val="00A0" w:firstRow="1" w:lastRow="0" w:firstColumn="1" w:lastColumn="0" w:noHBand="0" w:noVBand="0"/>
      </w:tblPr>
      <w:tblGrid>
        <w:gridCol w:w="9326"/>
        <w:gridCol w:w="62"/>
      </w:tblGrid>
      <w:tr w:rsidR="00A62172" w:rsidRPr="00E11E0D" w:rsidTr="005230C8">
        <w:trPr>
          <w:gridAfter w:val="1"/>
          <w:wAfter w:w="62" w:type="dxa"/>
          <w:trHeight w:val="246"/>
          <w:jc w:val="center"/>
        </w:trPr>
        <w:tc>
          <w:tcPr>
            <w:tcW w:w="9288" w:type="dxa"/>
            <w:tcMar>
              <w:left w:w="28" w:type="dxa"/>
              <w:right w:w="28" w:type="dxa"/>
            </w:tcMar>
          </w:tcPr>
          <w:p w:rsidR="00A62172" w:rsidRPr="00E11E0D" w:rsidRDefault="004743D0" w:rsidP="005230C8">
            <w:pPr>
              <w:pStyle w:val="GraphTitle"/>
              <w:jc w:val="both"/>
              <w:rPr>
                <w:rFonts w:ascii="Times New Roman" w:hAnsi="Times New Roman" w:cs="Times New Roman"/>
                <w:b/>
                <w:sz w:val="24"/>
                <w:szCs w:val="20"/>
                <w:lang w:val="ru-RU" w:eastAsia="en-US"/>
              </w:rPr>
            </w:pPr>
            <w:r w:rsidRPr="008C0987">
              <w:rPr>
                <w:noProof/>
                <w:lang w:val="ru-RU" w:bidi="ar-SA"/>
              </w:rPr>
              <mc:AlternateContent>
                <mc:Choice Requires="wps">
                  <w:drawing>
                    <wp:anchor distT="45720" distB="45720" distL="114300" distR="114300" simplePos="0" relativeHeight="251661824" behindDoc="0" locked="0" layoutInCell="1" allowOverlap="1" wp14:anchorId="20C893FA" wp14:editId="49E1AA66">
                      <wp:simplePos x="0" y="0"/>
                      <wp:positionH relativeFrom="margin">
                        <wp:posOffset>1270</wp:posOffset>
                      </wp:positionH>
                      <wp:positionV relativeFrom="paragraph">
                        <wp:posOffset>0</wp:posOffset>
                      </wp:positionV>
                      <wp:extent cx="5882640" cy="4274185"/>
                      <wp:effectExtent l="0" t="0" r="3810" b="0"/>
                      <wp:wrapSquare wrapText="bothSides"/>
                      <wp:docPr id="10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4274185"/>
                              </a:xfrm>
                              <a:prstGeom prst="rect">
                                <a:avLst/>
                              </a:prstGeom>
                              <a:solidFill>
                                <a:schemeClr val="bg1">
                                  <a:lumMod val="95000"/>
                                </a:schemeClr>
                              </a:solidFill>
                              <a:ln w="9525">
                                <a:noFill/>
                                <a:miter lim="800000"/>
                                <a:headEnd/>
                                <a:tailEnd/>
                              </a:ln>
                            </wps:spPr>
                            <wps:txbx>
                              <w:txbxContent>
                                <w:p w:rsidR="007E5DFE" w:rsidRDefault="007E5DFE" w:rsidP="00A61007">
                                  <w:pPr>
                                    <w:rPr>
                                      <w:rFonts w:ascii="Times New Roman" w:hAnsi="Times New Roman"/>
                                      <w:b/>
                                      <w:sz w:val="24"/>
                                      <w:szCs w:val="24"/>
                                    </w:rPr>
                                  </w:pPr>
                                  <w:r w:rsidRPr="00A61007">
                                    <w:rPr>
                                      <w:rFonts w:ascii="Times New Roman" w:hAnsi="Times New Roman"/>
                                      <w:b/>
                                      <w:sz w:val="24"/>
                                      <w:szCs w:val="24"/>
                                    </w:rPr>
                                    <w:t>История применения бюджетных правил в России</w:t>
                                  </w:r>
                                </w:p>
                                <w:p w:rsidR="007E5DFE" w:rsidRPr="00A61007" w:rsidRDefault="007E5DFE" w:rsidP="00F146D6">
                                  <w:pPr>
                                    <w:spacing w:before="120" w:after="120"/>
                                    <w:jc w:val="both"/>
                                    <w:rPr>
                                      <w:rFonts w:ascii="Times New Roman" w:hAnsi="Times New Roman"/>
                                      <w:sz w:val="20"/>
                                      <w:szCs w:val="20"/>
                                    </w:rPr>
                                  </w:pPr>
                                  <w:r w:rsidRPr="00A61007">
                                    <w:rPr>
                                      <w:rFonts w:ascii="Times New Roman" w:hAnsi="Times New Roman"/>
                                      <w:sz w:val="20"/>
                                      <w:szCs w:val="20"/>
                                    </w:rPr>
                                    <w:t xml:space="preserve">В России бюджетные правила были изначально введены в 2004 году, после чего модифицировались два раза: в 2008 году и с завершением периода приостановки их действия (2009-2012 гг.) в 2013 году. </w:t>
                                  </w:r>
                                  <w:r>
                                    <w:rPr>
                                      <w:rFonts w:ascii="Times New Roman" w:hAnsi="Times New Roman"/>
                                      <w:sz w:val="20"/>
                                      <w:szCs w:val="20"/>
                                    </w:rPr>
                                    <w:t>С</w:t>
                                  </w:r>
                                  <w:r w:rsidRPr="00A61007">
                                    <w:rPr>
                                      <w:rFonts w:ascii="Times New Roman" w:hAnsi="Times New Roman"/>
                                      <w:sz w:val="20"/>
                                      <w:szCs w:val="20"/>
                                    </w:rPr>
                                    <w:t xml:space="preserve">ледует признать, что, несмотря на положительный вклад в обеспечение стабильности бюджетной системы, действовавшая до приостановки на 2016 год конструкция бюджетных правил не позволяла надлежащим образом обеспечить снижение отрицательного влияния волатильности цен на нефть на предсказуемость экономических условий и устойчивость бюджета, что </w:t>
                                  </w:r>
                                  <w:r>
                                    <w:rPr>
                                      <w:rFonts w:ascii="Times New Roman" w:hAnsi="Times New Roman"/>
                                      <w:sz w:val="20"/>
                                      <w:szCs w:val="20"/>
                                    </w:rPr>
                                    <w:t>было обусловлено</w:t>
                                  </w:r>
                                  <w:r w:rsidRPr="00A61007">
                                    <w:rPr>
                                      <w:rFonts w:ascii="Times New Roman" w:hAnsi="Times New Roman"/>
                                      <w:sz w:val="20"/>
                                      <w:szCs w:val="20"/>
                                    </w:rPr>
                                    <w:t>:</w:t>
                                  </w:r>
                                </w:p>
                                <w:p w:rsidR="007E5DFE" w:rsidRPr="00A61007" w:rsidRDefault="007E5DFE" w:rsidP="009F1CCA">
                                  <w:pPr>
                                    <w:pStyle w:val="a9"/>
                                    <w:numPr>
                                      <w:ilvl w:val="0"/>
                                      <w:numId w:val="30"/>
                                    </w:numPr>
                                    <w:spacing w:before="120" w:after="120"/>
                                    <w:ind w:left="357" w:hanging="357"/>
                                    <w:contextualSpacing w:val="0"/>
                                    <w:jc w:val="both"/>
                                    <w:rPr>
                                      <w:rFonts w:ascii="Times New Roman" w:hAnsi="Times New Roman"/>
                                      <w:sz w:val="20"/>
                                      <w:szCs w:val="20"/>
                                    </w:rPr>
                                  </w:pPr>
                                  <w:proofErr w:type="spellStart"/>
                                  <w:r w:rsidRPr="00A61007">
                                    <w:rPr>
                                      <w:rFonts w:ascii="Times New Roman" w:hAnsi="Times New Roman"/>
                                      <w:i/>
                                      <w:sz w:val="20"/>
                                      <w:szCs w:val="20"/>
                                    </w:rPr>
                                    <w:t>Процикличность</w:t>
                                  </w:r>
                                  <w:r>
                                    <w:rPr>
                                      <w:rFonts w:ascii="Times New Roman" w:hAnsi="Times New Roman"/>
                                      <w:i/>
                                      <w:sz w:val="20"/>
                                      <w:szCs w:val="20"/>
                                    </w:rPr>
                                    <w:t>ю</w:t>
                                  </w:r>
                                  <w:proofErr w:type="spellEnd"/>
                                  <w:r w:rsidRPr="00A61007">
                                    <w:rPr>
                                      <w:rFonts w:ascii="Times New Roman" w:hAnsi="Times New Roman"/>
                                      <w:i/>
                                      <w:sz w:val="20"/>
                                      <w:szCs w:val="20"/>
                                    </w:rPr>
                                    <w:t xml:space="preserve"> определения базовой цены на нефть</w:t>
                                  </w:r>
                                  <w:r w:rsidRPr="00A61007">
                                    <w:rPr>
                                      <w:rFonts w:ascii="Times New Roman" w:hAnsi="Times New Roman"/>
                                      <w:sz w:val="20"/>
                                      <w:szCs w:val="20"/>
                                    </w:rPr>
                                    <w:t xml:space="preserve">. Анализ исторической динамики показывает, что базовая цена на нефть, рассчитанная как средняя ее величина за 10 лет, носит явно </w:t>
                                  </w:r>
                                  <w:proofErr w:type="spellStart"/>
                                  <w:r w:rsidRPr="00A61007">
                                    <w:rPr>
                                      <w:rFonts w:ascii="Times New Roman" w:hAnsi="Times New Roman"/>
                                      <w:sz w:val="20"/>
                                      <w:szCs w:val="20"/>
                                    </w:rPr>
                                    <w:t>проциклический</w:t>
                                  </w:r>
                                  <w:proofErr w:type="spellEnd"/>
                                  <w:r w:rsidRPr="00A61007">
                                    <w:rPr>
                                      <w:rFonts w:ascii="Times New Roman" w:hAnsi="Times New Roman"/>
                                      <w:sz w:val="20"/>
                                      <w:szCs w:val="20"/>
                                    </w:rPr>
                                    <w:t xml:space="preserve"> характер. Усредненные за 10 лет значения обеспечивают сглаживание среднесрочных отклонений от тренда, но при этом </w:t>
                                  </w:r>
                                  <w:r>
                                    <w:rPr>
                                      <w:rFonts w:ascii="Times New Roman" w:hAnsi="Times New Roman"/>
                                      <w:sz w:val="20"/>
                                      <w:szCs w:val="20"/>
                                    </w:rPr>
                                    <w:t xml:space="preserve">с лагом повторяют долгосрочные </w:t>
                                  </w:r>
                                  <w:proofErr w:type="spellStart"/>
                                  <w:r>
                                    <w:rPr>
                                      <w:rFonts w:ascii="Times New Roman" w:hAnsi="Times New Roman"/>
                                      <w:sz w:val="20"/>
                                      <w:szCs w:val="20"/>
                                    </w:rPr>
                                    <w:t>суперциклы</w:t>
                                  </w:r>
                                  <w:proofErr w:type="spellEnd"/>
                                  <w:r w:rsidRPr="00A61007">
                                    <w:rPr>
                                      <w:rFonts w:ascii="Times New Roman" w:hAnsi="Times New Roman"/>
                                      <w:sz w:val="20"/>
                                      <w:szCs w:val="20"/>
                                    </w:rPr>
                                    <w:t>.</w:t>
                                  </w:r>
                                </w:p>
                                <w:p w:rsidR="007E5DFE" w:rsidRPr="00A61007" w:rsidRDefault="007E5DFE" w:rsidP="009F1CCA">
                                  <w:pPr>
                                    <w:pStyle w:val="a9"/>
                                    <w:numPr>
                                      <w:ilvl w:val="0"/>
                                      <w:numId w:val="30"/>
                                    </w:numPr>
                                    <w:spacing w:before="120" w:after="120"/>
                                    <w:ind w:left="357" w:hanging="357"/>
                                    <w:contextualSpacing w:val="0"/>
                                    <w:jc w:val="both"/>
                                    <w:rPr>
                                      <w:rFonts w:ascii="Times New Roman" w:hAnsi="Times New Roman"/>
                                      <w:sz w:val="20"/>
                                      <w:szCs w:val="20"/>
                                    </w:rPr>
                                  </w:pPr>
                                  <w:r w:rsidRPr="00A61007">
                                    <w:rPr>
                                      <w:rFonts w:ascii="Times New Roman" w:hAnsi="Times New Roman"/>
                                      <w:i/>
                                      <w:sz w:val="20"/>
                                      <w:szCs w:val="20"/>
                                    </w:rPr>
                                    <w:t>Избыточн</w:t>
                                  </w:r>
                                  <w:r>
                                    <w:rPr>
                                      <w:rFonts w:ascii="Times New Roman" w:hAnsi="Times New Roman"/>
                                      <w:i/>
                                      <w:sz w:val="20"/>
                                      <w:szCs w:val="20"/>
                                    </w:rPr>
                                    <w:t>ой</w:t>
                                  </w:r>
                                  <w:r w:rsidRPr="00A61007">
                                    <w:rPr>
                                      <w:rFonts w:ascii="Times New Roman" w:hAnsi="Times New Roman"/>
                                      <w:i/>
                                      <w:sz w:val="20"/>
                                      <w:szCs w:val="20"/>
                                    </w:rPr>
                                    <w:t xml:space="preserve"> гибкость</w:t>
                                  </w:r>
                                  <w:r>
                                    <w:rPr>
                                      <w:rFonts w:ascii="Times New Roman" w:hAnsi="Times New Roman"/>
                                      <w:i/>
                                      <w:sz w:val="20"/>
                                      <w:szCs w:val="20"/>
                                    </w:rPr>
                                    <w:t>ю</w:t>
                                  </w:r>
                                  <w:r w:rsidRPr="00A61007">
                                    <w:rPr>
                                      <w:rFonts w:ascii="Times New Roman" w:hAnsi="Times New Roman"/>
                                      <w:sz w:val="20"/>
                                      <w:szCs w:val="20"/>
                                    </w:rPr>
                                    <w:t xml:space="preserve">. </w:t>
                                  </w:r>
                                  <w:r>
                                    <w:rPr>
                                      <w:rFonts w:ascii="Times New Roman" w:hAnsi="Times New Roman"/>
                                      <w:sz w:val="20"/>
                                      <w:szCs w:val="20"/>
                                    </w:rPr>
                                    <w:t>П</w:t>
                                  </w:r>
                                  <w:r w:rsidRPr="00A61007">
                                    <w:rPr>
                                      <w:rFonts w:ascii="Times New Roman" w:hAnsi="Times New Roman"/>
                                      <w:sz w:val="20"/>
                                      <w:szCs w:val="20"/>
                                    </w:rPr>
                                    <w:t>режн</w:t>
                                  </w:r>
                                  <w:r>
                                    <w:rPr>
                                      <w:rFonts w:ascii="Times New Roman" w:hAnsi="Times New Roman"/>
                                      <w:sz w:val="20"/>
                                      <w:szCs w:val="20"/>
                                    </w:rPr>
                                    <w:t>яя</w:t>
                                  </w:r>
                                  <w:r w:rsidRPr="00A61007">
                                    <w:rPr>
                                      <w:rFonts w:ascii="Times New Roman" w:hAnsi="Times New Roman"/>
                                      <w:sz w:val="20"/>
                                      <w:szCs w:val="20"/>
                                    </w:rPr>
                                    <w:t xml:space="preserve"> конструкци</w:t>
                                  </w:r>
                                  <w:r>
                                    <w:rPr>
                                      <w:rFonts w:ascii="Times New Roman" w:hAnsi="Times New Roman"/>
                                      <w:sz w:val="20"/>
                                      <w:szCs w:val="20"/>
                                    </w:rPr>
                                    <w:t>я</w:t>
                                  </w:r>
                                  <w:r w:rsidRPr="00A61007">
                                    <w:rPr>
                                      <w:rFonts w:ascii="Times New Roman" w:hAnsi="Times New Roman"/>
                                      <w:sz w:val="20"/>
                                      <w:szCs w:val="20"/>
                                    </w:rPr>
                                    <w:t xml:space="preserve"> </w:t>
                                  </w:r>
                                  <w:r>
                                    <w:rPr>
                                      <w:rFonts w:ascii="Times New Roman" w:hAnsi="Times New Roman"/>
                                      <w:sz w:val="20"/>
                                      <w:szCs w:val="20"/>
                                    </w:rPr>
                                    <w:t xml:space="preserve">позволяла </w:t>
                                  </w:r>
                                  <w:r w:rsidRPr="00A61007">
                                    <w:rPr>
                                      <w:rFonts w:ascii="Times New Roman" w:hAnsi="Times New Roman"/>
                                      <w:sz w:val="20"/>
                                      <w:szCs w:val="20"/>
                                    </w:rPr>
                                    <w:t>компенс</w:t>
                                  </w:r>
                                  <w:r>
                                    <w:rPr>
                                      <w:rFonts w:ascii="Times New Roman" w:hAnsi="Times New Roman"/>
                                      <w:sz w:val="20"/>
                                      <w:szCs w:val="20"/>
                                    </w:rPr>
                                    <w:t xml:space="preserve">ировать </w:t>
                                  </w:r>
                                  <w:r w:rsidRPr="00A61007">
                                    <w:rPr>
                                      <w:rFonts w:ascii="Times New Roman" w:hAnsi="Times New Roman"/>
                                      <w:sz w:val="20"/>
                                      <w:szCs w:val="20"/>
                                    </w:rPr>
                                    <w:t>из суверенных фондов потер</w:t>
                                  </w:r>
                                  <w:r>
                                    <w:rPr>
                                      <w:rFonts w:ascii="Times New Roman" w:hAnsi="Times New Roman"/>
                                      <w:sz w:val="20"/>
                                      <w:szCs w:val="20"/>
                                    </w:rPr>
                                    <w:t>и</w:t>
                                  </w:r>
                                  <w:r w:rsidRPr="00A61007">
                                    <w:rPr>
                                      <w:rFonts w:ascii="Times New Roman" w:hAnsi="Times New Roman"/>
                                      <w:sz w:val="20"/>
                                      <w:szCs w:val="20"/>
                                    </w:rPr>
                                    <w:t xml:space="preserve"> не только нефтегазовых, но и</w:t>
                                  </w:r>
                                  <w:r>
                                    <w:rPr>
                                      <w:rFonts w:ascii="Times New Roman" w:hAnsi="Times New Roman"/>
                                      <w:sz w:val="20"/>
                                      <w:szCs w:val="20"/>
                                    </w:rPr>
                                    <w:t xml:space="preserve"> «выпадающих» </w:t>
                                  </w:r>
                                  <w:proofErr w:type="spellStart"/>
                                  <w:r w:rsidRPr="00A61007">
                                    <w:rPr>
                                      <w:rFonts w:ascii="Times New Roman" w:hAnsi="Times New Roman"/>
                                      <w:sz w:val="20"/>
                                      <w:szCs w:val="20"/>
                                    </w:rPr>
                                    <w:t>ненефтегазовых</w:t>
                                  </w:r>
                                  <w:proofErr w:type="spellEnd"/>
                                  <w:r w:rsidRPr="00A61007">
                                    <w:rPr>
                                      <w:rFonts w:ascii="Times New Roman" w:hAnsi="Times New Roman"/>
                                      <w:sz w:val="20"/>
                                      <w:szCs w:val="20"/>
                                    </w:rPr>
                                    <w:t xml:space="preserve"> доходов</w:t>
                                  </w:r>
                                  <w:r>
                                    <w:rPr>
                                      <w:rFonts w:ascii="Times New Roman" w:hAnsi="Times New Roman"/>
                                      <w:sz w:val="20"/>
                                      <w:szCs w:val="20"/>
                                    </w:rPr>
                                    <w:t xml:space="preserve"> и </w:t>
                                  </w:r>
                                  <w:r w:rsidRPr="00A61007">
                                    <w:rPr>
                                      <w:rFonts w:ascii="Times New Roman" w:hAnsi="Times New Roman"/>
                                      <w:sz w:val="20"/>
                                      <w:szCs w:val="20"/>
                                    </w:rPr>
                                    <w:t>поступлений от заимствований и приватизации</w:t>
                                  </w:r>
                                  <w:r>
                                    <w:rPr>
                                      <w:rFonts w:ascii="Times New Roman" w:hAnsi="Times New Roman"/>
                                      <w:sz w:val="20"/>
                                      <w:szCs w:val="20"/>
                                    </w:rPr>
                                    <w:t xml:space="preserve">. Это, помимо соответствующего снижения эффективности в достижении основной цели, также </w:t>
                                  </w:r>
                                  <w:r w:rsidRPr="00A61007">
                                    <w:rPr>
                                      <w:rFonts w:ascii="Times New Roman" w:hAnsi="Times New Roman"/>
                                      <w:sz w:val="20"/>
                                      <w:szCs w:val="20"/>
                                    </w:rPr>
                                    <w:t>формировало склонность к завышению прогноз</w:t>
                                  </w:r>
                                  <w:r>
                                    <w:rPr>
                                      <w:rFonts w:ascii="Times New Roman" w:hAnsi="Times New Roman"/>
                                      <w:sz w:val="20"/>
                                      <w:szCs w:val="20"/>
                                    </w:rPr>
                                    <w:t>ов</w:t>
                                  </w:r>
                                  <w:r w:rsidRPr="00A61007">
                                    <w:rPr>
                                      <w:rFonts w:ascii="Times New Roman" w:hAnsi="Times New Roman"/>
                                      <w:sz w:val="20"/>
                                      <w:szCs w:val="20"/>
                                    </w:rPr>
                                    <w:t>.</w:t>
                                  </w:r>
                                </w:p>
                                <w:p w:rsidR="007E5DFE" w:rsidRPr="00A61007" w:rsidRDefault="007E5DFE" w:rsidP="009F1CCA">
                                  <w:pPr>
                                    <w:pStyle w:val="a9"/>
                                    <w:numPr>
                                      <w:ilvl w:val="0"/>
                                      <w:numId w:val="30"/>
                                    </w:numPr>
                                    <w:spacing w:before="120" w:after="120"/>
                                    <w:ind w:left="357" w:hanging="357"/>
                                    <w:contextualSpacing w:val="0"/>
                                    <w:jc w:val="both"/>
                                    <w:rPr>
                                      <w:rFonts w:ascii="Times New Roman" w:eastAsiaTheme="minorHAnsi" w:hAnsi="Times New Roman"/>
                                      <w:b/>
                                      <w:sz w:val="20"/>
                                      <w:szCs w:val="20"/>
                                    </w:rPr>
                                  </w:pPr>
                                  <w:r w:rsidRPr="00A61007">
                                    <w:rPr>
                                      <w:rFonts w:ascii="Times New Roman" w:hAnsi="Times New Roman"/>
                                      <w:i/>
                                      <w:sz w:val="20"/>
                                      <w:szCs w:val="20"/>
                                    </w:rPr>
                                    <w:t>Отсутствие</w:t>
                                  </w:r>
                                  <w:r>
                                    <w:rPr>
                                      <w:rFonts w:ascii="Times New Roman" w:hAnsi="Times New Roman"/>
                                      <w:i/>
                                      <w:sz w:val="20"/>
                                      <w:szCs w:val="20"/>
                                    </w:rPr>
                                    <w:t>м</w:t>
                                  </w:r>
                                  <w:r w:rsidRPr="00A61007">
                                    <w:rPr>
                                      <w:rFonts w:ascii="Times New Roman" w:hAnsi="Times New Roman"/>
                                      <w:i/>
                                      <w:sz w:val="20"/>
                                      <w:szCs w:val="20"/>
                                    </w:rPr>
                                    <w:t xml:space="preserve"> надлежащей координации между бюджетной, валютной и денежно-кредитной политиками</w:t>
                                  </w:r>
                                  <w:r w:rsidRPr="00A61007">
                                    <w:rPr>
                                      <w:rFonts w:ascii="Times New Roman" w:hAnsi="Times New Roman"/>
                                      <w:sz w:val="20"/>
                                      <w:szCs w:val="20"/>
                                    </w:rPr>
                                    <w:t>. Неполная и несвоевременная стерилизация валютных интервенций влечет нестабильность основных макроэкономических и денежно-кредитных условий, создает негативные последствия для финансового сектора и повышает уровень неопределенности в экономике.</w:t>
                                  </w:r>
                                </w:p>
                                <w:p w:rsidR="007E5DFE" w:rsidRPr="00A61007" w:rsidRDefault="007E5DFE" w:rsidP="00A61007">
                                  <w:pPr>
                                    <w:spacing w:before="120" w:after="120"/>
                                    <w:jc w:val="both"/>
                                    <w:rPr>
                                      <w:rFonts w:ascii="Times New Roman" w:hAnsi="Times New Roman"/>
                                      <w:sz w:val="20"/>
                                      <w:szCs w:val="20"/>
                                    </w:rPr>
                                  </w:pPr>
                                  <w:proofErr w:type="gramStart"/>
                                  <w:r w:rsidRPr="00F146D6">
                                    <w:rPr>
                                      <w:rFonts w:ascii="Times New Roman" w:hAnsi="Times New Roman"/>
                                      <w:sz w:val="20"/>
                                      <w:szCs w:val="20"/>
                                    </w:rPr>
                                    <w:t>Повышенная изменчивость структуры относительных цен (реальный эффективный курс рубля) в последние 15 лет в России и по сравнению с динамикой валют сырьевых стран с действенным механизмом бюджетных правил – наглядная иллюстрация недостатков предшествующих конструкций.</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pt;margin-top:0;width:463.2pt;height:336.55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" fillcolor="#f2f2f2 [3052]" stroked="f">
                      <v:textbox>
                        <w:txbxContent>
                          <w:p w:rsidR="007E5DFE" w:rsidRDefault="007E5DFE" w:rsidP="00A61007">
                            <w:pPr>
                              <w:rPr>
                                <w:rFonts w:ascii="Times New Roman" w:hAnsi="Times New Roman"/>
                                <w:b/>
                                <w:sz w:val="24"/>
                                <w:szCs w:val="24"/>
                              </w:rPr>
                            </w:pPr>
                            <w:r w:rsidRPr="00A61007">
                              <w:rPr>
                                <w:rFonts w:ascii="Times New Roman" w:hAnsi="Times New Roman"/>
                                <w:b/>
                                <w:sz w:val="24"/>
                                <w:szCs w:val="24"/>
                              </w:rPr>
                              <w:t>История применения бюджетных правил в России</w:t>
                            </w:r>
                          </w:p>
                          <w:p w:rsidR="007E5DFE" w:rsidRPr="00A61007" w:rsidRDefault="007E5DFE" w:rsidP="00F146D6">
                            <w:pPr>
                              <w:spacing w:before="120" w:after="120"/>
                              <w:jc w:val="both"/>
                              <w:rPr>
                                <w:rFonts w:ascii="Times New Roman" w:hAnsi="Times New Roman"/>
                                <w:sz w:val="20"/>
                                <w:szCs w:val="20"/>
                              </w:rPr>
                            </w:pPr>
                            <w:r w:rsidRPr="00A61007">
                              <w:rPr>
                                <w:rFonts w:ascii="Times New Roman" w:hAnsi="Times New Roman"/>
                                <w:sz w:val="20"/>
                                <w:szCs w:val="20"/>
                              </w:rPr>
                              <w:t xml:space="preserve">В России бюджетные правила были изначально введены в 2004 году, после чего модифицировались два раза: в 2008 году и с завершением периода приостановки их действия (2009-2012 гг.) в 2013 году. </w:t>
                            </w:r>
                            <w:r>
                              <w:rPr>
                                <w:rFonts w:ascii="Times New Roman" w:hAnsi="Times New Roman"/>
                                <w:sz w:val="20"/>
                                <w:szCs w:val="20"/>
                              </w:rPr>
                              <w:t>С</w:t>
                            </w:r>
                            <w:r w:rsidRPr="00A61007">
                              <w:rPr>
                                <w:rFonts w:ascii="Times New Roman" w:hAnsi="Times New Roman"/>
                                <w:sz w:val="20"/>
                                <w:szCs w:val="20"/>
                              </w:rPr>
                              <w:t xml:space="preserve">ледует признать, что, несмотря на положительный вклад в обеспечение стабильности бюджетной системы, действовавшая до приостановки на 2016 год конструкция бюджетных правил не позволяла надлежащим образом обеспечить снижение отрицательного влияния волатильности цен на нефть на предсказуемость экономических условий и устойчивость бюджета, что </w:t>
                            </w:r>
                            <w:r>
                              <w:rPr>
                                <w:rFonts w:ascii="Times New Roman" w:hAnsi="Times New Roman"/>
                                <w:sz w:val="20"/>
                                <w:szCs w:val="20"/>
                              </w:rPr>
                              <w:t>было обусловлено</w:t>
                            </w:r>
                            <w:r w:rsidRPr="00A61007">
                              <w:rPr>
                                <w:rFonts w:ascii="Times New Roman" w:hAnsi="Times New Roman"/>
                                <w:sz w:val="20"/>
                                <w:szCs w:val="20"/>
                              </w:rPr>
                              <w:t>:</w:t>
                            </w:r>
                          </w:p>
                          <w:p w:rsidR="007E5DFE" w:rsidRPr="00A61007" w:rsidRDefault="007E5DFE" w:rsidP="009F1CCA">
                            <w:pPr>
                              <w:pStyle w:val="a9"/>
                              <w:numPr>
                                <w:ilvl w:val="0"/>
                                <w:numId w:val="30"/>
                              </w:numPr>
                              <w:spacing w:before="120" w:after="120"/>
                              <w:ind w:left="357" w:hanging="357"/>
                              <w:contextualSpacing w:val="0"/>
                              <w:jc w:val="both"/>
                              <w:rPr>
                                <w:rFonts w:ascii="Times New Roman" w:hAnsi="Times New Roman"/>
                                <w:sz w:val="20"/>
                                <w:szCs w:val="20"/>
                              </w:rPr>
                            </w:pPr>
                            <w:proofErr w:type="spellStart"/>
                            <w:r w:rsidRPr="00A61007">
                              <w:rPr>
                                <w:rFonts w:ascii="Times New Roman" w:hAnsi="Times New Roman"/>
                                <w:i/>
                                <w:sz w:val="20"/>
                                <w:szCs w:val="20"/>
                              </w:rPr>
                              <w:t>Процикличность</w:t>
                            </w:r>
                            <w:r>
                              <w:rPr>
                                <w:rFonts w:ascii="Times New Roman" w:hAnsi="Times New Roman"/>
                                <w:i/>
                                <w:sz w:val="20"/>
                                <w:szCs w:val="20"/>
                              </w:rPr>
                              <w:t>ю</w:t>
                            </w:r>
                            <w:proofErr w:type="spellEnd"/>
                            <w:r w:rsidRPr="00A61007">
                              <w:rPr>
                                <w:rFonts w:ascii="Times New Roman" w:hAnsi="Times New Roman"/>
                                <w:i/>
                                <w:sz w:val="20"/>
                                <w:szCs w:val="20"/>
                              </w:rPr>
                              <w:t xml:space="preserve"> определения базовой цены на нефть</w:t>
                            </w:r>
                            <w:r w:rsidRPr="00A61007">
                              <w:rPr>
                                <w:rFonts w:ascii="Times New Roman" w:hAnsi="Times New Roman"/>
                                <w:sz w:val="20"/>
                                <w:szCs w:val="20"/>
                              </w:rPr>
                              <w:t xml:space="preserve">. Анализ исторической динамики показывает, что базовая цена на нефть, рассчитанная как средняя ее величина за 10 лет, носит явно </w:t>
                            </w:r>
                            <w:proofErr w:type="spellStart"/>
                            <w:r w:rsidRPr="00A61007">
                              <w:rPr>
                                <w:rFonts w:ascii="Times New Roman" w:hAnsi="Times New Roman"/>
                                <w:sz w:val="20"/>
                                <w:szCs w:val="20"/>
                              </w:rPr>
                              <w:t>проциклический</w:t>
                            </w:r>
                            <w:proofErr w:type="spellEnd"/>
                            <w:r w:rsidRPr="00A61007">
                              <w:rPr>
                                <w:rFonts w:ascii="Times New Roman" w:hAnsi="Times New Roman"/>
                                <w:sz w:val="20"/>
                                <w:szCs w:val="20"/>
                              </w:rPr>
                              <w:t xml:space="preserve"> характер. Усредненные за 10 лет значения обеспечивают сглаживание среднесрочных отклонений от тренда, но при этом </w:t>
                            </w:r>
                            <w:r>
                              <w:rPr>
                                <w:rFonts w:ascii="Times New Roman" w:hAnsi="Times New Roman"/>
                                <w:sz w:val="20"/>
                                <w:szCs w:val="20"/>
                              </w:rPr>
                              <w:t xml:space="preserve">с лагом повторяют долгосрочные </w:t>
                            </w:r>
                            <w:proofErr w:type="spellStart"/>
                            <w:r>
                              <w:rPr>
                                <w:rFonts w:ascii="Times New Roman" w:hAnsi="Times New Roman"/>
                                <w:sz w:val="20"/>
                                <w:szCs w:val="20"/>
                              </w:rPr>
                              <w:t>суперциклы</w:t>
                            </w:r>
                            <w:proofErr w:type="spellEnd"/>
                            <w:r w:rsidRPr="00A61007">
                              <w:rPr>
                                <w:rFonts w:ascii="Times New Roman" w:hAnsi="Times New Roman"/>
                                <w:sz w:val="20"/>
                                <w:szCs w:val="20"/>
                              </w:rPr>
                              <w:t>.</w:t>
                            </w:r>
                          </w:p>
                          <w:p w:rsidR="007E5DFE" w:rsidRPr="00A61007" w:rsidRDefault="007E5DFE" w:rsidP="009F1CCA">
                            <w:pPr>
                              <w:pStyle w:val="a9"/>
                              <w:numPr>
                                <w:ilvl w:val="0"/>
                                <w:numId w:val="30"/>
                              </w:numPr>
                              <w:spacing w:before="120" w:after="120"/>
                              <w:ind w:left="357" w:hanging="357"/>
                              <w:contextualSpacing w:val="0"/>
                              <w:jc w:val="both"/>
                              <w:rPr>
                                <w:rFonts w:ascii="Times New Roman" w:hAnsi="Times New Roman"/>
                                <w:sz w:val="20"/>
                                <w:szCs w:val="20"/>
                              </w:rPr>
                            </w:pPr>
                            <w:r w:rsidRPr="00A61007">
                              <w:rPr>
                                <w:rFonts w:ascii="Times New Roman" w:hAnsi="Times New Roman"/>
                                <w:i/>
                                <w:sz w:val="20"/>
                                <w:szCs w:val="20"/>
                              </w:rPr>
                              <w:t>Избыточн</w:t>
                            </w:r>
                            <w:r>
                              <w:rPr>
                                <w:rFonts w:ascii="Times New Roman" w:hAnsi="Times New Roman"/>
                                <w:i/>
                                <w:sz w:val="20"/>
                                <w:szCs w:val="20"/>
                              </w:rPr>
                              <w:t>ой</w:t>
                            </w:r>
                            <w:r w:rsidRPr="00A61007">
                              <w:rPr>
                                <w:rFonts w:ascii="Times New Roman" w:hAnsi="Times New Roman"/>
                                <w:i/>
                                <w:sz w:val="20"/>
                                <w:szCs w:val="20"/>
                              </w:rPr>
                              <w:t xml:space="preserve"> гибкость</w:t>
                            </w:r>
                            <w:r>
                              <w:rPr>
                                <w:rFonts w:ascii="Times New Roman" w:hAnsi="Times New Roman"/>
                                <w:i/>
                                <w:sz w:val="20"/>
                                <w:szCs w:val="20"/>
                              </w:rPr>
                              <w:t>ю</w:t>
                            </w:r>
                            <w:r w:rsidRPr="00A61007">
                              <w:rPr>
                                <w:rFonts w:ascii="Times New Roman" w:hAnsi="Times New Roman"/>
                                <w:sz w:val="20"/>
                                <w:szCs w:val="20"/>
                              </w:rPr>
                              <w:t xml:space="preserve">. </w:t>
                            </w:r>
                            <w:r>
                              <w:rPr>
                                <w:rFonts w:ascii="Times New Roman" w:hAnsi="Times New Roman"/>
                                <w:sz w:val="20"/>
                                <w:szCs w:val="20"/>
                              </w:rPr>
                              <w:t>П</w:t>
                            </w:r>
                            <w:r w:rsidRPr="00A61007">
                              <w:rPr>
                                <w:rFonts w:ascii="Times New Roman" w:hAnsi="Times New Roman"/>
                                <w:sz w:val="20"/>
                                <w:szCs w:val="20"/>
                              </w:rPr>
                              <w:t>режн</w:t>
                            </w:r>
                            <w:r>
                              <w:rPr>
                                <w:rFonts w:ascii="Times New Roman" w:hAnsi="Times New Roman"/>
                                <w:sz w:val="20"/>
                                <w:szCs w:val="20"/>
                              </w:rPr>
                              <w:t>яя</w:t>
                            </w:r>
                            <w:r w:rsidRPr="00A61007">
                              <w:rPr>
                                <w:rFonts w:ascii="Times New Roman" w:hAnsi="Times New Roman"/>
                                <w:sz w:val="20"/>
                                <w:szCs w:val="20"/>
                              </w:rPr>
                              <w:t xml:space="preserve"> конструкци</w:t>
                            </w:r>
                            <w:r>
                              <w:rPr>
                                <w:rFonts w:ascii="Times New Roman" w:hAnsi="Times New Roman"/>
                                <w:sz w:val="20"/>
                                <w:szCs w:val="20"/>
                              </w:rPr>
                              <w:t>я</w:t>
                            </w:r>
                            <w:r w:rsidRPr="00A61007">
                              <w:rPr>
                                <w:rFonts w:ascii="Times New Roman" w:hAnsi="Times New Roman"/>
                                <w:sz w:val="20"/>
                                <w:szCs w:val="20"/>
                              </w:rPr>
                              <w:t xml:space="preserve"> </w:t>
                            </w:r>
                            <w:r>
                              <w:rPr>
                                <w:rFonts w:ascii="Times New Roman" w:hAnsi="Times New Roman"/>
                                <w:sz w:val="20"/>
                                <w:szCs w:val="20"/>
                              </w:rPr>
                              <w:t xml:space="preserve">позволяла </w:t>
                            </w:r>
                            <w:r w:rsidRPr="00A61007">
                              <w:rPr>
                                <w:rFonts w:ascii="Times New Roman" w:hAnsi="Times New Roman"/>
                                <w:sz w:val="20"/>
                                <w:szCs w:val="20"/>
                              </w:rPr>
                              <w:t>компенс</w:t>
                            </w:r>
                            <w:r>
                              <w:rPr>
                                <w:rFonts w:ascii="Times New Roman" w:hAnsi="Times New Roman"/>
                                <w:sz w:val="20"/>
                                <w:szCs w:val="20"/>
                              </w:rPr>
                              <w:t xml:space="preserve">ировать </w:t>
                            </w:r>
                            <w:r w:rsidRPr="00A61007">
                              <w:rPr>
                                <w:rFonts w:ascii="Times New Roman" w:hAnsi="Times New Roman"/>
                                <w:sz w:val="20"/>
                                <w:szCs w:val="20"/>
                              </w:rPr>
                              <w:t>из суверенных фондов потер</w:t>
                            </w:r>
                            <w:r>
                              <w:rPr>
                                <w:rFonts w:ascii="Times New Roman" w:hAnsi="Times New Roman"/>
                                <w:sz w:val="20"/>
                                <w:szCs w:val="20"/>
                              </w:rPr>
                              <w:t>и</w:t>
                            </w:r>
                            <w:r w:rsidRPr="00A61007">
                              <w:rPr>
                                <w:rFonts w:ascii="Times New Roman" w:hAnsi="Times New Roman"/>
                                <w:sz w:val="20"/>
                                <w:szCs w:val="20"/>
                              </w:rPr>
                              <w:t xml:space="preserve"> не только нефтегазовых, но и</w:t>
                            </w:r>
                            <w:r>
                              <w:rPr>
                                <w:rFonts w:ascii="Times New Roman" w:hAnsi="Times New Roman"/>
                                <w:sz w:val="20"/>
                                <w:szCs w:val="20"/>
                              </w:rPr>
                              <w:t xml:space="preserve"> «выпадающих» </w:t>
                            </w:r>
                            <w:proofErr w:type="spellStart"/>
                            <w:r w:rsidRPr="00A61007">
                              <w:rPr>
                                <w:rFonts w:ascii="Times New Roman" w:hAnsi="Times New Roman"/>
                                <w:sz w:val="20"/>
                                <w:szCs w:val="20"/>
                              </w:rPr>
                              <w:t>ненефтегазовых</w:t>
                            </w:r>
                            <w:proofErr w:type="spellEnd"/>
                            <w:r w:rsidRPr="00A61007">
                              <w:rPr>
                                <w:rFonts w:ascii="Times New Roman" w:hAnsi="Times New Roman"/>
                                <w:sz w:val="20"/>
                                <w:szCs w:val="20"/>
                              </w:rPr>
                              <w:t xml:space="preserve"> доходов</w:t>
                            </w:r>
                            <w:r>
                              <w:rPr>
                                <w:rFonts w:ascii="Times New Roman" w:hAnsi="Times New Roman"/>
                                <w:sz w:val="20"/>
                                <w:szCs w:val="20"/>
                              </w:rPr>
                              <w:t xml:space="preserve"> и </w:t>
                            </w:r>
                            <w:r w:rsidRPr="00A61007">
                              <w:rPr>
                                <w:rFonts w:ascii="Times New Roman" w:hAnsi="Times New Roman"/>
                                <w:sz w:val="20"/>
                                <w:szCs w:val="20"/>
                              </w:rPr>
                              <w:t>поступлений от заимствований и приватизации</w:t>
                            </w:r>
                            <w:r>
                              <w:rPr>
                                <w:rFonts w:ascii="Times New Roman" w:hAnsi="Times New Roman"/>
                                <w:sz w:val="20"/>
                                <w:szCs w:val="20"/>
                              </w:rPr>
                              <w:t xml:space="preserve">. Это, помимо соответствующего снижения эффективности в достижении основной цели, также </w:t>
                            </w:r>
                            <w:r w:rsidRPr="00A61007">
                              <w:rPr>
                                <w:rFonts w:ascii="Times New Roman" w:hAnsi="Times New Roman"/>
                                <w:sz w:val="20"/>
                                <w:szCs w:val="20"/>
                              </w:rPr>
                              <w:t>формировало склонность к завышению прогноз</w:t>
                            </w:r>
                            <w:r>
                              <w:rPr>
                                <w:rFonts w:ascii="Times New Roman" w:hAnsi="Times New Roman"/>
                                <w:sz w:val="20"/>
                                <w:szCs w:val="20"/>
                              </w:rPr>
                              <w:t>ов</w:t>
                            </w:r>
                            <w:r w:rsidRPr="00A61007">
                              <w:rPr>
                                <w:rFonts w:ascii="Times New Roman" w:hAnsi="Times New Roman"/>
                                <w:sz w:val="20"/>
                                <w:szCs w:val="20"/>
                              </w:rPr>
                              <w:t>.</w:t>
                            </w:r>
                          </w:p>
                          <w:p w:rsidR="007E5DFE" w:rsidRPr="00A61007" w:rsidRDefault="007E5DFE" w:rsidP="009F1CCA">
                            <w:pPr>
                              <w:pStyle w:val="a9"/>
                              <w:numPr>
                                <w:ilvl w:val="0"/>
                                <w:numId w:val="30"/>
                              </w:numPr>
                              <w:spacing w:before="120" w:after="120"/>
                              <w:ind w:left="357" w:hanging="357"/>
                              <w:contextualSpacing w:val="0"/>
                              <w:jc w:val="both"/>
                              <w:rPr>
                                <w:rFonts w:ascii="Times New Roman" w:eastAsiaTheme="minorHAnsi" w:hAnsi="Times New Roman"/>
                                <w:b/>
                                <w:sz w:val="20"/>
                                <w:szCs w:val="20"/>
                              </w:rPr>
                            </w:pPr>
                            <w:r w:rsidRPr="00A61007">
                              <w:rPr>
                                <w:rFonts w:ascii="Times New Roman" w:hAnsi="Times New Roman"/>
                                <w:i/>
                                <w:sz w:val="20"/>
                                <w:szCs w:val="20"/>
                              </w:rPr>
                              <w:t>Отсутствие</w:t>
                            </w:r>
                            <w:r>
                              <w:rPr>
                                <w:rFonts w:ascii="Times New Roman" w:hAnsi="Times New Roman"/>
                                <w:i/>
                                <w:sz w:val="20"/>
                                <w:szCs w:val="20"/>
                              </w:rPr>
                              <w:t>м</w:t>
                            </w:r>
                            <w:r w:rsidRPr="00A61007">
                              <w:rPr>
                                <w:rFonts w:ascii="Times New Roman" w:hAnsi="Times New Roman"/>
                                <w:i/>
                                <w:sz w:val="20"/>
                                <w:szCs w:val="20"/>
                              </w:rPr>
                              <w:t xml:space="preserve"> надлежащей координации между бюджетной, валютной и денежно-кредитной политиками</w:t>
                            </w:r>
                            <w:r w:rsidRPr="00A61007">
                              <w:rPr>
                                <w:rFonts w:ascii="Times New Roman" w:hAnsi="Times New Roman"/>
                                <w:sz w:val="20"/>
                                <w:szCs w:val="20"/>
                              </w:rPr>
                              <w:t>. Неполная и несвоевременная стерилизация валютных интервенций влечет нестабильность основных макроэкономических и денежно-кредитных условий, создает негативные последствия для финансового сектора и повышает уровень неопределенности в экономике.</w:t>
                            </w:r>
                          </w:p>
                          <w:p w:rsidR="007E5DFE" w:rsidRPr="00A61007" w:rsidRDefault="007E5DFE" w:rsidP="00A61007">
                            <w:pPr>
                              <w:spacing w:before="120" w:after="120"/>
                              <w:jc w:val="both"/>
                              <w:rPr>
                                <w:rFonts w:ascii="Times New Roman" w:hAnsi="Times New Roman"/>
                                <w:sz w:val="20"/>
                                <w:szCs w:val="20"/>
                              </w:rPr>
                            </w:pPr>
                            <w:proofErr w:type="gramStart"/>
                            <w:r w:rsidRPr="00F146D6">
                              <w:rPr>
                                <w:rFonts w:ascii="Times New Roman" w:hAnsi="Times New Roman"/>
                                <w:sz w:val="20"/>
                                <w:szCs w:val="20"/>
                              </w:rPr>
                              <w:t>Повышенная изменчивость структуры относительных цен (реальный эффективный курс рубля) в последние 15 лет в России и по сравнению с динамикой валют сырьевых стран с действенным механизмом бюджетных правил – наглядная иллюстрация недостатков предшествующих конструкций.</w:t>
                            </w:r>
                            <w:proofErr w:type="gramEnd"/>
                          </w:p>
                        </w:txbxContent>
                      </v:textbox>
                      <w10:wrap type="square" anchorx="margin"/>
                    </v:shape>
                  </w:pict>
                </mc:Fallback>
              </mc:AlternateContent>
            </w:r>
            <w:r w:rsidR="00A62172" w:rsidRPr="00E11E0D">
              <w:rPr>
                <w:rFonts w:ascii="Times New Roman" w:hAnsi="Times New Roman" w:cs="Times New Roman"/>
                <w:b/>
                <w:sz w:val="24"/>
                <w:szCs w:val="20"/>
                <w:lang w:val="ru-RU" w:eastAsia="en-US"/>
              </w:rPr>
              <w:t>Динамика реального эффективного обменного курса в странах экспортерах сырья</w:t>
            </w:r>
          </w:p>
        </w:tc>
      </w:tr>
      <w:tr w:rsidR="00A62172" w:rsidRPr="00E11E0D" w:rsidTr="005230C8">
        <w:trPr>
          <w:trHeight w:hRule="exact" w:val="34"/>
          <w:jc w:val="center"/>
        </w:trPr>
        <w:tc>
          <w:tcPr>
            <w:tcW w:w="9288" w:type="dxa"/>
            <w:tcBorders>
              <w:bottom w:val="single" w:sz="4" w:space="0" w:color="auto"/>
            </w:tcBorders>
            <w:tcMar>
              <w:left w:w="28" w:type="dxa"/>
              <w:right w:w="28" w:type="dxa"/>
            </w:tcMar>
          </w:tcPr>
          <w:p w:rsidR="00A62172" w:rsidRPr="00E11E0D" w:rsidRDefault="00A62172" w:rsidP="005230C8">
            <w:pPr>
              <w:pStyle w:val="TabText"/>
              <w:jc w:val="both"/>
              <w:rPr>
                <w:rFonts w:ascii="Times New Roman" w:hAnsi="Times New Roman" w:cs="Times New Roman"/>
                <w:lang w:val="ru-RU" w:eastAsia="en-US"/>
              </w:rPr>
            </w:pPr>
          </w:p>
        </w:tc>
        <w:tc>
          <w:tcPr>
            <w:tcW w:w="62" w:type="dxa"/>
            <w:tcMar>
              <w:left w:w="28" w:type="dxa"/>
              <w:right w:w="28" w:type="dxa"/>
            </w:tcMar>
          </w:tcPr>
          <w:p w:rsidR="00A62172" w:rsidRPr="00E11E0D" w:rsidRDefault="00A62172" w:rsidP="005230C8">
            <w:pPr>
              <w:pStyle w:val="TabText"/>
              <w:jc w:val="both"/>
              <w:rPr>
                <w:rFonts w:ascii="Times New Roman" w:hAnsi="Times New Roman" w:cs="Times New Roman"/>
                <w:lang w:val="ru-RU" w:eastAsia="en-US"/>
              </w:rPr>
            </w:pPr>
          </w:p>
        </w:tc>
      </w:tr>
      <w:tr w:rsidR="00A62172" w:rsidRPr="00E11E0D" w:rsidTr="005230C8">
        <w:tblPrEx>
          <w:tblCellMar>
            <w:left w:w="108" w:type="dxa"/>
            <w:right w:w="108" w:type="dxa"/>
          </w:tblCellMar>
        </w:tblPrEx>
        <w:trPr>
          <w:gridAfter w:val="1"/>
          <w:wAfter w:w="62" w:type="dxa"/>
          <w:trHeight w:val="2739"/>
          <w:jc w:val="center"/>
        </w:trPr>
        <w:tc>
          <w:tcPr>
            <w:tcW w:w="9288" w:type="dxa"/>
            <w:tcBorders>
              <w:top w:val="single" w:sz="4" w:space="0" w:color="auto"/>
              <w:bottom w:val="single" w:sz="4" w:space="0" w:color="auto"/>
            </w:tcBorders>
          </w:tcPr>
          <w:p w:rsidR="00A62172" w:rsidRPr="00E11E0D" w:rsidRDefault="00A62172" w:rsidP="005230C8">
            <w:pPr>
              <w:pStyle w:val="TabText"/>
              <w:jc w:val="both"/>
              <w:rPr>
                <w:rFonts w:ascii="Times New Roman" w:hAnsi="Times New Roman" w:cs="Times New Roman"/>
                <w:lang w:val="ru-RU" w:eastAsia="en-US"/>
              </w:rPr>
            </w:pPr>
            <w:r>
              <w:rPr>
                <w:rFonts w:ascii="Times New Roman" w:hAnsi="Times New Roman"/>
                <w:noProof/>
                <w:sz w:val="24"/>
                <w:szCs w:val="24"/>
                <w:lang w:val="ru-RU" w:bidi="ar-SA"/>
              </w:rPr>
              <mc:AlternateContent>
                <mc:Choice Requires="wpg">
                  <w:drawing>
                    <wp:anchor distT="0" distB="0" distL="114300" distR="114300" simplePos="0" relativeHeight="251660800" behindDoc="0" locked="0" layoutInCell="1" allowOverlap="1" wp14:anchorId="7152D6F4" wp14:editId="120D4EEC">
                      <wp:simplePos x="0" y="0"/>
                      <wp:positionH relativeFrom="column">
                        <wp:posOffset>628650</wp:posOffset>
                      </wp:positionH>
                      <wp:positionV relativeFrom="paragraph">
                        <wp:posOffset>162442</wp:posOffset>
                      </wp:positionV>
                      <wp:extent cx="4946133" cy="2090509"/>
                      <wp:effectExtent l="0" t="0" r="45085" b="43180"/>
                      <wp:wrapNone/>
                      <wp:docPr id="1044" name="Группа 1044"/>
                      <wp:cNvGraphicFramePr/>
                      <a:graphic xmlns:a="http://schemas.openxmlformats.org/drawingml/2006/main">
                        <a:graphicData uri="http://schemas.microsoft.com/office/word/2010/wordprocessingGroup">
                          <wpg:wgp>
                            <wpg:cNvGrpSpPr/>
                            <wpg:grpSpPr>
                              <a:xfrm>
                                <a:off x="0" y="0"/>
                                <a:ext cx="4946133" cy="2090509"/>
                                <a:chOff x="0" y="0"/>
                                <a:chExt cx="4946133" cy="2090509"/>
                              </a:xfrm>
                            </wpg:grpSpPr>
                            <wps:wsp>
                              <wps:cNvPr id="144" name="Овал 144"/>
                              <wps:cNvSpPr/>
                              <wps:spPr>
                                <a:xfrm>
                                  <a:off x="0" y="0"/>
                                  <a:ext cx="2152650" cy="1247775"/>
                                </a:xfrm>
                                <a:prstGeom prst="ellipse">
                                  <a:avLst/>
                                </a:prstGeom>
                                <a:noFill/>
                                <a:ln w="6350">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7E5DFE" w:rsidRDefault="007E5DFE" w:rsidP="00A62172">
                                    <w:pPr>
                                      <w:pStyle w:val="afb"/>
                                      <w:spacing w:before="0" w:beforeAutospacing="0" w:after="0" w:afterAutospacing="0"/>
                                      <w:jc w:val="center"/>
                                      <w:rPr>
                                        <w:rFonts w:ascii="Century" w:hAnsi="Century" w:cstheme="minorBidi"/>
                                        <w:color w:val="000000" w:themeColor="text1"/>
                                        <w:sz w:val="16"/>
                                        <w:szCs w:val="22"/>
                                      </w:rPr>
                                    </w:pPr>
                                    <w:r>
                                      <w:rPr>
                                        <w:rFonts w:ascii="Century" w:hAnsi="Century" w:cstheme="minorBidi"/>
                                        <w:color w:val="000000" w:themeColor="text1"/>
                                        <w:sz w:val="16"/>
                                        <w:szCs w:val="22"/>
                                      </w:rPr>
                                      <w:t xml:space="preserve">изменение структуры цен, прибыли и распределения ресурсов (труда и капитала) в пользу </w:t>
                                    </w:r>
                                    <w:proofErr w:type="spellStart"/>
                                    <w:r>
                                      <w:rPr>
                                        <w:rFonts w:ascii="Century" w:hAnsi="Century" w:cstheme="minorBidi"/>
                                        <w:color w:val="000000" w:themeColor="text1"/>
                                        <w:sz w:val="16"/>
                                        <w:szCs w:val="22"/>
                                      </w:rPr>
                                      <w:t>неторгуемых</w:t>
                                    </w:r>
                                    <w:proofErr w:type="spellEnd"/>
                                    <w:r>
                                      <w:rPr>
                                        <w:rFonts w:ascii="Century" w:hAnsi="Century" w:cstheme="minorBidi"/>
                                        <w:color w:val="000000" w:themeColor="text1"/>
                                        <w:sz w:val="16"/>
                                        <w:szCs w:val="22"/>
                                      </w:rPr>
                                      <w:t xml:space="preserve"> секторов</w:t>
                                    </w:r>
                                  </w:p>
                                  <w:p w:rsidR="007E5DFE" w:rsidRDefault="007E5DFE" w:rsidP="00A62172">
                                    <w:pPr>
                                      <w:pStyle w:val="afb"/>
                                      <w:spacing w:before="0" w:beforeAutospacing="0" w:after="0" w:afterAutospacing="0"/>
                                      <w:jc w:val="center"/>
                                      <w:rPr>
                                        <w:rFonts w:ascii="Century" w:hAnsi="Century"/>
                                        <w:sz w:val="18"/>
                                      </w:rPr>
                                    </w:pPr>
                                  </w:p>
                                  <w:p w:rsidR="007E5DFE" w:rsidRDefault="007E5DFE" w:rsidP="00A62172">
                                    <w:pPr>
                                      <w:pStyle w:val="afb"/>
                                      <w:spacing w:before="0" w:beforeAutospacing="0" w:after="0" w:afterAutospacing="0"/>
                                      <w:jc w:val="center"/>
                                      <w:rPr>
                                        <w:rFonts w:ascii="Century" w:hAnsi="Century"/>
                                        <w:sz w:val="18"/>
                                      </w:rPr>
                                    </w:pPr>
                                    <w:r>
                                      <w:rPr>
                                        <w:rFonts w:ascii="Century" w:hAnsi="Century" w:cstheme="minorBidi"/>
                                        <w:color w:val="000000" w:themeColor="text1"/>
                                        <w:sz w:val="16"/>
                                        <w:szCs w:val="22"/>
                                      </w:rPr>
                                      <w:t xml:space="preserve">эрозия капитала в </w:t>
                                    </w:r>
                                    <w:proofErr w:type="spellStart"/>
                                    <w:r>
                                      <w:rPr>
                                        <w:rFonts w:ascii="Century" w:hAnsi="Century" w:cstheme="minorBidi"/>
                                        <w:color w:val="000000" w:themeColor="text1"/>
                                        <w:sz w:val="16"/>
                                        <w:szCs w:val="22"/>
                                      </w:rPr>
                                      <w:t>несырьевых</w:t>
                                    </w:r>
                                    <w:proofErr w:type="spellEnd"/>
                                    <w:r>
                                      <w:rPr>
                                        <w:rFonts w:ascii="Century" w:hAnsi="Century" w:cstheme="minorBidi"/>
                                        <w:color w:val="000000" w:themeColor="text1"/>
                                        <w:sz w:val="16"/>
                                        <w:szCs w:val="22"/>
                                      </w:rPr>
                                      <w:t xml:space="preserve"> торгуемых секторах</w:t>
                                    </w:r>
                                  </w:p>
                                </w:txbxContent>
                              </wps:txbx>
                              <wps:bodyPr wrap="square" lIns="0" tIns="0" rIns="0" bIns="0">
                                <a:noAutofit/>
                              </wps:bodyPr>
                            </wps:wsp>
                            <wps:wsp>
                              <wps:cNvPr id="145" name="Прямая со стрелкой 145"/>
                              <wps:cNvCnPr/>
                              <wps:spPr>
                                <a:xfrm flipV="1">
                                  <a:off x="10633" y="202019"/>
                                  <a:ext cx="4019550" cy="1888490"/>
                                </a:xfrm>
                                <a:prstGeom prst="straightConnector1">
                                  <a:avLst/>
                                </a:prstGeom>
                                <a:ln w="19050">
                                  <a:solidFill>
                                    <a:schemeClr val="bg1">
                                      <a:lumMod val="50000"/>
                                    </a:schemeClr>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46" name="Прямая со стрелкой 146"/>
                              <wps:cNvCnPr/>
                              <wps:spPr>
                                <a:xfrm>
                                  <a:off x="3774558" y="85061"/>
                                  <a:ext cx="1171575" cy="1781175"/>
                                </a:xfrm>
                                <a:prstGeom prst="straightConnector1">
                                  <a:avLst/>
                                </a:prstGeom>
                                <a:ln w="19050">
                                  <a:solidFill>
                                    <a:schemeClr val="bg2">
                                      <a:lumMod val="50000"/>
                                    </a:schemeClr>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48" name="Овал 148"/>
                              <wps:cNvSpPr/>
                              <wps:spPr>
                                <a:xfrm>
                                  <a:off x="2551814" y="467833"/>
                                  <a:ext cx="2054225" cy="1419225"/>
                                </a:xfrm>
                                <a:prstGeom prst="ellipse">
                                  <a:avLst/>
                                </a:prstGeom>
                                <a:noFill/>
                                <a:ln w="6350">
                                  <a:solidFill>
                                    <a:schemeClr val="bg2">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7E5DFE" w:rsidRDefault="007E5DFE" w:rsidP="00A62172">
                                    <w:pPr>
                                      <w:pStyle w:val="afb"/>
                                      <w:spacing w:before="0" w:beforeAutospacing="0" w:after="0" w:afterAutospacing="0"/>
                                      <w:jc w:val="center"/>
                                      <w:rPr>
                                        <w:rFonts w:ascii="Century" w:hAnsi="Century" w:cstheme="minorBidi"/>
                                        <w:color w:val="000000" w:themeColor="text1"/>
                                        <w:sz w:val="16"/>
                                        <w:szCs w:val="22"/>
                                      </w:rPr>
                                    </w:pPr>
                                    <w:r>
                                      <w:rPr>
                                        <w:rFonts w:ascii="Century" w:hAnsi="Century" w:cstheme="minorBidi"/>
                                        <w:color w:val="000000" w:themeColor="text1"/>
                                        <w:sz w:val="16"/>
                                        <w:szCs w:val="22"/>
                                      </w:rPr>
                                      <w:t>изменение структуры цен, прибыли и распределения ресурсов (труда и капитала) в пользу торгуемых секторов</w:t>
                                    </w:r>
                                  </w:p>
                                  <w:p w:rsidR="007E5DFE" w:rsidRDefault="007E5DFE" w:rsidP="00A62172">
                                    <w:pPr>
                                      <w:pStyle w:val="afb"/>
                                      <w:spacing w:before="0" w:beforeAutospacing="0" w:after="0" w:afterAutospacing="0"/>
                                      <w:jc w:val="center"/>
                                      <w:rPr>
                                        <w:rFonts w:ascii="Century" w:hAnsi="Century"/>
                                        <w:sz w:val="18"/>
                                      </w:rPr>
                                    </w:pPr>
                                  </w:p>
                                  <w:p w:rsidR="007E5DFE" w:rsidRDefault="007E5DFE" w:rsidP="00A62172">
                                    <w:pPr>
                                      <w:pStyle w:val="afb"/>
                                      <w:spacing w:before="0" w:beforeAutospacing="0" w:after="0" w:afterAutospacing="0"/>
                                      <w:jc w:val="center"/>
                                      <w:rPr>
                                        <w:rFonts w:ascii="Century" w:hAnsi="Century"/>
                                        <w:sz w:val="18"/>
                                      </w:rPr>
                                    </w:pPr>
                                    <w:r>
                                      <w:rPr>
                                        <w:rFonts w:ascii="Century" w:hAnsi="Century" w:cstheme="minorBidi"/>
                                        <w:color w:val="000000" w:themeColor="text1"/>
                                        <w:sz w:val="16"/>
                                        <w:szCs w:val="22"/>
                                      </w:rPr>
                                      <w:t xml:space="preserve">необходимость «списания» накопленного капитала в </w:t>
                                    </w:r>
                                    <w:proofErr w:type="spellStart"/>
                                    <w:r>
                                      <w:rPr>
                                        <w:rFonts w:ascii="Century" w:hAnsi="Century" w:cstheme="minorBidi"/>
                                        <w:color w:val="000000" w:themeColor="text1"/>
                                        <w:sz w:val="16"/>
                                        <w:szCs w:val="22"/>
                                      </w:rPr>
                                      <w:t>неторгуемых</w:t>
                                    </w:r>
                                    <w:proofErr w:type="spellEnd"/>
                                    <w:r>
                                      <w:rPr>
                                        <w:rFonts w:ascii="Century" w:hAnsi="Century" w:cstheme="minorBidi"/>
                                        <w:color w:val="000000" w:themeColor="text1"/>
                                        <w:sz w:val="16"/>
                                        <w:szCs w:val="22"/>
                                      </w:rPr>
                                      <w:t xml:space="preserve"> секторах</w:t>
                                    </w:r>
                                  </w:p>
                                </w:txbxContent>
                              </wps:txbx>
                              <wps:bodyPr wrap="square" lIns="0" tIns="0" rIns="0" bIns="0">
                                <a:noAutofit/>
                              </wps:bodyPr>
                            </wps:wsp>
                          </wpg:wgp>
                        </a:graphicData>
                      </a:graphic>
                    </wp:anchor>
                  </w:drawing>
                </mc:Choice>
                <mc:Fallback>
                  <w:pict>
                    <v:group id="Группа 1044" o:spid="_x0000_s1037" style="position:absolute;left:0;text-align:left;margin-left:49.5pt;margin-top:12.8pt;width:389.45pt;height:164.6pt;z-index:251660800" coordsize="49461,20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">
                      <v:oval id="Овал 144" o:spid="_x0000_s1038" style="position:absolute;width:21526;height:1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DAd8MA&#10;AADcAAAADwAAAGRycy9kb3ducmV2LnhtbERPTWvCQBC9F/wPywi9iG5SgpboKkEQSi9SFaG3ITtN&#10;QrOzIbvJpv++KxR6m8f7nN1hMq0YqXeNZQXpKgFBXFrdcKXgdj0tX0E4j6yxtUwKfsjBYT972mGu&#10;beAPGi++EjGEXY4Kau+7XEpX1mTQrWxHHLkv2xv0EfaV1D2GGG5a+ZIka2mw4dhQY0fHmsrvy2AU&#10;BLx/Ls4hHQozLqZrcO9Vu1kr9Tyfii0IT5P/F/+533Scn2XweCZe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DAd8MAAADcAAAADwAAAAAAAAAAAAAAAACYAgAAZHJzL2Rv&#10;d25yZXYueG1sUEsFBgAAAAAEAAQA9QAAAIgDAAAAAA==&#10;" filled="f" strokecolor="#7f7f7f [1612]" strokeweight=".5pt">
                        <v:stroke dashstyle="3 1"/>
                        <v:textbox inset="0,0,0,0">
                          <w:txbxContent>
                            <w:p w:rsidR="007E5DFE" w:rsidRDefault="007E5DFE" w:rsidP="00A62172">
                              <w:pPr>
                                <w:pStyle w:val="afb"/>
                                <w:spacing w:before="0" w:beforeAutospacing="0" w:after="0" w:afterAutospacing="0"/>
                                <w:jc w:val="center"/>
                                <w:rPr>
                                  <w:rFonts w:ascii="Century" w:hAnsi="Century" w:cstheme="minorBidi"/>
                                  <w:color w:val="000000" w:themeColor="text1"/>
                                  <w:sz w:val="16"/>
                                  <w:szCs w:val="22"/>
                                </w:rPr>
                              </w:pPr>
                              <w:r>
                                <w:rPr>
                                  <w:rFonts w:ascii="Century" w:hAnsi="Century" w:cstheme="minorBidi"/>
                                  <w:color w:val="000000" w:themeColor="text1"/>
                                  <w:sz w:val="16"/>
                                  <w:szCs w:val="22"/>
                                </w:rPr>
                                <w:t xml:space="preserve">изменение структуры цен, прибыли и распределения ресурсов (труда и капитала) в пользу </w:t>
                              </w:r>
                              <w:proofErr w:type="spellStart"/>
                              <w:r>
                                <w:rPr>
                                  <w:rFonts w:ascii="Century" w:hAnsi="Century" w:cstheme="minorBidi"/>
                                  <w:color w:val="000000" w:themeColor="text1"/>
                                  <w:sz w:val="16"/>
                                  <w:szCs w:val="22"/>
                                </w:rPr>
                                <w:t>неторгуемых</w:t>
                              </w:r>
                              <w:proofErr w:type="spellEnd"/>
                              <w:r>
                                <w:rPr>
                                  <w:rFonts w:ascii="Century" w:hAnsi="Century" w:cstheme="minorBidi"/>
                                  <w:color w:val="000000" w:themeColor="text1"/>
                                  <w:sz w:val="16"/>
                                  <w:szCs w:val="22"/>
                                </w:rPr>
                                <w:t xml:space="preserve"> секторов</w:t>
                              </w:r>
                            </w:p>
                            <w:p w:rsidR="007E5DFE" w:rsidRDefault="007E5DFE" w:rsidP="00A62172">
                              <w:pPr>
                                <w:pStyle w:val="afb"/>
                                <w:spacing w:before="0" w:beforeAutospacing="0" w:after="0" w:afterAutospacing="0"/>
                                <w:jc w:val="center"/>
                                <w:rPr>
                                  <w:rFonts w:ascii="Century" w:hAnsi="Century"/>
                                  <w:sz w:val="18"/>
                                </w:rPr>
                              </w:pPr>
                            </w:p>
                            <w:p w:rsidR="007E5DFE" w:rsidRDefault="007E5DFE" w:rsidP="00A62172">
                              <w:pPr>
                                <w:pStyle w:val="afb"/>
                                <w:spacing w:before="0" w:beforeAutospacing="0" w:after="0" w:afterAutospacing="0"/>
                                <w:jc w:val="center"/>
                                <w:rPr>
                                  <w:rFonts w:ascii="Century" w:hAnsi="Century"/>
                                  <w:sz w:val="18"/>
                                </w:rPr>
                              </w:pPr>
                              <w:r>
                                <w:rPr>
                                  <w:rFonts w:ascii="Century" w:hAnsi="Century" w:cstheme="minorBidi"/>
                                  <w:color w:val="000000" w:themeColor="text1"/>
                                  <w:sz w:val="16"/>
                                  <w:szCs w:val="22"/>
                                </w:rPr>
                                <w:t xml:space="preserve">эрозия капитала в </w:t>
                              </w:r>
                              <w:proofErr w:type="spellStart"/>
                              <w:r>
                                <w:rPr>
                                  <w:rFonts w:ascii="Century" w:hAnsi="Century" w:cstheme="minorBidi"/>
                                  <w:color w:val="000000" w:themeColor="text1"/>
                                  <w:sz w:val="16"/>
                                  <w:szCs w:val="22"/>
                                </w:rPr>
                                <w:t>несырьевых</w:t>
                              </w:r>
                              <w:proofErr w:type="spellEnd"/>
                              <w:r>
                                <w:rPr>
                                  <w:rFonts w:ascii="Century" w:hAnsi="Century" w:cstheme="minorBidi"/>
                                  <w:color w:val="000000" w:themeColor="text1"/>
                                  <w:sz w:val="16"/>
                                  <w:szCs w:val="22"/>
                                </w:rPr>
                                <w:t xml:space="preserve"> торгуемых секторах</w:t>
                              </w:r>
                            </w:p>
                          </w:txbxContent>
                        </v:textbox>
                      </v:oval>
                      <v:shapetype id="_x0000_t32" coordsize="21600,21600" o:spt="32" o:oned="t" path="m,l21600,21600e" filled="f">
                        <v:path arrowok="t" fillok="f" o:connecttype="none"/>
                        <o:lock v:ext="edit" shapetype="t"/>
                      </v:shapetype>
                      <v:shape id="Прямая со стрелкой 145" o:spid="_x0000_s1039" type="#_x0000_t32" style="position:absolute;left:106;top:2020;width:40195;height:188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H3GsIAAADcAAAADwAAAGRycy9kb3ducmV2LnhtbERPTWvCQBC9C/0PyxR6042lSkmzEVEK&#10;Qk9Ge+htzE6T2N3ZsLs16b/vCoK3ebzPKVajNeJCPnSOFcxnGQji2umOGwXHw/v0FUSIyBqNY1Lw&#10;RwFW5cOkwFy7gfd0qWIjUgiHHBW0Mfa5lKFuyWKYuZ44cd/OW4wJ+kZqj0MKt0Y+Z9lSWuw4NbTY&#10;06al+qf6tQo0fxofTtVosvNwNotTv919fCn19Diu30BEGuNdfHPvdJr/soDrM+kCW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H3GsIAAADcAAAADwAAAAAAAAAAAAAA&#10;AAChAgAAZHJzL2Rvd25yZXYueG1sUEsFBgAAAAAEAAQA+QAAAJADAAAAAA==&#10;" strokecolor="#7f7f7f [1612]" strokeweight="1.5pt">
                        <v:stroke endarrow="classic" endarrowwidth="wide" endarrowlength="long"/>
                      </v:shape>
                      <v:shape id="Прямая со стрелкой 146" o:spid="_x0000_s1040" type="#_x0000_t32" style="position:absolute;left:37745;top:850;width:11716;height:178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FkSsMAAADcAAAADwAAAGRycy9kb3ducmV2LnhtbERPTWvCQBC9C/0PyxS8FN0oRWp0E4pg&#10;9VJEGzwP2TGJzc6m2VW3/74rFLzN433OMg+mFVfqXWNZwWScgCAurW64UlB8rUdvIJxH1thaJgW/&#10;5CDPngZLTLW98Z6uB1+JGMIuRQW1910qpStrMujGtiOO3Mn2Bn2EfSV1j7cYblo5TZKZNNhwbKix&#10;o1VN5ffhYhTMj6vJNoSX+Xr3WWxOP2djivJDqeFzeF+A8BT8Q/zv3uo4/3UG92fiB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hZErDAAAA3AAAAA8AAAAAAAAAAAAA&#10;AAAAoQIAAGRycy9kb3ducmV2LnhtbFBLBQYAAAAABAAEAPkAAACRAwAAAAA=&#10;" strokecolor="#938953 [1614]" strokeweight="1.5pt">
                        <v:stroke endarrow="classic" endarrowwidth="wide" endarrowlength="long"/>
                      </v:shape>
                      <v:oval id="Овал 148" o:spid="_x0000_s1041" style="position:absolute;left:25518;top:4678;width:20542;height:14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6h8UA&#10;AADcAAAADwAAAGRycy9kb3ducmV2LnhtbESPTWvCQBCG70L/wzIFb3WjiJToKkUoFQuCWqjeptlp&#10;NjQ7G7JrTP31nUPB2wzzfjyzWPW+Vh21sQpsYDzKQBEXwVZcGvg4vj49g4oJ2WIdmAz8UoTV8mGw&#10;wNyGK++pO6RSSQjHHA24lJpc61g48hhHoSGW23doPSZZ21LbFq8S7ms9ybKZ9lixNDhsaO2o+Dlc&#10;vJTsiunb1ym4c2f3n9tzuLzf+p0xw8f+ZQ4qUZ/u4n/3xgr+VGj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qHxQAAANwAAAAPAAAAAAAAAAAAAAAAAJgCAABkcnMv&#10;ZG93bnJldi54bWxQSwUGAAAAAAQABAD1AAAAigMAAAAA&#10;" filled="f" strokecolor="#938953 [1614]" strokeweight=".5pt">
                        <v:stroke dashstyle="3 1"/>
                        <v:textbox inset="0,0,0,0">
                          <w:txbxContent>
                            <w:p w:rsidR="007E5DFE" w:rsidRDefault="007E5DFE" w:rsidP="00A62172">
                              <w:pPr>
                                <w:pStyle w:val="afb"/>
                                <w:spacing w:before="0" w:beforeAutospacing="0" w:after="0" w:afterAutospacing="0"/>
                                <w:jc w:val="center"/>
                                <w:rPr>
                                  <w:rFonts w:ascii="Century" w:hAnsi="Century" w:cstheme="minorBidi"/>
                                  <w:color w:val="000000" w:themeColor="text1"/>
                                  <w:sz w:val="16"/>
                                  <w:szCs w:val="22"/>
                                </w:rPr>
                              </w:pPr>
                              <w:r>
                                <w:rPr>
                                  <w:rFonts w:ascii="Century" w:hAnsi="Century" w:cstheme="minorBidi"/>
                                  <w:color w:val="000000" w:themeColor="text1"/>
                                  <w:sz w:val="16"/>
                                  <w:szCs w:val="22"/>
                                </w:rPr>
                                <w:t>изменение структуры цен, прибыли и распределения ресурсов (труда и капитала) в пользу торгуемых секторов</w:t>
                              </w:r>
                            </w:p>
                            <w:p w:rsidR="007E5DFE" w:rsidRDefault="007E5DFE" w:rsidP="00A62172">
                              <w:pPr>
                                <w:pStyle w:val="afb"/>
                                <w:spacing w:before="0" w:beforeAutospacing="0" w:after="0" w:afterAutospacing="0"/>
                                <w:jc w:val="center"/>
                                <w:rPr>
                                  <w:rFonts w:ascii="Century" w:hAnsi="Century"/>
                                  <w:sz w:val="18"/>
                                </w:rPr>
                              </w:pPr>
                            </w:p>
                            <w:p w:rsidR="007E5DFE" w:rsidRDefault="007E5DFE" w:rsidP="00A62172">
                              <w:pPr>
                                <w:pStyle w:val="afb"/>
                                <w:spacing w:before="0" w:beforeAutospacing="0" w:after="0" w:afterAutospacing="0"/>
                                <w:jc w:val="center"/>
                                <w:rPr>
                                  <w:rFonts w:ascii="Century" w:hAnsi="Century"/>
                                  <w:sz w:val="18"/>
                                </w:rPr>
                              </w:pPr>
                              <w:r>
                                <w:rPr>
                                  <w:rFonts w:ascii="Century" w:hAnsi="Century" w:cstheme="minorBidi"/>
                                  <w:color w:val="000000" w:themeColor="text1"/>
                                  <w:sz w:val="16"/>
                                  <w:szCs w:val="22"/>
                                </w:rPr>
                                <w:t xml:space="preserve">необходимость «списания» накопленного капитала в </w:t>
                              </w:r>
                              <w:proofErr w:type="spellStart"/>
                              <w:r>
                                <w:rPr>
                                  <w:rFonts w:ascii="Century" w:hAnsi="Century" w:cstheme="minorBidi"/>
                                  <w:color w:val="000000" w:themeColor="text1"/>
                                  <w:sz w:val="16"/>
                                  <w:szCs w:val="22"/>
                                </w:rPr>
                                <w:t>неторгуемых</w:t>
                              </w:r>
                              <w:proofErr w:type="spellEnd"/>
                              <w:r>
                                <w:rPr>
                                  <w:rFonts w:ascii="Century" w:hAnsi="Century" w:cstheme="minorBidi"/>
                                  <w:color w:val="000000" w:themeColor="text1"/>
                                  <w:sz w:val="16"/>
                                  <w:szCs w:val="22"/>
                                </w:rPr>
                                <w:t xml:space="preserve"> секторах</w:t>
                              </w:r>
                            </w:p>
                          </w:txbxContent>
                        </v:textbox>
                      </v:oval>
                    </v:group>
                  </w:pict>
                </mc:Fallback>
              </mc:AlternateContent>
            </w:r>
            <w:r>
              <w:rPr>
                <w:noProof/>
                <w:lang w:val="ru-RU" w:bidi="ar-SA"/>
              </w:rPr>
              <w:drawing>
                <wp:inline distT="0" distB="0" distL="0" distR="0" wp14:anchorId="23996603" wp14:editId="4EEB565C">
                  <wp:extent cx="5760720" cy="2857500"/>
                  <wp:effectExtent l="0" t="0" r="0" b="0"/>
                  <wp:docPr id="149" name="Диаграмма 149" title="реальный эффективный валютный курс"/>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A62172" w:rsidRPr="00E11E0D" w:rsidTr="005230C8">
        <w:trPr>
          <w:gridAfter w:val="1"/>
          <w:wAfter w:w="62" w:type="dxa"/>
          <w:trHeight w:val="246"/>
          <w:jc w:val="center"/>
        </w:trPr>
        <w:tc>
          <w:tcPr>
            <w:tcW w:w="9288" w:type="dxa"/>
            <w:tcBorders>
              <w:top w:val="single" w:sz="4" w:space="0" w:color="auto"/>
            </w:tcBorders>
            <w:tcMar>
              <w:left w:w="28" w:type="dxa"/>
              <w:right w:w="28" w:type="dxa"/>
            </w:tcMar>
          </w:tcPr>
          <w:p w:rsidR="00A62172" w:rsidRPr="00E11E0D" w:rsidRDefault="00A62172" w:rsidP="005230C8">
            <w:pPr>
              <w:pStyle w:val="SourceLarge"/>
              <w:spacing w:after="240"/>
              <w:jc w:val="both"/>
              <w:rPr>
                <w:rFonts w:ascii="Times New Roman" w:hAnsi="Times New Roman" w:cs="Times New Roman"/>
                <w:i/>
                <w:lang w:val="ru-RU" w:eastAsia="en-US"/>
              </w:rPr>
            </w:pPr>
            <w:r w:rsidRPr="00E11E0D">
              <w:rPr>
                <w:rFonts w:ascii="Times New Roman" w:hAnsi="Times New Roman" w:cs="Times New Roman"/>
                <w:i/>
                <w:sz w:val="14"/>
                <w:szCs w:val="14"/>
                <w:lang w:val="ru-RU" w:eastAsia="en-US"/>
              </w:rPr>
              <w:t>Источник:</w:t>
            </w:r>
            <w:r w:rsidRPr="00E11E0D">
              <w:rPr>
                <w:rFonts w:ascii="Times New Roman" w:hAnsi="Times New Roman" w:cs="Times New Roman"/>
                <w:i/>
                <w:sz w:val="14"/>
                <w:szCs w:val="14"/>
                <w:lang w:eastAsia="en-US"/>
              </w:rPr>
              <w:t> </w:t>
            </w:r>
            <w:r w:rsidRPr="00E11E0D">
              <w:rPr>
                <w:rFonts w:ascii="Times New Roman" w:hAnsi="Times New Roman" w:cs="Times New Roman"/>
                <w:i/>
                <w:sz w:val="14"/>
                <w:szCs w:val="14"/>
                <w:lang w:val="en-US" w:eastAsia="en-US"/>
              </w:rPr>
              <w:t xml:space="preserve">BIS, </w:t>
            </w:r>
            <w:r w:rsidRPr="00E11E0D">
              <w:rPr>
                <w:rFonts w:ascii="Times New Roman" w:hAnsi="Times New Roman" w:cs="Times New Roman"/>
                <w:i/>
                <w:sz w:val="14"/>
                <w:szCs w:val="14"/>
                <w:lang w:val="ru-RU" w:eastAsia="en-US"/>
              </w:rPr>
              <w:t>Банк России</w:t>
            </w:r>
          </w:p>
        </w:tc>
      </w:tr>
    </w:tbl>
    <w:p w:rsidR="006F6F30" w:rsidRDefault="006F6F30" w:rsidP="006F6F30">
      <w:pPr>
        <w:spacing w:before="120" w:after="120"/>
        <w:jc w:val="both"/>
        <w:rPr>
          <w:rFonts w:ascii="Times New Roman" w:hAnsi="Times New Roman"/>
          <w:sz w:val="24"/>
          <w:szCs w:val="24"/>
        </w:rPr>
      </w:pPr>
      <w:r>
        <w:rPr>
          <w:rFonts w:ascii="Times New Roman" w:hAnsi="Times New Roman"/>
          <w:sz w:val="24"/>
          <w:szCs w:val="24"/>
        </w:rPr>
        <w:t>П</w:t>
      </w:r>
      <w:r w:rsidRPr="00A62172">
        <w:rPr>
          <w:rFonts w:ascii="Times New Roman" w:hAnsi="Times New Roman"/>
          <w:sz w:val="24"/>
          <w:szCs w:val="24"/>
        </w:rPr>
        <w:t xml:space="preserve">о экономической сути </w:t>
      </w:r>
      <w:r>
        <w:rPr>
          <w:rFonts w:ascii="Times New Roman" w:hAnsi="Times New Roman"/>
          <w:sz w:val="24"/>
          <w:szCs w:val="24"/>
        </w:rPr>
        <w:t xml:space="preserve">бюджетные правила </w:t>
      </w:r>
      <w:r w:rsidRPr="00A62172">
        <w:rPr>
          <w:rFonts w:ascii="Times New Roman" w:hAnsi="Times New Roman"/>
          <w:sz w:val="24"/>
          <w:szCs w:val="24"/>
        </w:rPr>
        <w:t xml:space="preserve">фиксируют определенный уровень цен на нефть для </w:t>
      </w:r>
      <w:proofErr w:type="spellStart"/>
      <w:r>
        <w:rPr>
          <w:rFonts w:ascii="Times New Roman" w:hAnsi="Times New Roman"/>
          <w:sz w:val="24"/>
          <w:szCs w:val="24"/>
        </w:rPr>
        <w:t>ненефтегазовой</w:t>
      </w:r>
      <w:proofErr w:type="spellEnd"/>
      <w:r>
        <w:rPr>
          <w:rFonts w:ascii="Times New Roman" w:hAnsi="Times New Roman"/>
          <w:sz w:val="24"/>
          <w:szCs w:val="24"/>
        </w:rPr>
        <w:t xml:space="preserve"> экономики;</w:t>
      </w:r>
      <w:r w:rsidRPr="00A62172">
        <w:rPr>
          <w:rFonts w:ascii="Times New Roman" w:hAnsi="Times New Roman"/>
          <w:sz w:val="24"/>
          <w:szCs w:val="24"/>
        </w:rPr>
        <w:t xml:space="preserve"> фиксируют таким образом, что флуктуации цен на мировых рынках – как краткосрочные, так и долгосрочные сырьевые </w:t>
      </w:r>
      <w:proofErr w:type="spellStart"/>
      <w:r w:rsidRPr="00A62172">
        <w:rPr>
          <w:rFonts w:ascii="Times New Roman" w:hAnsi="Times New Roman"/>
          <w:sz w:val="24"/>
          <w:szCs w:val="24"/>
        </w:rPr>
        <w:t>суперциклы</w:t>
      </w:r>
      <w:proofErr w:type="spellEnd"/>
      <w:r w:rsidRPr="00A62172">
        <w:rPr>
          <w:rFonts w:ascii="Times New Roman" w:hAnsi="Times New Roman"/>
          <w:sz w:val="24"/>
          <w:szCs w:val="24"/>
        </w:rPr>
        <w:t xml:space="preserve"> – перестают значимо влиять на внутренние макроэкономические условия. При этом для </w:t>
      </w:r>
      <w:r w:rsidR="004743D0">
        <w:rPr>
          <w:rFonts w:ascii="Times New Roman" w:hAnsi="Times New Roman"/>
          <w:sz w:val="24"/>
          <w:szCs w:val="24"/>
        </w:rPr>
        <w:t xml:space="preserve">их </w:t>
      </w:r>
      <w:r w:rsidRPr="00A62172">
        <w:rPr>
          <w:rFonts w:ascii="Times New Roman" w:hAnsi="Times New Roman"/>
          <w:sz w:val="24"/>
          <w:szCs w:val="24"/>
        </w:rPr>
        <w:t xml:space="preserve">эффективной работы должна быть налажена тесная координация между </w:t>
      </w:r>
      <w:r>
        <w:rPr>
          <w:rFonts w:ascii="Times New Roman" w:hAnsi="Times New Roman"/>
          <w:sz w:val="24"/>
          <w:szCs w:val="24"/>
        </w:rPr>
        <w:t>параметрами бюджетных правил</w:t>
      </w:r>
      <w:r w:rsidR="004379A3">
        <w:rPr>
          <w:rFonts w:ascii="Times New Roman" w:hAnsi="Times New Roman"/>
          <w:sz w:val="24"/>
          <w:szCs w:val="24"/>
        </w:rPr>
        <w:t>,</w:t>
      </w:r>
      <w:r>
        <w:rPr>
          <w:rFonts w:ascii="Times New Roman" w:hAnsi="Times New Roman"/>
          <w:sz w:val="24"/>
          <w:szCs w:val="24"/>
        </w:rPr>
        <w:t xml:space="preserve"> определяющи</w:t>
      </w:r>
      <w:r w:rsidR="0008618F">
        <w:rPr>
          <w:rFonts w:ascii="Times New Roman" w:hAnsi="Times New Roman"/>
          <w:sz w:val="24"/>
          <w:szCs w:val="24"/>
        </w:rPr>
        <w:t>ми</w:t>
      </w:r>
      <w:r>
        <w:rPr>
          <w:rFonts w:ascii="Times New Roman" w:hAnsi="Times New Roman"/>
          <w:sz w:val="24"/>
          <w:szCs w:val="24"/>
        </w:rPr>
        <w:t xml:space="preserve"> использование рентных нефтегазовых доходов в бюджетной системе и параметрами правил, регулирующи</w:t>
      </w:r>
      <w:r w:rsidR="0008618F">
        <w:rPr>
          <w:rFonts w:ascii="Times New Roman" w:hAnsi="Times New Roman"/>
          <w:sz w:val="24"/>
          <w:szCs w:val="24"/>
        </w:rPr>
        <w:t>ми</w:t>
      </w:r>
      <w:r>
        <w:rPr>
          <w:rFonts w:ascii="Times New Roman" w:hAnsi="Times New Roman"/>
          <w:sz w:val="24"/>
          <w:szCs w:val="24"/>
        </w:rPr>
        <w:t xml:space="preserve"> </w:t>
      </w:r>
      <w:r w:rsidRPr="00A62172">
        <w:rPr>
          <w:rFonts w:ascii="Times New Roman" w:hAnsi="Times New Roman"/>
          <w:sz w:val="24"/>
          <w:szCs w:val="24"/>
        </w:rPr>
        <w:t>операции по накоплению/использованию активов в иностранной валюте</w:t>
      </w:r>
      <w:r>
        <w:rPr>
          <w:rFonts w:ascii="Times New Roman" w:hAnsi="Times New Roman"/>
          <w:sz w:val="24"/>
          <w:szCs w:val="24"/>
        </w:rPr>
        <w:t>.</w:t>
      </w:r>
    </w:p>
    <w:p w:rsidR="004E2069" w:rsidRDefault="005230C8" w:rsidP="004743D0">
      <w:pPr>
        <w:spacing w:before="120" w:after="120"/>
        <w:jc w:val="both"/>
        <w:rPr>
          <w:rFonts w:ascii="Times New Roman" w:hAnsi="Times New Roman"/>
          <w:sz w:val="24"/>
          <w:szCs w:val="24"/>
        </w:rPr>
      </w:pPr>
      <w:r>
        <w:rPr>
          <w:rFonts w:asciiTheme="minorHAnsi" w:hAnsiTheme="minorHAnsi" w:cstheme="minorBidi"/>
          <w:noProof/>
          <w:lang w:eastAsia="ru-RU"/>
        </w:rPr>
        <mc:AlternateContent>
          <mc:Choice Requires="wps">
            <w:drawing>
              <wp:anchor distT="45720" distB="45720" distL="114300" distR="114300" simplePos="0" relativeHeight="251663872" behindDoc="0" locked="0" layoutInCell="1" allowOverlap="1" wp14:anchorId="355CD606" wp14:editId="458B6C69">
                <wp:simplePos x="0" y="0"/>
                <wp:positionH relativeFrom="margin">
                  <wp:posOffset>-62230</wp:posOffset>
                </wp:positionH>
                <wp:positionV relativeFrom="paragraph">
                  <wp:posOffset>1741170</wp:posOffset>
                </wp:positionV>
                <wp:extent cx="5851525" cy="6467475"/>
                <wp:effectExtent l="0" t="0" r="0" b="9525"/>
                <wp:wrapSquare wrapText="bothSides"/>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1525" cy="6467475"/>
                        </a:xfrm>
                        <a:prstGeom prst="rect">
                          <a:avLst/>
                        </a:prstGeom>
                        <a:solidFill>
                          <a:schemeClr val="bg1">
                            <a:lumMod val="95000"/>
                          </a:schemeClr>
                        </a:solidFill>
                        <a:ln w="9525">
                          <a:noFill/>
                          <a:miter lim="800000"/>
                          <a:headEnd/>
                          <a:tailEnd/>
                        </a:ln>
                      </wps:spPr>
                      <wps:txbx>
                        <w:txbxContent>
                          <w:p w:rsidR="007E5DFE" w:rsidRDefault="007E5DFE" w:rsidP="005230C8">
                            <w:pPr>
                              <w:spacing w:before="120" w:after="120"/>
                              <w:jc w:val="both"/>
                              <w:rPr>
                                <w:rFonts w:ascii="Times New Roman" w:hAnsi="Times New Roman"/>
                                <w:b/>
                                <w:sz w:val="24"/>
                                <w:szCs w:val="20"/>
                              </w:rPr>
                            </w:pPr>
                            <w:r>
                              <w:rPr>
                                <w:rFonts w:ascii="Times New Roman" w:hAnsi="Times New Roman"/>
                                <w:b/>
                                <w:sz w:val="24"/>
                                <w:szCs w:val="20"/>
                              </w:rPr>
                              <w:t>НОВАЯ КОНСТРУКЦИЯ БЮДЖЕТНЫХ ПРАВИЛ</w:t>
                            </w:r>
                          </w:p>
                          <w:p w:rsidR="007E5DFE" w:rsidRPr="005230C8" w:rsidRDefault="007E5DFE" w:rsidP="005230C8">
                            <w:pPr>
                              <w:spacing w:before="120" w:after="120"/>
                              <w:jc w:val="both"/>
                              <w:rPr>
                                <w:rFonts w:ascii="Times New Roman" w:hAnsi="Times New Roman"/>
                                <w:b/>
                                <w:sz w:val="24"/>
                                <w:szCs w:val="20"/>
                              </w:rPr>
                            </w:pPr>
                            <w:r w:rsidRPr="005230C8">
                              <w:rPr>
                                <w:rFonts w:ascii="Times New Roman" w:hAnsi="Times New Roman"/>
                                <w:b/>
                                <w:sz w:val="24"/>
                                <w:szCs w:val="20"/>
                              </w:rPr>
                              <w:t>Основные «операционные» параметры:</w:t>
                            </w:r>
                          </w:p>
                          <w:p w:rsidR="007E5DFE" w:rsidRDefault="007E5DFE" w:rsidP="009F1CCA">
                            <w:pPr>
                              <w:pStyle w:val="a9"/>
                              <w:numPr>
                                <w:ilvl w:val="0"/>
                                <w:numId w:val="31"/>
                              </w:numPr>
                              <w:spacing w:before="120" w:after="0" w:line="264" w:lineRule="auto"/>
                              <w:ind w:left="357" w:hanging="357"/>
                              <w:contextualSpacing w:val="0"/>
                              <w:jc w:val="both"/>
                              <w:rPr>
                                <w:rFonts w:ascii="Times New Roman" w:hAnsi="Times New Roman"/>
                                <w:sz w:val="20"/>
                                <w:szCs w:val="20"/>
                              </w:rPr>
                            </w:pPr>
                            <w:r>
                              <w:rPr>
                                <w:rFonts w:ascii="Times New Roman" w:hAnsi="Times New Roman"/>
                                <w:i/>
                                <w:sz w:val="20"/>
                                <w:szCs w:val="20"/>
                              </w:rPr>
                              <w:t>Базовая цена на нефть</w:t>
                            </w:r>
                            <w:r w:rsidRPr="001A6D08">
                              <w:rPr>
                                <w:rFonts w:ascii="Times New Roman" w:hAnsi="Times New Roman"/>
                                <w:sz w:val="20"/>
                                <w:szCs w:val="20"/>
                              </w:rPr>
                              <w:t xml:space="preserve"> </w:t>
                            </w:r>
                            <w:r w:rsidRPr="001A6D08">
                              <w:rPr>
                                <w:rFonts w:ascii="Times New Roman" w:hAnsi="Times New Roman"/>
                                <w:i/>
                                <w:sz w:val="20"/>
                                <w:szCs w:val="20"/>
                              </w:rPr>
                              <w:t>марки Юралс</w:t>
                            </w:r>
                            <w:r>
                              <w:rPr>
                                <w:rFonts w:ascii="Times New Roman" w:hAnsi="Times New Roman"/>
                                <w:i/>
                                <w:sz w:val="20"/>
                                <w:szCs w:val="20"/>
                              </w:rPr>
                              <w:t xml:space="preserve"> </w:t>
                            </w:r>
                            <m:oMath>
                              <m:r>
                                <w:rPr>
                                  <w:rFonts w:ascii="Cambria Math" w:hAnsi="Cambria Math"/>
                                  <w:sz w:val="20"/>
                                  <w:szCs w:val="20"/>
                                </w:rPr>
                                <m:t>(</m:t>
                              </m:r>
                              <m:sSub>
                                <m:sSubPr>
                                  <m:ctrlPr>
                                    <w:rPr>
                                      <w:rFonts w:ascii="Cambria Math" w:hAnsi="Cambria Math"/>
                                      <w:i/>
                                    </w:rPr>
                                  </m:ctrlPr>
                                </m:sSubPr>
                                <m:e>
                                  <m:r>
                                    <w:rPr>
                                      <w:rFonts w:ascii="Cambria Math" w:hAnsi="Cambria Math"/>
                                      <w:sz w:val="20"/>
                                      <w:szCs w:val="20"/>
                                    </w:rPr>
                                    <m:t>P</m:t>
                                  </m:r>
                                </m:e>
                                <m:sub>
                                  <m:r>
                                    <w:rPr>
                                      <w:rFonts w:ascii="Cambria Math" w:hAnsi="Cambria Math"/>
                                      <w:sz w:val="20"/>
                                      <w:szCs w:val="20"/>
                                    </w:rPr>
                                    <m:t>баз</m:t>
                                  </m:r>
                                </m:sub>
                              </m:sSub>
                              <m:r>
                                <w:rPr>
                                  <w:rFonts w:ascii="Cambria Math" w:hAnsi="Cambria Math"/>
                                  <w:sz w:val="20"/>
                                  <w:szCs w:val="20"/>
                                </w:rPr>
                                <m:t>)</m:t>
                              </m:r>
                            </m:oMath>
                            <w:r>
                              <w:rPr>
                                <w:rFonts w:ascii="Times New Roman" w:hAnsi="Times New Roman"/>
                                <w:i/>
                                <w:sz w:val="20"/>
                                <w:szCs w:val="20"/>
                              </w:rPr>
                              <w:t xml:space="preserve"> </w:t>
                            </w:r>
                            <w:r>
                              <w:rPr>
                                <w:rFonts w:ascii="Times New Roman" w:hAnsi="Times New Roman"/>
                                <w:sz w:val="20"/>
                                <w:szCs w:val="20"/>
                              </w:rPr>
                              <w:t xml:space="preserve">устанавливается на уровне </w:t>
                            </w:r>
                            <w:r>
                              <w:rPr>
                                <w:rFonts w:ascii="Times New Roman" w:hAnsi="Times New Roman"/>
                                <w:b/>
                                <w:sz w:val="20"/>
                                <w:szCs w:val="20"/>
                              </w:rPr>
                              <w:t>40 долларов США</w:t>
                            </w:r>
                            <w:r>
                              <w:rPr>
                                <w:rFonts w:ascii="Times New Roman" w:hAnsi="Times New Roman"/>
                                <w:sz w:val="20"/>
                                <w:szCs w:val="20"/>
                              </w:rPr>
                              <w:t xml:space="preserve"> за баррель </w:t>
                            </w:r>
                            <w:r w:rsidRPr="001A6D08">
                              <w:rPr>
                                <w:rFonts w:ascii="Times New Roman" w:hAnsi="Times New Roman"/>
                                <w:sz w:val="20"/>
                                <w:szCs w:val="20"/>
                              </w:rPr>
                              <w:t>в ценах 2017 года и подлежит ежегодной индексации, начиная с 2018 года, на 2 процента</w:t>
                            </w:r>
                            <w:r>
                              <w:rPr>
                                <w:rFonts w:ascii="Times New Roman" w:hAnsi="Times New Roman"/>
                                <w:sz w:val="20"/>
                                <w:szCs w:val="20"/>
                              </w:rPr>
                              <w:t xml:space="preserve">. </w:t>
                            </w:r>
                          </w:p>
                          <w:p w:rsidR="007E5DFE" w:rsidRPr="00796C67" w:rsidRDefault="007E5DFE" w:rsidP="00796C67">
                            <w:pPr>
                              <w:pStyle w:val="a9"/>
                              <w:spacing w:before="60" w:after="120" w:line="264" w:lineRule="auto"/>
                              <w:ind w:left="357"/>
                              <w:contextualSpacing w:val="0"/>
                              <w:jc w:val="both"/>
                              <w:rPr>
                                <w:rFonts w:ascii="Times New Roman" w:hAnsi="Times New Roman"/>
                                <w:i/>
                                <w:sz w:val="20"/>
                                <w:szCs w:val="20"/>
                              </w:rPr>
                            </w:pPr>
                            <w:r w:rsidRPr="00796C67">
                              <w:rPr>
                                <w:rFonts w:ascii="Times New Roman" w:hAnsi="Times New Roman"/>
                                <w:i/>
                                <w:sz w:val="20"/>
                                <w:szCs w:val="20"/>
                              </w:rPr>
                              <w:t xml:space="preserve">Определение базовой цены на нефть на данном уровне обусловлено оценкой </w:t>
                            </w:r>
                            <w:r w:rsidRPr="00796C67">
                              <w:rPr>
                                <w:rFonts w:ascii="Times New Roman" w:hAnsi="Times New Roman"/>
                                <w:b/>
                                <w:i/>
                                <w:sz w:val="20"/>
                                <w:szCs w:val="20"/>
                              </w:rPr>
                              <w:t>долгосрочного равновесного уровня цен на нефть</w:t>
                            </w:r>
                            <w:r w:rsidRPr="00796C67">
                              <w:rPr>
                                <w:rFonts w:ascii="Times New Roman" w:hAnsi="Times New Roman"/>
                                <w:i/>
                                <w:sz w:val="20"/>
                                <w:szCs w:val="20"/>
                              </w:rPr>
                              <w:t xml:space="preserve"> в условиях ускоряющихся технологических изменений и произведено </w:t>
                            </w:r>
                            <w:r w:rsidRPr="00796C67">
                              <w:rPr>
                                <w:rFonts w:ascii="Times New Roman" w:hAnsi="Times New Roman"/>
                                <w:b/>
                                <w:i/>
                                <w:sz w:val="20"/>
                                <w:szCs w:val="20"/>
                              </w:rPr>
                              <w:t>с учетом ограниченного уровня накопленных в суверенных фондах резервов</w:t>
                            </w:r>
                            <w:r w:rsidRPr="00796C67">
                              <w:rPr>
                                <w:rFonts w:ascii="Times New Roman" w:hAnsi="Times New Roman"/>
                                <w:i/>
                                <w:sz w:val="20"/>
                                <w:szCs w:val="20"/>
                              </w:rPr>
                              <w:t>.</w:t>
                            </w:r>
                          </w:p>
                          <w:p w:rsidR="007E5DFE" w:rsidRPr="001A6D08" w:rsidRDefault="007E5DFE" w:rsidP="009F1CCA">
                            <w:pPr>
                              <w:pStyle w:val="a9"/>
                              <w:numPr>
                                <w:ilvl w:val="0"/>
                                <w:numId w:val="31"/>
                              </w:numPr>
                              <w:spacing w:before="120" w:after="120" w:line="264" w:lineRule="auto"/>
                              <w:ind w:left="357" w:hanging="357"/>
                              <w:contextualSpacing w:val="0"/>
                              <w:jc w:val="both"/>
                              <w:rPr>
                                <w:rFonts w:ascii="Times New Roman" w:hAnsi="Times New Roman"/>
                                <w:sz w:val="20"/>
                                <w:szCs w:val="20"/>
                              </w:rPr>
                            </w:pPr>
                            <w:proofErr w:type="gramStart"/>
                            <w:r w:rsidRPr="001A6D08">
                              <w:rPr>
                                <w:rFonts w:ascii="Times New Roman" w:hAnsi="Times New Roman"/>
                                <w:sz w:val="20"/>
                                <w:szCs w:val="20"/>
                              </w:rPr>
                              <w:t xml:space="preserve">Под </w:t>
                            </w:r>
                            <w:r w:rsidRPr="00781806">
                              <w:rPr>
                                <w:rFonts w:ascii="Times New Roman" w:hAnsi="Times New Roman"/>
                                <w:i/>
                                <w:sz w:val="20"/>
                                <w:szCs w:val="20"/>
                              </w:rPr>
                              <w:t>базовой экспортной ценой на газ природный</w:t>
                            </w:r>
                            <w:r w:rsidRPr="001A6D08">
                              <w:rPr>
                                <w:rFonts w:ascii="Times New Roman" w:hAnsi="Times New Roman"/>
                                <w:sz w:val="20"/>
                                <w:szCs w:val="20"/>
                              </w:rPr>
                              <w:t xml:space="preserve"> понимается прогнозное значение среднегодовой экспортной цены на газ природный</w:t>
                            </w:r>
                            <w:r>
                              <w:rPr>
                                <w:rFonts w:ascii="Times New Roman" w:hAnsi="Times New Roman"/>
                                <w:sz w:val="20"/>
                                <w:szCs w:val="20"/>
                              </w:rPr>
                              <w:t xml:space="preserve"> (определяемое базовым вариантом среднесрочного прогноза Минэкономразвития России)</w:t>
                            </w:r>
                            <w:r w:rsidRPr="001A6D08">
                              <w:rPr>
                                <w:rFonts w:ascii="Times New Roman" w:hAnsi="Times New Roman"/>
                                <w:sz w:val="20"/>
                                <w:szCs w:val="20"/>
                              </w:rPr>
                              <w:t xml:space="preserve">, </w:t>
                            </w:r>
                            <w:r>
                              <w:rPr>
                                <w:rFonts w:ascii="Times New Roman" w:hAnsi="Times New Roman"/>
                                <w:sz w:val="20"/>
                                <w:szCs w:val="20"/>
                              </w:rPr>
                              <w:t xml:space="preserve">скорректированное </w:t>
                            </w:r>
                            <w:r w:rsidRPr="001A6D08">
                              <w:rPr>
                                <w:rFonts w:ascii="Times New Roman" w:hAnsi="Times New Roman"/>
                                <w:sz w:val="20"/>
                                <w:szCs w:val="20"/>
                              </w:rPr>
                              <w:t>на соотношение базовой цены на нефть к прогнозной цене на нефть</w:t>
                            </w:r>
                            <w:r>
                              <w:rPr>
                                <w:rFonts w:ascii="Times New Roman" w:hAnsi="Times New Roman"/>
                                <w:sz w:val="20"/>
                                <w:szCs w:val="20"/>
                              </w:rPr>
                              <w:t xml:space="preserve"> (базовая цена на экспортируемый газ в дальнейшем в этом документе не включается в формулы для упрощения).</w:t>
                            </w:r>
                            <w:proofErr w:type="gramEnd"/>
                          </w:p>
                          <w:p w:rsidR="007E5DFE" w:rsidRPr="005230C8" w:rsidRDefault="007E5DFE" w:rsidP="005230C8">
                            <w:pPr>
                              <w:spacing w:before="120" w:after="120"/>
                              <w:jc w:val="both"/>
                              <w:rPr>
                                <w:rFonts w:ascii="Times New Roman" w:hAnsi="Times New Roman"/>
                                <w:b/>
                                <w:sz w:val="24"/>
                                <w:szCs w:val="20"/>
                              </w:rPr>
                            </w:pPr>
                            <w:r w:rsidRPr="005230C8">
                              <w:rPr>
                                <w:rFonts w:ascii="Times New Roman" w:hAnsi="Times New Roman"/>
                                <w:b/>
                                <w:sz w:val="24"/>
                                <w:szCs w:val="20"/>
                              </w:rPr>
                              <w:t>Основные параметры бюджета в соответствии с бюджетными правилами:</w:t>
                            </w:r>
                          </w:p>
                          <w:p w:rsidR="007E5DFE" w:rsidRDefault="007E5DFE" w:rsidP="009F1CCA">
                            <w:pPr>
                              <w:pStyle w:val="a9"/>
                              <w:numPr>
                                <w:ilvl w:val="0"/>
                                <w:numId w:val="32"/>
                              </w:numPr>
                              <w:spacing w:before="120" w:after="120" w:line="264" w:lineRule="auto"/>
                              <w:ind w:left="357" w:hanging="357"/>
                              <w:contextualSpacing w:val="0"/>
                              <w:jc w:val="both"/>
                              <w:rPr>
                                <w:rFonts w:ascii="Times New Roman" w:hAnsi="Times New Roman"/>
                                <w:sz w:val="20"/>
                                <w:szCs w:val="28"/>
                              </w:rPr>
                            </w:pPr>
                            <w:r>
                              <w:rPr>
                                <w:rFonts w:ascii="Times New Roman" w:hAnsi="Times New Roman"/>
                                <w:sz w:val="20"/>
                                <w:szCs w:val="28"/>
                                <w:u w:val="single"/>
                              </w:rPr>
                              <w:t>Предельный объем расходов федерального бюджета</w:t>
                            </w:r>
                            <w:r>
                              <w:rPr>
                                <w:rFonts w:ascii="Times New Roman" w:hAnsi="Times New Roman"/>
                                <w:sz w:val="20"/>
                                <w:szCs w:val="28"/>
                              </w:rPr>
                              <w:t xml:space="preserve"> (</w:t>
                            </w:r>
                            <m:oMath>
                              <m:r>
                                <w:rPr>
                                  <w:rFonts w:ascii="Cambria Math" w:hAnsi="Cambria Math"/>
                                  <w:sz w:val="20"/>
                                  <w:szCs w:val="28"/>
                                </w:rPr>
                                <m:t>далее-Расходы</m:t>
                              </m:r>
                            </m:oMath>
                            <w:r>
                              <w:rPr>
                                <w:rFonts w:ascii="Times New Roman" w:hAnsi="Times New Roman"/>
                                <w:sz w:val="20"/>
                                <w:szCs w:val="28"/>
                              </w:rPr>
                              <w:t xml:space="preserve">) рассчитывается как сумма </w:t>
                            </w:r>
                            <w:r>
                              <w:rPr>
                                <w:rFonts w:ascii="Times New Roman" w:hAnsi="Times New Roman"/>
                                <w:b/>
                                <w:sz w:val="20"/>
                                <w:szCs w:val="28"/>
                              </w:rPr>
                              <w:t>(1)</w:t>
                            </w:r>
                            <w:r>
                              <w:rPr>
                                <w:rFonts w:ascii="Times New Roman" w:hAnsi="Times New Roman"/>
                                <w:sz w:val="20"/>
                                <w:szCs w:val="28"/>
                              </w:rPr>
                              <w:t xml:space="preserve"> </w:t>
                            </w:r>
                            <w:r>
                              <w:rPr>
                                <w:rFonts w:ascii="Times New Roman" w:hAnsi="Times New Roman"/>
                                <w:sz w:val="20"/>
                                <w:szCs w:val="28"/>
                                <w:u w:val="single"/>
                              </w:rPr>
                              <w:t>базового объема нефтегазовых доходов</w:t>
                            </w:r>
                            <w:r>
                              <w:rPr>
                                <w:rFonts w:ascii="Times New Roman" w:hAnsi="Times New Roman"/>
                                <w:sz w:val="20"/>
                                <w:szCs w:val="28"/>
                              </w:rPr>
                              <w:t xml:space="preserve">, рассчитанного при </w:t>
                            </w:r>
                            <w:r>
                              <w:rPr>
                                <w:rFonts w:ascii="Times New Roman" w:hAnsi="Times New Roman"/>
                                <w:i/>
                                <w:sz w:val="20"/>
                                <w:szCs w:val="28"/>
                              </w:rPr>
                              <w:t>базовой цене на нефть</w:t>
                            </w:r>
                            <w:r>
                              <w:rPr>
                                <w:rFonts w:ascii="Times New Roman" w:hAnsi="Times New Roman"/>
                                <w:sz w:val="20"/>
                                <w:szCs w:val="28"/>
                              </w:rPr>
                              <w:t xml:space="preserve">, </w:t>
                            </w:r>
                            <w:r>
                              <w:rPr>
                                <w:rFonts w:ascii="Times New Roman" w:hAnsi="Times New Roman"/>
                                <w:i/>
                                <w:sz w:val="20"/>
                                <w:szCs w:val="28"/>
                              </w:rPr>
                              <w:t>базовой цене на экспортируемый газ,</w:t>
                            </w:r>
                            <w:r>
                              <w:rPr>
                                <w:rFonts w:ascii="Times New Roman" w:hAnsi="Times New Roman"/>
                                <w:sz w:val="20"/>
                                <w:szCs w:val="28"/>
                              </w:rPr>
                              <w:t xml:space="preserve"> </w:t>
                            </w:r>
                            <w:r>
                              <w:rPr>
                                <w:rFonts w:ascii="Times New Roman" w:hAnsi="Times New Roman"/>
                                <w:i/>
                                <w:sz w:val="20"/>
                                <w:szCs w:val="28"/>
                              </w:rPr>
                              <w:t xml:space="preserve">прогнозном обменном курсе рубля </w:t>
                            </w:r>
                            <w:r>
                              <w:rPr>
                                <w:rFonts w:ascii="Times New Roman" w:hAnsi="Times New Roman"/>
                                <w:sz w:val="20"/>
                                <w:szCs w:val="28"/>
                              </w:rPr>
                              <w:t>(</w:t>
                            </w:r>
                            <m:oMath>
                              <m:r>
                                <w:rPr>
                                  <w:rFonts w:ascii="Cambria Math" w:hAnsi="Cambria Math"/>
                                  <w:sz w:val="20"/>
                                  <w:szCs w:val="28"/>
                                </w:rPr>
                                <m:t>НГД</m:t>
                              </m:r>
                              <m:d>
                                <m:dPr>
                                  <m:ctrlPr>
                                    <w:rPr>
                                      <w:rFonts w:ascii="Cambria Math" w:hAnsi="Cambria Math"/>
                                      <w:i/>
                                      <w:szCs w:val="28"/>
                                      <w:lang w:val="en-US"/>
                                    </w:rPr>
                                  </m:ctrlPr>
                                </m:dPr>
                                <m:e>
                                  <m:sSub>
                                    <m:sSubPr>
                                      <m:ctrlPr>
                                        <w:rPr>
                                          <w:rFonts w:ascii="Cambria Math" w:hAnsi="Cambria Math"/>
                                          <w:i/>
                                          <w:szCs w:val="28"/>
                                          <w:lang w:val="en-US"/>
                                        </w:rPr>
                                      </m:ctrlPr>
                                    </m:sSubPr>
                                    <m:e>
                                      <m:r>
                                        <w:rPr>
                                          <w:rFonts w:ascii="Cambria Math" w:hAnsi="Cambria Math"/>
                                          <w:sz w:val="20"/>
                                          <w:szCs w:val="28"/>
                                          <w:lang w:val="en-US"/>
                                        </w:rPr>
                                        <m:t>P</m:t>
                                      </m:r>
                                    </m:e>
                                    <m:sub>
                                      <m:r>
                                        <w:rPr>
                                          <w:rFonts w:ascii="Cambria Math" w:hAnsi="Cambria Math"/>
                                          <w:sz w:val="20"/>
                                          <w:szCs w:val="28"/>
                                        </w:rPr>
                                        <m:t>баз</m:t>
                                      </m:r>
                                    </m:sub>
                                  </m:sSub>
                                  <m:r>
                                    <w:rPr>
                                      <w:rFonts w:ascii="Cambria Math" w:hAnsi="Cambria Math"/>
                                      <w:sz w:val="20"/>
                                      <w:szCs w:val="28"/>
                                    </w:rPr>
                                    <m:t>,</m:t>
                                  </m:r>
                                  <m:sSub>
                                    <m:sSubPr>
                                      <m:ctrlPr>
                                        <w:rPr>
                                          <w:rFonts w:ascii="Cambria Math" w:hAnsi="Cambria Math"/>
                                          <w:i/>
                                          <w:szCs w:val="28"/>
                                          <w:lang w:val="en-US"/>
                                        </w:rPr>
                                      </m:ctrlPr>
                                    </m:sSubPr>
                                    <m:e>
                                      <m:r>
                                        <w:rPr>
                                          <w:rFonts w:ascii="Cambria Math" w:hAnsi="Cambria Math"/>
                                          <w:sz w:val="20"/>
                                          <w:szCs w:val="28"/>
                                          <w:lang w:val="en-US"/>
                                        </w:rPr>
                                        <m:t>FX</m:t>
                                      </m:r>
                                    </m:e>
                                    <m:sub>
                                      <m:r>
                                        <w:rPr>
                                          <w:rFonts w:ascii="Cambria Math" w:hAnsi="Cambria Math"/>
                                          <w:sz w:val="20"/>
                                          <w:szCs w:val="28"/>
                                        </w:rPr>
                                        <m:t>прогноз</m:t>
                                      </m:r>
                                    </m:sub>
                                  </m:sSub>
                                </m:e>
                              </m:d>
                            </m:oMath>
                            <w:r>
                              <w:rPr>
                                <w:rFonts w:ascii="Times New Roman" w:eastAsiaTheme="minorEastAsia" w:hAnsi="Times New Roman"/>
                                <w:sz w:val="20"/>
                                <w:szCs w:val="28"/>
                              </w:rPr>
                              <w:t>)</w:t>
                            </w:r>
                            <w:r>
                              <w:rPr>
                                <w:rFonts w:ascii="Times New Roman" w:hAnsi="Times New Roman"/>
                                <w:sz w:val="20"/>
                                <w:szCs w:val="28"/>
                              </w:rPr>
                              <w:t xml:space="preserve">, </w:t>
                            </w:r>
                            <w:r>
                              <w:rPr>
                                <w:rFonts w:ascii="Times New Roman" w:hAnsi="Times New Roman"/>
                                <w:b/>
                                <w:sz w:val="20"/>
                                <w:szCs w:val="28"/>
                              </w:rPr>
                              <w:t>(2)</w:t>
                            </w:r>
                            <w:r>
                              <w:rPr>
                                <w:rFonts w:ascii="Times New Roman" w:hAnsi="Times New Roman"/>
                                <w:sz w:val="20"/>
                                <w:szCs w:val="28"/>
                              </w:rPr>
                              <w:t xml:space="preserve"> </w:t>
                            </w:r>
                            <w:r>
                              <w:rPr>
                                <w:rFonts w:ascii="Times New Roman" w:hAnsi="Times New Roman"/>
                                <w:sz w:val="20"/>
                                <w:szCs w:val="28"/>
                                <w:u w:val="single"/>
                              </w:rPr>
                              <w:t xml:space="preserve">объема </w:t>
                            </w:r>
                            <w:proofErr w:type="spellStart"/>
                            <w:r>
                              <w:rPr>
                                <w:rFonts w:ascii="Times New Roman" w:hAnsi="Times New Roman"/>
                                <w:sz w:val="20"/>
                                <w:szCs w:val="28"/>
                                <w:u w:val="single"/>
                              </w:rPr>
                              <w:t>ненефтегазовых</w:t>
                            </w:r>
                            <w:proofErr w:type="spellEnd"/>
                            <w:r>
                              <w:rPr>
                                <w:rFonts w:ascii="Times New Roman" w:hAnsi="Times New Roman"/>
                                <w:sz w:val="20"/>
                                <w:szCs w:val="28"/>
                                <w:u w:val="single"/>
                              </w:rPr>
                              <w:t xml:space="preserve"> доходов</w:t>
                            </w:r>
                            <w:r>
                              <w:rPr>
                                <w:rFonts w:ascii="Times New Roman" w:hAnsi="Times New Roman"/>
                                <w:sz w:val="20"/>
                                <w:szCs w:val="28"/>
                              </w:rPr>
                              <w:t xml:space="preserve"> (</w:t>
                            </w:r>
                            <m:oMath>
                              <m:r>
                                <w:rPr>
                                  <w:rFonts w:ascii="Cambria Math" w:hAnsi="Cambria Math"/>
                                  <w:sz w:val="20"/>
                                  <w:szCs w:val="28"/>
                                </w:rPr>
                                <m:t>ННГ</m:t>
                              </m:r>
                              <w:proofErr w:type="gramStart"/>
                              <m:r>
                                <w:rPr>
                                  <w:rFonts w:ascii="Cambria Math" w:hAnsi="Cambria Math"/>
                                  <w:sz w:val="20"/>
                                  <w:szCs w:val="28"/>
                                </w:rPr>
                                <m:t>Д(</m:t>
                              </m:r>
                              <w:proofErr w:type="gramEnd"/>
                              <m:r>
                                <w:rPr>
                                  <w:rFonts w:ascii="Cambria Math" w:hAnsi="Cambria Math"/>
                                  <w:sz w:val="20"/>
                                  <w:szCs w:val="28"/>
                                </w:rPr>
                                <m:t>закон)</m:t>
                              </m:r>
                            </m:oMath>
                            <w:r>
                              <w:rPr>
                                <w:rFonts w:ascii="Times New Roman" w:hAnsi="Times New Roman"/>
                                <w:sz w:val="20"/>
                                <w:szCs w:val="28"/>
                              </w:rPr>
                              <w:t xml:space="preserve">), рассчитанных при подготовке закона о бюджете, и </w:t>
                            </w:r>
                            <w:r>
                              <w:rPr>
                                <w:rFonts w:ascii="Times New Roman" w:hAnsi="Times New Roman"/>
                                <w:b/>
                                <w:sz w:val="20"/>
                                <w:szCs w:val="28"/>
                              </w:rPr>
                              <w:t>(3)</w:t>
                            </w:r>
                            <w:r>
                              <w:rPr>
                                <w:rFonts w:ascii="Times New Roman" w:hAnsi="Times New Roman"/>
                                <w:sz w:val="20"/>
                                <w:szCs w:val="28"/>
                              </w:rPr>
                              <w:t xml:space="preserve"> </w:t>
                            </w:r>
                            <w:r>
                              <w:rPr>
                                <w:rFonts w:ascii="Times New Roman" w:hAnsi="Times New Roman"/>
                                <w:sz w:val="20"/>
                                <w:szCs w:val="28"/>
                                <w:u w:val="single"/>
                              </w:rPr>
                              <w:t>расходов по обслуживанию долга</w:t>
                            </w:r>
                            <w:r>
                              <w:rPr>
                                <w:rFonts w:ascii="Times New Roman" w:hAnsi="Times New Roman"/>
                                <w:sz w:val="20"/>
                                <w:szCs w:val="28"/>
                              </w:rPr>
                              <w:t xml:space="preserve"> (%).</w:t>
                            </w:r>
                          </w:p>
                          <w:p w:rsidR="007E5DFE" w:rsidRDefault="007E5DFE" w:rsidP="005230C8">
                            <w:pPr>
                              <w:spacing w:before="120" w:after="120"/>
                              <w:jc w:val="both"/>
                              <w:rPr>
                                <w:rFonts w:ascii="Times New Roman" w:hAnsi="Times New Roman"/>
                                <w:sz w:val="20"/>
                                <w:szCs w:val="28"/>
                              </w:rPr>
                            </w:pPr>
                            <m:oMathPara>
                              <m:oMath>
                                <m:r>
                                  <w:rPr>
                                    <w:rFonts w:ascii="Cambria Math" w:hAnsi="Cambria Math"/>
                                    <w:sz w:val="20"/>
                                    <w:szCs w:val="28"/>
                                  </w:rPr>
                                  <m:t>Расходы=НГД</m:t>
                                </m:r>
                                <m:d>
                                  <m:dPr>
                                    <m:ctrlPr>
                                      <w:rPr>
                                        <w:rFonts w:ascii="Cambria Math" w:hAnsi="Cambria Math"/>
                                        <w:i/>
                                        <w:szCs w:val="28"/>
                                        <w:lang w:val="en-US"/>
                                      </w:rPr>
                                    </m:ctrlPr>
                                  </m:dPr>
                                  <m:e>
                                    <m:sSub>
                                      <m:sSubPr>
                                        <m:ctrlPr>
                                          <w:rPr>
                                            <w:rFonts w:ascii="Cambria Math" w:hAnsi="Cambria Math"/>
                                            <w:i/>
                                            <w:szCs w:val="28"/>
                                            <w:lang w:val="en-US"/>
                                          </w:rPr>
                                        </m:ctrlPr>
                                      </m:sSubPr>
                                      <m:e>
                                        <m:r>
                                          <w:rPr>
                                            <w:rFonts w:ascii="Cambria Math" w:hAnsi="Cambria Math"/>
                                            <w:sz w:val="20"/>
                                            <w:szCs w:val="28"/>
                                            <w:lang w:val="en-US"/>
                                          </w:rPr>
                                          <m:t>P</m:t>
                                        </m:r>
                                      </m:e>
                                      <m:sub>
                                        <m:r>
                                          <w:rPr>
                                            <w:rFonts w:ascii="Cambria Math" w:hAnsi="Cambria Math"/>
                                            <w:sz w:val="20"/>
                                            <w:szCs w:val="28"/>
                                          </w:rPr>
                                          <m:t>баз</m:t>
                                        </m:r>
                                      </m:sub>
                                    </m:sSub>
                                    <m:r>
                                      <w:rPr>
                                        <w:rFonts w:ascii="Cambria Math" w:hAnsi="Cambria Math"/>
                                        <w:sz w:val="20"/>
                                        <w:szCs w:val="28"/>
                                      </w:rPr>
                                      <m:t>,</m:t>
                                    </m:r>
                                    <m:sSub>
                                      <m:sSubPr>
                                        <m:ctrlPr>
                                          <w:rPr>
                                            <w:rFonts w:ascii="Cambria Math" w:hAnsi="Cambria Math"/>
                                            <w:i/>
                                            <w:szCs w:val="28"/>
                                            <w:lang w:val="en-US"/>
                                          </w:rPr>
                                        </m:ctrlPr>
                                      </m:sSubPr>
                                      <m:e>
                                        <m:r>
                                          <w:rPr>
                                            <w:rFonts w:ascii="Cambria Math" w:hAnsi="Cambria Math"/>
                                            <w:sz w:val="20"/>
                                            <w:szCs w:val="28"/>
                                            <w:lang w:val="en-US"/>
                                          </w:rPr>
                                          <m:t>FX</m:t>
                                        </m:r>
                                      </m:e>
                                      <m:sub>
                                        <m:r>
                                          <w:rPr>
                                            <w:rFonts w:ascii="Cambria Math" w:hAnsi="Cambria Math"/>
                                            <w:szCs w:val="28"/>
                                            <w:lang w:val="en-US"/>
                                          </w:rPr>
                                          <m:t>прогноз</m:t>
                                        </m:r>
                                      </m:sub>
                                    </m:sSub>
                                  </m:e>
                                </m:d>
                                <m:r>
                                  <w:rPr>
                                    <w:rFonts w:ascii="Cambria Math" w:hAnsi="Cambria Math"/>
                                    <w:sz w:val="20"/>
                                    <w:szCs w:val="28"/>
                                  </w:rPr>
                                  <m:t>+ННГД+%</m:t>
                                </m:r>
                              </m:oMath>
                            </m:oMathPara>
                          </w:p>
                          <w:p w:rsidR="007E5DFE" w:rsidRPr="005230C8" w:rsidRDefault="007E5DFE" w:rsidP="005230C8">
                            <w:pPr>
                              <w:pStyle w:val="a9"/>
                              <w:spacing w:before="120" w:after="120" w:line="264" w:lineRule="auto"/>
                              <w:ind w:left="351"/>
                              <w:contextualSpacing w:val="0"/>
                              <w:jc w:val="both"/>
                              <w:rPr>
                                <w:rFonts w:ascii="Times New Roman" w:eastAsiaTheme="minorHAnsi" w:hAnsi="Times New Roman"/>
                                <w:b/>
                                <w:i/>
                                <w:sz w:val="20"/>
                                <w:szCs w:val="20"/>
                              </w:rPr>
                            </w:pPr>
                            <w:r w:rsidRPr="005230C8">
                              <w:rPr>
                                <w:rFonts w:ascii="Times New Roman" w:hAnsi="Times New Roman"/>
                                <w:i/>
                                <w:sz w:val="20"/>
                                <w:szCs w:val="20"/>
                              </w:rPr>
                              <w:t>Справочно: Нефтегазовые доходы федерального бюджета (НГД) в настоящий момент формируются за счет налога на добычу полезных ископаемых на нефть, газ горючий природный, газовый конденсат, а также вывозных таможенных пошлин на нефть сырую, газ природный и товары, выработанные из нефти. В случае модификации режима налогообложения нефтегазовой отрасли нефтегазовые доходы федерального бюджета могут включать в себя другие налоговые поступления рентной природы (к примеру, НДД).</w:t>
                            </w:r>
                          </w:p>
                          <w:p w:rsidR="007E5DFE" w:rsidRDefault="007E5DFE" w:rsidP="005230C8">
                            <w:pPr>
                              <w:pStyle w:val="a9"/>
                              <w:spacing w:before="120" w:after="120" w:line="264" w:lineRule="auto"/>
                              <w:ind w:left="357"/>
                              <w:contextualSpacing w:val="0"/>
                              <w:jc w:val="both"/>
                              <w:rPr>
                                <w:rFonts w:ascii="Times New Roman" w:hAnsi="Times New Roman"/>
                                <w:b/>
                                <w:sz w:val="20"/>
                                <w:szCs w:val="28"/>
                              </w:rPr>
                            </w:pPr>
                            <w:r>
                              <w:rPr>
                                <w:rFonts w:ascii="Times New Roman" w:hAnsi="Times New Roman"/>
                                <w:b/>
                                <w:sz w:val="20"/>
                                <w:szCs w:val="28"/>
                              </w:rPr>
                              <w:t>Такой способ определения предельных расходов позволяет обеспечить бездефицитный бюджет на первичном уровне при базовых параметрах.</w:t>
                            </w:r>
                          </w:p>
                          <w:p w:rsidR="007E5DFE" w:rsidRPr="00BF1AEF" w:rsidRDefault="007E5DFE" w:rsidP="009F1CCA">
                            <w:pPr>
                              <w:numPr>
                                <w:ilvl w:val="0"/>
                                <w:numId w:val="49"/>
                              </w:numPr>
                              <w:spacing w:beforeLines="60" w:before="144" w:afterLines="60" w:after="144" w:line="264" w:lineRule="auto"/>
                              <w:jc w:val="both"/>
                              <w:rPr>
                                <w:rFonts w:ascii="Times New Roman" w:hAnsi="Times New Roman"/>
                                <w:sz w:val="20"/>
                                <w:szCs w:val="20"/>
                              </w:rPr>
                            </w:pPr>
                            <w:r w:rsidRPr="00BF1AEF">
                              <w:rPr>
                                <w:rFonts w:ascii="Times New Roman" w:hAnsi="Times New Roman"/>
                                <w:sz w:val="20"/>
                                <w:szCs w:val="20"/>
                                <w:u w:val="single"/>
                              </w:rPr>
                              <w:t xml:space="preserve">Объем пополнения/использования средств </w:t>
                            </w:r>
                            <w:r>
                              <w:rPr>
                                <w:rFonts w:ascii="Times New Roman" w:hAnsi="Times New Roman"/>
                                <w:sz w:val="20"/>
                                <w:szCs w:val="20"/>
                                <w:u w:val="single"/>
                              </w:rPr>
                              <w:t>Фонда национального благосостояния</w:t>
                            </w:r>
                            <w:r w:rsidRPr="00BF1AEF">
                              <w:rPr>
                                <w:rFonts w:ascii="Times New Roman" w:hAnsi="Times New Roman"/>
                                <w:sz w:val="20"/>
                                <w:szCs w:val="20"/>
                              </w:rPr>
                              <w:t xml:space="preserve"> (</w:t>
                            </w:r>
                            <m:oMath>
                              <m:r>
                                <w:rPr>
                                  <w:rFonts w:ascii="Cambria Math" w:hAnsi="Cambria Math"/>
                                  <w:sz w:val="20"/>
                                  <w:szCs w:val="20"/>
                                </w:rPr>
                                <m:t>∆ФНБ</m:t>
                              </m:r>
                            </m:oMath>
                            <w:r w:rsidRPr="00BF1AEF">
                              <w:rPr>
                                <w:rFonts w:ascii="Times New Roman" w:hAnsi="Times New Roman"/>
                                <w:sz w:val="20"/>
                                <w:szCs w:val="20"/>
                              </w:rPr>
                              <w:t xml:space="preserve">) определяется как разность между объемом </w:t>
                            </w:r>
                            <w:r w:rsidRPr="00BF1AEF">
                              <w:rPr>
                                <w:rFonts w:ascii="Times New Roman" w:hAnsi="Times New Roman"/>
                                <w:sz w:val="20"/>
                                <w:szCs w:val="20"/>
                                <w:u w:val="single"/>
                              </w:rPr>
                              <w:t>фактически полученных нефтегазовых доходов</w:t>
                            </w:r>
                            <w:r w:rsidRPr="00BF1AEF">
                              <w:rPr>
                                <w:rFonts w:ascii="Times New Roman" w:hAnsi="Times New Roman"/>
                                <w:sz w:val="20"/>
                                <w:szCs w:val="20"/>
                              </w:rPr>
                              <w:t xml:space="preserve"> (</w:t>
                            </w:r>
                            <m:oMath>
                              <m:r>
                                <w:rPr>
                                  <w:rFonts w:ascii="Cambria Math" w:hAnsi="Cambria Math"/>
                                  <w:sz w:val="20"/>
                                  <w:szCs w:val="20"/>
                                </w:rPr>
                                <m:t>НГД</m:t>
                              </m:r>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P</m:t>
                                      </m:r>
                                    </m:e>
                                    <m:sub>
                                      <m:r>
                                        <w:rPr>
                                          <w:rFonts w:ascii="Cambria Math" w:hAnsi="Cambria Math"/>
                                          <w:sz w:val="20"/>
                                          <w:szCs w:val="20"/>
                                        </w:rPr>
                                        <m:t>факт</m:t>
                                      </m:r>
                                    </m:sub>
                                  </m:sSub>
                                  <m:r>
                                    <w:rPr>
                                      <w:rFonts w:ascii="Cambria Math" w:hAnsi="Cambria Math"/>
                                      <w:sz w:val="20"/>
                                      <w:szCs w:val="20"/>
                                    </w:rPr>
                                    <m:t>,</m:t>
                                  </m:r>
                                  <m:sSub>
                                    <m:sSubPr>
                                      <m:ctrlPr>
                                        <w:rPr>
                                          <w:rFonts w:ascii="Cambria Math" w:hAnsi="Cambria Math"/>
                                          <w:i/>
                                          <w:sz w:val="20"/>
                                          <w:szCs w:val="20"/>
                                          <w:lang w:val="en-US"/>
                                        </w:rPr>
                                      </m:ctrlPr>
                                    </m:sSubPr>
                                    <m:e>
                                      <m:r>
                                        <w:rPr>
                                          <w:rFonts w:ascii="Cambria Math" w:hAnsi="Cambria Math"/>
                                          <w:sz w:val="20"/>
                                          <w:szCs w:val="20"/>
                                          <w:lang w:val="en-US"/>
                                        </w:rPr>
                                        <m:t>FX</m:t>
                                      </m:r>
                                    </m:e>
                                    <m:sub>
                                      <m:r>
                                        <w:rPr>
                                          <w:rFonts w:ascii="Cambria Math" w:hAnsi="Cambria Math"/>
                                          <w:sz w:val="20"/>
                                          <w:szCs w:val="20"/>
                                        </w:rPr>
                                        <m:t>факт</m:t>
                                      </m:r>
                                    </m:sub>
                                  </m:sSub>
                                </m:e>
                              </m:d>
                            </m:oMath>
                            <w:r w:rsidRPr="00BF1AEF">
                              <w:rPr>
                                <w:rFonts w:ascii="Times New Roman" w:hAnsi="Times New Roman"/>
                                <w:sz w:val="20"/>
                                <w:szCs w:val="20"/>
                              </w:rPr>
                              <w:t xml:space="preserve">) и </w:t>
                            </w:r>
                            <w:r w:rsidRPr="00BF1AEF">
                              <w:rPr>
                                <w:rFonts w:ascii="Times New Roman" w:hAnsi="Times New Roman"/>
                                <w:sz w:val="20"/>
                                <w:szCs w:val="20"/>
                                <w:u w:val="single"/>
                              </w:rPr>
                              <w:t>объемом нефтегазовых доходов, рассчитанных при базовой цене на нефть, базовой цене на экспортируемый газ и фактическом курсе</w:t>
                            </w:r>
                            <w:r w:rsidRPr="00BF1AEF">
                              <w:rPr>
                                <w:rFonts w:ascii="Times New Roman" w:hAnsi="Times New Roman"/>
                                <w:sz w:val="20"/>
                                <w:szCs w:val="20"/>
                              </w:rPr>
                              <w:t xml:space="preserve"> (</w:t>
                            </w:r>
                            <m:oMath>
                              <m:r>
                                <w:rPr>
                                  <w:rFonts w:ascii="Cambria Math" w:hAnsi="Cambria Math"/>
                                  <w:sz w:val="20"/>
                                  <w:szCs w:val="20"/>
                                </w:rPr>
                                <m:t>НГД</m:t>
                              </m:r>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P</m:t>
                                      </m:r>
                                    </m:e>
                                    <m:sub>
                                      <m:r>
                                        <w:rPr>
                                          <w:rFonts w:ascii="Cambria Math" w:hAnsi="Cambria Math"/>
                                          <w:sz w:val="20"/>
                                          <w:szCs w:val="20"/>
                                        </w:rPr>
                                        <m:t>баз</m:t>
                                      </m:r>
                                    </m:sub>
                                  </m:sSub>
                                  <m:r>
                                    <w:rPr>
                                      <w:rFonts w:ascii="Cambria Math" w:hAnsi="Cambria Math"/>
                                      <w:sz w:val="20"/>
                                      <w:szCs w:val="20"/>
                                    </w:rPr>
                                    <m:t>,</m:t>
                                  </m:r>
                                  <m:sSub>
                                    <m:sSubPr>
                                      <m:ctrlPr>
                                        <w:rPr>
                                          <w:rFonts w:ascii="Cambria Math" w:hAnsi="Cambria Math"/>
                                          <w:i/>
                                          <w:sz w:val="20"/>
                                          <w:szCs w:val="20"/>
                                          <w:lang w:val="en-US"/>
                                        </w:rPr>
                                      </m:ctrlPr>
                                    </m:sSubPr>
                                    <m:e>
                                      <m:r>
                                        <w:rPr>
                                          <w:rFonts w:ascii="Cambria Math" w:hAnsi="Cambria Math"/>
                                          <w:sz w:val="20"/>
                                          <w:szCs w:val="20"/>
                                          <w:lang w:val="en-US"/>
                                        </w:rPr>
                                        <m:t>FX</m:t>
                                      </m:r>
                                    </m:e>
                                    <m:sub>
                                      <m:r>
                                        <w:rPr>
                                          <w:rFonts w:ascii="Cambria Math" w:hAnsi="Cambria Math"/>
                                          <w:sz w:val="20"/>
                                          <w:szCs w:val="20"/>
                                        </w:rPr>
                                        <m:t>факт</m:t>
                                      </m:r>
                                    </m:sub>
                                  </m:sSub>
                                </m:e>
                              </m:d>
                            </m:oMath>
                            <w:r w:rsidRPr="00BF1AEF">
                              <w:rPr>
                                <w:rFonts w:ascii="Times New Roman" w:hAnsi="Times New Roman"/>
                                <w:sz w:val="20"/>
                                <w:szCs w:val="20"/>
                              </w:rPr>
                              <w:t>);</w:t>
                            </w:r>
                          </w:p>
                          <w:p w:rsidR="007E5DFE" w:rsidRPr="00AF6149" w:rsidRDefault="007E5DFE" w:rsidP="00B40965">
                            <w:pPr>
                              <w:spacing w:beforeLines="60" w:before="144" w:afterLines="60" w:after="144"/>
                              <w:jc w:val="both"/>
                              <w:rPr>
                                <w:rFonts w:ascii="Times New Roman" w:hAnsi="Times New Roman"/>
                                <w:sz w:val="20"/>
                                <w:szCs w:val="28"/>
                              </w:rPr>
                            </w:pPr>
                            <m:oMathPara>
                              <m:oMath>
                                <m:r>
                                  <w:rPr>
                                    <w:rFonts w:ascii="Cambria Math" w:hAnsi="Cambria Math"/>
                                    <w:sz w:val="20"/>
                                    <w:szCs w:val="28"/>
                                  </w:rPr>
                                  <m:t>∆ФНБ=</m:t>
                                </m:r>
                                <m:r>
                                  <w:rPr>
                                    <w:rFonts w:ascii="Cambria Math" w:hAnsi="Cambria Math"/>
                                    <w:sz w:val="20"/>
                                    <w:szCs w:val="20"/>
                                  </w:rPr>
                                  <m:t>НГД</m:t>
                                </m:r>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P</m:t>
                                        </m:r>
                                      </m:e>
                                      <m:sub>
                                        <m:r>
                                          <w:rPr>
                                            <w:rFonts w:ascii="Cambria Math" w:hAnsi="Cambria Math"/>
                                            <w:sz w:val="20"/>
                                            <w:szCs w:val="20"/>
                                          </w:rPr>
                                          <m:t>факт</m:t>
                                        </m:r>
                                      </m:sub>
                                    </m:sSub>
                                    <m:r>
                                      <w:rPr>
                                        <w:rFonts w:ascii="Cambria Math" w:hAnsi="Cambria Math"/>
                                        <w:sz w:val="20"/>
                                        <w:szCs w:val="20"/>
                                      </w:rPr>
                                      <m:t>,</m:t>
                                    </m:r>
                                    <m:sSub>
                                      <m:sSubPr>
                                        <m:ctrlPr>
                                          <w:rPr>
                                            <w:rFonts w:ascii="Cambria Math" w:hAnsi="Cambria Math"/>
                                            <w:i/>
                                            <w:sz w:val="20"/>
                                            <w:szCs w:val="20"/>
                                            <w:lang w:val="en-US"/>
                                          </w:rPr>
                                        </m:ctrlPr>
                                      </m:sSubPr>
                                      <m:e>
                                        <m:r>
                                          <w:rPr>
                                            <w:rFonts w:ascii="Cambria Math" w:hAnsi="Cambria Math"/>
                                            <w:sz w:val="20"/>
                                            <w:szCs w:val="20"/>
                                            <w:lang w:val="en-US"/>
                                          </w:rPr>
                                          <m:t>FX</m:t>
                                        </m:r>
                                      </m:e>
                                      <m:sub>
                                        <m:r>
                                          <w:rPr>
                                            <w:rFonts w:ascii="Cambria Math" w:hAnsi="Cambria Math"/>
                                            <w:sz w:val="20"/>
                                            <w:szCs w:val="20"/>
                                          </w:rPr>
                                          <m:t>факт</m:t>
                                        </m:r>
                                      </m:sub>
                                    </m:sSub>
                                  </m:e>
                                </m:d>
                                <m:r>
                                  <w:rPr>
                                    <w:rFonts w:ascii="Cambria Math" w:hAnsi="Cambria Math"/>
                                    <w:sz w:val="20"/>
                                    <w:szCs w:val="28"/>
                                  </w:rPr>
                                  <m:t>-</m:t>
                                </m:r>
                                <m:r>
                                  <w:rPr>
                                    <w:rFonts w:ascii="Cambria Math" w:hAnsi="Cambria Math"/>
                                    <w:sz w:val="20"/>
                                    <w:szCs w:val="20"/>
                                  </w:rPr>
                                  <m:t>НГД</m:t>
                                </m:r>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P</m:t>
                                        </m:r>
                                      </m:e>
                                      <m:sub>
                                        <m:r>
                                          <w:rPr>
                                            <w:rFonts w:ascii="Cambria Math" w:hAnsi="Cambria Math"/>
                                            <w:sz w:val="20"/>
                                            <w:szCs w:val="20"/>
                                          </w:rPr>
                                          <m:t>баз</m:t>
                                        </m:r>
                                      </m:sub>
                                    </m:sSub>
                                    <m:r>
                                      <w:rPr>
                                        <w:rFonts w:ascii="Cambria Math" w:hAnsi="Cambria Math"/>
                                        <w:sz w:val="20"/>
                                        <w:szCs w:val="20"/>
                                      </w:rPr>
                                      <m:t>,</m:t>
                                    </m:r>
                                    <m:sSub>
                                      <m:sSubPr>
                                        <m:ctrlPr>
                                          <w:rPr>
                                            <w:rFonts w:ascii="Cambria Math" w:hAnsi="Cambria Math"/>
                                            <w:i/>
                                            <w:sz w:val="20"/>
                                            <w:szCs w:val="20"/>
                                            <w:lang w:val="en-US"/>
                                          </w:rPr>
                                        </m:ctrlPr>
                                      </m:sSubPr>
                                      <m:e>
                                        <m:r>
                                          <w:rPr>
                                            <w:rFonts w:ascii="Cambria Math" w:hAnsi="Cambria Math"/>
                                            <w:sz w:val="20"/>
                                            <w:szCs w:val="20"/>
                                            <w:lang w:val="en-US"/>
                                          </w:rPr>
                                          <m:t>FX</m:t>
                                        </m:r>
                                      </m:e>
                                      <m:sub>
                                        <m:r>
                                          <w:rPr>
                                            <w:rFonts w:ascii="Cambria Math" w:hAnsi="Cambria Math"/>
                                            <w:sz w:val="20"/>
                                            <w:szCs w:val="20"/>
                                          </w:rPr>
                                          <m:t>факт</m:t>
                                        </m:r>
                                      </m:sub>
                                    </m:sSub>
                                  </m:e>
                                </m:d>
                              </m:oMath>
                            </m:oMathPara>
                          </w:p>
                          <w:p w:rsidR="007E5DFE" w:rsidRPr="005230C8" w:rsidRDefault="007E5DFE" w:rsidP="005230C8">
                            <w:pPr>
                              <w:spacing w:before="120" w:after="120" w:line="264" w:lineRule="auto"/>
                              <w:ind w:left="-3"/>
                              <w:jc w:val="both"/>
                              <w:rPr>
                                <w:rFonts w:ascii="Times New Roman" w:eastAsiaTheme="minorHAnsi" w:hAnsi="Times New Roman"/>
                                <w:b/>
                                <w:sz w:val="20"/>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 o:spid="_x0000_s1042" type="#_x0000_t202" style="position:absolute;left:0;text-align:left;margin-left:-4.9pt;margin-top:137.1pt;width:460.75pt;height:509.25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" fillcolor="#f2f2f2 [3052]" stroked="f">
                <v:textbox>
                  <w:txbxContent>
                    <w:p w:rsidR="007E5DFE" w:rsidRDefault="007E5DFE" w:rsidP="005230C8">
                      <w:pPr>
                        <w:spacing w:before="120" w:after="120"/>
                        <w:jc w:val="both"/>
                        <w:rPr>
                          <w:rFonts w:ascii="Times New Roman" w:hAnsi="Times New Roman"/>
                          <w:b/>
                          <w:sz w:val="24"/>
                          <w:szCs w:val="20"/>
                        </w:rPr>
                      </w:pPr>
                      <w:r>
                        <w:rPr>
                          <w:rFonts w:ascii="Times New Roman" w:hAnsi="Times New Roman"/>
                          <w:b/>
                          <w:sz w:val="24"/>
                          <w:szCs w:val="20"/>
                        </w:rPr>
                        <w:t>НОВАЯ КОНСТРУКЦИЯ БЮДЖЕТНЫХ ПРАВИЛ</w:t>
                      </w:r>
                    </w:p>
                    <w:p w:rsidR="007E5DFE" w:rsidRPr="005230C8" w:rsidRDefault="007E5DFE" w:rsidP="005230C8">
                      <w:pPr>
                        <w:spacing w:before="120" w:after="120"/>
                        <w:jc w:val="both"/>
                        <w:rPr>
                          <w:rFonts w:ascii="Times New Roman" w:hAnsi="Times New Roman"/>
                          <w:b/>
                          <w:sz w:val="24"/>
                          <w:szCs w:val="20"/>
                        </w:rPr>
                      </w:pPr>
                      <w:r w:rsidRPr="005230C8">
                        <w:rPr>
                          <w:rFonts w:ascii="Times New Roman" w:hAnsi="Times New Roman"/>
                          <w:b/>
                          <w:sz w:val="24"/>
                          <w:szCs w:val="20"/>
                        </w:rPr>
                        <w:t>Основные «операционные» параметры:</w:t>
                      </w:r>
                    </w:p>
                    <w:p w:rsidR="007E5DFE" w:rsidRDefault="007E5DFE" w:rsidP="009F1CCA">
                      <w:pPr>
                        <w:pStyle w:val="a9"/>
                        <w:numPr>
                          <w:ilvl w:val="0"/>
                          <w:numId w:val="31"/>
                        </w:numPr>
                        <w:spacing w:before="120" w:after="0" w:line="264" w:lineRule="auto"/>
                        <w:ind w:left="357" w:hanging="357"/>
                        <w:contextualSpacing w:val="0"/>
                        <w:jc w:val="both"/>
                        <w:rPr>
                          <w:rFonts w:ascii="Times New Roman" w:hAnsi="Times New Roman"/>
                          <w:sz w:val="20"/>
                          <w:szCs w:val="20"/>
                        </w:rPr>
                      </w:pPr>
                      <w:r>
                        <w:rPr>
                          <w:rFonts w:ascii="Times New Roman" w:hAnsi="Times New Roman"/>
                          <w:i/>
                          <w:sz w:val="20"/>
                          <w:szCs w:val="20"/>
                        </w:rPr>
                        <w:t>Базовая цена на нефть</w:t>
                      </w:r>
                      <w:r w:rsidRPr="001A6D08">
                        <w:rPr>
                          <w:rFonts w:ascii="Times New Roman" w:hAnsi="Times New Roman"/>
                          <w:sz w:val="20"/>
                          <w:szCs w:val="20"/>
                        </w:rPr>
                        <w:t xml:space="preserve"> </w:t>
                      </w:r>
                      <w:r w:rsidRPr="001A6D08">
                        <w:rPr>
                          <w:rFonts w:ascii="Times New Roman" w:hAnsi="Times New Roman"/>
                          <w:i/>
                          <w:sz w:val="20"/>
                          <w:szCs w:val="20"/>
                        </w:rPr>
                        <w:t>марки Юралс</w:t>
                      </w:r>
                      <w:r>
                        <w:rPr>
                          <w:rFonts w:ascii="Times New Roman" w:hAnsi="Times New Roman"/>
                          <w:i/>
                          <w:sz w:val="20"/>
                          <w:szCs w:val="20"/>
                        </w:rPr>
                        <w:t xml:space="preserve"> </w:t>
                      </w:r>
                      <m:oMath>
                        <m:r>
                          <w:rPr>
                            <w:rFonts w:ascii="Cambria Math" w:hAnsi="Cambria Math"/>
                            <w:sz w:val="20"/>
                            <w:szCs w:val="20"/>
                          </w:rPr>
                          <m:t>(</m:t>
                        </m:r>
                        <m:sSub>
                          <m:sSubPr>
                            <m:ctrlPr>
                              <w:rPr>
                                <w:rFonts w:ascii="Cambria Math" w:hAnsi="Cambria Math"/>
                                <w:i/>
                              </w:rPr>
                            </m:ctrlPr>
                          </m:sSubPr>
                          <m:e>
                            <m:r>
                              <w:rPr>
                                <w:rFonts w:ascii="Cambria Math" w:hAnsi="Cambria Math"/>
                                <w:sz w:val="20"/>
                                <w:szCs w:val="20"/>
                              </w:rPr>
                              <m:t>P</m:t>
                            </m:r>
                          </m:e>
                          <m:sub>
                            <m:r>
                              <w:rPr>
                                <w:rFonts w:ascii="Cambria Math" w:hAnsi="Cambria Math"/>
                                <w:sz w:val="20"/>
                                <w:szCs w:val="20"/>
                              </w:rPr>
                              <m:t>баз</m:t>
                            </m:r>
                          </m:sub>
                        </m:sSub>
                        <m:r>
                          <w:rPr>
                            <w:rFonts w:ascii="Cambria Math" w:hAnsi="Cambria Math"/>
                            <w:sz w:val="20"/>
                            <w:szCs w:val="20"/>
                          </w:rPr>
                          <m:t>)</m:t>
                        </m:r>
                      </m:oMath>
                      <w:r>
                        <w:rPr>
                          <w:rFonts w:ascii="Times New Roman" w:hAnsi="Times New Roman"/>
                          <w:i/>
                          <w:sz w:val="20"/>
                          <w:szCs w:val="20"/>
                        </w:rPr>
                        <w:t xml:space="preserve"> </w:t>
                      </w:r>
                      <w:r>
                        <w:rPr>
                          <w:rFonts w:ascii="Times New Roman" w:hAnsi="Times New Roman"/>
                          <w:sz w:val="20"/>
                          <w:szCs w:val="20"/>
                        </w:rPr>
                        <w:t xml:space="preserve">устанавливается на уровне </w:t>
                      </w:r>
                      <w:r>
                        <w:rPr>
                          <w:rFonts w:ascii="Times New Roman" w:hAnsi="Times New Roman"/>
                          <w:b/>
                          <w:sz w:val="20"/>
                          <w:szCs w:val="20"/>
                        </w:rPr>
                        <w:t>40 долларов США</w:t>
                      </w:r>
                      <w:r>
                        <w:rPr>
                          <w:rFonts w:ascii="Times New Roman" w:hAnsi="Times New Roman"/>
                          <w:sz w:val="20"/>
                          <w:szCs w:val="20"/>
                        </w:rPr>
                        <w:t xml:space="preserve"> за баррель </w:t>
                      </w:r>
                      <w:r w:rsidRPr="001A6D08">
                        <w:rPr>
                          <w:rFonts w:ascii="Times New Roman" w:hAnsi="Times New Roman"/>
                          <w:sz w:val="20"/>
                          <w:szCs w:val="20"/>
                        </w:rPr>
                        <w:t>в ценах 2017 года и подлежит ежегодной индексации, начиная с 2018 года, на 2 процента</w:t>
                      </w:r>
                      <w:r>
                        <w:rPr>
                          <w:rFonts w:ascii="Times New Roman" w:hAnsi="Times New Roman"/>
                          <w:sz w:val="20"/>
                          <w:szCs w:val="20"/>
                        </w:rPr>
                        <w:t xml:space="preserve">. </w:t>
                      </w:r>
                    </w:p>
                    <w:p w:rsidR="007E5DFE" w:rsidRPr="00796C67" w:rsidRDefault="007E5DFE" w:rsidP="00796C67">
                      <w:pPr>
                        <w:pStyle w:val="a9"/>
                        <w:spacing w:before="60" w:after="120" w:line="264" w:lineRule="auto"/>
                        <w:ind w:left="357"/>
                        <w:contextualSpacing w:val="0"/>
                        <w:jc w:val="both"/>
                        <w:rPr>
                          <w:rFonts w:ascii="Times New Roman" w:hAnsi="Times New Roman"/>
                          <w:i/>
                          <w:sz w:val="20"/>
                          <w:szCs w:val="20"/>
                        </w:rPr>
                      </w:pPr>
                      <w:r w:rsidRPr="00796C67">
                        <w:rPr>
                          <w:rFonts w:ascii="Times New Roman" w:hAnsi="Times New Roman"/>
                          <w:i/>
                          <w:sz w:val="20"/>
                          <w:szCs w:val="20"/>
                        </w:rPr>
                        <w:t xml:space="preserve">Определение базовой цены на нефть на данном уровне обусловлено оценкой </w:t>
                      </w:r>
                      <w:r w:rsidRPr="00796C67">
                        <w:rPr>
                          <w:rFonts w:ascii="Times New Roman" w:hAnsi="Times New Roman"/>
                          <w:b/>
                          <w:i/>
                          <w:sz w:val="20"/>
                          <w:szCs w:val="20"/>
                        </w:rPr>
                        <w:t>долгосрочного равновесного уровня цен на нефть</w:t>
                      </w:r>
                      <w:r w:rsidRPr="00796C67">
                        <w:rPr>
                          <w:rFonts w:ascii="Times New Roman" w:hAnsi="Times New Roman"/>
                          <w:i/>
                          <w:sz w:val="20"/>
                          <w:szCs w:val="20"/>
                        </w:rPr>
                        <w:t xml:space="preserve"> в условиях ускоряющихся технологических изменений и произведено </w:t>
                      </w:r>
                      <w:r w:rsidRPr="00796C67">
                        <w:rPr>
                          <w:rFonts w:ascii="Times New Roman" w:hAnsi="Times New Roman"/>
                          <w:b/>
                          <w:i/>
                          <w:sz w:val="20"/>
                          <w:szCs w:val="20"/>
                        </w:rPr>
                        <w:t>с учетом ограниченного уровня накопленных в суверенных фондах резервов</w:t>
                      </w:r>
                      <w:r w:rsidRPr="00796C67">
                        <w:rPr>
                          <w:rFonts w:ascii="Times New Roman" w:hAnsi="Times New Roman"/>
                          <w:i/>
                          <w:sz w:val="20"/>
                          <w:szCs w:val="20"/>
                        </w:rPr>
                        <w:t>.</w:t>
                      </w:r>
                    </w:p>
                    <w:p w:rsidR="007E5DFE" w:rsidRPr="001A6D08" w:rsidRDefault="007E5DFE" w:rsidP="009F1CCA">
                      <w:pPr>
                        <w:pStyle w:val="a9"/>
                        <w:numPr>
                          <w:ilvl w:val="0"/>
                          <w:numId w:val="31"/>
                        </w:numPr>
                        <w:spacing w:before="120" w:after="120" w:line="264" w:lineRule="auto"/>
                        <w:ind w:left="357" w:hanging="357"/>
                        <w:contextualSpacing w:val="0"/>
                        <w:jc w:val="both"/>
                        <w:rPr>
                          <w:rFonts w:ascii="Times New Roman" w:hAnsi="Times New Roman"/>
                          <w:sz w:val="20"/>
                          <w:szCs w:val="20"/>
                        </w:rPr>
                      </w:pPr>
                      <w:proofErr w:type="gramStart"/>
                      <w:r w:rsidRPr="001A6D08">
                        <w:rPr>
                          <w:rFonts w:ascii="Times New Roman" w:hAnsi="Times New Roman"/>
                          <w:sz w:val="20"/>
                          <w:szCs w:val="20"/>
                        </w:rPr>
                        <w:t xml:space="preserve">Под </w:t>
                      </w:r>
                      <w:r w:rsidRPr="00781806">
                        <w:rPr>
                          <w:rFonts w:ascii="Times New Roman" w:hAnsi="Times New Roman"/>
                          <w:i/>
                          <w:sz w:val="20"/>
                          <w:szCs w:val="20"/>
                        </w:rPr>
                        <w:t>базовой экспортной ценой на газ природный</w:t>
                      </w:r>
                      <w:r w:rsidRPr="001A6D08">
                        <w:rPr>
                          <w:rFonts w:ascii="Times New Roman" w:hAnsi="Times New Roman"/>
                          <w:sz w:val="20"/>
                          <w:szCs w:val="20"/>
                        </w:rPr>
                        <w:t xml:space="preserve"> понимается прогнозное значение среднегодовой экспортной цены на газ природный</w:t>
                      </w:r>
                      <w:r>
                        <w:rPr>
                          <w:rFonts w:ascii="Times New Roman" w:hAnsi="Times New Roman"/>
                          <w:sz w:val="20"/>
                          <w:szCs w:val="20"/>
                        </w:rPr>
                        <w:t xml:space="preserve"> (определяемое базовым вариантом среднесрочного прогноза Минэкономразвития России)</w:t>
                      </w:r>
                      <w:r w:rsidRPr="001A6D08">
                        <w:rPr>
                          <w:rFonts w:ascii="Times New Roman" w:hAnsi="Times New Roman"/>
                          <w:sz w:val="20"/>
                          <w:szCs w:val="20"/>
                        </w:rPr>
                        <w:t xml:space="preserve">, </w:t>
                      </w:r>
                      <w:r>
                        <w:rPr>
                          <w:rFonts w:ascii="Times New Roman" w:hAnsi="Times New Roman"/>
                          <w:sz w:val="20"/>
                          <w:szCs w:val="20"/>
                        </w:rPr>
                        <w:t xml:space="preserve">скорректированное </w:t>
                      </w:r>
                      <w:r w:rsidRPr="001A6D08">
                        <w:rPr>
                          <w:rFonts w:ascii="Times New Roman" w:hAnsi="Times New Roman"/>
                          <w:sz w:val="20"/>
                          <w:szCs w:val="20"/>
                        </w:rPr>
                        <w:t>на соотношение базовой цены на нефть к прогнозной цене на нефть</w:t>
                      </w:r>
                      <w:r>
                        <w:rPr>
                          <w:rFonts w:ascii="Times New Roman" w:hAnsi="Times New Roman"/>
                          <w:sz w:val="20"/>
                          <w:szCs w:val="20"/>
                        </w:rPr>
                        <w:t xml:space="preserve"> (базовая цена на экспортируемый газ в дальнейшем в этом документе не включается в формулы для упрощения).</w:t>
                      </w:r>
                      <w:proofErr w:type="gramEnd"/>
                    </w:p>
                    <w:p w:rsidR="007E5DFE" w:rsidRPr="005230C8" w:rsidRDefault="007E5DFE" w:rsidP="005230C8">
                      <w:pPr>
                        <w:spacing w:before="120" w:after="120"/>
                        <w:jc w:val="both"/>
                        <w:rPr>
                          <w:rFonts w:ascii="Times New Roman" w:hAnsi="Times New Roman"/>
                          <w:b/>
                          <w:sz w:val="24"/>
                          <w:szCs w:val="20"/>
                        </w:rPr>
                      </w:pPr>
                      <w:r w:rsidRPr="005230C8">
                        <w:rPr>
                          <w:rFonts w:ascii="Times New Roman" w:hAnsi="Times New Roman"/>
                          <w:b/>
                          <w:sz w:val="24"/>
                          <w:szCs w:val="20"/>
                        </w:rPr>
                        <w:t>Основные параметры бюджета в соответствии с бюджетными правилами:</w:t>
                      </w:r>
                    </w:p>
                    <w:p w:rsidR="007E5DFE" w:rsidRDefault="007E5DFE" w:rsidP="009F1CCA">
                      <w:pPr>
                        <w:pStyle w:val="a9"/>
                        <w:numPr>
                          <w:ilvl w:val="0"/>
                          <w:numId w:val="32"/>
                        </w:numPr>
                        <w:spacing w:before="120" w:after="120" w:line="264" w:lineRule="auto"/>
                        <w:ind w:left="357" w:hanging="357"/>
                        <w:contextualSpacing w:val="0"/>
                        <w:jc w:val="both"/>
                        <w:rPr>
                          <w:rFonts w:ascii="Times New Roman" w:hAnsi="Times New Roman"/>
                          <w:sz w:val="20"/>
                          <w:szCs w:val="28"/>
                        </w:rPr>
                      </w:pPr>
                      <w:r>
                        <w:rPr>
                          <w:rFonts w:ascii="Times New Roman" w:hAnsi="Times New Roman"/>
                          <w:sz w:val="20"/>
                          <w:szCs w:val="28"/>
                          <w:u w:val="single"/>
                        </w:rPr>
                        <w:t>Предельный объем расходов федерального бюджета</w:t>
                      </w:r>
                      <w:r>
                        <w:rPr>
                          <w:rFonts w:ascii="Times New Roman" w:hAnsi="Times New Roman"/>
                          <w:sz w:val="20"/>
                          <w:szCs w:val="28"/>
                        </w:rPr>
                        <w:t xml:space="preserve"> (</w:t>
                      </w:r>
                      <m:oMath>
                        <m:r>
                          <w:rPr>
                            <w:rFonts w:ascii="Cambria Math" w:hAnsi="Cambria Math"/>
                            <w:sz w:val="20"/>
                            <w:szCs w:val="28"/>
                          </w:rPr>
                          <m:t>далее-Расходы</m:t>
                        </m:r>
                      </m:oMath>
                      <w:r>
                        <w:rPr>
                          <w:rFonts w:ascii="Times New Roman" w:hAnsi="Times New Roman"/>
                          <w:sz w:val="20"/>
                          <w:szCs w:val="28"/>
                        </w:rPr>
                        <w:t xml:space="preserve">) рассчитывается как сумма </w:t>
                      </w:r>
                      <w:r>
                        <w:rPr>
                          <w:rFonts w:ascii="Times New Roman" w:hAnsi="Times New Roman"/>
                          <w:b/>
                          <w:sz w:val="20"/>
                          <w:szCs w:val="28"/>
                        </w:rPr>
                        <w:t>(1)</w:t>
                      </w:r>
                      <w:r>
                        <w:rPr>
                          <w:rFonts w:ascii="Times New Roman" w:hAnsi="Times New Roman"/>
                          <w:sz w:val="20"/>
                          <w:szCs w:val="28"/>
                        </w:rPr>
                        <w:t xml:space="preserve"> </w:t>
                      </w:r>
                      <w:r>
                        <w:rPr>
                          <w:rFonts w:ascii="Times New Roman" w:hAnsi="Times New Roman"/>
                          <w:sz w:val="20"/>
                          <w:szCs w:val="28"/>
                          <w:u w:val="single"/>
                        </w:rPr>
                        <w:t>базового объема нефтегазовых доходов</w:t>
                      </w:r>
                      <w:r>
                        <w:rPr>
                          <w:rFonts w:ascii="Times New Roman" w:hAnsi="Times New Roman"/>
                          <w:sz w:val="20"/>
                          <w:szCs w:val="28"/>
                        </w:rPr>
                        <w:t xml:space="preserve">, рассчитанного при </w:t>
                      </w:r>
                      <w:r>
                        <w:rPr>
                          <w:rFonts w:ascii="Times New Roman" w:hAnsi="Times New Roman"/>
                          <w:i/>
                          <w:sz w:val="20"/>
                          <w:szCs w:val="28"/>
                        </w:rPr>
                        <w:t>базовой цене на нефть</w:t>
                      </w:r>
                      <w:r>
                        <w:rPr>
                          <w:rFonts w:ascii="Times New Roman" w:hAnsi="Times New Roman"/>
                          <w:sz w:val="20"/>
                          <w:szCs w:val="28"/>
                        </w:rPr>
                        <w:t xml:space="preserve">, </w:t>
                      </w:r>
                      <w:r>
                        <w:rPr>
                          <w:rFonts w:ascii="Times New Roman" w:hAnsi="Times New Roman"/>
                          <w:i/>
                          <w:sz w:val="20"/>
                          <w:szCs w:val="28"/>
                        </w:rPr>
                        <w:t>базовой цене на экспортируемый газ,</w:t>
                      </w:r>
                      <w:r>
                        <w:rPr>
                          <w:rFonts w:ascii="Times New Roman" w:hAnsi="Times New Roman"/>
                          <w:sz w:val="20"/>
                          <w:szCs w:val="28"/>
                        </w:rPr>
                        <w:t xml:space="preserve"> </w:t>
                      </w:r>
                      <w:r>
                        <w:rPr>
                          <w:rFonts w:ascii="Times New Roman" w:hAnsi="Times New Roman"/>
                          <w:i/>
                          <w:sz w:val="20"/>
                          <w:szCs w:val="28"/>
                        </w:rPr>
                        <w:t xml:space="preserve">прогнозном обменном курсе рубля </w:t>
                      </w:r>
                      <w:r>
                        <w:rPr>
                          <w:rFonts w:ascii="Times New Roman" w:hAnsi="Times New Roman"/>
                          <w:sz w:val="20"/>
                          <w:szCs w:val="28"/>
                        </w:rPr>
                        <w:t>(</w:t>
                      </w:r>
                      <m:oMath>
                        <m:r>
                          <w:rPr>
                            <w:rFonts w:ascii="Cambria Math" w:hAnsi="Cambria Math"/>
                            <w:sz w:val="20"/>
                            <w:szCs w:val="28"/>
                          </w:rPr>
                          <m:t>НГД</m:t>
                        </m:r>
                        <m:d>
                          <m:dPr>
                            <m:ctrlPr>
                              <w:rPr>
                                <w:rFonts w:ascii="Cambria Math" w:hAnsi="Cambria Math"/>
                                <w:i/>
                                <w:szCs w:val="28"/>
                                <w:lang w:val="en-US"/>
                              </w:rPr>
                            </m:ctrlPr>
                          </m:dPr>
                          <m:e>
                            <m:sSub>
                              <m:sSubPr>
                                <m:ctrlPr>
                                  <w:rPr>
                                    <w:rFonts w:ascii="Cambria Math" w:hAnsi="Cambria Math"/>
                                    <w:i/>
                                    <w:szCs w:val="28"/>
                                    <w:lang w:val="en-US"/>
                                  </w:rPr>
                                </m:ctrlPr>
                              </m:sSubPr>
                              <m:e>
                                <m:r>
                                  <w:rPr>
                                    <w:rFonts w:ascii="Cambria Math" w:hAnsi="Cambria Math"/>
                                    <w:sz w:val="20"/>
                                    <w:szCs w:val="28"/>
                                    <w:lang w:val="en-US"/>
                                  </w:rPr>
                                  <m:t>P</m:t>
                                </m:r>
                              </m:e>
                              <m:sub>
                                <m:r>
                                  <w:rPr>
                                    <w:rFonts w:ascii="Cambria Math" w:hAnsi="Cambria Math"/>
                                    <w:sz w:val="20"/>
                                    <w:szCs w:val="28"/>
                                  </w:rPr>
                                  <m:t>баз</m:t>
                                </m:r>
                              </m:sub>
                            </m:sSub>
                            <m:r>
                              <w:rPr>
                                <w:rFonts w:ascii="Cambria Math" w:hAnsi="Cambria Math"/>
                                <w:sz w:val="20"/>
                                <w:szCs w:val="28"/>
                              </w:rPr>
                              <m:t>,</m:t>
                            </m:r>
                            <m:sSub>
                              <m:sSubPr>
                                <m:ctrlPr>
                                  <w:rPr>
                                    <w:rFonts w:ascii="Cambria Math" w:hAnsi="Cambria Math"/>
                                    <w:i/>
                                    <w:szCs w:val="28"/>
                                    <w:lang w:val="en-US"/>
                                  </w:rPr>
                                </m:ctrlPr>
                              </m:sSubPr>
                              <m:e>
                                <m:r>
                                  <w:rPr>
                                    <w:rFonts w:ascii="Cambria Math" w:hAnsi="Cambria Math"/>
                                    <w:sz w:val="20"/>
                                    <w:szCs w:val="28"/>
                                    <w:lang w:val="en-US"/>
                                  </w:rPr>
                                  <m:t>FX</m:t>
                                </m:r>
                              </m:e>
                              <m:sub>
                                <m:r>
                                  <w:rPr>
                                    <w:rFonts w:ascii="Cambria Math" w:hAnsi="Cambria Math"/>
                                    <w:sz w:val="20"/>
                                    <w:szCs w:val="28"/>
                                  </w:rPr>
                                  <m:t>прогноз</m:t>
                                </m:r>
                              </m:sub>
                            </m:sSub>
                          </m:e>
                        </m:d>
                      </m:oMath>
                      <w:r>
                        <w:rPr>
                          <w:rFonts w:ascii="Times New Roman" w:eastAsiaTheme="minorEastAsia" w:hAnsi="Times New Roman"/>
                          <w:sz w:val="20"/>
                          <w:szCs w:val="28"/>
                        </w:rPr>
                        <w:t>)</w:t>
                      </w:r>
                      <w:r>
                        <w:rPr>
                          <w:rFonts w:ascii="Times New Roman" w:hAnsi="Times New Roman"/>
                          <w:sz w:val="20"/>
                          <w:szCs w:val="28"/>
                        </w:rPr>
                        <w:t xml:space="preserve">, </w:t>
                      </w:r>
                      <w:r>
                        <w:rPr>
                          <w:rFonts w:ascii="Times New Roman" w:hAnsi="Times New Roman"/>
                          <w:b/>
                          <w:sz w:val="20"/>
                          <w:szCs w:val="28"/>
                        </w:rPr>
                        <w:t>(2)</w:t>
                      </w:r>
                      <w:r>
                        <w:rPr>
                          <w:rFonts w:ascii="Times New Roman" w:hAnsi="Times New Roman"/>
                          <w:sz w:val="20"/>
                          <w:szCs w:val="28"/>
                        </w:rPr>
                        <w:t xml:space="preserve"> </w:t>
                      </w:r>
                      <w:r>
                        <w:rPr>
                          <w:rFonts w:ascii="Times New Roman" w:hAnsi="Times New Roman"/>
                          <w:sz w:val="20"/>
                          <w:szCs w:val="28"/>
                          <w:u w:val="single"/>
                        </w:rPr>
                        <w:t xml:space="preserve">объема </w:t>
                      </w:r>
                      <w:proofErr w:type="spellStart"/>
                      <w:r>
                        <w:rPr>
                          <w:rFonts w:ascii="Times New Roman" w:hAnsi="Times New Roman"/>
                          <w:sz w:val="20"/>
                          <w:szCs w:val="28"/>
                          <w:u w:val="single"/>
                        </w:rPr>
                        <w:t>ненефтегазовых</w:t>
                      </w:r>
                      <w:proofErr w:type="spellEnd"/>
                      <w:r>
                        <w:rPr>
                          <w:rFonts w:ascii="Times New Roman" w:hAnsi="Times New Roman"/>
                          <w:sz w:val="20"/>
                          <w:szCs w:val="28"/>
                          <w:u w:val="single"/>
                        </w:rPr>
                        <w:t xml:space="preserve"> доходов</w:t>
                      </w:r>
                      <w:r>
                        <w:rPr>
                          <w:rFonts w:ascii="Times New Roman" w:hAnsi="Times New Roman"/>
                          <w:sz w:val="20"/>
                          <w:szCs w:val="28"/>
                        </w:rPr>
                        <w:t xml:space="preserve"> (</w:t>
                      </w:r>
                      <m:oMath>
                        <m:r>
                          <w:rPr>
                            <w:rFonts w:ascii="Cambria Math" w:hAnsi="Cambria Math"/>
                            <w:sz w:val="20"/>
                            <w:szCs w:val="28"/>
                          </w:rPr>
                          <m:t>ННГ</m:t>
                        </m:r>
                        <w:proofErr w:type="gramStart"/>
                        <m:r>
                          <w:rPr>
                            <w:rFonts w:ascii="Cambria Math" w:hAnsi="Cambria Math"/>
                            <w:sz w:val="20"/>
                            <w:szCs w:val="28"/>
                          </w:rPr>
                          <m:t>Д(</m:t>
                        </m:r>
                        <w:proofErr w:type="gramEnd"/>
                        <m:r>
                          <w:rPr>
                            <w:rFonts w:ascii="Cambria Math" w:hAnsi="Cambria Math"/>
                            <w:sz w:val="20"/>
                            <w:szCs w:val="28"/>
                          </w:rPr>
                          <m:t>закон)</m:t>
                        </m:r>
                      </m:oMath>
                      <w:r>
                        <w:rPr>
                          <w:rFonts w:ascii="Times New Roman" w:hAnsi="Times New Roman"/>
                          <w:sz w:val="20"/>
                          <w:szCs w:val="28"/>
                        </w:rPr>
                        <w:t xml:space="preserve">), рассчитанных при подготовке закона о бюджете, и </w:t>
                      </w:r>
                      <w:r>
                        <w:rPr>
                          <w:rFonts w:ascii="Times New Roman" w:hAnsi="Times New Roman"/>
                          <w:b/>
                          <w:sz w:val="20"/>
                          <w:szCs w:val="28"/>
                        </w:rPr>
                        <w:t>(3)</w:t>
                      </w:r>
                      <w:r>
                        <w:rPr>
                          <w:rFonts w:ascii="Times New Roman" w:hAnsi="Times New Roman"/>
                          <w:sz w:val="20"/>
                          <w:szCs w:val="28"/>
                        </w:rPr>
                        <w:t xml:space="preserve"> </w:t>
                      </w:r>
                      <w:r>
                        <w:rPr>
                          <w:rFonts w:ascii="Times New Roman" w:hAnsi="Times New Roman"/>
                          <w:sz w:val="20"/>
                          <w:szCs w:val="28"/>
                          <w:u w:val="single"/>
                        </w:rPr>
                        <w:t>расходов по обслуживанию долга</w:t>
                      </w:r>
                      <w:r>
                        <w:rPr>
                          <w:rFonts w:ascii="Times New Roman" w:hAnsi="Times New Roman"/>
                          <w:sz w:val="20"/>
                          <w:szCs w:val="28"/>
                        </w:rPr>
                        <w:t xml:space="preserve"> (%).</w:t>
                      </w:r>
                    </w:p>
                    <w:p w:rsidR="007E5DFE" w:rsidRDefault="007E5DFE" w:rsidP="005230C8">
                      <w:pPr>
                        <w:spacing w:before="120" w:after="120"/>
                        <w:jc w:val="both"/>
                        <w:rPr>
                          <w:rFonts w:ascii="Times New Roman" w:hAnsi="Times New Roman"/>
                          <w:sz w:val="20"/>
                          <w:szCs w:val="28"/>
                        </w:rPr>
                      </w:pPr>
                      <m:oMathPara>
                        <m:oMath>
                          <m:r>
                            <w:rPr>
                              <w:rFonts w:ascii="Cambria Math" w:hAnsi="Cambria Math"/>
                              <w:sz w:val="20"/>
                              <w:szCs w:val="28"/>
                            </w:rPr>
                            <m:t>Расходы=НГД</m:t>
                          </m:r>
                          <m:d>
                            <m:dPr>
                              <m:ctrlPr>
                                <w:rPr>
                                  <w:rFonts w:ascii="Cambria Math" w:hAnsi="Cambria Math"/>
                                  <w:i/>
                                  <w:szCs w:val="28"/>
                                  <w:lang w:val="en-US"/>
                                </w:rPr>
                              </m:ctrlPr>
                            </m:dPr>
                            <m:e>
                              <m:sSub>
                                <m:sSubPr>
                                  <m:ctrlPr>
                                    <w:rPr>
                                      <w:rFonts w:ascii="Cambria Math" w:hAnsi="Cambria Math"/>
                                      <w:i/>
                                      <w:szCs w:val="28"/>
                                      <w:lang w:val="en-US"/>
                                    </w:rPr>
                                  </m:ctrlPr>
                                </m:sSubPr>
                                <m:e>
                                  <m:r>
                                    <w:rPr>
                                      <w:rFonts w:ascii="Cambria Math" w:hAnsi="Cambria Math"/>
                                      <w:sz w:val="20"/>
                                      <w:szCs w:val="28"/>
                                      <w:lang w:val="en-US"/>
                                    </w:rPr>
                                    <m:t>P</m:t>
                                  </m:r>
                                </m:e>
                                <m:sub>
                                  <m:r>
                                    <w:rPr>
                                      <w:rFonts w:ascii="Cambria Math" w:hAnsi="Cambria Math"/>
                                      <w:sz w:val="20"/>
                                      <w:szCs w:val="28"/>
                                    </w:rPr>
                                    <m:t>баз</m:t>
                                  </m:r>
                                </m:sub>
                              </m:sSub>
                              <m:r>
                                <w:rPr>
                                  <w:rFonts w:ascii="Cambria Math" w:hAnsi="Cambria Math"/>
                                  <w:sz w:val="20"/>
                                  <w:szCs w:val="28"/>
                                </w:rPr>
                                <m:t>,</m:t>
                              </m:r>
                              <m:sSub>
                                <m:sSubPr>
                                  <m:ctrlPr>
                                    <w:rPr>
                                      <w:rFonts w:ascii="Cambria Math" w:hAnsi="Cambria Math"/>
                                      <w:i/>
                                      <w:szCs w:val="28"/>
                                      <w:lang w:val="en-US"/>
                                    </w:rPr>
                                  </m:ctrlPr>
                                </m:sSubPr>
                                <m:e>
                                  <m:r>
                                    <w:rPr>
                                      <w:rFonts w:ascii="Cambria Math" w:hAnsi="Cambria Math"/>
                                      <w:sz w:val="20"/>
                                      <w:szCs w:val="28"/>
                                      <w:lang w:val="en-US"/>
                                    </w:rPr>
                                    <m:t>FX</m:t>
                                  </m:r>
                                </m:e>
                                <m:sub>
                                  <m:r>
                                    <w:rPr>
                                      <w:rFonts w:ascii="Cambria Math" w:hAnsi="Cambria Math"/>
                                      <w:szCs w:val="28"/>
                                      <w:lang w:val="en-US"/>
                                    </w:rPr>
                                    <m:t>прогноз</m:t>
                                  </m:r>
                                </m:sub>
                              </m:sSub>
                            </m:e>
                          </m:d>
                          <m:r>
                            <w:rPr>
                              <w:rFonts w:ascii="Cambria Math" w:hAnsi="Cambria Math"/>
                              <w:sz w:val="20"/>
                              <w:szCs w:val="28"/>
                            </w:rPr>
                            <m:t>+ННГД+%</m:t>
                          </m:r>
                        </m:oMath>
                      </m:oMathPara>
                    </w:p>
                    <w:p w:rsidR="007E5DFE" w:rsidRPr="005230C8" w:rsidRDefault="007E5DFE" w:rsidP="005230C8">
                      <w:pPr>
                        <w:pStyle w:val="a9"/>
                        <w:spacing w:before="120" w:after="120" w:line="264" w:lineRule="auto"/>
                        <w:ind w:left="351"/>
                        <w:contextualSpacing w:val="0"/>
                        <w:jc w:val="both"/>
                        <w:rPr>
                          <w:rFonts w:ascii="Times New Roman" w:eastAsiaTheme="minorHAnsi" w:hAnsi="Times New Roman"/>
                          <w:b/>
                          <w:i/>
                          <w:sz w:val="20"/>
                          <w:szCs w:val="20"/>
                        </w:rPr>
                      </w:pPr>
                      <w:r w:rsidRPr="005230C8">
                        <w:rPr>
                          <w:rFonts w:ascii="Times New Roman" w:hAnsi="Times New Roman"/>
                          <w:i/>
                          <w:sz w:val="20"/>
                          <w:szCs w:val="20"/>
                        </w:rPr>
                        <w:t>Справочно: Нефтегазовые доходы федерального бюджета (НГД) в настоящий момент формируются за счет налога на добычу полезных ископаемых на нефть, газ горючий природный, газовый конденсат, а также вывозных таможенных пошлин на нефть сырую, газ природный и товары, выработанные из нефти. В случае модификации режима налогообложения нефтегазовой отрасли нефтегазовые доходы федерального бюджета могут включать в себя другие налоговые поступления рентной природы (к примеру, НДД).</w:t>
                      </w:r>
                    </w:p>
                    <w:p w:rsidR="007E5DFE" w:rsidRDefault="007E5DFE" w:rsidP="005230C8">
                      <w:pPr>
                        <w:pStyle w:val="a9"/>
                        <w:spacing w:before="120" w:after="120" w:line="264" w:lineRule="auto"/>
                        <w:ind w:left="357"/>
                        <w:contextualSpacing w:val="0"/>
                        <w:jc w:val="both"/>
                        <w:rPr>
                          <w:rFonts w:ascii="Times New Roman" w:hAnsi="Times New Roman"/>
                          <w:b/>
                          <w:sz w:val="20"/>
                          <w:szCs w:val="28"/>
                        </w:rPr>
                      </w:pPr>
                      <w:r>
                        <w:rPr>
                          <w:rFonts w:ascii="Times New Roman" w:hAnsi="Times New Roman"/>
                          <w:b/>
                          <w:sz w:val="20"/>
                          <w:szCs w:val="28"/>
                        </w:rPr>
                        <w:t>Такой способ определения предельных расходов позволяет обеспечить бездефицитный бюджет на первичном уровне при базовых параметрах.</w:t>
                      </w:r>
                    </w:p>
                    <w:p w:rsidR="007E5DFE" w:rsidRPr="00BF1AEF" w:rsidRDefault="007E5DFE" w:rsidP="009F1CCA">
                      <w:pPr>
                        <w:numPr>
                          <w:ilvl w:val="0"/>
                          <w:numId w:val="49"/>
                        </w:numPr>
                        <w:spacing w:beforeLines="60" w:before="144" w:afterLines="60" w:after="144" w:line="264" w:lineRule="auto"/>
                        <w:jc w:val="both"/>
                        <w:rPr>
                          <w:rFonts w:ascii="Times New Roman" w:hAnsi="Times New Roman"/>
                          <w:sz w:val="20"/>
                          <w:szCs w:val="20"/>
                        </w:rPr>
                      </w:pPr>
                      <w:r w:rsidRPr="00BF1AEF">
                        <w:rPr>
                          <w:rFonts w:ascii="Times New Roman" w:hAnsi="Times New Roman"/>
                          <w:sz w:val="20"/>
                          <w:szCs w:val="20"/>
                          <w:u w:val="single"/>
                        </w:rPr>
                        <w:t xml:space="preserve">Объем пополнения/использования средств </w:t>
                      </w:r>
                      <w:r>
                        <w:rPr>
                          <w:rFonts w:ascii="Times New Roman" w:hAnsi="Times New Roman"/>
                          <w:sz w:val="20"/>
                          <w:szCs w:val="20"/>
                          <w:u w:val="single"/>
                        </w:rPr>
                        <w:t>Фонда национального благосостояния</w:t>
                      </w:r>
                      <w:r w:rsidRPr="00BF1AEF">
                        <w:rPr>
                          <w:rFonts w:ascii="Times New Roman" w:hAnsi="Times New Roman"/>
                          <w:sz w:val="20"/>
                          <w:szCs w:val="20"/>
                        </w:rPr>
                        <w:t xml:space="preserve"> (</w:t>
                      </w:r>
                      <m:oMath>
                        <m:r>
                          <w:rPr>
                            <w:rFonts w:ascii="Cambria Math" w:hAnsi="Cambria Math"/>
                            <w:sz w:val="20"/>
                            <w:szCs w:val="20"/>
                          </w:rPr>
                          <m:t>∆ФНБ</m:t>
                        </m:r>
                      </m:oMath>
                      <w:r w:rsidRPr="00BF1AEF">
                        <w:rPr>
                          <w:rFonts w:ascii="Times New Roman" w:hAnsi="Times New Roman"/>
                          <w:sz w:val="20"/>
                          <w:szCs w:val="20"/>
                        </w:rPr>
                        <w:t xml:space="preserve">) определяется как разность между объемом </w:t>
                      </w:r>
                      <w:r w:rsidRPr="00BF1AEF">
                        <w:rPr>
                          <w:rFonts w:ascii="Times New Roman" w:hAnsi="Times New Roman"/>
                          <w:sz w:val="20"/>
                          <w:szCs w:val="20"/>
                          <w:u w:val="single"/>
                        </w:rPr>
                        <w:t>фактически полученных нефтегазовых доходов</w:t>
                      </w:r>
                      <w:r w:rsidRPr="00BF1AEF">
                        <w:rPr>
                          <w:rFonts w:ascii="Times New Roman" w:hAnsi="Times New Roman"/>
                          <w:sz w:val="20"/>
                          <w:szCs w:val="20"/>
                        </w:rPr>
                        <w:t xml:space="preserve"> (</w:t>
                      </w:r>
                      <m:oMath>
                        <m:r>
                          <w:rPr>
                            <w:rFonts w:ascii="Cambria Math" w:hAnsi="Cambria Math"/>
                            <w:sz w:val="20"/>
                            <w:szCs w:val="20"/>
                          </w:rPr>
                          <m:t>НГД</m:t>
                        </m:r>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P</m:t>
                                </m:r>
                              </m:e>
                              <m:sub>
                                <m:r>
                                  <w:rPr>
                                    <w:rFonts w:ascii="Cambria Math" w:hAnsi="Cambria Math"/>
                                    <w:sz w:val="20"/>
                                    <w:szCs w:val="20"/>
                                  </w:rPr>
                                  <m:t>факт</m:t>
                                </m:r>
                              </m:sub>
                            </m:sSub>
                            <m:r>
                              <w:rPr>
                                <w:rFonts w:ascii="Cambria Math" w:hAnsi="Cambria Math"/>
                                <w:sz w:val="20"/>
                                <w:szCs w:val="20"/>
                              </w:rPr>
                              <m:t>,</m:t>
                            </m:r>
                            <m:sSub>
                              <m:sSubPr>
                                <m:ctrlPr>
                                  <w:rPr>
                                    <w:rFonts w:ascii="Cambria Math" w:hAnsi="Cambria Math"/>
                                    <w:i/>
                                    <w:sz w:val="20"/>
                                    <w:szCs w:val="20"/>
                                    <w:lang w:val="en-US"/>
                                  </w:rPr>
                                </m:ctrlPr>
                              </m:sSubPr>
                              <m:e>
                                <m:r>
                                  <w:rPr>
                                    <w:rFonts w:ascii="Cambria Math" w:hAnsi="Cambria Math"/>
                                    <w:sz w:val="20"/>
                                    <w:szCs w:val="20"/>
                                    <w:lang w:val="en-US"/>
                                  </w:rPr>
                                  <m:t>FX</m:t>
                                </m:r>
                              </m:e>
                              <m:sub>
                                <m:r>
                                  <w:rPr>
                                    <w:rFonts w:ascii="Cambria Math" w:hAnsi="Cambria Math"/>
                                    <w:sz w:val="20"/>
                                    <w:szCs w:val="20"/>
                                  </w:rPr>
                                  <m:t>факт</m:t>
                                </m:r>
                              </m:sub>
                            </m:sSub>
                          </m:e>
                        </m:d>
                      </m:oMath>
                      <w:r w:rsidRPr="00BF1AEF">
                        <w:rPr>
                          <w:rFonts w:ascii="Times New Roman" w:hAnsi="Times New Roman"/>
                          <w:sz w:val="20"/>
                          <w:szCs w:val="20"/>
                        </w:rPr>
                        <w:t xml:space="preserve">) и </w:t>
                      </w:r>
                      <w:r w:rsidRPr="00BF1AEF">
                        <w:rPr>
                          <w:rFonts w:ascii="Times New Roman" w:hAnsi="Times New Roman"/>
                          <w:sz w:val="20"/>
                          <w:szCs w:val="20"/>
                          <w:u w:val="single"/>
                        </w:rPr>
                        <w:t>объемом нефтегазовых доходов, рассчитанных при базовой цене на нефть, базовой цене на экспортируемый газ и фактическом курсе</w:t>
                      </w:r>
                      <w:r w:rsidRPr="00BF1AEF">
                        <w:rPr>
                          <w:rFonts w:ascii="Times New Roman" w:hAnsi="Times New Roman"/>
                          <w:sz w:val="20"/>
                          <w:szCs w:val="20"/>
                        </w:rPr>
                        <w:t xml:space="preserve"> (</w:t>
                      </w:r>
                      <m:oMath>
                        <m:r>
                          <w:rPr>
                            <w:rFonts w:ascii="Cambria Math" w:hAnsi="Cambria Math"/>
                            <w:sz w:val="20"/>
                            <w:szCs w:val="20"/>
                          </w:rPr>
                          <m:t>НГД</m:t>
                        </m:r>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P</m:t>
                                </m:r>
                              </m:e>
                              <m:sub>
                                <m:r>
                                  <w:rPr>
                                    <w:rFonts w:ascii="Cambria Math" w:hAnsi="Cambria Math"/>
                                    <w:sz w:val="20"/>
                                    <w:szCs w:val="20"/>
                                  </w:rPr>
                                  <m:t>баз</m:t>
                                </m:r>
                              </m:sub>
                            </m:sSub>
                            <m:r>
                              <w:rPr>
                                <w:rFonts w:ascii="Cambria Math" w:hAnsi="Cambria Math"/>
                                <w:sz w:val="20"/>
                                <w:szCs w:val="20"/>
                              </w:rPr>
                              <m:t>,</m:t>
                            </m:r>
                            <m:sSub>
                              <m:sSubPr>
                                <m:ctrlPr>
                                  <w:rPr>
                                    <w:rFonts w:ascii="Cambria Math" w:hAnsi="Cambria Math"/>
                                    <w:i/>
                                    <w:sz w:val="20"/>
                                    <w:szCs w:val="20"/>
                                    <w:lang w:val="en-US"/>
                                  </w:rPr>
                                </m:ctrlPr>
                              </m:sSubPr>
                              <m:e>
                                <m:r>
                                  <w:rPr>
                                    <w:rFonts w:ascii="Cambria Math" w:hAnsi="Cambria Math"/>
                                    <w:sz w:val="20"/>
                                    <w:szCs w:val="20"/>
                                    <w:lang w:val="en-US"/>
                                  </w:rPr>
                                  <m:t>FX</m:t>
                                </m:r>
                              </m:e>
                              <m:sub>
                                <m:r>
                                  <w:rPr>
                                    <w:rFonts w:ascii="Cambria Math" w:hAnsi="Cambria Math"/>
                                    <w:sz w:val="20"/>
                                    <w:szCs w:val="20"/>
                                  </w:rPr>
                                  <m:t>факт</m:t>
                                </m:r>
                              </m:sub>
                            </m:sSub>
                          </m:e>
                        </m:d>
                      </m:oMath>
                      <w:r w:rsidRPr="00BF1AEF">
                        <w:rPr>
                          <w:rFonts w:ascii="Times New Roman" w:hAnsi="Times New Roman"/>
                          <w:sz w:val="20"/>
                          <w:szCs w:val="20"/>
                        </w:rPr>
                        <w:t>);</w:t>
                      </w:r>
                    </w:p>
                    <w:p w:rsidR="007E5DFE" w:rsidRPr="00AF6149" w:rsidRDefault="007E5DFE" w:rsidP="00B40965">
                      <w:pPr>
                        <w:spacing w:beforeLines="60" w:before="144" w:afterLines="60" w:after="144"/>
                        <w:jc w:val="both"/>
                        <w:rPr>
                          <w:rFonts w:ascii="Times New Roman" w:hAnsi="Times New Roman"/>
                          <w:sz w:val="20"/>
                          <w:szCs w:val="28"/>
                        </w:rPr>
                      </w:pPr>
                      <m:oMathPara>
                        <m:oMath>
                          <m:r>
                            <w:rPr>
                              <w:rFonts w:ascii="Cambria Math" w:hAnsi="Cambria Math"/>
                              <w:sz w:val="20"/>
                              <w:szCs w:val="28"/>
                            </w:rPr>
                            <m:t>∆ФНБ=</m:t>
                          </m:r>
                          <m:r>
                            <w:rPr>
                              <w:rFonts w:ascii="Cambria Math" w:hAnsi="Cambria Math"/>
                              <w:sz w:val="20"/>
                              <w:szCs w:val="20"/>
                            </w:rPr>
                            <m:t>НГД</m:t>
                          </m:r>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P</m:t>
                                  </m:r>
                                </m:e>
                                <m:sub>
                                  <m:r>
                                    <w:rPr>
                                      <w:rFonts w:ascii="Cambria Math" w:hAnsi="Cambria Math"/>
                                      <w:sz w:val="20"/>
                                      <w:szCs w:val="20"/>
                                    </w:rPr>
                                    <m:t>факт</m:t>
                                  </m:r>
                                </m:sub>
                              </m:sSub>
                              <m:r>
                                <w:rPr>
                                  <w:rFonts w:ascii="Cambria Math" w:hAnsi="Cambria Math"/>
                                  <w:sz w:val="20"/>
                                  <w:szCs w:val="20"/>
                                </w:rPr>
                                <m:t>,</m:t>
                              </m:r>
                              <m:sSub>
                                <m:sSubPr>
                                  <m:ctrlPr>
                                    <w:rPr>
                                      <w:rFonts w:ascii="Cambria Math" w:hAnsi="Cambria Math"/>
                                      <w:i/>
                                      <w:sz w:val="20"/>
                                      <w:szCs w:val="20"/>
                                      <w:lang w:val="en-US"/>
                                    </w:rPr>
                                  </m:ctrlPr>
                                </m:sSubPr>
                                <m:e>
                                  <m:r>
                                    <w:rPr>
                                      <w:rFonts w:ascii="Cambria Math" w:hAnsi="Cambria Math"/>
                                      <w:sz w:val="20"/>
                                      <w:szCs w:val="20"/>
                                      <w:lang w:val="en-US"/>
                                    </w:rPr>
                                    <m:t>FX</m:t>
                                  </m:r>
                                </m:e>
                                <m:sub>
                                  <m:r>
                                    <w:rPr>
                                      <w:rFonts w:ascii="Cambria Math" w:hAnsi="Cambria Math"/>
                                      <w:sz w:val="20"/>
                                      <w:szCs w:val="20"/>
                                    </w:rPr>
                                    <m:t>факт</m:t>
                                  </m:r>
                                </m:sub>
                              </m:sSub>
                            </m:e>
                          </m:d>
                          <m:r>
                            <w:rPr>
                              <w:rFonts w:ascii="Cambria Math" w:hAnsi="Cambria Math"/>
                              <w:sz w:val="20"/>
                              <w:szCs w:val="28"/>
                            </w:rPr>
                            <m:t>-</m:t>
                          </m:r>
                          <m:r>
                            <w:rPr>
                              <w:rFonts w:ascii="Cambria Math" w:hAnsi="Cambria Math"/>
                              <w:sz w:val="20"/>
                              <w:szCs w:val="20"/>
                            </w:rPr>
                            <m:t>НГД</m:t>
                          </m:r>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P</m:t>
                                  </m:r>
                                </m:e>
                                <m:sub>
                                  <m:r>
                                    <w:rPr>
                                      <w:rFonts w:ascii="Cambria Math" w:hAnsi="Cambria Math"/>
                                      <w:sz w:val="20"/>
                                      <w:szCs w:val="20"/>
                                    </w:rPr>
                                    <m:t>баз</m:t>
                                  </m:r>
                                </m:sub>
                              </m:sSub>
                              <m:r>
                                <w:rPr>
                                  <w:rFonts w:ascii="Cambria Math" w:hAnsi="Cambria Math"/>
                                  <w:sz w:val="20"/>
                                  <w:szCs w:val="20"/>
                                </w:rPr>
                                <m:t>,</m:t>
                              </m:r>
                              <m:sSub>
                                <m:sSubPr>
                                  <m:ctrlPr>
                                    <w:rPr>
                                      <w:rFonts w:ascii="Cambria Math" w:hAnsi="Cambria Math"/>
                                      <w:i/>
                                      <w:sz w:val="20"/>
                                      <w:szCs w:val="20"/>
                                      <w:lang w:val="en-US"/>
                                    </w:rPr>
                                  </m:ctrlPr>
                                </m:sSubPr>
                                <m:e>
                                  <m:r>
                                    <w:rPr>
                                      <w:rFonts w:ascii="Cambria Math" w:hAnsi="Cambria Math"/>
                                      <w:sz w:val="20"/>
                                      <w:szCs w:val="20"/>
                                      <w:lang w:val="en-US"/>
                                    </w:rPr>
                                    <m:t>FX</m:t>
                                  </m:r>
                                </m:e>
                                <m:sub>
                                  <m:r>
                                    <w:rPr>
                                      <w:rFonts w:ascii="Cambria Math" w:hAnsi="Cambria Math"/>
                                      <w:sz w:val="20"/>
                                      <w:szCs w:val="20"/>
                                    </w:rPr>
                                    <m:t>факт</m:t>
                                  </m:r>
                                </m:sub>
                              </m:sSub>
                            </m:e>
                          </m:d>
                        </m:oMath>
                      </m:oMathPara>
                    </w:p>
                    <w:p w:rsidR="007E5DFE" w:rsidRPr="005230C8" w:rsidRDefault="007E5DFE" w:rsidP="005230C8">
                      <w:pPr>
                        <w:spacing w:before="120" w:after="120" w:line="264" w:lineRule="auto"/>
                        <w:ind w:left="-3"/>
                        <w:jc w:val="both"/>
                        <w:rPr>
                          <w:rFonts w:ascii="Times New Roman" w:eastAsiaTheme="minorHAnsi" w:hAnsi="Times New Roman"/>
                          <w:b/>
                          <w:sz w:val="20"/>
                          <w:szCs w:val="28"/>
                        </w:rPr>
                      </w:pPr>
                    </w:p>
                  </w:txbxContent>
                </v:textbox>
                <w10:wrap type="square" anchorx="margin"/>
              </v:shape>
            </w:pict>
          </mc:Fallback>
        </mc:AlternateContent>
      </w:r>
      <w:r w:rsidR="004743D0" w:rsidRPr="004743D0">
        <w:rPr>
          <w:rFonts w:ascii="Times New Roman" w:hAnsi="Times New Roman"/>
          <w:sz w:val="24"/>
          <w:szCs w:val="24"/>
        </w:rPr>
        <w:t xml:space="preserve">Именно в такой конструкции </w:t>
      </w:r>
      <w:r w:rsidR="004743D0">
        <w:rPr>
          <w:rFonts w:ascii="Times New Roman" w:hAnsi="Times New Roman"/>
          <w:sz w:val="24"/>
          <w:szCs w:val="24"/>
        </w:rPr>
        <w:t>разработан</w:t>
      </w:r>
      <w:r>
        <w:rPr>
          <w:rFonts w:ascii="Times New Roman" w:hAnsi="Times New Roman"/>
          <w:sz w:val="24"/>
          <w:szCs w:val="24"/>
        </w:rPr>
        <w:t>ы</w:t>
      </w:r>
      <w:r w:rsidR="004743D0">
        <w:rPr>
          <w:rFonts w:ascii="Times New Roman" w:hAnsi="Times New Roman"/>
          <w:sz w:val="24"/>
          <w:szCs w:val="24"/>
        </w:rPr>
        <w:t xml:space="preserve"> новые бюджетные правила</w:t>
      </w:r>
      <w:r>
        <w:rPr>
          <w:rFonts w:ascii="Times New Roman" w:hAnsi="Times New Roman"/>
          <w:sz w:val="24"/>
          <w:szCs w:val="24"/>
        </w:rPr>
        <w:t xml:space="preserve"> (см. вставку «Новая конструкция бюджетных правил»)</w:t>
      </w:r>
      <w:r w:rsidR="004743D0">
        <w:rPr>
          <w:rFonts w:ascii="Times New Roman" w:hAnsi="Times New Roman"/>
          <w:sz w:val="24"/>
          <w:szCs w:val="24"/>
        </w:rPr>
        <w:t xml:space="preserve">. </w:t>
      </w:r>
      <w:proofErr w:type="gramStart"/>
      <w:r>
        <w:rPr>
          <w:rFonts w:ascii="Times New Roman" w:hAnsi="Times New Roman"/>
          <w:sz w:val="24"/>
          <w:szCs w:val="24"/>
        </w:rPr>
        <w:t xml:space="preserve">Следование таким правилам </w:t>
      </w:r>
      <w:r w:rsidR="004E2069" w:rsidRPr="001B76F6">
        <w:rPr>
          <w:rFonts w:ascii="Times New Roman" w:hAnsi="Times New Roman"/>
          <w:sz w:val="24"/>
          <w:szCs w:val="24"/>
        </w:rPr>
        <w:t xml:space="preserve">позволит не только </w:t>
      </w:r>
      <w:r w:rsidR="004743D0">
        <w:rPr>
          <w:rFonts w:ascii="Times New Roman" w:hAnsi="Times New Roman"/>
          <w:sz w:val="24"/>
          <w:szCs w:val="24"/>
        </w:rPr>
        <w:t xml:space="preserve">(1) </w:t>
      </w:r>
      <w:r w:rsidR="004E2069" w:rsidRPr="00F06DF5">
        <w:rPr>
          <w:rFonts w:ascii="Times New Roman" w:hAnsi="Times New Roman"/>
          <w:sz w:val="24"/>
          <w:szCs w:val="24"/>
        </w:rPr>
        <w:t>снизить зависимость федерального бюджета от цен на нефть и гарантировать исполнение всех обязательств государства</w:t>
      </w:r>
      <w:r w:rsidR="004E2069" w:rsidRPr="001B76F6">
        <w:rPr>
          <w:rFonts w:ascii="Times New Roman" w:hAnsi="Times New Roman"/>
          <w:sz w:val="24"/>
          <w:szCs w:val="24"/>
        </w:rPr>
        <w:t xml:space="preserve"> независимо от кратко/среднесрочной волатильности цен на нефть и фазы долгосрочных сырьевых циклов, но также </w:t>
      </w:r>
      <w:r w:rsidR="004E2069" w:rsidRPr="00F06DF5">
        <w:rPr>
          <w:rFonts w:ascii="Times New Roman" w:hAnsi="Times New Roman"/>
          <w:sz w:val="24"/>
          <w:szCs w:val="24"/>
        </w:rPr>
        <w:t xml:space="preserve">будет </w:t>
      </w:r>
      <w:r w:rsidR="004743D0">
        <w:rPr>
          <w:rFonts w:ascii="Times New Roman" w:hAnsi="Times New Roman"/>
          <w:sz w:val="24"/>
          <w:szCs w:val="24"/>
        </w:rPr>
        <w:t xml:space="preserve">(2) </w:t>
      </w:r>
      <w:r w:rsidR="004E2069" w:rsidRPr="00F06DF5">
        <w:rPr>
          <w:rFonts w:ascii="Times New Roman" w:hAnsi="Times New Roman"/>
          <w:sz w:val="24"/>
          <w:szCs w:val="24"/>
        </w:rPr>
        <w:t>способствовать формированию предсказуемых макроэкономических условий</w:t>
      </w:r>
      <w:r w:rsidR="004E2069" w:rsidRPr="001B76F6">
        <w:rPr>
          <w:rFonts w:ascii="Times New Roman" w:hAnsi="Times New Roman"/>
          <w:sz w:val="24"/>
          <w:szCs w:val="24"/>
        </w:rPr>
        <w:t>, необходимых для обеспечения устойчивого роста экономики и</w:t>
      </w:r>
      <w:r w:rsidR="004E2069">
        <w:rPr>
          <w:rFonts w:ascii="Times New Roman" w:hAnsi="Times New Roman"/>
          <w:sz w:val="24"/>
          <w:szCs w:val="24"/>
        </w:rPr>
        <w:t xml:space="preserve"> </w:t>
      </w:r>
      <w:r w:rsidR="004743D0">
        <w:rPr>
          <w:rFonts w:ascii="Times New Roman" w:hAnsi="Times New Roman"/>
          <w:sz w:val="24"/>
          <w:szCs w:val="24"/>
        </w:rPr>
        <w:t xml:space="preserve">(3) </w:t>
      </w:r>
      <w:r w:rsidR="004E2069" w:rsidRPr="001B76F6">
        <w:rPr>
          <w:rFonts w:ascii="Times New Roman" w:hAnsi="Times New Roman"/>
          <w:sz w:val="24"/>
          <w:szCs w:val="24"/>
        </w:rPr>
        <w:t>благоприятствовать проводимой Банком</w:t>
      </w:r>
      <w:r w:rsidR="004E2069">
        <w:rPr>
          <w:rFonts w:ascii="Times New Roman" w:hAnsi="Times New Roman"/>
          <w:sz w:val="24"/>
          <w:szCs w:val="24"/>
        </w:rPr>
        <w:t xml:space="preserve"> России политике </w:t>
      </w:r>
      <w:proofErr w:type="spellStart"/>
      <w:r w:rsidR="004E2069">
        <w:rPr>
          <w:rFonts w:ascii="Times New Roman" w:hAnsi="Times New Roman"/>
          <w:sz w:val="24"/>
          <w:szCs w:val="24"/>
        </w:rPr>
        <w:t>таргетирования</w:t>
      </w:r>
      <w:proofErr w:type="spellEnd"/>
      <w:r w:rsidR="004E2069">
        <w:rPr>
          <w:rFonts w:ascii="Times New Roman" w:hAnsi="Times New Roman"/>
          <w:sz w:val="24"/>
          <w:szCs w:val="24"/>
        </w:rPr>
        <w:t xml:space="preserve"> инфляции.</w:t>
      </w:r>
      <w:proofErr w:type="gramEnd"/>
    </w:p>
    <w:p w:rsidR="005230C8" w:rsidRDefault="00796C67" w:rsidP="004743D0">
      <w:pPr>
        <w:spacing w:before="120" w:after="120"/>
        <w:jc w:val="both"/>
        <w:rPr>
          <w:rFonts w:ascii="Times New Roman" w:hAnsi="Times New Roman"/>
          <w:sz w:val="24"/>
          <w:szCs w:val="24"/>
        </w:rPr>
      </w:pPr>
      <w:r>
        <w:rPr>
          <w:rFonts w:asciiTheme="minorHAnsi" w:hAnsiTheme="minorHAnsi" w:cstheme="minorBidi"/>
          <w:noProof/>
          <w:lang w:eastAsia="ru-RU"/>
        </w:rPr>
        <mc:AlternateContent>
          <mc:Choice Requires="wps">
            <w:drawing>
              <wp:anchor distT="45720" distB="45720" distL="114300" distR="114300" simplePos="0" relativeHeight="251664896" behindDoc="0" locked="0" layoutInCell="1" allowOverlap="1" wp14:anchorId="10CAD5E2" wp14:editId="507BFB7E">
                <wp:simplePos x="0" y="0"/>
                <wp:positionH relativeFrom="margin">
                  <wp:posOffset>-41969</wp:posOffset>
                </wp:positionH>
                <wp:positionV relativeFrom="paragraph">
                  <wp:posOffset>-32385</wp:posOffset>
                </wp:positionV>
                <wp:extent cx="5851525" cy="8963025"/>
                <wp:effectExtent l="0" t="0" r="0" b="9525"/>
                <wp:wrapSquare wrapText="bothSides"/>
                <wp:docPr id="1046"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1525" cy="8963025"/>
                        </a:xfrm>
                        <a:prstGeom prst="rect">
                          <a:avLst/>
                        </a:prstGeom>
                        <a:solidFill>
                          <a:schemeClr val="bg1">
                            <a:lumMod val="95000"/>
                          </a:schemeClr>
                        </a:solidFill>
                        <a:ln w="9525">
                          <a:noFill/>
                          <a:miter lim="800000"/>
                          <a:headEnd/>
                          <a:tailEnd/>
                        </a:ln>
                      </wps:spPr>
                      <wps:txbx>
                        <w:txbxContent>
                          <w:p w:rsidR="007E5DFE" w:rsidRPr="00561910" w:rsidRDefault="007E5DFE" w:rsidP="00796C67">
                            <w:pPr>
                              <w:pStyle w:val="a9"/>
                              <w:tabs>
                                <w:tab w:val="left" w:pos="1418"/>
                                <w:tab w:val="left" w:pos="3969"/>
                                <w:tab w:val="left" w:pos="4536"/>
                              </w:tabs>
                              <w:spacing w:before="120" w:after="0"/>
                              <w:ind w:left="357"/>
                              <w:contextualSpacing w:val="0"/>
                              <w:jc w:val="center"/>
                              <w:rPr>
                                <w:rFonts w:ascii="Times New Roman" w:eastAsiaTheme="minorEastAsia" w:hAnsi="Times New Roman"/>
                                <w:sz w:val="20"/>
                                <w:szCs w:val="28"/>
                              </w:rPr>
                            </w:pPr>
                            <w:r w:rsidRPr="00561910">
                              <w:rPr>
                                <w:rFonts w:ascii="Times New Roman" w:hAnsi="Times New Roman"/>
                                <w:sz w:val="20"/>
                                <w:szCs w:val="28"/>
                              </w:rPr>
                              <w:t xml:space="preserve">если </w:t>
                            </w:r>
                            <m:oMath>
                              <m:r>
                                <w:rPr>
                                  <w:rFonts w:ascii="Cambria Math" w:hAnsi="Cambria Math"/>
                                  <w:sz w:val="20"/>
                                  <w:szCs w:val="28"/>
                                </w:rPr>
                                <m:t>∆ФНБ&gt;0</m:t>
                              </m:r>
                            </m:oMath>
                            <w:r w:rsidRPr="00561910">
                              <w:rPr>
                                <w:rFonts w:ascii="Times New Roman" w:eastAsiaTheme="minorEastAsia" w:hAnsi="Times New Roman"/>
                                <w:sz w:val="20"/>
                                <w:szCs w:val="28"/>
                              </w:rPr>
                              <w:t xml:space="preserve">, происходит накопление </w:t>
                            </w:r>
                            <w:r>
                              <w:rPr>
                                <w:rFonts w:ascii="Times New Roman" w:eastAsiaTheme="minorEastAsia" w:hAnsi="Times New Roman"/>
                                <w:sz w:val="20"/>
                                <w:szCs w:val="28"/>
                              </w:rPr>
                              <w:t>Фонда национального благосостояния</w:t>
                            </w:r>
                          </w:p>
                          <w:p w:rsidR="007E5DFE" w:rsidRPr="00561910" w:rsidRDefault="007E5DFE" w:rsidP="00796C67">
                            <w:pPr>
                              <w:pStyle w:val="a9"/>
                              <w:tabs>
                                <w:tab w:val="left" w:pos="1418"/>
                                <w:tab w:val="left" w:pos="3969"/>
                                <w:tab w:val="left" w:pos="4536"/>
                              </w:tabs>
                              <w:spacing w:after="120"/>
                              <w:ind w:left="357"/>
                              <w:contextualSpacing w:val="0"/>
                              <w:jc w:val="center"/>
                              <w:rPr>
                                <w:rFonts w:ascii="Times New Roman" w:eastAsiaTheme="minorEastAsia" w:hAnsi="Times New Roman"/>
                                <w:sz w:val="20"/>
                                <w:szCs w:val="28"/>
                              </w:rPr>
                            </w:pPr>
                            <w:r w:rsidRPr="00561910">
                              <w:rPr>
                                <w:rFonts w:ascii="Times New Roman" w:hAnsi="Times New Roman"/>
                                <w:sz w:val="20"/>
                                <w:szCs w:val="28"/>
                              </w:rPr>
                              <w:t xml:space="preserve">если </w:t>
                            </w:r>
                            <m:oMath>
                              <m:r>
                                <w:rPr>
                                  <w:rFonts w:ascii="Cambria Math" w:hAnsi="Cambria Math"/>
                                  <w:sz w:val="20"/>
                                  <w:szCs w:val="28"/>
                                </w:rPr>
                                <m:t>∆ФНБ&lt;0</m:t>
                              </m:r>
                            </m:oMath>
                            <w:r w:rsidRPr="00561910">
                              <w:rPr>
                                <w:rFonts w:ascii="Times New Roman" w:eastAsiaTheme="minorEastAsia" w:hAnsi="Times New Roman"/>
                                <w:sz w:val="20"/>
                                <w:szCs w:val="28"/>
                              </w:rPr>
                              <w:t xml:space="preserve">, происходит расходование </w:t>
                            </w:r>
                            <w:r>
                              <w:rPr>
                                <w:rFonts w:ascii="Times New Roman" w:eastAsiaTheme="minorEastAsia" w:hAnsi="Times New Roman"/>
                                <w:sz w:val="20"/>
                                <w:szCs w:val="28"/>
                              </w:rPr>
                              <w:t>Фонда национального благосостояния</w:t>
                            </w:r>
                          </w:p>
                          <w:p w:rsidR="007E5DFE" w:rsidRPr="00796C67" w:rsidRDefault="007E5DFE" w:rsidP="00F73373">
                            <w:pPr>
                              <w:pStyle w:val="a9"/>
                              <w:spacing w:before="60" w:after="60"/>
                              <w:ind w:left="357"/>
                              <w:contextualSpacing w:val="0"/>
                              <w:jc w:val="both"/>
                              <w:rPr>
                                <w:rFonts w:ascii="Times New Roman" w:hAnsi="Times New Roman"/>
                                <w:b/>
                                <w:i/>
                                <w:sz w:val="20"/>
                                <w:szCs w:val="28"/>
                              </w:rPr>
                            </w:pPr>
                            <w:r w:rsidRPr="00796C67">
                              <w:rPr>
                                <w:rFonts w:ascii="Times New Roman" w:hAnsi="Times New Roman"/>
                                <w:i/>
                                <w:sz w:val="20"/>
                                <w:szCs w:val="28"/>
                              </w:rPr>
                              <w:t xml:space="preserve">Пополнение/использование средств </w:t>
                            </w:r>
                            <w:r>
                              <w:rPr>
                                <w:rFonts w:ascii="Times New Roman" w:hAnsi="Times New Roman"/>
                                <w:i/>
                                <w:sz w:val="20"/>
                                <w:szCs w:val="28"/>
                              </w:rPr>
                              <w:t>Фонда национального благосостояния</w:t>
                            </w:r>
                            <w:r w:rsidRPr="00796C67">
                              <w:rPr>
                                <w:rFonts w:ascii="Times New Roman" w:hAnsi="Times New Roman"/>
                                <w:i/>
                                <w:sz w:val="20"/>
                                <w:szCs w:val="28"/>
                              </w:rPr>
                              <w:t xml:space="preserve"> осуществляется посредством операций на внутреннем валютном рынке.</w:t>
                            </w:r>
                          </w:p>
                          <w:p w:rsidR="007E5DFE" w:rsidRPr="00AF6149" w:rsidRDefault="007E5DFE" w:rsidP="00F73373">
                            <w:pPr>
                              <w:pStyle w:val="a9"/>
                              <w:spacing w:before="60" w:after="60"/>
                              <w:ind w:left="357"/>
                              <w:contextualSpacing w:val="0"/>
                              <w:jc w:val="both"/>
                              <w:rPr>
                                <w:rFonts w:ascii="Times New Roman" w:hAnsi="Times New Roman"/>
                                <w:b/>
                                <w:sz w:val="20"/>
                                <w:szCs w:val="28"/>
                              </w:rPr>
                            </w:pPr>
                            <w:r>
                              <w:rPr>
                                <w:rFonts w:ascii="Times New Roman" w:hAnsi="Times New Roman"/>
                                <w:b/>
                                <w:sz w:val="20"/>
                                <w:szCs w:val="28"/>
                              </w:rPr>
                              <w:t>Такой</w:t>
                            </w:r>
                            <w:r w:rsidRPr="00561910">
                              <w:rPr>
                                <w:rFonts w:ascii="Times New Roman" w:hAnsi="Times New Roman"/>
                                <w:b/>
                                <w:sz w:val="20"/>
                                <w:szCs w:val="28"/>
                              </w:rPr>
                              <w:t xml:space="preserve"> механизм пополнения/</w:t>
                            </w:r>
                            <w:r>
                              <w:rPr>
                                <w:rFonts w:ascii="Times New Roman" w:hAnsi="Times New Roman"/>
                                <w:b/>
                                <w:sz w:val="20"/>
                                <w:szCs w:val="28"/>
                              </w:rPr>
                              <w:t>использования средств</w:t>
                            </w:r>
                            <w:r w:rsidRPr="00561910">
                              <w:rPr>
                                <w:rFonts w:ascii="Times New Roman" w:hAnsi="Times New Roman"/>
                                <w:b/>
                                <w:sz w:val="20"/>
                                <w:szCs w:val="28"/>
                              </w:rPr>
                              <w:t xml:space="preserve"> </w:t>
                            </w:r>
                            <w:r>
                              <w:rPr>
                                <w:rFonts w:ascii="Times New Roman" w:hAnsi="Times New Roman"/>
                                <w:b/>
                                <w:sz w:val="20"/>
                                <w:szCs w:val="28"/>
                              </w:rPr>
                              <w:t>ФНБ</w:t>
                            </w:r>
                            <w:r w:rsidRPr="00561910">
                              <w:rPr>
                                <w:rFonts w:ascii="Times New Roman" w:hAnsi="Times New Roman"/>
                                <w:b/>
                                <w:sz w:val="20"/>
                                <w:szCs w:val="28"/>
                              </w:rPr>
                              <w:t xml:space="preserve"> позволяет обеспечить </w:t>
                            </w:r>
                            <w:r>
                              <w:rPr>
                                <w:rFonts w:ascii="Times New Roman" w:hAnsi="Times New Roman"/>
                                <w:b/>
                                <w:sz w:val="20"/>
                                <w:szCs w:val="28"/>
                              </w:rPr>
                              <w:t xml:space="preserve">накопление/реализацию иностранных активов </w:t>
                            </w:r>
                            <w:r w:rsidRPr="00561910">
                              <w:rPr>
                                <w:rFonts w:ascii="Times New Roman" w:hAnsi="Times New Roman"/>
                                <w:b/>
                                <w:sz w:val="20"/>
                                <w:szCs w:val="28"/>
                              </w:rPr>
                              <w:t xml:space="preserve">в направлении и объемах, обеспечивающих снижение зависимости </w:t>
                            </w:r>
                            <w:r>
                              <w:rPr>
                                <w:rFonts w:ascii="Times New Roman" w:hAnsi="Times New Roman"/>
                                <w:b/>
                                <w:sz w:val="20"/>
                                <w:szCs w:val="28"/>
                              </w:rPr>
                              <w:t xml:space="preserve">реального эффективного курса </w:t>
                            </w:r>
                            <w:r w:rsidRPr="00561910">
                              <w:rPr>
                                <w:rFonts w:ascii="Times New Roman" w:hAnsi="Times New Roman"/>
                                <w:b/>
                                <w:sz w:val="20"/>
                                <w:szCs w:val="28"/>
                              </w:rPr>
                              <w:t>рубля от колебаний цен на нефть</w:t>
                            </w:r>
                            <w:r w:rsidRPr="00AF6149">
                              <w:rPr>
                                <w:rFonts w:ascii="Times New Roman" w:hAnsi="Times New Roman"/>
                                <w:b/>
                                <w:sz w:val="20"/>
                                <w:szCs w:val="28"/>
                              </w:rPr>
                              <w:t>.</w:t>
                            </w:r>
                          </w:p>
                          <w:tbl>
                            <w:tblPr>
                              <w:tblStyle w:val="Smalltable"/>
                              <w:tblW w:w="8425" w:type="dxa"/>
                              <w:jc w:val="center"/>
                              <w:tblInd w:w="0" w:type="dxa"/>
                              <w:tblLook w:val="04A0" w:firstRow="1" w:lastRow="0" w:firstColumn="1" w:lastColumn="0" w:noHBand="0" w:noVBand="1"/>
                            </w:tblPr>
                            <w:tblGrid>
                              <w:gridCol w:w="8425"/>
                            </w:tblGrid>
                            <w:tr w:rsidR="007E5DFE" w:rsidTr="00E63E11">
                              <w:trPr>
                                <w:trHeight w:val="198"/>
                                <w:jc w:val="center"/>
                              </w:trPr>
                              <w:tc>
                                <w:tcPr>
                                  <w:tcW w:w="8425" w:type="dxa"/>
                                  <w:tcMar>
                                    <w:top w:w="0" w:type="dxa"/>
                                    <w:bottom w:w="0" w:type="dxa"/>
                                  </w:tcMar>
                                  <w:hideMark/>
                                </w:tcPr>
                                <w:p w:rsidR="007E5DFE" w:rsidRDefault="007E5DFE" w:rsidP="00796C67">
                                  <w:pPr>
                                    <w:pStyle w:val="GraphTitle"/>
                                    <w:rPr>
                                      <w:rFonts w:ascii="Times New Roman" w:hAnsi="Times New Roman" w:cs="Times New Roman"/>
                                      <w:b/>
                                      <w:sz w:val="20"/>
                                      <w:szCs w:val="20"/>
                                      <w:lang w:val="ru-RU" w:eastAsia="en-US"/>
                                    </w:rPr>
                                  </w:pPr>
                                  <w:r>
                                    <w:rPr>
                                      <w:rFonts w:ascii="Times New Roman" w:hAnsi="Times New Roman" w:cs="Times New Roman"/>
                                      <w:b/>
                                      <w:sz w:val="20"/>
                                      <w:szCs w:val="20"/>
                                      <w:lang w:val="ru-RU"/>
                                    </w:rPr>
                                    <w:t>Чувствительность обменного курса рубля к ценам на нефть*</w:t>
                                  </w:r>
                                </w:p>
                              </w:tc>
                            </w:tr>
                            <w:tr w:rsidR="007E5DFE" w:rsidTr="00E63E11">
                              <w:trPr>
                                <w:trHeight w:hRule="exact" w:val="28"/>
                                <w:jc w:val="center"/>
                              </w:trPr>
                              <w:tc>
                                <w:tcPr>
                                  <w:tcW w:w="8425" w:type="dxa"/>
                                  <w:tcBorders>
                                    <w:top w:val="nil"/>
                                    <w:left w:val="nil"/>
                                    <w:bottom w:val="single" w:sz="4" w:space="0" w:color="auto"/>
                                    <w:right w:val="nil"/>
                                  </w:tcBorders>
                                  <w:tcMar>
                                    <w:top w:w="0" w:type="dxa"/>
                                    <w:bottom w:w="0" w:type="dxa"/>
                                  </w:tcMar>
                                </w:tcPr>
                                <w:p w:rsidR="007E5DFE" w:rsidRDefault="007E5DFE" w:rsidP="00796C67">
                                  <w:pPr>
                                    <w:pStyle w:val="TabText"/>
                                    <w:rPr>
                                      <w:rFonts w:ascii="Times New Roman" w:hAnsi="Times New Roman" w:cs="Times New Roman"/>
                                      <w:lang w:val="ru-RU"/>
                                    </w:rPr>
                                  </w:pPr>
                                </w:p>
                              </w:tc>
                            </w:tr>
                            <w:tr w:rsidR="007E5DFE" w:rsidTr="00497B99">
                              <w:tblPrEx>
                                <w:tblCellMar>
                                  <w:left w:w="108" w:type="dxa"/>
                                  <w:right w:w="108" w:type="dxa"/>
                                </w:tblCellMar>
                              </w:tblPrEx>
                              <w:trPr>
                                <w:trHeight w:val="2200"/>
                                <w:jc w:val="center"/>
                              </w:trPr>
                              <w:tc>
                                <w:tcPr>
                                  <w:tcW w:w="8425" w:type="dxa"/>
                                  <w:tcBorders>
                                    <w:top w:val="single" w:sz="4" w:space="0" w:color="auto"/>
                                    <w:left w:val="nil"/>
                                    <w:bottom w:val="single" w:sz="4" w:space="0" w:color="auto"/>
                                    <w:right w:val="nil"/>
                                  </w:tcBorders>
                                  <w:tcMar>
                                    <w:left w:w="0" w:type="nil"/>
                                    <w:right w:w="0" w:type="nil"/>
                                  </w:tcMar>
                                  <w:hideMark/>
                                </w:tcPr>
                                <w:p w:rsidR="007E5DFE" w:rsidRDefault="007E5DFE" w:rsidP="00796C67">
                                  <w:pPr>
                                    <w:pStyle w:val="TabText"/>
                                    <w:jc w:val="center"/>
                                    <w:rPr>
                                      <w:rFonts w:ascii="Times New Roman" w:hAnsi="Times New Roman" w:cs="Times New Roman"/>
                                      <w:lang w:val="ru-RU"/>
                                    </w:rPr>
                                  </w:pPr>
                                  <w:r>
                                    <w:rPr>
                                      <w:noProof/>
                                      <w:lang w:val="ru-RU" w:bidi="ar-SA"/>
                                    </w:rPr>
                                    <w:drawing>
                                      <wp:inline distT="0" distB="0" distL="0" distR="0" wp14:anchorId="1758B3E5" wp14:editId="40FA1841">
                                        <wp:extent cx="4338320" cy="2413591"/>
                                        <wp:effectExtent l="0" t="0" r="0" b="0"/>
                                        <wp:docPr id="1031" name="Диаграмма 103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7E5DFE" w:rsidTr="00E63E11">
                              <w:trPr>
                                <w:trHeight w:val="198"/>
                                <w:jc w:val="center"/>
                              </w:trPr>
                              <w:tc>
                                <w:tcPr>
                                  <w:tcW w:w="8425" w:type="dxa"/>
                                  <w:tcBorders>
                                    <w:top w:val="single" w:sz="4" w:space="0" w:color="auto"/>
                                    <w:left w:val="nil"/>
                                    <w:bottom w:val="nil"/>
                                    <w:right w:val="nil"/>
                                  </w:tcBorders>
                                  <w:tcMar>
                                    <w:top w:w="0" w:type="dxa"/>
                                    <w:bottom w:w="0" w:type="dxa"/>
                                  </w:tcMar>
                                  <w:hideMark/>
                                </w:tcPr>
                                <w:p w:rsidR="007E5DFE" w:rsidRDefault="007E5DFE" w:rsidP="00F73373">
                                  <w:pPr>
                                    <w:pStyle w:val="SourceLarge"/>
                                    <w:spacing w:after="120"/>
                                    <w:rPr>
                                      <w:rFonts w:ascii="Times New Roman" w:hAnsi="Times New Roman" w:cs="Times New Roman"/>
                                      <w:i/>
                                      <w:lang w:val="ru-RU"/>
                                    </w:rPr>
                                  </w:pPr>
                                  <w:r>
                                    <w:rPr>
                                      <w:rFonts w:ascii="Times New Roman" w:hAnsi="Times New Roman" w:cs="Times New Roman"/>
                                      <w:i/>
                                      <w:sz w:val="14"/>
                                      <w:szCs w:val="14"/>
                                      <w:lang w:val="ru-RU"/>
                                    </w:rPr>
                                    <w:t>Источник:</w:t>
                                  </w:r>
                                  <w:r>
                                    <w:rPr>
                                      <w:rFonts w:ascii="Times New Roman" w:hAnsi="Times New Roman" w:cs="Times New Roman"/>
                                      <w:i/>
                                      <w:sz w:val="14"/>
                                      <w:szCs w:val="14"/>
                                    </w:rPr>
                                    <w:t> </w:t>
                                  </w:r>
                                  <w:r>
                                    <w:rPr>
                                      <w:rFonts w:ascii="Times New Roman" w:hAnsi="Times New Roman" w:cs="Times New Roman"/>
                                      <w:i/>
                                      <w:sz w:val="14"/>
                                      <w:szCs w:val="14"/>
                                      <w:lang w:val="ru-RU"/>
                                    </w:rPr>
                                    <w:t>оценки Минфина * в условиях 2017 года</w:t>
                                  </w:r>
                                </w:p>
                              </w:tc>
                            </w:tr>
                          </w:tbl>
                          <w:p w:rsidR="007E5DFE" w:rsidRPr="00AF6149" w:rsidRDefault="007E5DFE" w:rsidP="009F1CCA">
                            <w:pPr>
                              <w:pStyle w:val="a9"/>
                              <w:numPr>
                                <w:ilvl w:val="0"/>
                                <w:numId w:val="33"/>
                              </w:numPr>
                              <w:spacing w:beforeLines="60" w:before="144" w:afterLines="60" w:after="144"/>
                              <w:contextualSpacing w:val="0"/>
                              <w:jc w:val="both"/>
                              <w:rPr>
                                <w:rFonts w:ascii="Times New Roman" w:hAnsi="Times New Roman"/>
                                <w:sz w:val="20"/>
                                <w:szCs w:val="28"/>
                              </w:rPr>
                            </w:pPr>
                            <w:r>
                              <w:rPr>
                                <w:rFonts w:ascii="Times New Roman" w:hAnsi="Times New Roman"/>
                                <w:sz w:val="20"/>
                                <w:szCs w:val="28"/>
                                <w:u w:val="single"/>
                              </w:rPr>
                              <w:t>Объем заимствований.</w:t>
                            </w:r>
                            <w:r w:rsidRPr="00AF6149">
                              <w:rPr>
                                <w:rFonts w:ascii="Times New Roman" w:hAnsi="Times New Roman"/>
                                <w:sz w:val="20"/>
                                <w:szCs w:val="28"/>
                              </w:rPr>
                              <w:t xml:space="preserve"> </w:t>
                            </w:r>
                            <w:r>
                              <w:rPr>
                                <w:rFonts w:ascii="Times New Roman" w:hAnsi="Times New Roman"/>
                                <w:sz w:val="20"/>
                                <w:szCs w:val="28"/>
                              </w:rPr>
                              <w:t xml:space="preserve">Базовый </w:t>
                            </w:r>
                            <w:r w:rsidRPr="00A33705">
                              <w:rPr>
                                <w:rFonts w:ascii="Times New Roman" w:hAnsi="Times New Roman"/>
                                <w:sz w:val="20"/>
                                <w:szCs w:val="28"/>
                              </w:rPr>
                              <w:t>уровень заимствований огранич</w:t>
                            </w:r>
                            <w:r>
                              <w:rPr>
                                <w:rFonts w:ascii="Times New Roman" w:hAnsi="Times New Roman"/>
                                <w:sz w:val="20"/>
                                <w:szCs w:val="28"/>
                              </w:rPr>
                              <w:t>ен</w:t>
                            </w:r>
                            <w:r w:rsidRPr="00A33705">
                              <w:rPr>
                                <w:rFonts w:ascii="Times New Roman" w:hAnsi="Times New Roman"/>
                                <w:sz w:val="20"/>
                                <w:szCs w:val="28"/>
                              </w:rPr>
                              <w:t xml:space="preserve"> объемом расходов по обслуживанию долга (</w:t>
                            </w:r>
                            <w:r>
                              <w:rPr>
                                <w:rFonts w:ascii="Times New Roman" w:hAnsi="Times New Roman"/>
                                <w:sz w:val="20"/>
                                <w:szCs w:val="28"/>
                              </w:rPr>
                              <w:t>~</w:t>
                            </w:r>
                            <w:r w:rsidRPr="00A33705">
                              <w:rPr>
                                <w:rFonts w:ascii="Times New Roman" w:hAnsi="Times New Roman"/>
                                <w:sz w:val="20"/>
                                <w:szCs w:val="28"/>
                              </w:rPr>
                              <w:t>0,8% ВВП в год), что обеспечи</w:t>
                            </w:r>
                            <w:r>
                              <w:rPr>
                                <w:rFonts w:ascii="Times New Roman" w:hAnsi="Times New Roman"/>
                                <w:sz w:val="20"/>
                                <w:szCs w:val="28"/>
                              </w:rPr>
                              <w:t>вае</w:t>
                            </w:r>
                            <w:r w:rsidRPr="00A33705">
                              <w:rPr>
                                <w:rFonts w:ascii="Times New Roman" w:hAnsi="Times New Roman"/>
                                <w:sz w:val="20"/>
                                <w:szCs w:val="28"/>
                              </w:rPr>
                              <w:t xml:space="preserve">т устойчивую динамику </w:t>
                            </w:r>
                            <w:r>
                              <w:rPr>
                                <w:rFonts w:ascii="Times New Roman" w:hAnsi="Times New Roman"/>
                                <w:sz w:val="20"/>
                                <w:szCs w:val="28"/>
                              </w:rPr>
                              <w:t>госдолга</w:t>
                            </w:r>
                            <w:r w:rsidRPr="00A33705">
                              <w:rPr>
                                <w:rFonts w:ascii="Times New Roman" w:hAnsi="Times New Roman"/>
                                <w:sz w:val="20"/>
                                <w:szCs w:val="28"/>
                              </w:rPr>
                              <w:t xml:space="preserve"> к ВВП</w:t>
                            </w:r>
                            <w:r>
                              <w:rPr>
                                <w:rFonts w:ascii="Times New Roman" w:hAnsi="Times New Roman"/>
                                <w:sz w:val="20"/>
                                <w:szCs w:val="28"/>
                              </w:rPr>
                              <w:t xml:space="preserve"> и минимизацию влияния государственных заимствований на % ставки для частного сектора</w:t>
                            </w:r>
                          </w:p>
                          <w:p w:rsidR="007E5DFE" w:rsidRPr="00A33705" w:rsidRDefault="007E5DFE" w:rsidP="00F73373">
                            <w:pPr>
                              <w:spacing w:beforeLines="60" w:before="144" w:afterLines="60" w:after="144"/>
                              <w:jc w:val="both"/>
                              <w:rPr>
                                <w:rFonts w:ascii="Cambria Math" w:hAnsi="Cambria Math"/>
                                <w:i/>
                                <w:sz w:val="20"/>
                                <w:szCs w:val="28"/>
                              </w:rPr>
                            </w:pPr>
                            <m:oMathPara>
                              <m:oMath>
                                <m:r>
                                  <w:rPr>
                                    <w:rFonts w:ascii="Cambria Math" w:hAnsi="Cambria Math"/>
                                    <w:sz w:val="20"/>
                                    <w:szCs w:val="28"/>
                                  </w:rPr>
                                  <m:t>%=∆Долг</m:t>
                                </m:r>
                              </m:oMath>
                            </m:oMathPara>
                          </w:p>
                          <w:p w:rsidR="007E5DFE" w:rsidRDefault="007E5DFE" w:rsidP="00F73373">
                            <w:pPr>
                              <w:pStyle w:val="a9"/>
                              <w:spacing w:beforeLines="60" w:before="144" w:afterLines="60" w:after="144"/>
                              <w:ind w:left="357"/>
                              <w:contextualSpacing w:val="0"/>
                              <w:jc w:val="both"/>
                              <w:rPr>
                                <w:rFonts w:ascii="Times New Roman" w:hAnsi="Times New Roman"/>
                                <w:sz w:val="20"/>
                                <w:szCs w:val="28"/>
                              </w:rPr>
                            </w:pPr>
                            <w:r>
                              <w:rPr>
                                <w:rFonts w:ascii="Times New Roman" w:hAnsi="Times New Roman"/>
                                <w:sz w:val="20"/>
                                <w:szCs w:val="28"/>
                              </w:rPr>
                              <w:t xml:space="preserve">При этом в целях недопущения </w:t>
                            </w:r>
                            <w:r w:rsidRPr="00A33705">
                              <w:rPr>
                                <w:rFonts w:ascii="Times New Roman" w:hAnsi="Times New Roman"/>
                                <w:sz w:val="20"/>
                                <w:szCs w:val="28"/>
                              </w:rPr>
                              <w:t>замещени</w:t>
                            </w:r>
                            <w:r>
                              <w:rPr>
                                <w:rFonts w:ascii="Times New Roman" w:hAnsi="Times New Roman"/>
                                <w:sz w:val="20"/>
                                <w:szCs w:val="28"/>
                              </w:rPr>
                              <w:t>я</w:t>
                            </w:r>
                            <w:r w:rsidRPr="00A33705">
                              <w:rPr>
                                <w:rFonts w:ascii="Times New Roman" w:hAnsi="Times New Roman"/>
                                <w:sz w:val="20"/>
                                <w:szCs w:val="28"/>
                              </w:rPr>
                              <w:t xml:space="preserve"> средствами </w:t>
                            </w:r>
                            <w:r>
                              <w:rPr>
                                <w:rFonts w:ascii="Times New Roman" w:hAnsi="Times New Roman"/>
                                <w:sz w:val="20"/>
                                <w:szCs w:val="28"/>
                              </w:rPr>
                              <w:t>ФНБ</w:t>
                            </w:r>
                            <w:r w:rsidRPr="00A33705">
                              <w:rPr>
                                <w:rFonts w:ascii="Times New Roman" w:hAnsi="Times New Roman"/>
                                <w:sz w:val="20"/>
                                <w:szCs w:val="28"/>
                              </w:rPr>
                              <w:t xml:space="preserve"> недобора источников финансирования или доходов бюджета, не связанных с отклонением цен на нефть</w:t>
                            </w:r>
                            <w:r>
                              <w:rPr>
                                <w:rFonts w:ascii="Times New Roman" w:hAnsi="Times New Roman"/>
                                <w:sz w:val="20"/>
                                <w:szCs w:val="28"/>
                              </w:rPr>
                              <w:t xml:space="preserve">, уровень заимствований </w:t>
                            </w:r>
                            <w:proofErr w:type="gramStart"/>
                            <w:r>
                              <w:rPr>
                                <w:rFonts w:ascii="Times New Roman" w:hAnsi="Times New Roman"/>
                                <w:sz w:val="20"/>
                                <w:szCs w:val="28"/>
                              </w:rPr>
                              <w:t>увеличивается</w:t>
                            </w:r>
                            <w:proofErr w:type="gramEnd"/>
                            <w:r>
                              <w:rPr>
                                <w:rFonts w:ascii="Times New Roman" w:hAnsi="Times New Roman"/>
                                <w:sz w:val="20"/>
                                <w:szCs w:val="28"/>
                              </w:rPr>
                              <w:t>/уменьшается на соответствующую величину.</w:t>
                            </w:r>
                          </w:p>
                          <w:p w:rsidR="007E5DFE" w:rsidRPr="00A33705" w:rsidRDefault="007E5DFE" w:rsidP="00F73373">
                            <w:pPr>
                              <w:spacing w:beforeLines="60" w:before="144" w:afterLines="60" w:after="144"/>
                              <w:ind w:left="360"/>
                              <w:jc w:val="both"/>
                              <w:rPr>
                                <w:rFonts w:ascii="Cambria Math" w:hAnsi="Cambria Math"/>
                                <w:i/>
                                <w:sz w:val="20"/>
                                <w:szCs w:val="28"/>
                              </w:rPr>
                            </w:pPr>
                            <m:oMathPara>
                              <m:oMath>
                                <m:d>
                                  <m:dPr>
                                    <m:begChr m:val="{"/>
                                    <m:endChr m:val="}"/>
                                    <m:ctrlPr>
                                      <w:rPr>
                                        <w:rFonts w:ascii="Cambria Math" w:hAnsi="Cambria Math"/>
                                        <w:i/>
                                        <w:sz w:val="20"/>
                                        <w:szCs w:val="28"/>
                                      </w:rPr>
                                    </m:ctrlPr>
                                  </m:dPr>
                                  <m:e>
                                    <m:r>
                                      <w:rPr>
                                        <w:rFonts w:ascii="Cambria Math" w:hAnsi="Cambria Math"/>
                                        <w:sz w:val="20"/>
                                        <w:szCs w:val="28"/>
                                      </w:rPr>
                                      <m:t>ННГД</m:t>
                                    </m:r>
                                    <m:d>
                                      <m:dPr>
                                        <m:ctrlPr>
                                          <w:rPr>
                                            <w:rFonts w:ascii="Cambria Math" w:hAnsi="Cambria Math"/>
                                            <w:i/>
                                            <w:sz w:val="20"/>
                                            <w:szCs w:val="28"/>
                                          </w:rPr>
                                        </m:ctrlPr>
                                      </m:dPr>
                                      <m:e>
                                        <m:r>
                                          <w:rPr>
                                            <w:rFonts w:ascii="Cambria Math" w:hAnsi="Cambria Math"/>
                                            <w:sz w:val="20"/>
                                            <w:szCs w:val="28"/>
                                          </w:rPr>
                                          <m:t>факт</m:t>
                                        </m:r>
                                      </m:e>
                                    </m:d>
                                    <m:r>
                                      <w:rPr>
                                        <w:rFonts w:ascii="Cambria Math" w:hAnsi="Cambria Math"/>
                                        <w:sz w:val="20"/>
                                        <w:szCs w:val="28"/>
                                      </w:rPr>
                                      <m:t>-ННГД</m:t>
                                    </m:r>
                                    <m:d>
                                      <m:dPr>
                                        <m:ctrlPr>
                                          <w:rPr>
                                            <w:rFonts w:ascii="Cambria Math" w:hAnsi="Cambria Math"/>
                                            <w:i/>
                                            <w:sz w:val="20"/>
                                            <w:szCs w:val="28"/>
                                          </w:rPr>
                                        </m:ctrlPr>
                                      </m:dPr>
                                      <m:e>
                                        <m:r>
                                          <w:rPr>
                                            <w:rFonts w:ascii="Cambria Math" w:hAnsi="Cambria Math"/>
                                            <w:sz w:val="20"/>
                                            <w:szCs w:val="28"/>
                                          </w:rPr>
                                          <m:t>закон</m:t>
                                        </m:r>
                                      </m:e>
                                    </m:d>
                                  </m:e>
                                </m:d>
                                <m:r>
                                  <w:rPr>
                                    <w:rFonts w:ascii="Cambria Math" w:hAnsi="Cambria Math"/>
                                    <w:sz w:val="20"/>
                                    <w:szCs w:val="28"/>
                                  </w:rPr>
                                  <m:t>=∆Долг</m:t>
                                </m:r>
                              </m:oMath>
                            </m:oMathPara>
                          </w:p>
                          <w:p w:rsidR="007E5DFE" w:rsidRPr="00A33705" w:rsidRDefault="007E5DFE" w:rsidP="00F73373">
                            <w:pPr>
                              <w:pStyle w:val="a9"/>
                              <w:spacing w:beforeLines="60" w:before="144" w:afterLines="60" w:after="144"/>
                              <w:ind w:left="357"/>
                              <w:contextualSpacing w:val="0"/>
                              <w:jc w:val="both"/>
                              <w:rPr>
                                <w:rFonts w:ascii="Times New Roman" w:hAnsi="Times New Roman"/>
                                <w:sz w:val="20"/>
                                <w:szCs w:val="28"/>
                              </w:rPr>
                            </w:pPr>
                            <w:r>
                              <w:rPr>
                                <w:rFonts w:ascii="Times New Roman" w:hAnsi="Times New Roman"/>
                                <w:sz w:val="20"/>
                                <w:szCs w:val="28"/>
                              </w:rPr>
                              <w:t>Обеспечение пополнения/использования средств ФНБ</w:t>
                            </w:r>
                            <w:r w:rsidRPr="00913854">
                              <w:rPr>
                                <w:rFonts w:ascii="Times New Roman" w:hAnsi="Times New Roman"/>
                                <w:sz w:val="20"/>
                                <w:szCs w:val="28"/>
                              </w:rPr>
                              <w:t xml:space="preserve"> </w:t>
                            </w:r>
                            <w:r>
                              <w:rPr>
                                <w:rFonts w:ascii="Times New Roman" w:hAnsi="Times New Roman"/>
                                <w:sz w:val="20"/>
                                <w:szCs w:val="28"/>
                              </w:rPr>
                              <w:t>в объемах согласно п.2, может потребовать дополнительной корректировки объема заимствований на следующую величину:</w:t>
                            </w:r>
                          </w:p>
                          <w:p w:rsidR="007E5DFE" w:rsidRPr="00913854" w:rsidRDefault="007E5DFE" w:rsidP="00F73373">
                            <w:pPr>
                              <w:spacing w:before="240" w:after="240"/>
                              <w:ind w:left="360"/>
                              <w:jc w:val="both"/>
                              <w:rPr>
                                <w:rFonts w:ascii="Cambria Math" w:hAnsi="Cambria Math"/>
                                <w:i/>
                                <w:sz w:val="20"/>
                                <w:szCs w:val="28"/>
                              </w:rPr>
                            </w:pPr>
                            <m:oMathPara>
                              <m:oMath>
                                <m:r>
                                  <w:rPr>
                                    <w:rFonts w:ascii="Cambria Math" w:hAnsi="Cambria Math"/>
                                    <w:sz w:val="20"/>
                                    <w:szCs w:val="28"/>
                                  </w:rPr>
                                  <m:t>НГД</m:t>
                                </m:r>
                                <m:d>
                                  <m:dPr>
                                    <m:ctrlPr>
                                      <w:rPr>
                                        <w:rFonts w:ascii="Cambria Math" w:hAnsi="Cambria Math"/>
                                        <w:i/>
                                        <w:sz w:val="20"/>
                                        <w:szCs w:val="28"/>
                                      </w:rPr>
                                    </m:ctrlPr>
                                  </m:dPr>
                                  <m:e>
                                    <m:sSub>
                                      <m:sSubPr>
                                        <m:ctrlPr>
                                          <w:rPr>
                                            <w:rFonts w:ascii="Cambria Math" w:hAnsi="Cambria Math"/>
                                            <w:i/>
                                            <w:sz w:val="20"/>
                                            <w:szCs w:val="28"/>
                                          </w:rPr>
                                        </m:ctrlPr>
                                      </m:sSubPr>
                                      <m:e>
                                        <m:r>
                                          <w:rPr>
                                            <w:rFonts w:ascii="Cambria Math" w:hAnsi="Cambria Math"/>
                                            <w:sz w:val="20"/>
                                            <w:szCs w:val="28"/>
                                          </w:rPr>
                                          <m:t>P</m:t>
                                        </m:r>
                                      </m:e>
                                      <m:sub>
                                        <m:r>
                                          <w:rPr>
                                            <w:rFonts w:ascii="Cambria Math" w:hAnsi="Cambria Math"/>
                                            <w:sz w:val="20"/>
                                            <w:szCs w:val="28"/>
                                          </w:rPr>
                                          <m:t>баз</m:t>
                                        </m:r>
                                      </m:sub>
                                    </m:sSub>
                                    <m:r>
                                      <w:rPr>
                                        <w:rFonts w:ascii="Cambria Math" w:hAnsi="Cambria Math"/>
                                        <w:sz w:val="20"/>
                                        <w:szCs w:val="28"/>
                                      </w:rPr>
                                      <m:t>,</m:t>
                                    </m:r>
                                    <m:sSub>
                                      <m:sSubPr>
                                        <m:ctrlPr>
                                          <w:rPr>
                                            <w:rFonts w:ascii="Cambria Math" w:hAnsi="Cambria Math"/>
                                            <w:i/>
                                            <w:sz w:val="20"/>
                                            <w:szCs w:val="28"/>
                                          </w:rPr>
                                        </m:ctrlPr>
                                      </m:sSubPr>
                                      <m:e>
                                        <m:r>
                                          <w:rPr>
                                            <w:rFonts w:ascii="Cambria Math" w:hAnsi="Cambria Math"/>
                                            <w:sz w:val="20"/>
                                            <w:szCs w:val="28"/>
                                          </w:rPr>
                                          <m:t>FX</m:t>
                                        </m:r>
                                      </m:e>
                                      <m:sub>
                                        <m:r>
                                          <w:rPr>
                                            <w:rFonts w:ascii="Cambria Math" w:hAnsi="Cambria Math"/>
                                            <w:sz w:val="20"/>
                                            <w:szCs w:val="28"/>
                                          </w:rPr>
                                          <m:t>факт</m:t>
                                        </m:r>
                                      </m:sub>
                                    </m:sSub>
                                  </m:e>
                                </m:d>
                                <m:r>
                                  <w:rPr>
                                    <w:rFonts w:ascii="Cambria Math" w:hAnsi="Cambria Math"/>
                                    <w:sz w:val="20"/>
                                    <w:szCs w:val="28"/>
                                  </w:rPr>
                                  <m:t>-НГД</m:t>
                                </m:r>
                                <m:d>
                                  <m:dPr>
                                    <m:ctrlPr>
                                      <w:rPr>
                                        <w:rFonts w:ascii="Cambria Math" w:hAnsi="Cambria Math"/>
                                        <w:i/>
                                        <w:sz w:val="20"/>
                                        <w:szCs w:val="28"/>
                                      </w:rPr>
                                    </m:ctrlPr>
                                  </m:dPr>
                                  <m:e>
                                    <m:sSub>
                                      <m:sSubPr>
                                        <m:ctrlPr>
                                          <w:rPr>
                                            <w:rFonts w:ascii="Cambria Math" w:hAnsi="Cambria Math"/>
                                            <w:i/>
                                            <w:sz w:val="20"/>
                                            <w:szCs w:val="28"/>
                                          </w:rPr>
                                        </m:ctrlPr>
                                      </m:sSubPr>
                                      <m:e>
                                        <m:r>
                                          <w:rPr>
                                            <w:rFonts w:ascii="Cambria Math" w:hAnsi="Cambria Math"/>
                                            <w:sz w:val="20"/>
                                            <w:szCs w:val="28"/>
                                          </w:rPr>
                                          <m:t>P</m:t>
                                        </m:r>
                                      </m:e>
                                      <m:sub>
                                        <m:r>
                                          <w:rPr>
                                            <w:rFonts w:ascii="Cambria Math" w:hAnsi="Cambria Math"/>
                                            <w:sz w:val="20"/>
                                            <w:szCs w:val="28"/>
                                          </w:rPr>
                                          <m:t>баз</m:t>
                                        </m:r>
                                      </m:sub>
                                    </m:sSub>
                                    <m:r>
                                      <w:rPr>
                                        <w:rFonts w:ascii="Cambria Math" w:hAnsi="Cambria Math"/>
                                        <w:sz w:val="20"/>
                                        <w:szCs w:val="28"/>
                                      </w:rPr>
                                      <m:t>,</m:t>
                                    </m:r>
                                    <m:sSub>
                                      <m:sSubPr>
                                        <m:ctrlPr>
                                          <w:rPr>
                                            <w:rFonts w:ascii="Cambria Math" w:hAnsi="Cambria Math"/>
                                            <w:i/>
                                            <w:sz w:val="20"/>
                                            <w:szCs w:val="28"/>
                                          </w:rPr>
                                        </m:ctrlPr>
                                      </m:sSubPr>
                                      <m:e>
                                        <m:r>
                                          <w:rPr>
                                            <w:rFonts w:ascii="Cambria Math" w:hAnsi="Cambria Math"/>
                                            <w:sz w:val="20"/>
                                            <w:szCs w:val="28"/>
                                          </w:rPr>
                                          <m:t>FX</m:t>
                                        </m:r>
                                      </m:e>
                                      <m:sub>
                                        <m:r>
                                          <w:rPr>
                                            <w:rFonts w:ascii="Cambria Math" w:hAnsi="Cambria Math"/>
                                            <w:sz w:val="20"/>
                                            <w:szCs w:val="28"/>
                                          </w:rPr>
                                          <m:t>прогноз</m:t>
                                        </m:r>
                                      </m:sub>
                                    </m:sSub>
                                  </m:e>
                                </m:d>
                                <m:r>
                                  <w:rPr>
                                    <w:rFonts w:ascii="Cambria Math" w:hAnsi="Cambria Math"/>
                                    <w:sz w:val="20"/>
                                    <w:szCs w:val="28"/>
                                  </w:rPr>
                                  <m:t>=∆Долг</m:t>
                                </m:r>
                              </m:oMath>
                            </m:oMathPara>
                          </w:p>
                          <w:p w:rsidR="007E5DFE" w:rsidRDefault="007E5DFE" w:rsidP="00F73373">
                            <w:pPr>
                              <w:pStyle w:val="a9"/>
                              <w:spacing w:beforeLines="60" w:before="144" w:afterLines="60" w:after="144"/>
                              <w:ind w:left="357"/>
                              <w:contextualSpacing w:val="0"/>
                              <w:jc w:val="both"/>
                              <w:rPr>
                                <w:rFonts w:ascii="Times New Roman" w:hAnsi="Times New Roman"/>
                                <w:sz w:val="20"/>
                                <w:szCs w:val="28"/>
                              </w:rPr>
                            </w:pPr>
                            <w:proofErr w:type="gramStart"/>
                            <w:r w:rsidRPr="00BF1AEF">
                              <w:rPr>
                                <w:rFonts w:ascii="Times New Roman" w:hAnsi="Times New Roman"/>
                                <w:sz w:val="20"/>
                                <w:szCs w:val="28"/>
                              </w:rPr>
                              <w:t xml:space="preserve">Эта компонента изменения долга носит </w:t>
                            </w:r>
                            <w:proofErr w:type="spellStart"/>
                            <w:r w:rsidRPr="00BF1AEF">
                              <w:rPr>
                                <w:rFonts w:ascii="Times New Roman" w:hAnsi="Times New Roman"/>
                                <w:b/>
                                <w:sz w:val="20"/>
                                <w:szCs w:val="28"/>
                              </w:rPr>
                              <w:t>контрциклический</w:t>
                            </w:r>
                            <w:proofErr w:type="spellEnd"/>
                            <w:r w:rsidRPr="00BF1AEF">
                              <w:rPr>
                                <w:rFonts w:ascii="Times New Roman" w:hAnsi="Times New Roman"/>
                                <w:b/>
                                <w:sz w:val="20"/>
                                <w:szCs w:val="28"/>
                              </w:rPr>
                              <w:t xml:space="preserve"> по отношению к внешним условиям </w:t>
                            </w:r>
                            <w:r w:rsidRPr="00BF1AEF">
                              <w:rPr>
                                <w:rFonts w:ascii="Times New Roman" w:hAnsi="Times New Roman"/>
                                <w:sz w:val="20"/>
                                <w:szCs w:val="28"/>
                              </w:rPr>
                              <w:t>характер: при благоприятной конъюнктуре, когда фактический курс «крепче» прогнозного, происходит рост заимствований, при неблагоприятной – напротив, снижение</w:t>
                            </w:r>
                            <w:r w:rsidRPr="00913854">
                              <w:rPr>
                                <w:rFonts w:ascii="Times New Roman" w:hAnsi="Times New Roman"/>
                                <w:sz w:val="20"/>
                                <w:szCs w:val="28"/>
                              </w:rPr>
                              <w:t>.</w:t>
                            </w:r>
                            <w:proofErr w:type="gramEnd"/>
                          </w:p>
                          <w:p w:rsidR="007E5DFE" w:rsidRPr="00BF1AEF" w:rsidRDefault="007E5DFE" w:rsidP="00B40965">
                            <w:pPr>
                              <w:spacing w:before="120" w:after="120"/>
                              <w:jc w:val="both"/>
                              <w:rPr>
                                <w:rFonts w:ascii="Times New Roman" w:hAnsi="Times New Roman"/>
                                <w:b/>
                                <w:sz w:val="24"/>
                                <w:szCs w:val="20"/>
                              </w:rPr>
                            </w:pPr>
                            <w:r w:rsidRPr="00BF1AEF">
                              <w:rPr>
                                <w:rFonts w:ascii="Times New Roman" w:hAnsi="Times New Roman"/>
                                <w:b/>
                                <w:sz w:val="24"/>
                                <w:szCs w:val="20"/>
                              </w:rPr>
                              <w:t>Механизм подстройки к структурно неблагоприятной конъюнктуре:</w:t>
                            </w:r>
                          </w:p>
                          <w:p w:rsidR="007E5DFE" w:rsidRPr="00BF1AEF" w:rsidRDefault="007E5DFE" w:rsidP="00B40965">
                            <w:pPr>
                              <w:spacing w:before="120" w:after="120"/>
                              <w:jc w:val="both"/>
                              <w:rPr>
                                <w:rFonts w:ascii="Times New Roman" w:hAnsi="Times New Roman"/>
                                <w:sz w:val="20"/>
                                <w:szCs w:val="28"/>
                              </w:rPr>
                            </w:pPr>
                            <w:r w:rsidRPr="00BF1AEF">
                              <w:rPr>
                                <w:rFonts w:ascii="Times New Roman" w:hAnsi="Times New Roman"/>
                                <w:sz w:val="20"/>
                                <w:szCs w:val="28"/>
                              </w:rPr>
                              <w:t xml:space="preserve">В случае, когда объем средств </w:t>
                            </w:r>
                            <w:r>
                              <w:rPr>
                                <w:rFonts w:ascii="Times New Roman" w:hAnsi="Times New Roman"/>
                                <w:sz w:val="20"/>
                                <w:szCs w:val="28"/>
                              </w:rPr>
                              <w:t>ФНБ</w:t>
                            </w:r>
                            <w:r w:rsidRPr="00BF1AEF">
                              <w:rPr>
                                <w:rFonts w:ascii="Times New Roman" w:hAnsi="Times New Roman"/>
                                <w:sz w:val="20"/>
                                <w:szCs w:val="28"/>
                              </w:rPr>
                              <w:t xml:space="preserve"> на 1 января первого года планового периода опускается ниже уровня в 5% ВВП, предельный объем использования средств </w:t>
                            </w:r>
                            <w:r>
                              <w:rPr>
                                <w:rFonts w:ascii="Times New Roman" w:hAnsi="Times New Roman"/>
                                <w:sz w:val="20"/>
                                <w:szCs w:val="28"/>
                              </w:rPr>
                              <w:t>ФНБ</w:t>
                            </w:r>
                            <w:r w:rsidRPr="00BF1AEF">
                              <w:rPr>
                                <w:rFonts w:ascii="Times New Roman" w:hAnsi="Times New Roman"/>
                                <w:sz w:val="20"/>
                                <w:szCs w:val="28"/>
                              </w:rPr>
                              <w:t xml:space="preserve"> не может превышать 1% ВВП (т.е. </w:t>
                            </w:r>
                            <w:proofErr w:type="gramStart"/>
                            <w:r w:rsidRPr="00BF1AEF">
                              <w:rPr>
                                <w:rFonts w:ascii="Times New Roman" w:hAnsi="Times New Roman"/>
                                <w:sz w:val="20"/>
                                <w:szCs w:val="28"/>
                              </w:rPr>
                              <w:t>исходя из этой суммы корректируется</w:t>
                            </w:r>
                            <w:proofErr w:type="gramEnd"/>
                            <w:r w:rsidRPr="00BF1AEF">
                              <w:rPr>
                                <w:rFonts w:ascii="Times New Roman" w:hAnsi="Times New Roman"/>
                                <w:sz w:val="20"/>
                                <w:szCs w:val="28"/>
                              </w:rPr>
                              <w:t xml:space="preserve"> предельный объем расходов и/или другие источники финансирования дефицита бюджета). </w:t>
                            </w:r>
                          </w:p>
                          <w:p w:rsidR="007E5DFE" w:rsidRPr="00BF1AEF" w:rsidRDefault="007E5DFE" w:rsidP="00B40965">
                            <w:pPr>
                              <w:spacing w:before="120" w:after="120"/>
                              <w:jc w:val="both"/>
                              <w:rPr>
                                <w:rFonts w:ascii="Times New Roman" w:hAnsi="Times New Roman"/>
                                <w:b/>
                                <w:sz w:val="20"/>
                                <w:szCs w:val="28"/>
                              </w:rPr>
                            </w:pPr>
                            <w:r w:rsidRPr="00BF1AEF">
                              <w:rPr>
                                <w:rFonts w:ascii="Times New Roman" w:hAnsi="Times New Roman"/>
                                <w:b/>
                                <w:sz w:val="20"/>
                                <w:szCs w:val="28"/>
                              </w:rPr>
                              <w:t>Такой механизм представляет собой автоматический стабилизатор в случае, если равновесный уровень цен на нефть окажется ниже текущего допущения (40 $/</w:t>
                            </w:r>
                            <w:proofErr w:type="spellStart"/>
                            <w:r w:rsidRPr="00BF1AEF">
                              <w:rPr>
                                <w:rFonts w:ascii="Times New Roman" w:hAnsi="Times New Roman"/>
                                <w:b/>
                                <w:sz w:val="20"/>
                                <w:szCs w:val="28"/>
                              </w:rPr>
                              <w:t>барр</w:t>
                            </w:r>
                            <w:proofErr w:type="spellEnd"/>
                            <w:r w:rsidRPr="00BF1AEF">
                              <w:rPr>
                                <w:rFonts w:ascii="Times New Roman" w:hAnsi="Times New Roman"/>
                                <w:b/>
                                <w:sz w:val="20"/>
                                <w:szCs w:val="28"/>
                              </w:rPr>
                              <w:t>.).</w:t>
                            </w:r>
                          </w:p>
                          <w:p w:rsidR="007E5DFE" w:rsidRPr="00B40965" w:rsidRDefault="007E5DFE" w:rsidP="00B40965">
                            <w:pPr>
                              <w:spacing w:beforeLines="60" w:before="144" w:afterLines="60" w:after="144"/>
                              <w:jc w:val="both"/>
                              <w:rPr>
                                <w:rFonts w:ascii="Times New Roman" w:hAnsi="Times New Roman"/>
                                <w:sz w:val="20"/>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3pt;margin-top:-2.55pt;width:460.75pt;height:705.75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" fillcolor="#f2f2f2 [3052]" stroked="f">
                <v:textbox>
                  <w:txbxContent>
                    <w:p w:rsidR="007E5DFE" w:rsidRPr="00561910" w:rsidRDefault="007E5DFE" w:rsidP="00796C67">
                      <w:pPr>
                        <w:pStyle w:val="a9"/>
                        <w:tabs>
                          <w:tab w:val="left" w:pos="1418"/>
                          <w:tab w:val="left" w:pos="3969"/>
                          <w:tab w:val="left" w:pos="4536"/>
                        </w:tabs>
                        <w:spacing w:before="120" w:after="0"/>
                        <w:ind w:left="357"/>
                        <w:contextualSpacing w:val="0"/>
                        <w:jc w:val="center"/>
                        <w:rPr>
                          <w:rFonts w:ascii="Times New Roman" w:eastAsiaTheme="minorEastAsia" w:hAnsi="Times New Roman"/>
                          <w:sz w:val="20"/>
                          <w:szCs w:val="28"/>
                        </w:rPr>
                      </w:pPr>
                      <w:r w:rsidRPr="00561910">
                        <w:rPr>
                          <w:rFonts w:ascii="Times New Roman" w:hAnsi="Times New Roman"/>
                          <w:sz w:val="20"/>
                          <w:szCs w:val="28"/>
                        </w:rPr>
                        <w:t xml:space="preserve">если </w:t>
                      </w:r>
                      <m:oMath>
                        <m:r>
                          <w:rPr>
                            <w:rFonts w:ascii="Cambria Math" w:hAnsi="Cambria Math"/>
                            <w:sz w:val="20"/>
                            <w:szCs w:val="28"/>
                          </w:rPr>
                          <m:t>∆ФНБ&gt;0</m:t>
                        </m:r>
                      </m:oMath>
                      <w:r w:rsidRPr="00561910">
                        <w:rPr>
                          <w:rFonts w:ascii="Times New Roman" w:eastAsiaTheme="minorEastAsia" w:hAnsi="Times New Roman"/>
                          <w:sz w:val="20"/>
                          <w:szCs w:val="28"/>
                        </w:rPr>
                        <w:t xml:space="preserve">, происходит накопление </w:t>
                      </w:r>
                      <w:r>
                        <w:rPr>
                          <w:rFonts w:ascii="Times New Roman" w:eastAsiaTheme="minorEastAsia" w:hAnsi="Times New Roman"/>
                          <w:sz w:val="20"/>
                          <w:szCs w:val="28"/>
                        </w:rPr>
                        <w:t>Фонда национального благосостояния</w:t>
                      </w:r>
                    </w:p>
                    <w:p w:rsidR="007E5DFE" w:rsidRPr="00561910" w:rsidRDefault="007E5DFE" w:rsidP="00796C67">
                      <w:pPr>
                        <w:pStyle w:val="a9"/>
                        <w:tabs>
                          <w:tab w:val="left" w:pos="1418"/>
                          <w:tab w:val="left" w:pos="3969"/>
                          <w:tab w:val="left" w:pos="4536"/>
                        </w:tabs>
                        <w:spacing w:after="120"/>
                        <w:ind w:left="357"/>
                        <w:contextualSpacing w:val="0"/>
                        <w:jc w:val="center"/>
                        <w:rPr>
                          <w:rFonts w:ascii="Times New Roman" w:eastAsiaTheme="minorEastAsia" w:hAnsi="Times New Roman"/>
                          <w:sz w:val="20"/>
                          <w:szCs w:val="28"/>
                        </w:rPr>
                      </w:pPr>
                      <w:r w:rsidRPr="00561910">
                        <w:rPr>
                          <w:rFonts w:ascii="Times New Roman" w:hAnsi="Times New Roman"/>
                          <w:sz w:val="20"/>
                          <w:szCs w:val="28"/>
                        </w:rPr>
                        <w:t xml:space="preserve">если </w:t>
                      </w:r>
                      <m:oMath>
                        <m:r>
                          <w:rPr>
                            <w:rFonts w:ascii="Cambria Math" w:hAnsi="Cambria Math"/>
                            <w:sz w:val="20"/>
                            <w:szCs w:val="28"/>
                          </w:rPr>
                          <m:t>∆ФНБ&lt;0</m:t>
                        </m:r>
                      </m:oMath>
                      <w:r w:rsidRPr="00561910">
                        <w:rPr>
                          <w:rFonts w:ascii="Times New Roman" w:eastAsiaTheme="minorEastAsia" w:hAnsi="Times New Roman"/>
                          <w:sz w:val="20"/>
                          <w:szCs w:val="28"/>
                        </w:rPr>
                        <w:t xml:space="preserve">, происходит расходование </w:t>
                      </w:r>
                      <w:r>
                        <w:rPr>
                          <w:rFonts w:ascii="Times New Roman" w:eastAsiaTheme="minorEastAsia" w:hAnsi="Times New Roman"/>
                          <w:sz w:val="20"/>
                          <w:szCs w:val="28"/>
                        </w:rPr>
                        <w:t>Фонда национального благосостояния</w:t>
                      </w:r>
                    </w:p>
                    <w:p w:rsidR="007E5DFE" w:rsidRPr="00796C67" w:rsidRDefault="007E5DFE" w:rsidP="00F73373">
                      <w:pPr>
                        <w:pStyle w:val="a9"/>
                        <w:spacing w:before="60" w:after="60"/>
                        <w:ind w:left="357"/>
                        <w:contextualSpacing w:val="0"/>
                        <w:jc w:val="both"/>
                        <w:rPr>
                          <w:rFonts w:ascii="Times New Roman" w:hAnsi="Times New Roman"/>
                          <w:b/>
                          <w:i/>
                          <w:sz w:val="20"/>
                          <w:szCs w:val="28"/>
                        </w:rPr>
                      </w:pPr>
                      <w:r w:rsidRPr="00796C67">
                        <w:rPr>
                          <w:rFonts w:ascii="Times New Roman" w:hAnsi="Times New Roman"/>
                          <w:i/>
                          <w:sz w:val="20"/>
                          <w:szCs w:val="28"/>
                        </w:rPr>
                        <w:t xml:space="preserve">Пополнение/использование средств </w:t>
                      </w:r>
                      <w:r>
                        <w:rPr>
                          <w:rFonts w:ascii="Times New Roman" w:hAnsi="Times New Roman"/>
                          <w:i/>
                          <w:sz w:val="20"/>
                          <w:szCs w:val="28"/>
                        </w:rPr>
                        <w:t>Фонда национального благосостояния</w:t>
                      </w:r>
                      <w:r w:rsidRPr="00796C67">
                        <w:rPr>
                          <w:rFonts w:ascii="Times New Roman" w:hAnsi="Times New Roman"/>
                          <w:i/>
                          <w:sz w:val="20"/>
                          <w:szCs w:val="28"/>
                        </w:rPr>
                        <w:t xml:space="preserve"> осуществляется посредством операций на внутреннем валютном рынке.</w:t>
                      </w:r>
                    </w:p>
                    <w:p w:rsidR="007E5DFE" w:rsidRPr="00AF6149" w:rsidRDefault="007E5DFE" w:rsidP="00F73373">
                      <w:pPr>
                        <w:pStyle w:val="a9"/>
                        <w:spacing w:before="60" w:after="60"/>
                        <w:ind w:left="357"/>
                        <w:contextualSpacing w:val="0"/>
                        <w:jc w:val="both"/>
                        <w:rPr>
                          <w:rFonts w:ascii="Times New Roman" w:hAnsi="Times New Roman"/>
                          <w:b/>
                          <w:sz w:val="20"/>
                          <w:szCs w:val="28"/>
                        </w:rPr>
                      </w:pPr>
                      <w:r>
                        <w:rPr>
                          <w:rFonts w:ascii="Times New Roman" w:hAnsi="Times New Roman"/>
                          <w:b/>
                          <w:sz w:val="20"/>
                          <w:szCs w:val="28"/>
                        </w:rPr>
                        <w:t>Такой</w:t>
                      </w:r>
                      <w:r w:rsidRPr="00561910">
                        <w:rPr>
                          <w:rFonts w:ascii="Times New Roman" w:hAnsi="Times New Roman"/>
                          <w:b/>
                          <w:sz w:val="20"/>
                          <w:szCs w:val="28"/>
                        </w:rPr>
                        <w:t xml:space="preserve"> механизм пополнения/</w:t>
                      </w:r>
                      <w:r>
                        <w:rPr>
                          <w:rFonts w:ascii="Times New Roman" w:hAnsi="Times New Roman"/>
                          <w:b/>
                          <w:sz w:val="20"/>
                          <w:szCs w:val="28"/>
                        </w:rPr>
                        <w:t>использования средств</w:t>
                      </w:r>
                      <w:r w:rsidRPr="00561910">
                        <w:rPr>
                          <w:rFonts w:ascii="Times New Roman" w:hAnsi="Times New Roman"/>
                          <w:b/>
                          <w:sz w:val="20"/>
                          <w:szCs w:val="28"/>
                        </w:rPr>
                        <w:t xml:space="preserve"> </w:t>
                      </w:r>
                      <w:r>
                        <w:rPr>
                          <w:rFonts w:ascii="Times New Roman" w:hAnsi="Times New Roman"/>
                          <w:b/>
                          <w:sz w:val="20"/>
                          <w:szCs w:val="28"/>
                        </w:rPr>
                        <w:t>ФНБ</w:t>
                      </w:r>
                      <w:r w:rsidRPr="00561910">
                        <w:rPr>
                          <w:rFonts w:ascii="Times New Roman" w:hAnsi="Times New Roman"/>
                          <w:b/>
                          <w:sz w:val="20"/>
                          <w:szCs w:val="28"/>
                        </w:rPr>
                        <w:t xml:space="preserve"> позволяет обеспечить </w:t>
                      </w:r>
                      <w:r>
                        <w:rPr>
                          <w:rFonts w:ascii="Times New Roman" w:hAnsi="Times New Roman"/>
                          <w:b/>
                          <w:sz w:val="20"/>
                          <w:szCs w:val="28"/>
                        </w:rPr>
                        <w:t xml:space="preserve">накопление/реализацию иностранных активов </w:t>
                      </w:r>
                      <w:r w:rsidRPr="00561910">
                        <w:rPr>
                          <w:rFonts w:ascii="Times New Roman" w:hAnsi="Times New Roman"/>
                          <w:b/>
                          <w:sz w:val="20"/>
                          <w:szCs w:val="28"/>
                        </w:rPr>
                        <w:t xml:space="preserve">в направлении и объемах, обеспечивающих снижение зависимости </w:t>
                      </w:r>
                      <w:r>
                        <w:rPr>
                          <w:rFonts w:ascii="Times New Roman" w:hAnsi="Times New Roman"/>
                          <w:b/>
                          <w:sz w:val="20"/>
                          <w:szCs w:val="28"/>
                        </w:rPr>
                        <w:t xml:space="preserve">реального эффективного курса </w:t>
                      </w:r>
                      <w:r w:rsidRPr="00561910">
                        <w:rPr>
                          <w:rFonts w:ascii="Times New Roman" w:hAnsi="Times New Roman"/>
                          <w:b/>
                          <w:sz w:val="20"/>
                          <w:szCs w:val="28"/>
                        </w:rPr>
                        <w:t>рубля от колебаний цен на нефть</w:t>
                      </w:r>
                      <w:r w:rsidRPr="00AF6149">
                        <w:rPr>
                          <w:rFonts w:ascii="Times New Roman" w:hAnsi="Times New Roman"/>
                          <w:b/>
                          <w:sz w:val="20"/>
                          <w:szCs w:val="28"/>
                        </w:rPr>
                        <w:t>.</w:t>
                      </w:r>
                    </w:p>
                    <w:tbl>
                      <w:tblPr>
                        <w:tblStyle w:val="Smalltable"/>
                        <w:tblW w:w="8425" w:type="dxa"/>
                        <w:jc w:val="center"/>
                        <w:tblInd w:w="0" w:type="dxa"/>
                        <w:tblLook w:val="04A0" w:firstRow="1" w:lastRow="0" w:firstColumn="1" w:lastColumn="0" w:noHBand="0" w:noVBand="1"/>
                      </w:tblPr>
                      <w:tblGrid>
                        <w:gridCol w:w="8425"/>
                      </w:tblGrid>
                      <w:tr w:rsidR="007E5DFE" w:rsidTr="00E63E11">
                        <w:trPr>
                          <w:trHeight w:val="198"/>
                          <w:jc w:val="center"/>
                        </w:trPr>
                        <w:tc>
                          <w:tcPr>
                            <w:tcW w:w="8425" w:type="dxa"/>
                            <w:tcMar>
                              <w:top w:w="0" w:type="dxa"/>
                              <w:bottom w:w="0" w:type="dxa"/>
                            </w:tcMar>
                            <w:hideMark/>
                          </w:tcPr>
                          <w:p w:rsidR="007E5DFE" w:rsidRDefault="007E5DFE" w:rsidP="00796C67">
                            <w:pPr>
                              <w:pStyle w:val="GraphTitle"/>
                              <w:rPr>
                                <w:rFonts w:ascii="Times New Roman" w:hAnsi="Times New Roman" w:cs="Times New Roman"/>
                                <w:b/>
                                <w:sz w:val="20"/>
                                <w:szCs w:val="20"/>
                                <w:lang w:val="ru-RU" w:eastAsia="en-US"/>
                              </w:rPr>
                            </w:pPr>
                            <w:r>
                              <w:rPr>
                                <w:rFonts w:ascii="Times New Roman" w:hAnsi="Times New Roman" w:cs="Times New Roman"/>
                                <w:b/>
                                <w:sz w:val="20"/>
                                <w:szCs w:val="20"/>
                                <w:lang w:val="ru-RU"/>
                              </w:rPr>
                              <w:t>Чувствительность обменного курса рубля к ценам на нефть*</w:t>
                            </w:r>
                          </w:p>
                        </w:tc>
                      </w:tr>
                      <w:tr w:rsidR="007E5DFE" w:rsidTr="00E63E11">
                        <w:trPr>
                          <w:trHeight w:hRule="exact" w:val="28"/>
                          <w:jc w:val="center"/>
                        </w:trPr>
                        <w:tc>
                          <w:tcPr>
                            <w:tcW w:w="8425" w:type="dxa"/>
                            <w:tcBorders>
                              <w:top w:val="nil"/>
                              <w:left w:val="nil"/>
                              <w:bottom w:val="single" w:sz="4" w:space="0" w:color="auto"/>
                              <w:right w:val="nil"/>
                            </w:tcBorders>
                            <w:tcMar>
                              <w:top w:w="0" w:type="dxa"/>
                              <w:bottom w:w="0" w:type="dxa"/>
                            </w:tcMar>
                          </w:tcPr>
                          <w:p w:rsidR="007E5DFE" w:rsidRDefault="007E5DFE" w:rsidP="00796C67">
                            <w:pPr>
                              <w:pStyle w:val="TabText"/>
                              <w:rPr>
                                <w:rFonts w:ascii="Times New Roman" w:hAnsi="Times New Roman" w:cs="Times New Roman"/>
                                <w:lang w:val="ru-RU"/>
                              </w:rPr>
                            </w:pPr>
                          </w:p>
                        </w:tc>
                      </w:tr>
                      <w:tr w:rsidR="007E5DFE" w:rsidTr="00497B99">
                        <w:tblPrEx>
                          <w:tblCellMar>
                            <w:left w:w="108" w:type="dxa"/>
                            <w:right w:w="108" w:type="dxa"/>
                          </w:tblCellMar>
                        </w:tblPrEx>
                        <w:trPr>
                          <w:trHeight w:val="2200"/>
                          <w:jc w:val="center"/>
                        </w:trPr>
                        <w:tc>
                          <w:tcPr>
                            <w:tcW w:w="8425" w:type="dxa"/>
                            <w:tcBorders>
                              <w:top w:val="single" w:sz="4" w:space="0" w:color="auto"/>
                              <w:left w:val="nil"/>
                              <w:bottom w:val="single" w:sz="4" w:space="0" w:color="auto"/>
                              <w:right w:val="nil"/>
                            </w:tcBorders>
                            <w:tcMar>
                              <w:left w:w="0" w:type="nil"/>
                              <w:right w:w="0" w:type="nil"/>
                            </w:tcMar>
                            <w:hideMark/>
                          </w:tcPr>
                          <w:p w:rsidR="007E5DFE" w:rsidRDefault="007E5DFE" w:rsidP="00796C67">
                            <w:pPr>
                              <w:pStyle w:val="TabText"/>
                              <w:jc w:val="center"/>
                              <w:rPr>
                                <w:rFonts w:ascii="Times New Roman" w:hAnsi="Times New Roman" w:cs="Times New Roman"/>
                                <w:lang w:val="ru-RU"/>
                              </w:rPr>
                            </w:pPr>
                            <w:r>
                              <w:rPr>
                                <w:noProof/>
                                <w:lang w:val="ru-RU" w:bidi="ar-SA"/>
                              </w:rPr>
                              <w:drawing>
                                <wp:inline distT="0" distB="0" distL="0" distR="0" wp14:anchorId="1758B3E5" wp14:editId="40FA1841">
                                  <wp:extent cx="4338320" cy="2413591"/>
                                  <wp:effectExtent l="0" t="0" r="0" b="0"/>
                                  <wp:docPr id="1031" name="Диаграмма 103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7E5DFE" w:rsidTr="00E63E11">
                        <w:trPr>
                          <w:trHeight w:val="198"/>
                          <w:jc w:val="center"/>
                        </w:trPr>
                        <w:tc>
                          <w:tcPr>
                            <w:tcW w:w="8425" w:type="dxa"/>
                            <w:tcBorders>
                              <w:top w:val="single" w:sz="4" w:space="0" w:color="auto"/>
                              <w:left w:val="nil"/>
                              <w:bottom w:val="nil"/>
                              <w:right w:val="nil"/>
                            </w:tcBorders>
                            <w:tcMar>
                              <w:top w:w="0" w:type="dxa"/>
                              <w:bottom w:w="0" w:type="dxa"/>
                            </w:tcMar>
                            <w:hideMark/>
                          </w:tcPr>
                          <w:p w:rsidR="007E5DFE" w:rsidRDefault="007E5DFE" w:rsidP="00F73373">
                            <w:pPr>
                              <w:pStyle w:val="SourceLarge"/>
                              <w:spacing w:after="120"/>
                              <w:rPr>
                                <w:rFonts w:ascii="Times New Roman" w:hAnsi="Times New Roman" w:cs="Times New Roman"/>
                                <w:i/>
                                <w:lang w:val="ru-RU"/>
                              </w:rPr>
                            </w:pPr>
                            <w:r>
                              <w:rPr>
                                <w:rFonts w:ascii="Times New Roman" w:hAnsi="Times New Roman" w:cs="Times New Roman"/>
                                <w:i/>
                                <w:sz w:val="14"/>
                                <w:szCs w:val="14"/>
                                <w:lang w:val="ru-RU"/>
                              </w:rPr>
                              <w:t>Источник:</w:t>
                            </w:r>
                            <w:r>
                              <w:rPr>
                                <w:rFonts w:ascii="Times New Roman" w:hAnsi="Times New Roman" w:cs="Times New Roman"/>
                                <w:i/>
                                <w:sz w:val="14"/>
                                <w:szCs w:val="14"/>
                              </w:rPr>
                              <w:t> </w:t>
                            </w:r>
                            <w:r>
                              <w:rPr>
                                <w:rFonts w:ascii="Times New Roman" w:hAnsi="Times New Roman" w:cs="Times New Roman"/>
                                <w:i/>
                                <w:sz w:val="14"/>
                                <w:szCs w:val="14"/>
                                <w:lang w:val="ru-RU"/>
                              </w:rPr>
                              <w:t>оценки Минфина * в условиях 2017 года</w:t>
                            </w:r>
                          </w:p>
                        </w:tc>
                      </w:tr>
                    </w:tbl>
                    <w:p w:rsidR="007E5DFE" w:rsidRPr="00AF6149" w:rsidRDefault="007E5DFE" w:rsidP="009F1CCA">
                      <w:pPr>
                        <w:pStyle w:val="a9"/>
                        <w:numPr>
                          <w:ilvl w:val="0"/>
                          <w:numId w:val="33"/>
                        </w:numPr>
                        <w:spacing w:beforeLines="60" w:before="144" w:afterLines="60" w:after="144"/>
                        <w:contextualSpacing w:val="0"/>
                        <w:jc w:val="both"/>
                        <w:rPr>
                          <w:rFonts w:ascii="Times New Roman" w:hAnsi="Times New Roman"/>
                          <w:sz w:val="20"/>
                          <w:szCs w:val="28"/>
                        </w:rPr>
                      </w:pPr>
                      <w:r>
                        <w:rPr>
                          <w:rFonts w:ascii="Times New Roman" w:hAnsi="Times New Roman"/>
                          <w:sz w:val="20"/>
                          <w:szCs w:val="28"/>
                          <w:u w:val="single"/>
                        </w:rPr>
                        <w:t>Объем заимствований.</w:t>
                      </w:r>
                      <w:r w:rsidRPr="00AF6149">
                        <w:rPr>
                          <w:rFonts w:ascii="Times New Roman" w:hAnsi="Times New Roman"/>
                          <w:sz w:val="20"/>
                          <w:szCs w:val="28"/>
                        </w:rPr>
                        <w:t xml:space="preserve"> </w:t>
                      </w:r>
                      <w:r>
                        <w:rPr>
                          <w:rFonts w:ascii="Times New Roman" w:hAnsi="Times New Roman"/>
                          <w:sz w:val="20"/>
                          <w:szCs w:val="28"/>
                        </w:rPr>
                        <w:t xml:space="preserve">Базовый </w:t>
                      </w:r>
                      <w:r w:rsidRPr="00A33705">
                        <w:rPr>
                          <w:rFonts w:ascii="Times New Roman" w:hAnsi="Times New Roman"/>
                          <w:sz w:val="20"/>
                          <w:szCs w:val="28"/>
                        </w:rPr>
                        <w:t>уровень заимствований огранич</w:t>
                      </w:r>
                      <w:r>
                        <w:rPr>
                          <w:rFonts w:ascii="Times New Roman" w:hAnsi="Times New Roman"/>
                          <w:sz w:val="20"/>
                          <w:szCs w:val="28"/>
                        </w:rPr>
                        <w:t>ен</w:t>
                      </w:r>
                      <w:r w:rsidRPr="00A33705">
                        <w:rPr>
                          <w:rFonts w:ascii="Times New Roman" w:hAnsi="Times New Roman"/>
                          <w:sz w:val="20"/>
                          <w:szCs w:val="28"/>
                        </w:rPr>
                        <w:t xml:space="preserve"> объемом расходов по обслуживанию долга (</w:t>
                      </w:r>
                      <w:r>
                        <w:rPr>
                          <w:rFonts w:ascii="Times New Roman" w:hAnsi="Times New Roman"/>
                          <w:sz w:val="20"/>
                          <w:szCs w:val="28"/>
                        </w:rPr>
                        <w:t>~</w:t>
                      </w:r>
                      <w:r w:rsidRPr="00A33705">
                        <w:rPr>
                          <w:rFonts w:ascii="Times New Roman" w:hAnsi="Times New Roman"/>
                          <w:sz w:val="20"/>
                          <w:szCs w:val="28"/>
                        </w:rPr>
                        <w:t>0,8% ВВП в год), что обеспечи</w:t>
                      </w:r>
                      <w:r>
                        <w:rPr>
                          <w:rFonts w:ascii="Times New Roman" w:hAnsi="Times New Roman"/>
                          <w:sz w:val="20"/>
                          <w:szCs w:val="28"/>
                        </w:rPr>
                        <w:t>вае</w:t>
                      </w:r>
                      <w:r w:rsidRPr="00A33705">
                        <w:rPr>
                          <w:rFonts w:ascii="Times New Roman" w:hAnsi="Times New Roman"/>
                          <w:sz w:val="20"/>
                          <w:szCs w:val="28"/>
                        </w:rPr>
                        <w:t xml:space="preserve">т устойчивую динамику </w:t>
                      </w:r>
                      <w:r>
                        <w:rPr>
                          <w:rFonts w:ascii="Times New Roman" w:hAnsi="Times New Roman"/>
                          <w:sz w:val="20"/>
                          <w:szCs w:val="28"/>
                        </w:rPr>
                        <w:t>госдолга</w:t>
                      </w:r>
                      <w:r w:rsidRPr="00A33705">
                        <w:rPr>
                          <w:rFonts w:ascii="Times New Roman" w:hAnsi="Times New Roman"/>
                          <w:sz w:val="20"/>
                          <w:szCs w:val="28"/>
                        </w:rPr>
                        <w:t xml:space="preserve"> к ВВП</w:t>
                      </w:r>
                      <w:r>
                        <w:rPr>
                          <w:rFonts w:ascii="Times New Roman" w:hAnsi="Times New Roman"/>
                          <w:sz w:val="20"/>
                          <w:szCs w:val="28"/>
                        </w:rPr>
                        <w:t xml:space="preserve"> и минимизацию влияния государственных заимствований на % ставки для частного сектора</w:t>
                      </w:r>
                    </w:p>
                    <w:p w:rsidR="007E5DFE" w:rsidRPr="00A33705" w:rsidRDefault="007E5DFE" w:rsidP="00F73373">
                      <w:pPr>
                        <w:spacing w:beforeLines="60" w:before="144" w:afterLines="60" w:after="144"/>
                        <w:jc w:val="both"/>
                        <w:rPr>
                          <w:rFonts w:ascii="Cambria Math" w:hAnsi="Cambria Math"/>
                          <w:i/>
                          <w:sz w:val="20"/>
                          <w:szCs w:val="28"/>
                        </w:rPr>
                      </w:pPr>
                      <m:oMathPara>
                        <m:oMath>
                          <m:r>
                            <w:rPr>
                              <w:rFonts w:ascii="Cambria Math" w:hAnsi="Cambria Math"/>
                              <w:sz w:val="20"/>
                              <w:szCs w:val="28"/>
                            </w:rPr>
                            <m:t>%=∆Долг</m:t>
                          </m:r>
                        </m:oMath>
                      </m:oMathPara>
                    </w:p>
                    <w:p w:rsidR="007E5DFE" w:rsidRDefault="007E5DFE" w:rsidP="00F73373">
                      <w:pPr>
                        <w:pStyle w:val="a9"/>
                        <w:spacing w:beforeLines="60" w:before="144" w:afterLines="60" w:after="144"/>
                        <w:ind w:left="357"/>
                        <w:contextualSpacing w:val="0"/>
                        <w:jc w:val="both"/>
                        <w:rPr>
                          <w:rFonts w:ascii="Times New Roman" w:hAnsi="Times New Roman"/>
                          <w:sz w:val="20"/>
                          <w:szCs w:val="28"/>
                        </w:rPr>
                      </w:pPr>
                      <w:r>
                        <w:rPr>
                          <w:rFonts w:ascii="Times New Roman" w:hAnsi="Times New Roman"/>
                          <w:sz w:val="20"/>
                          <w:szCs w:val="28"/>
                        </w:rPr>
                        <w:t xml:space="preserve">При этом в целях недопущения </w:t>
                      </w:r>
                      <w:r w:rsidRPr="00A33705">
                        <w:rPr>
                          <w:rFonts w:ascii="Times New Roman" w:hAnsi="Times New Roman"/>
                          <w:sz w:val="20"/>
                          <w:szCs w:val="28"/>
                        </w:rPr>
                        <w:t>замещени</w:t>
                      </w:r>
                      <w:r>
                        <w:rPr>
                          <w:rFonts w:ascii="Times New Roman" w:hAnsi="Times New Roman"/>
                          <w:sz w:val="20"/>
                          <w:szCs w:val="28"/>
                        </w:rPr>
                        <w:t>я</w:t>
                      </w:r>
                      <w:r w:rsidRPr="00A33705">
                        <w:rPr>
                          <w:rFonts w:ascii="Times New Roman" w:hAnsi="Times New Roman"/>
                          <w:sz w:val="20"/>
                          <w:szCs w:val="28"/>
                        </w:rPr>
                        <w:t xml:space="preserve"> средствами </w:t>
                      </w:r>
                      <w:r>
                        <w:rPr>
                          <w:rFonts w:ascii="Times New Roman" w:hAnsi="Times New Roman"/>
                          <w:sz w:val="20"/>
                          <w:szCs w:val="28"/>
                        </w:rPr>
                        <w:t>ФНБ</w:t>
                      </w:r>
                      <w:r w:rsidRPr="00A33705">
                        <w:rPr>
                          <w:rFonts w:ascii="Times New Roman" w:hAnsi="Times New Roman"/>
                          <w:sz w:val="20"/>
                          <w:szCs w:val="28"/>
                        </w:rPr>
                        <w:t xml:space="preserve"> недобора источников финансирования или доходов бюджета, не связанных с отклонением цен на нефть</w:t>
                      </w:r>
                      <w:r>
                        <w:rPr>
                          <w:rFonts w:ascii="Times New Roman" w:hAnsi="Times New Roman"/>
                          <w:sz w:val="20"/>
                          <w:szCs w:val="28"/>
                        </w:rPr>
                        <w:t xml:space="preserve">, уровень заимствований </w:t>
                      </w:r>
                      <w:proofErr w:type="gramStart"/>
                      <w:r>
                        <w:rPr>
                          <w:rFonts w:ascii="Times New Roman" w:hAnsi="Times New Roman"/>
                          <w:sz w:val="20"/>
                          <w:szCs w:val="28"/>
                        </w:rPr>
                        <w:t>увеличивается</w:t>
                      </w:r>
                      <w:proofErr w:type="gramEnd"/>
                      <w:r>
                        <w:rPr>
                          <w:rFonts w:ascii="Times New Roman" w:hAnsi="Times New Roman"/>
                          <w:sz w:val="20"/>
                          <w:szCs w:val="28"/>
                        </w:rPr>
                        <w:t>/уменьшается на соответствующую величину.</w:t>
                      </w:r>
                    </w:p>
                    <w:p w:rsidR="007E5DFE" w:rsidRPr="00A33705" w:rsidRDefault="007E5DFE" w:rsidP="00F73373">
                      <w:pPr>
                        <w:spacing w:beforeLines="60" w:before="144" w:afterLines="60" w:after="144"/>
                        <w:ind w:left="360"/>
                        <w:jc w:val="both"/>
                        <w:rPr>
                          <w:rFonts w:ascii="Cambria Math" w:hAnsi="Cambria Math"/>
                          <w:i/>
                          <w:sz w:val="20"/>
                          <w:szCs w:val="28"/>
                        </w:rPr>
                      </w:pPr>
                      <m:oMathPara>
                        <m:oMath>
                          <m:d>
                            <m:dPr>
                              <m:begChr m:val="{"/>
                              <m:endChr m:val="}"/>
                              <m:ctrlPr>
                                <w:rPr>
                                  <w:rFonts w:ascii="Cambria Math" w:hAnsi="Cambria Math"/>
                                  <w:i/>
                                  <w:sz w:val="20"/>
                                  <w:szCs w:val="28"/>
                                </w:rPr>
                              </m:ctrlPr>
                            </m:dPr>
                            <m:e>
                              <m:r>
                                <w:rPr>
                                  <w:rFonts w:ascii="Cambria Math" w:hAnsi="Cambria Math"/>
                                  <w:sz w:val="20"/>
                                  <w:szCs w:val="28"/>
                                </w:rPr>
                                <m:t>ННГД</m:t>
                              </m:r>
                              <m:d>
                                <m:dPr>
                                  <m:ctrlPr>
                                    <w:rPr>
                                      <w:rFonts w:ascii="Cambria Math" w:hAnsi="Cambria Math"/>
                                      <w:i/>
                                      <w:sz w:val="20"/>
                                      <w:szCs w:val="28"/>
                                    </w:rPr>
                                  </m:ctrlPr>
                                </m:dPr>
                                <m:e>
                                  <m:r>
                                    <w:rPr>
                                      <w:rFonts w:ascii="Cambria Math" w:hAnsi="Cambria Math"/>
                                      <w:sz w:val="20"/>
                                      <w:szCs w:val="28"/>
                                    </w:rPr>
                                    <m:t>факт</m:t>
                                  </m:r>
                                </m:e>
                              </m:d>
                              <m:r>
                                <w:rPr>
                                  <w:rFonts w:ascii="Cambria Math" w:hAnsi="Cambria Math"/>
                                  <w:sz w:val="20"/>
                                  <w:szCs w:val="28"/>
                                </w:rPr>
                                <m:t>-ННГД</m:t>
                              </m:r>
                              <m:d>
                                <m:dPr>
                                  <m:ctrlPr>
                                    <w:rPr>
                                      <w:rFonts w:ascii="Cambria Math" w:hAnsi="Cambria Math"/>
                                      <w:i/>
                                      <w:sz w:val="20"/>
                                      <w:szCs w:val="28"/>
                                    </w:rPr>
                                  </m:ctrlPr>
                                </m:dPr>
                                <m:e>
                                  <m:r>
                                    <w:rPr>
                                      <w:rFonts w:ascii="Cambria Math" w:hAnsi="Cambria Math"/>
                                      <w:sz w:val="20"/>
                                      <w:szCs w:val="28"/>
                                    </w:rPr>
                                    <m:t>закон</m:t>
                                  </m:r>
                                </m:e>
                              </m:d>
                            </m:e>
                          </m:d>
                          <m:r>
                            <w:rPr>
                              <w:rFonts w:ascii="Cambria Math" w:hAnsi="Cambria Math"/>
                              <w:sz w:val="20"/>
                              <w:szCs w:val="28"/>
                            </w:rPr>
                            <m:t>=∆Долг</m:t>
                          </m:r>
                        </m:oMath>
                      </m:oMathPara>
                    </w:p>
                    <w:p w:rsidR="007E5DFE" w:rsidRPr="00A33705" w:rsidRDefault="007E5DFE" w:rsidP="00F73373">
                      <w:pPr>
                        <w:pStyle w:val="a9"/>
                        <w:spacing w:beforeLines="60" w:before="144" w:afterLines="60" w:after="144"/>
                        <w:ind w:left="357"/>
                        <w:contextualSpacing w:val="0"/>
                        <w:jc w:val="both"/>
                        <w:rPr>
                          <w:rFonts w:ascii="Times New Roman" w:hAnsi="Times New Roman"/>
                          <w:sz w:val="20"/>
                          <w:szCs w:val="28"/>
                        </w:rPr>
                      </w:pPr>
                      <w:r>
                        <w:rPr>
                          <w:rFonts w:ascii="Times New Roman" w:hAnsi="Times New Roman"/>
                          <w:sz w:val="20"/>
                          <w:szCs w:val="28"/>
                        </w:rPr>
                        <w:t>Обеспечение пополнения/использования средств ФНБ</w:t>
                      </w:r>
                      <w:r w:rsidRPr="00913854">
                        <w:rPr>
                          <w:rFonts w:ascii="Times New Roman" w:hAnsi="Times New Roman"/>
                          <w:sz w:val="20"/>
                          <w:szCs w:val="28"/>
                        </w:rPr>
                        <w:t xml:space="preserve"> </w:t>
                      </w:r>
                      <w:r>
                        <w:rPr>
                          <w:rFonts w:ascii="Times New Roman" w:hAnsi="Times New Roman"/>
                          <w:sz w:val="20"/>
                          <w:szCs w:val="28"/>
                        </w:rPr>
                        <w:t>в объемах согласно п.2, может потребовать дополнительной корректировки объема заимствований на следующую величину:</w:t>
                      </w:r>
                    </w:p>
                    <w:p w:rsidR="007E5DFE" w:rsidRPr="00913854" w:rsidRDefault="007E5DFE" w:rsidP="00F73373">
                      <w:pPr>
                        <w:spacing w:before="240" w:after="240"/>
                        <w:ind w:left="360"/>
                        <w:jc w:val="both"/>
                        <w:rPr>
                          <w:rFonts w:ascii="Cambria Math" w:hAnsi="Cambria Math"/>
                          <w:i/>
                          <w:sz w:val="20"/>
                          <w:szCs w:val="28"/>
                        </w:rPr>
                      </w:pPr>
                      <m:oMathPara>
                        <m:oMath>
                          <m:r>
                            <w:rPr>
                              <w:rFonts w:ascii="Cambria Math" w:hAnsi="Cambria Math"/>
                              <w:sz w:val="20"/>
                              <w:szCs w:val="28"/>
                            </w:rPr>
                            <m:t>НГД</m:t>
                          </m:r>
                          <m:d>
                            <m:dPr>
                              <m:ctrlPr>
                                <w:rPr>
                                  <w:rFonts w:ascii="Cambria Math" w:hAnsi="Cambria Math"/>
                                  <w:i/>
                                  <w:sz w:val="20"/>
                                  <w:szCs w:val="28"/>
                                </w:rPr>
                              </m:ctrlPr>
                            </m:dPr>
                            <m:e>
                              <m:sSub>
                                <m:sSubPr>
                                  <m:ctrlPr>
                                    <w:rPr>
                                      <w:rFonts w:ascii="Cambria Math" w:hAnsi="Cambria Math"/>
                                      <w:i/>
                                      <w:sz w:val="20"/>
                                      <w:szCs w:val="28"/>
                                    </w:rPr>
                                  </m:ctrlPr>
                                </m:sSubPr>
                                <m:e>
                                  <m:r>
                                    <w:rPr>
                                      <w:rFonts w:ascii="Cambria Math" w:hAnsi="Cambria Math"/>
                                      <w:sz w:val="20"/>
                                      <w:szCs w:val="28"/>
                                    </w:rPr>
                                    <m:t>P</m:t>
                                  </m:r>
                                </m:e>
                                <m:sub>
                                  <m:r>
                                    <w:rPr>
                                      <w:rFonts w:ascii="Cambria Math" w:hAnsi="Cambria Math"/>
                                      <w:sz w:val="20"/>
                                      <w:szCs w:val="28"/>
                                    </w:rPr>
                                    <m:t>баз</m:t>
                                  </m:r>
                                </m:sub>
                              </m:sSub>
                              <m:r>
                                <w:rPr>
                                  <w:rFonts w:ascii="Cambria Math" w:hAnsi="Cambria Math"/>
                                  <w:sz w:val="20"/>
                                  <w:szCs w:val="28"/>
                                </w:rPr>
                                <m:t>,</m:t>
                              </m:r>
                              <m:sSub>
                                <m:sSubPr>
                                  <m:ctrlPr>
                                    <w:rPr>
                                      <w:rFonts w:ascii="Cambria Math" w:hAnsi="Cambria Math"/>
                                      <w:i/>
                                      <w:sz w:val="20"/>
                                      <w:szCs w:val="28"/>
                                    </w:rPr>
                                  </m:ctrlPr>
                                </m:sSubPr>
                                <m:e>
                                  <m:r>
                                    <w:rPr>
                                      <w:rFonts w:ascii="Cambria Math" w:hAnsi="Cambria Math"/>
                                      <w:sz w:val="20"/>
                                      <w:szCs w:val="28"/>
                                    </w:rPr>
                                    <m:t>FX</m:t>
                                  </m:r>
                                </m:e>
                                <m:sub>
                                  <m:r>
                                    <w:rPr>
                                      <w:rFonts w:ascii="Cambria Math" w:hAnsi="Cambria Math"/>
                                      <w:sz w:val="20"/>
                                      <w:szCs w:val="28"/>
                                    </w:rPr>
                                    <m:t>факт</m:t>
                                  </m:r>
                                </m:sub>
                              </m:sSub>
                            </m:e>
                          </m:d>
                          <m:r>
                            <w:rPr>
                              <w:rFonts w:ascii="Cambria Math" w:hAnsi="Cambria Math"/>
                              <w:sz w:val="20"/>
                              <w:szCs w:val="28"/>
                            </w:rPr>
                            <m:t>-НГД</m:t>
                          </m:r>
                          <m:d>
                            <m:dPr>
                              <m:ctrlPr>
                                <w:rPr>
                                  <w:rFonts w:ascii="Cambria Math" w:hAnsi="Cambria Math"/>
                                  <w:i/>
                                  <w:sz w:val="20"/>
                                  <w:szCs w:val="28"/>
                                </w:rPr>
                              </m:ctrlPr>
                            </m:dPr>
                            <m:e>
                              <m:sSub>
                                <m:sSubPr>
                                  <m:ctrlPr>
                                    <w:rPr>
                                      <w:rFonts w:ascii="Cambria Math" w:hAnsi="Cambria Math"/>
                                      <w:i/>
                                      <w:sz w:val="20"/>
                                      <w:szCs w:val="28"/>
                                    </w:rPr>
                                  </m:ctrlPr>
                                </m:sSubPr>
                                <m:e>
                                  <m:r>
                                    <w:rPr>
                                      <w:rFonts w:ascii="Cambria Math" w:hAnsi="Cambria Math"/>
                                      <w:sz w:val="20"/>
                                      <w:szCs w:val="28"/>
                                    </w:rPr>
                                    <m:t>P</m:t>
                                  </m:r>
                                </m:e>
                                <m:sub>
                                  <m:r>
                                    <w:rPr>
                                      <w:rFonts w:ascii="Cambria Math" w:hAnsi="Cambria Math"/>
                                      <w:sz w:val="20"/>
                                      <w:szCs w:val="28"/>
                                    </w:rPr>
                                    <m:t>баз</m:t>
                                  </m:r>
                                </m:sub>
                              </m:sSub>
                              <m:r>
                                <w:rPr>
                                  <w:rFonts w:ascii="Cambria Math" w:hAnsi="Cambria Math"/>
                                  <w:sz w:val="20"/>
                                  <w:szCs w:val="28"/>
                                </w:rPr>
                                <m:t>,</m:t>
                              </m:r>
                              <m:sSub>
                                <m:sSubPr>
                                  <m:ctrlPr>
                                    <w:rPr>
                                      <w:rFonts w:ascii="Cambria Math" w:hAnsi="Cambria Math"/>
                                      <w:i/>
                                      <w:sz w:val="20"/>
                                      <w:szCs w:val="28"/>
                                    </w:rPr>
                                  </m:ctrlPr>
                                </m:sSubPr>
                                <m:e>
                                  <m:r>
                                    <w:rPr>
                                      <w:rFonts w:ascii="Cambria Math" w:hAnsi="Cambria Math"/>
                                      <w:sz w:val="20"/>
                                      <w:szCs w:val="28"/>
                                    </w:rPr>
                                    <m:t>FX</m:t>
                                  </m:r>
                                </m:e>
                                <m:sub>
                                  <m:r>
                                    <w:rPr>
                                      <w:rFonts w:ascii="Cambria Math" w:hAnsi="Cambria Math"/>
                                      <w:sz w:val="20"/>
                                      <w:szCs w:val="28"/>
                                    </w:rPr>
                                    <m:t>прогноз</m:t>
                                  </m:r>
                                </m:sub>
                              </m:sSub>
                            </m:e>
                          </m:d>
                          <m:r>
                            <w:rPr>
                              <w:rFonts w:ascii="Cambria Math" w:hAnsi="Cambria Math"/>
                              <w:sz w:val="20"/>
                              <w:szCs w:val="28"/>
                            </w:rPr>
                            <m:t>=∆Долг</m:t>
                          </m:r>
                        </m:oMath>
                      </m:oMathPara>
                    </w:p>
                    <w:p w:rsidR="007E5DFE" w:rsidRDefault="007E5DFE" w:rsidP="00F73373">
                      <w:pPr>
                        <w:pStyle w:val="a9"/>
                        <w:spacing w:beforeLines="60" w:before="144" w:afterLines="60" w:after="144"/>
                        <w:ind w:left="357"/>
                        <w:contextualSpacing w:val="0"/>
                        <w:jc w:val="both"/>
                        <w:rPr>
                          <w:rFonts w:ascii="Times New Roman" w:hAnsi="Times New Roman"/>
                          <w:sz w:val="20"/>
                          <w:szCs w:val="28"/>
                        </w:rPr>
                      </w:pPr>
                      <w:proofErr w:type="gramStart"/>
                      <w:r w:rsidRPr="00BF1AEF">
                        <w:rPr>
                          <w:rFonts w:ascii="Times New Roman" w:hAnsi="Times New Roman"/>
                          <w:sz w:val="20"/>
                          <w:szCs w:val="28"/>
                        </w:rPr>
                        <w:t xml:space="preserve">Эта компонента изменения долга носит </w:t>
                      </w:r>
                      <w:proofErr w:type="spellStart"/>
                      <w:r w:rsidRPr="00BF1AEF">
                        <w:rPr>
                          <w:rFonts w:ascii="Times New Roman" w:hAnsi="Times New Roman"/>
                          <w:b/>
                          <w:sz w:val="20"/>
                          <w:szCs w:val="28"/>
                        </w:rPr>
                        <w:t>контрциклический</w:t>
                      </w:r>
                      <w:proofErr w:type="spellEnd"/>
                      <w:r w:rsidRPr="00BF1AEF">
                        <w:rPr>
                          <w:rFonts w:ascii="Times New Roman" w:hAnsi="Times New Roman"/>
                          <w:b/>
                          <w:sz w:val="20"/>
                          <w:szCs w:val="28"/>
                        </w:rPr>
                        <w:t xml:space="preserve"> по отношению к внешним условиям </w:t>
                      </w:r>
                      <w:r w:rsidRPr="00BF1AEF">
                        <w:rPr>
                          <w:rFonts w:ascii="Times New Roman" w:hAnsi="Times New Roman"/>
                          <w:sz w:val="20"/>
                          <w:szCs w:val="28"/>
                        </w:rPr>
                        <w:t>характер: при благоприятной конъюнктуре, когда фактический курс «крепче» прогнозного, происходит рост заимствований, при неблагоприятной – напротив, снижение</w:t>
                      </w:r>
                      <w:r w:rsidRPr="00913854">
                        <w:rPr>
                          <w:rFonts w:ascii="Times New Roman" w:hAnsi="Times New Roman"/>
                          <w:sz w:val="20"/>
                          <w:szCs w:val="28"/>
                        </w:rPr>
                        <w:t>.</w:t>
                      </w:r>
                      <w:proofErr w:type="gramEnd"/>
                    </w:p>
                    <w:p w:rsidR="007E5DFE" w:rsidRPr="00BF1AEF" w:rsidRDefault="007E5DFE" w:rsidP="00B40965">
                      <w:pPr>
                        <w:spacing w:before="120" w:after="120"/>
                        <w:jc w:val="both"/>
                        <w:rPr>
                          <w:rFonts w:ascii="Times New Roman" w:hAnsi="Times New Roman"/>
                          <w:b/>
                          <w:sz w:val="24"/>
                          <w:szCs w:val="20"/>
                        </w:rPr>
                      </w:pPr>
                      <w:r w:rsidRPr="00BF1AEF">
                        <w:rPr>
                          <w:rFonts w:ascii="Times New Roman" w:hAnsi="Times New Roman"/>
                          <w:b/>
                          <w:sz w:val="24"/>
                          <w:szCs w:val="20"/>
                        </w:rPr>
                        <w:t>Механизм подстройки к структурно неблагоприятной конъюнктуре:</w:t>
                      </w:r>
                    </w:p>
                    <w:p w:rsidR="007E5DFE" w:rsidRPr="00BF1AEF" w:rsidRDefault="007E5DFE" w:rsidP="00B40965">
                      <w:pPr>
                        <w:spacing w:before="120" w:after="120"/>
                        <w:jc w:val="both"/>
                        <w:rPr>
                          <w:rFonts w:ascii="Times New Roman" w:hAnsi="Times New Roman"/>
                          <w:sz w:val="20"/>
                          <w:szCs w:val="28"/>
                        </w:rPr>
                      </w:pPr>
                      <w:r w:rsidRPr="00BF1AEF">
                        <w:rPr>
                          <w:rFonts w:ascii="Times New Roman" w:hAnsi="Times New Roman"/>
                          <w:sz w:val="20"/>
                          <w:szCs w:val="28"/>
                        </w:rPr>
                        <w:t xml:space="preserve">В случае, когда объем средств </w:t>
                      </w:r>
                      <w:r>
                        <w:rPr>
                          <w:rFonts w:ascii="Times New Roman" w:hAnsi="Times New Roman"/>
                          <w:sz w:val="20"/>
                          <w:szCs w:val="28"/>
                        </w:rPr>
                        <w:t>ФНБ</w:t>
                      </w:r>
                      <w:r w:rsidRPr="00BF1AEF">
                        <w:rPr>
                          <w:rFonts w:ascii="Times New Roman" w:hAnsi="Times New Roman"/>
                          <w:sz w:val="20"/>
                          <w:szCs w:val="28"/>
                        </w:rPr>
                        <w:t xml:space="preserve"> на 1 января первого года планового периода опускается ниже уровня в 5% ВВП, предельный объем использования средств </w:t>
                      </w:r>
                      <w:r>
                        <w:rPr>
                          <w:rFonts w:ascii="Times New Roman" w:hAnsi="Times New Roman"/>
                          <w:sz w:val="20"/>
                          <w:szCs w:val="28"/>
                        </w:rPr>
                        <w:t>ФНБ</w:t>
                      </w:r>
                      <w:r w:rsidRPr="00BF1AEF">
                        <w:rPr>
                          <w:rFonts w:ascii="Times New Roman" w:hAnsi="Times New Roman"/>
                          <w:sz w:val="20"/>
                          <w:szCs w:val="28"/>
                        </w:rPr>
                        <w:t xml:space="preserve"> не может превышать 1% ВВП (т.е. </w:t>
                      </w:r>
                      <w:proofErr w:type="gramStart"/>
                      <w:r w:rsidRPr="00BF1AEF">
                        <w:rPr>
                          <w:rFonts w:ascii="Times New Roman" w:hAnsi="Times New Roman"/>
                          <w:sz w:val="20"/>
                          <w:szCs w:val="28"/>
                        </w:rPr>
                        <w:t>исходя из этой суммы корректируется</w:t>
                      </w:r>
                      <w:proofErr w:type="gramEnd"/>
                      <w:r w:rsidRPr="00BF1AEF">
                        <w:rPr>
                          <w:rFonts w:ascii="Times New Roman" w:hAnsi="Times New Roman"/>
                          <w:sz w:val="20"/>
                          <w:szCs w:val="28"/>
                        </w:rPr>
                        <w:t xml:space="preserve"> предельный объем расходов и/или другие источники финансирования дефицита бюджета). </w:t>
                      </w:r>
                    </w:p>
                    <w:p w:rsidR="007E5DFE" w:rsidRPr="00BF1AEF" w:rsidRDefault="007E5DFE" w:rsidP="00B40965">
                      <w:pPr>
                        <w:spacing w:before="120" w:after="120"/>
                        <w:jc w:val="both"/>
                        <w:rPr>
                          <w:rFonts w:ascii="Times New Roman" w:hAnsi="Times New Roman"/>
                          <w:b/>
                          <w:sz w:val="20"/>
                          <w:szCs w:val="28"/>
                        </w:rPr>
                      </w:pPr>
                      <w:r w:rsidRPr="00BF1AEF">
                        <w:rPr>
                          <w:rFonts w:ascii="Times New Roman" w:hAnsi="Times New Roman"/>
                          <w:b/>
                          <w:sz w:val="20"/>
                          <w:szCs w:val="28"/>
                        </w:rPr>
                        <w:t>Такой механизм представляет собой автоматический стабилизатор в случае, если равновесный уровень цен на нефть окажется ниже текущего допущения (40 $/</w:t>
                      </w:r>
                      <w:proofErr w:type="spellStart"/>
                      <w:r w:rsidRPr="00BF1AEF">
                        <w:rPr>
                          <w:rFonts w:ascii="Times New Roman" w:hAnsi="Times New Roman"/>
                          <w:b/>
                          <w:sz w:val="20"/>
                          <w:szCs w:val="28"/>
                        </w:rPr>
                        <w:t>барр</w:t>
                      </w:r>
                      <w:proofErr w:type="spellEnd"/>
                      <w:r w:rsidRPr="00BF1AEF">
                        <w:rPr>
                          <w:rFonts w:ascii="Times New Roman" w:hAnsi="Times New Roman"/>
                          <w:b/>
                          <w:sz w:val="20"/>
                          <w:szCs w:val="28"/>
                        </w:rPr>
                        <w:t>.).</w:t>
                      </w:r>
                    </w:p>
                    <w:p w:rsidR="007E5DFE" w:rsidRPr="00B40965" w:rsidRDefault="007E5DFE" w:rsidP="00B40965">
                      <w:pPr>
                        <w:spacing w:beforeLines="60" w:before="144" w:afterLines="60" w:after="144"/>
                        <w:jc w:val="both"/>
                        <w:rPr>
                          <w:rFonts w:ascii="Times New Roman" w:hAnsi="Times New Roman"/>
                          <w:sz w:val="20"/>
                          <w:szCs w:val="28"/>
                        </w:rPr>
                      </w:pPr>
                    </w:p>
                  </w:txbxContent>
                </v:textbox>
                <w10:wrap type="square" anchorx="margin"/>
              </v:shape>
            </w:pict>
          </mc:Fallback>
        </mc:AlternateContent>
      </w:r>
    </w:p>
    <w:p w:rsidR="00653630" w:rsidRPr="00BF1AEF" w:rsidRDefault="00653630" w:rsidP="00653630">
      <w:pPr>
        <w:spacing w:before="120" w:after="120"/>
        <w:jc w:val="both"/>
        <w:rPr>
          <w:rFonts w:ascii="Times New Roman" w:hAnsi="Times New Roman"/>
          <w:sz w:val="24"/>
          <w:szCs w:val="24"/>
        </w:rPr>
      </w:pPr>
      <w:r w:rsidRPr="00BF1AEF">
        <w:rPr>
          <w:rFonts w:ascii="Times New Roman" w:hAnsi="Times New Roman"/>
          <w:sz w:val="24"/>
          <w:szCs w:val="24"/>
        </w:rPr>
        <w:t xml:space="preserve">Практическая проблема для внедрения бюджетных правил состоит в том, что Россия вошла в снижающуюся фазу долгосрочного сырьевого </w:t>
      </w:r>
      <w:proofErr w:type="spellStart"/>
      <w:r w:rsidRPr="00BF1AEF">
        <w:rPr>
          <w:rFonts w:ascii="Times New Roman" w:hAnsi="Times New Roman"/>
          <w:sz w:val="24"/>
          <w:szCs w:val="24"/>
        </w:rPr>
        <w:t>суперцикла</w:t>
      </w:r>
      <w:proofErr w:type="spellEnd"/>
      <w:r w:rsidRPr="00BF1AEF">
        <w:rPr>
          <w:rFonts w:ascii="Times New Roman" w:hAnsi="Times New Roman"/>
          <w:sz w:val="24"/>
          <w:szCs w:val="24"/>
        </w:rPr>
        <w:t xml:space="preserve"> с минимальным объемом резервных сре</w:t>
      </w:r>
      <w:proofErr w:type="gramStart"/>
      <w:r w:rsidRPr="00BF1AEF">
        <w:rPr>
          <w:rFonts w:ascii="Times New Roman" w:hAnsi="Times New Roman"/>
          <w:sz w:val="24"/>
          <w:szCs w:val="24"/>
        </w:rPr>
        <w:t>дств в с</w:t>
      </w:r>
      <w:proofErr w:type="gramEnd"/>
      <w:r w:rsidRPr="00BF1AEF">
        <w:rPr>
          <w:rFonts w:ascii="Times New Roman" w:hAnsi="Times New Roman"/>
          <w:sz w:val="24"/>
          <w:szCs w:val="24"/>
        </w:rPr>
        <w:t>уверенных фондах. Таким образом, приведение бюджетных расходов к соответствующему бюджетным правилам уровню, с одной стороны, невозможно осуществить в течение короткого промежутка времени, а с другой стороны, объема накопленных резервов недостаточно для растягивания консолидации на продолжительный период.</w:t>
      </w:r>
    </w:p>
    <w:p w:rsidR="00653630" w:rsidRPr="00BF1AEF" w:rsidRDefault="00653630" w:rsidP="00653630">
      <w:pPr>
        <w:spacing w:before="120" w:after="120"/>
        <w:jc w:val="both"/>
        <w:rPr>
          <w:rFonts w:ascii="Times New Roman" w:hAnsi="Times New Roman"/>
          <w:sz w:val="24"/>
          <w:szCs w:val="24"/>
        </w:rPr>
      </w:pPr>
      <w:bookmarkStart w:id="21" w:name="_Hlk486766414"/>
      <w:r w:rsidRPr="00BF1AEF">
        <w:rPr>
          <w:rFonts w:ascii="Times New Roman" w:hAnsi="Times New Roman"/>
          <w:sz w:val="24"/>
          <w:szCs w:val="24"/>
        </w:rPr>
        <w:t>В связи с этим общий механизм новых бюджетных правил дополнен периодом, предусматривающим плавный переход к новым предельным объемам расходов. При этом длительность такого переходного периода определяется необходимостью сохранения минимально безопасного уровня резервных сре</w:t>
      </w:r>
      <w:proofErr w:type="gramStart"/>
      <w:r w:rsidRPr="00BF1AEF">
        <w:rPr>
          <w:rFonts w:ascii="Times New Roman" w:hAnsi="Times New Roman"/>
          <w:sz w:val="24"/>
          <w:szCs w:val="24"/>
        </w:rPr>
        <w:t>дств в с</w:t>
      </w:r>
      <w:proofErr w:type="gramEnd"/>
      <w:r w:rsidRPr="00BF1AEF">
        <w:rPr>
          <w:rFonts w:ascii="Times New Roman" w:hAnsi="Times New Roman"/>
          <w:sz w:val="24"/>
          <w:szCs w:val="24"/>
        </w:rPr>
        <w:t>уверенных фондах. Исходя из этого ограничения, приведение бюджетных расходов к соответствующему бюджетным правилам уровню должно завершиться к 2019 году</w:t>
      </w:r>
      <w:bookmarkEnd w:id="21"/>
      <w:r w:rsidRPr="00BF1AEF">
        <w:rPr>
          <w:rFonts w:ascii="Times New Roman" w:hAnsi="Times New Roman"/>
          <w:sz w:val="24"/>
          <w:szCs w:val="24"/>
        </w:rPr>
        <w:t>.</w:t>
      </w:r>
    </w:p>
    <w:p w:rsidR="00653630" w:rsidRPr="00BF1AEF" w:rsidRDefault="00653630" w:rsidP="00653630">
      <w:pPr>
        <w:spacing w:before="120" w:after="120"/>
        <w:jc w:val="both"/>
        <w:rPr>
          <w:rFonts w:ascii="Times New Roman" w:hAnsi="Times New Roman"/>
          <w:sz w:val="24"/>
          <w:szCs w:val="24"/>
        </w:rPr>
      </w:pPr>
      <w:r w:rsidRPr="00BF1AEF">
        <w:rPr>
          <w:rFonts w:ascii="Times New Roman" w:hAnsi="Times New Roman"/>
          <w:sz w:val="24"/>
          <w:szCs w:val="24"/>
        </w:rPr>
        <w:t>Переходные положения новой конструкции бюджетных правил начали реализовываться уже в 2017 году. В конце января 2017 года было принято решение о сохранении дополнительных нефтегазовых доходов при превышении ценами на нефть отметки 40 долларов США за баррель и проведении корреспондирующих операций по покупке/продаже валюты на открытом рынке. Как результат: с февраля 2017 года произошло (1)</w:t>
      </w:r>
      <w:r>
        <w:rPr>
          <w:rFonts w:ascii="Times New Roman" w:hAnsi="Times New Roman"/>
          <w:sz w:val="24"/>
          <w:szCs w:val="24"/>
        </w:rPr>
        <w:t> </w:t>
      </w:r>
      <w:r w:rsidRPr="00BF1AEF">
        <w:rPr>
          <w:rFonts w:ascii="Times New Roman" w:hAnsi="Times New Roman"/>
          <w:sz w:val="24"/>
          <w:szCs w:val="24"/>
        </w:rPr>
        <w:t>заметное снижение корреляции между динамикой курса и ценами на нефть; (2)</w:t>
      </w:r>
      <w:r>
        <w:rPr>
          <w:rFonts w:ascii="Times New Roman" w:hAnsi="Times New Roman"/>
          <w:sz w:val="24"/>
          <w:szCs w:val="24"/>
        </w:rPr>
        <w:t> </w:t>
      </w:r>
      <w:r w:rsidRPr="00BF1AEF">
        <w:rPr>
          <w:rFonts w:ascii="Times New Roman" w:hAnsi="Times New Roman"/>
          <w:sz w:val="24"/>
          <w:szCs w:val="24"/>
        </w:rPr>
        <w:t xml:space="preserve">сокращение </w:t>
      </w:r>
      <w:proofErr w:type="gramStart"/>
      <w:r w:rsidRPr="00BF1AEF">
        <w:rPr>
          <w:rFonts w:ascii="Times New Roman" w:hAnsi="Times New Roman"/>
          <w:sz w:val="24"/>
          <w:szCs w:val="24"/>
        </w:rPr>
        <w:t>риск-премии</w:t>
      </w:r>
      <w:proofErr w:type="gramEnd"/>
      <w:r w:rsidRPr="00BF1AEF">
        <w:rPr>
          <w:rFonts w:ascii="Times New Roman" w:hAnsi="Times New Roman"/>
          <w:sz w:val="24"/>
          <w:szCs w:val="24"/>
        </w:rPr>
        <w:t xml:space="preserve"> по российским активам, а значит снижение требуемой доходности и равновесных реальных процентных ставок в экономике.</w:t>
      </w:r>
    </w:p>
    <w:p w:rsidR="00653630" w:rsidRPr="00BF1AEF" w:rsidRDefault="00653630" w:rsidP="00653630">
      <w:pPr>
        <w:spacing w:before="120" w:after="120"/>
        <w:jc w:val="both"/>
        <w:rPr>
          <w:rFonts w:ascii="Times New Roman" w:hAnsi="Times New Roman"/>
          <w:sz w:val="24"/>
          <w:szCs w:val="24"/>
        </w:rPr>
      </w:pPr>
      <w:proofErr w:type="gramStart"/>
      <w:r w:rsidRPr="00BF1AEF">
        <w:rPr>
          <w:rFonts w:ascii="Times New Roman" w:hAnsi="Times New Roman"/>
          <w:sz w:val="24"/>
          <w:szCs w:val="24"/>
        </w:rPr>
        <w:t>Постепенное сокращение структурного дефицита федерального бюджета в течение переходного периода 2017-2018 гг. создаст благоприятные условия для снижения и стабилизации инфляции на более низком уровне, откроет дополнительное пространство для снижения равновесных реальных процентных ставок в экономике и устранит предпосылки для повышения налоговой нагрузки, обеспечив, таким образом, переход экономики к целевому макроэкономическому равновесию, благоприятствующему инвестиционной модели роста.</w:t>
      </w:r>
      <w:proofErr w:type="gramEnd"/>
    </w:p>
    <w:p w:rsidR="00915AD9" w:rsidRDefault="00653630" w:rsidP="00653630">
      <w:pPr>
        <w:spacing w:before="120" w:after="120"/>
        <w:jc w:val="both"/>
        <w:rPr>
          <w:rFonts w:ascii="Times New Roman" w:hAnsi="Times New Roman"/>
          <w:sz w:val="24"/>
          <w:szCs w:val="24"/>
        </w:rPr>
      </w:pPr>
      <w:r w:rsidRPr="00BF1AEF">
        <w:rPr>
          <w:rFonts w:ascii="Times New Roman" w:hAnsi="Times New Roman"/>
          <w:sz w:val="24"/>
          <w:szCs w:val="24"/>
        </w:rPr>
        <w:t>Напротив, использование дополнительных нефтегазовых доходов (увеличение расходов) в случае роста цен на нефть будет иметь следующие негативные последствия</w:t>
      </w:r>
      <w:r w:rsidR="00915AD9">
        <w:rPr>
          <w:rFonts w:ascii="Times New Roman" w:hAnsi="Times New Roman"/>
          <w:sz w:val="24"/>
          <w:szCs w:val="24"/>
        </w:rPr>
        <w:t>.</w:t>
      </w:r>
    </w:p>
    <w:p w:rsidR="00653630" w:rsidRDefault="00653630" w:rsidP="009F1CCA">
      <w:pPr>
        <w:pStyle w:val="a9"/>
        <w:numPr>
          <w:ilvl w:val="0"/>
          <w:numId w:val="34"/>
        </w:numPr>
        <w:spacing w:before="120" w:after="120"/>
        <w:contextualSpacing w:val="0"/>
        <w:jc w:val="both"/>
        <w:rPr>
          <w:rFonts w:ascii="Times New Roman" w:hAnsi="Times New Roman"/>
          <w:sz w:val="24"/>
          <w:szCs w:val="24"/>
        </w:rPr>
      </w:pPr>
      <w:r>
        <w:rPr>
          <w:rFonts w:ascii="Times New Roman" w:hAnsi="Times New Roman"/>
          <w:sz w:val="24"/>
          <w:szCs w:val="24"/>
        </w:rPr>
        <w:t xml:space="preserve">В условиях отсутствия отрицательного разрыва выпуска и проведения политики инфляционного </w:t>
      </w:r>
      <w:proofErr w:type="spellStart"/>
      <w:r>
        <w:rPr>
          <w:rFonts w:ascii="Times New Roman" w:hAnsi="Times New Roman"/>
          <w:sz w:val="24"/>
          <w:szCs w:val="24"/>
        </w:rPr>
        <w:t>таргетирования</w:t>
      </w:r>
      <w:proofErr w:type="spellEnd"/>
      <w:r>
        <w:rPr>
          <w:rFonts w:ascii="Times New Roman" w:hAnsi="Times New Roman"/>
          <w:sz w:val="24"/>
          <w:szCs w:val="24"/>
        </w:rPr>
        <w:t xml:space="preserve"> Банком России следствием увеличения объема расходов выше запланированного уровня станет необходимость поддержания повышенного уровня реальных процентных ставок. В результате увеличение объемов государственных расходов не приведет к росту общего объема спроса в экономике, а будет компенсировано снижением объемов частного спроса, то есть в структуре ВВП произойдет </w:t>
      </w:r>
      <w:r>
        <w:rPr>
          <w:rFonts w:ascii="Times New Roman" w:hAnsi="Times New Roman"/>
          <w:b/>
          <w:sz w:val="24"/>
          <w:szCs w:val="24"/>
        </w:rPr>
        <w:t>вытеснение частного спроса государственным</w:t>
      </w:r>
      <w:r>
        <w:rPr>
          <w:rFonts w:ascii="Times New Roman" w:hAnsi="Times New Roman"/>
          <w:sz w:val="24"/>
          <w:szCs w:val="24"/>
        </w:rPr>
        <w:t xml:space="preserve">, что приведет к </w:t>
      </w:r>
      <w:r>
        <w:rPr>
          <w:rFonts w:ascii="Times New Roman" w:hAnsi="Times New Roman"/>
          <w:b/>
          <w:sz w:val="24"/>
          <w:szCs w:val="24"/>
        </w:rPr>
        <w:t>снижению потенциальных темпов роста российской экономики</w:t>
      </w:r>
      <w:r>
        <w:rPr>
          <w:rFonts w:ascii="Times New Roman" w:hAnsi="Times New Roman"/>
          <w:sz w:val="24"/>
          <w:szCs w:val="24"/>
        </w:rPr>
        <w:t>.</w:t>
      </w:r>
    </w:p>
    <w:p w:rsidR="00653630" w:rsidRDefault="00653630" w:rsidP="009F1CCA">
      <w:pPr>
        <w:pStyle w:val="a9"/>
        <w:numPr>
          <w:ilvl w:val="0"/>
          <w:numId w:val="34"/>
        </w:numPr>
        <w:spacing w:before="120" w:after="120"/>
        <w:contextualSpacing w:val="0"/>
        <w:jc w:val="both"/>
        <w:rPr>
          <w:rFonts w:ascii="Times New Roman" w:hAnsi="Times New Roman"/>
          <w:sz w:val="24"/>
          <w:szCs w:val="24"/>
        </w:rPr>
      </w:pPr>
      <w:r>
        <w:rPr>
          <w:rFonts w:ascii="Times New Roman" w:hAnsi="Times New Roman"/>
          <w:sz w:val="24"/>
          <w:szCs w:val="24"/>
        </w:rPr>
        <w:t xml:space="preserve">Возросший приток иностранной валюты в страну при условии отсутствия сбережений бюджетного сектора приведет к </w:t>
      </w:r>
      <w:r>
        <w:rPr>
          <w:rFonts w:ascii="Times New Roman" w:hAnsi="Times New Roman"/>
          <w:b/>
          <w:sz w:val="24"/>
          <w:szCs w:val="24"/>
        </w:rPr>
        <w:t>укреплению рубля в реальном выражении</w:t>
      </w:r>
      <w:r>
        <w:rPr>
          <w:rFonts w:ascii="Times New Roman" w:hAnsi="Times New Roman"/>
          <w:sz w:val="24"/>
          <w:szCs w:val="24"/>
        </w:rPr>
        <w:t xml:space="preserve"> и изменению структуры относительных цен в экономике в пользу </w:t>
      </w:r>
      <w:proofErr w:type="spellStart"/>
      <w:r>
        <w:rPr>
          <w:rFonts w:ascii="Times New Roman" w:hAnsi="Times New Roman"/>
          <w:sz w:val="24"/>
          <w:szCs w:val="24"/>
        </w:rPr>
        <w:t>неторгуемых</w:t>
      </w:r>
      <w:proofErr w:type="spellEnd"/>
      <w:r>
        <w:rPr>
          <w:rFonts w:ascii="Times New Roman" w:hAnsi="Times New Roman"/>
          <w:sz w:val="24"/>
          <w:szCs w:val="24"/>
        </w:rPr>
        <w:t xml:space="preserve"> секторов и конечного потребления. В рамках политики инфляционного </w:t>
      </w:r>
      <w:proofErr w:type="spellStart"/>
      <w:r>
        <w:rPr>
          <w:rFonts w:ascii="Times New Roman" w:hAnsi="Times New Roman"/>
          <w:sz w:val="24"/>
          <w:szCs w:val="24"/>
        </w:rPr>
        <w:t>таргетирования</w:t>
      </w:r>
      <w:proofErr w:type="spellEnd"/>
      <w:r>
        <w:rPr>
          <w:rFonts w:ascii="Times New Roman" w:hAnsi="Times New Roman"/>
          <w:sz w:val="24"/>
          <w:szCs w:val="24"/>
        </w:rPr>
        <w:t xml:space="preserve"> такое укрепление рубля в первую очередь будет иметь форму номинального укрепления рубля.</w:t>
      </w:r>
    </w:p>
    <w:p w:rsidR="00653630" w:rsidRDefault="00653630" w:rsidP="00653630">
      <w:pPr>
        <w:pStyle w:val="a9"/>
        <w:spacing w:before="120" w:after="120"/>
        <w:ind w:left="0"/>
        <w:contextualSpacing w:val="0"/>
        <w:jc w:val="both"/>
        <w:rPr>
          <w:rFonts w:ascii="Times New Roman" w:hAnsi="Times New Roman"/>
          <w:sz w:val="24"/>
          <w:szCs w:val="27"/>
        </w:rPr>
      </w:pPr>
      <w:r>
        <w:rPr>
          <w:rFonts w:ascii="Times New Roman" w:hAnsi="Times New Roman"/>
          <w:sz w:val="24"/>
          <w:szCs w:val="24"/>
        </w:rPr>
        <w:t xml:space="preserve">Таким образом, экономика начнет движение к равновесию, аналогичному равновесию 2014 года, характеризующемуся низкими темпами экономического роста, низкой рентабельностью </w:t>
      </w:r>
      <w:proofErr w:type="spellStart"/>
      <w:r>
        <w:rPr>
          <w:rFonts w:ascii="Times New Roman" w:hAnsi="Times New Roman"/>
          <w:sz w:val="24"/>
          <w:szCs w:val="24"/>
        </w:rPr>
        <w:t>ненефтегазовой</w:t>
      </w:r>
      <w:proofErr w:type="spellEnd"/>
      <w:r>
        <w:rPr>
          <w:rFonts w:ascii="Times New Roman" w:hAnsi="Times New Roman"/>
          <w:sz w:val="24"/>
          <w:szCs w:val="24"/>
        </w:rPr>
        <w:t xml:space="preserve"> промышленности и высокой зависимостью от волатильности внешнеэкономической конъюнктуры. Любое последующее снижение нефтяных цен с высокой вероятностью приведет к кризисным последствиям, похожим на события 2014-2015 годов</w:t>
      </w:r>
      <w:r>
        <w:rPr>
          <w:rFonts w:ascii="Times New Roman" w:hAnsi="Times New Roman"/>
          <w:sz w:val="24"/>
          <w:szCs w:val="27"/>
        </w:rPr>
        <w:t>.</w:t>
      </w:r>
    </w:p>
    <w:p w:rsidR="00915AD9" w:rsidRDefault="00FF4120" w:rsidP="00915AD9">
      <w:pPr>
        <w:spacing w:after="120"/>
        <w:jc w:val="both"/>
        <w:rPr>
          <w:rFonts w:ascii="Times New Roman" w:hAnsi="Times New Roman"/>
          <w:b/>
          <w:sz w:val="24"/>
          <w:szCs w:val="24"/>
        </w:rPr>
      </w:pPr>
      <w:r>
        <w:rPr>
          <w:rFonts w:asciiTheme="minorHAnsi" w:hAnsiTheme="minorHAnsi" w:cstheme="minorBidi"/>
          <w:noProof/>
          <w:lang w:eastAsia="ru-RU"/>
        </w:rPr>
        <mc:AlternateContent>
          <mc:Choice Requires="wps">
            <w:drawing>
              <wp:anchor distT="0" distB="0" distL="114300" distR="114300" simplePos="0" relativeHeight="251666944" behindDoc="0" locked="0" layoutInCell="1" allowOverlap="1" wp14:anchorId="3F6BFA0C" wp14:editId="2C648011">
                <wp:simplePos x="0" y="0"/>
                <wp:positionH relativeFrom="column">
                  <wp:posOffset>2730475</wp:posOffset>
                </wp:positionH>
                <wp:positionV relativeFrom="paragraph">
                  <wp:posOffset>1025980</wp:posOffset>
                </wp:positionV>
                <wp:extent cx="309119" cy="4422140"/>
                <wp:effectExtent l="0" t="0" r="0" b="34925"/>
                <wp:wrapNone/>
                <wp:docPr id="169" name="Стрелка вправо 169"/>
                <wp:cNvGraphicFramePr/>
                <a:graphic xmlns:a="http://schemas.openxmlformats.org/drawingml/2006/main">
                  <a:graphicData uri="http://schemas.microsoft.com/office/word/2010/wordprocessingShape">
                    <wps:wsp>
                      <wps:cNvSpPr/>
                      <wps:spPr>
                        <a:xfrm rot="5400000">
                          <a:off x="0" y="0"/>
                          <a:ext cx="309119" cy="4422140"/>
                        </a:xfrm>
                        <a:prstGeom prst="rightArrow">
                          <a:avLst>
                            <a:gd name="adj1" fmla="val 15885"/>
                            <a:gd name="adj2" fmla="val 55141"/>
                          </a:avLst>
                        </a:prstGeom>
                        <a:solidFill>
                          <a:srgbClr val="00602B"/>
                        </a:solidFill>
                        <a:ln>
                          <a:solidFill>
                            <a:srgbClr val="00482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1019A92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69" o:spid="_x0000_s1026" type="#_x0000_t13" style="position:absolute;margin-left:215pt;margin-top:80.8pt;width:24.35pt;height:348.2pt;rotation:9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" adj="9690,9084" fillcolor="#00602b" strokecolor="#004821" strokeweight="2pt"/>
            </w:pict>
          </mc:Fallback>
        </mc:AlternateContent>
      </w:r>
      <w:r w:rsidR="00915AD9">
        <w:rPr>
          <w:rFonts w:ascii="Times New Roman" w:hAnsi="Times New Roman"/>
          <w:b/>
          <w:sz w:val="24"/>
          <w:szCs w:val="24"/>
        </w:rPr>
        <w:t xml:space="preserve">Создание условий для экономического роста на </w:t>
      </w:r>
      <w:proofErr w:type="gramStart"/>
      <w:r w:rsidR="009F284E">
        <w:rPr>
          <w:rFonts w:ascii="Times New Roman" w:hAnsi="Times New Roman"/>
          <w:b/>
          <w:sz w:val="24"/>
          <w:szCs w:val="24"/>
          <w:u w:val="single"/>
        </w:rPr>
        <w:t xml:space="preserve">макро </w:t>
      </w:r>
      <w:r w:rsidR="00915AD9">
        <w:rPr>
          <w:rFonts w:ascii="Times New Roman" w:hAnsi="Times New Roman"/>
          <w:b/>
          <w:sz w:val="24"/>
          <w:szCs w:val="24"/>
          <w:u w:val="single"/>
        </w:rPr>
        <w:t>уровне</w:t>
      </w:r>
      <w:proofErr w:type="gramEnd"/>
    </w:p>
    <w:tbl>
      <w:tblPr>
        <w:tblW w:w="9072" w:type="dxa"/>
        <w:tblInd w:w="85" w:type="dxa"/>
        <w:tblCellMar>
          <w:left w:w="0" w:type="dxa"/>
          <w:right w:w="0" w:type="dxa"/>
        </w:tblCellMar>
        <w:tblLook w:val="0600" w:firstRow="0" w:lastRow="0" w:firstColumn="0" w:lastColumn="0" w:noHBand="1" w:noVBand="1"/>
      </w:tblPr>
      <w:tblGrid>
        <w:gridCol w:w="4536"/>
        <w:gridCol w:w="4536"/>
      </w:tblGrid>
      <w:tr w:rsidR="00915AD9" w:rsidTr="00915AD9">
        <w:trPr>
          <w:trHeight w:val="541"/>
        </w:trPr>
        <w:tc>
          <w:tcPr>
            <w:tcW w:w="4536" w:type="dxa"/>
            <w:tcBorders>
              <w:top w:val="single" w:sz="8" w:space="0" w:color="FFFFFF"/>
              <w:left w:val="single" w:sz="8" w:space="0" w:color="FFFFFF"/>
              <w:bottom w:val="single" w:sz="8" w:space="0" w:color="FFFFFF"/>
              <w:right w:val="single" w:sz="8" w:space="0" w:color="FFFFFF"/>
            </w:tcBorders>
            <w:shd w:val="clear" w:color="auto" w:fill="00602B"/>
            <w:tcMar>
              <w:top w:w="28" w:type="dxa"/>
              <w:left w:w="85" w:type="dxa"/>
              <w:bottom w:w="28" w:type="dxa"/>
              <w:right w:w="85" w:type="dxa"/>
            </w:tcMar>
            <w:vAlign w:val="center"/>
            <w:hideMark/>
          </w:tcPr>
          <w:p w:rsidR="00915AD9" w:rsidRDefault="00915AD9" w:rsidP="00E63E11">
            <w:pPr>
              <w:spacing w:before="120" w:after="120"/>
              <w:jc w:val="center"/>
              <w:rPr>
                <w:rFonts w:ascii="Times New Roman" w:hAnsi="Times New Roman"/>
                <w:color w:val="FFFFFF" w:themeColor="background1"/>
                <w:sz w:val="24"/>
                <w:szCs w:val="24"/>
              </w:rPr>
            </w:pPr>
            <w:r>
              <w:rPr>
                <w:rFonts w:ascii="Times New Roman" w:hAnsi="Times New Roman"/>
                <w:b/>
                <w:bCs/>
                <w:color w:val="FFFFFF" w:themeColor="background1"/>
                <w:sz w:val="24"/>
                <w:szCs w:val="24"/>
              </w:rPr>
              <w:t>ОСНОВНЫЕ ЗАДАЧИ</w:t>
            </w:r>
          </w:p>
        </w:tc>
        <w:tc>
          <w:tcPr>
            <w:tcW w:w="4536" w:type="dxa"/>
            <w:tcBorders>
              <w:top w:val="single" w:sz="8" w:space="0" w:color="FFFFFF"/>
              <w:left w:val="single" w:sz="8" w:space="0" w:color="FFFFFF"/>
              <w:bottom w:val="single" w:sz="8" w:space="0" w:color="FFFFFF"/>
              <w:right w:val="single" w:sz="8" w:space="0" w:color="FFFFFF"/>
            </w:tcBorders>
            <w:shd w:val="clear" w:color="auto" w:fill="00602B"/>
            <w:tcMar>
              <w:top w:w="28" w:type="dxa"/>
              <w:left w:w="85" w:type="dxa"/>
              <w:bottom w:w="28" w:type="dxa"/>
              <w:right w:w="85" w:type="dxa"/>
            </w:tcMar>
            <w:vAlign w:val="center"/>
            <w:hideMark/>
          </w:tcPr>
          <w:p w:rsidR="00915AD9" w:rsidRDefault="00915AD9" w:rsidP="00E63E11">
            <w:pPr>
              <w:spacing w:before="120" w:after="120"/>
              <w:jc w:val="center"/>
              <w:rPr>
                <w:rFonts w:ascii="Times New Roman" w:hAnsi="Times New Roman"/>
                <w:color w:val="FFFFFF" w:themeColor="background1"/>
                <w:sz w:val="24"/>
                <w:szCs w:val="24"/>
              </w:rPr>
            </w:pPr>
            <w:r>
              <w:rPr>
                <w:rFonts w:ascii="Times New Roman" w:hAnsi="Times New Roman"/>
                <w:b/>
                <w:bCs/>
                <w:color w:val="FFFFFF" w:themeColor="background1"/>
                <w:sz w:val="24"/>
                <w:szCs w:val="24"/>
              </w:rPr>
              <w:t>БЮДЖЕТНОЕ ПРАВИЛО</w:t>
            </w:r>
          </w:p>
        </w:tc>
      </w:tr>
      <w:tr w:rsidR="00915AD9" w:rsidTr="00915AD9">
        <w:trPr>
          <w:trHeight w:val="1008"/>
        </w:trPr>
        <w:tc>
          <w:tcPr>
            <w:tcW w:w="4536" w:type="dxa"/>
            <w:tcBorders>
              <w:top w:val="single" w:sz="8" w:space="0" w:color="FFFFFF"/>
              <w:left w:val="single" w:sz="8" w:space="0" w:color="000000"/>
              <w:bottom w:val="single" w:sz="8" w:space="0" w:color="000000"/>
              <w:right w:val="single" w:sz="8" w:space="0" w:color="000000"/>
            </w:tcBorders>
            <w:tcMar>
              <w:top w:w="28" w:type="dxa"/>
              <w:left w:w="85" w:type="dxa"/>
              <w:bottom w:w="28" w:type="dxa"/>
              <w:right w:w="85" w:type="dxa"/>
            </w:tcMar>
            <w:vAlign w:val="center"/>
            <w:hideMark/>
          </w:tcPr>
          <w:p w:rsidR="009F284E" w:rsidRDefault="00915AD9" w:rsidP="00E63E11">
            <w:pPr>
              <w:spacing w:after="0"/>
              <w:jc w:val="both"/>
              <w:rPr>
                <w:rFonts w:ascii="Times New Roman" w:hAnsi="Times New Roman"/>
                <w:b/>
                <w:bCs/>
                <w:sz w:val="24"/>
                <w:szCs w:val="24"/>
              </w:rPr>
            </w:pPr>
            <w:r>
              <w:rPr>
                <w:rFonts w:ascii="Times New Roman" w:hAnsi="Times New Roman"/>
                <w:b/>
                <w:bCs/>
                <w:sz w:val="24"/>
                <w:szCs w:val="24"/>
              </w:rPr>
              <w:t>стабильный реальный курс</w:t>
            </w:r>
            <w:r w:rsidR="009F284E">
              <w:rPr>
                <w:rFonts w:ascii="Times New Roman" w:hAnsi="Times New Roman"/>
                <w:b/>
                <w:bCs/>
                <w:sz w:val="24"/>
                <w:szCs w:val="24"/>
              </w:rPr>
              <w:t xml:space="preserve"> рубля</w:t>
            </w:r>
          </w:p>
          <w:p w:rsidR="00915AD9" w:rsidRDefault="00915AD9" w:rsidP="00E63E11">
            <w:pPr>
              <w:spacing w:after="0"/>
              <w:jc w:val="both"/>
              <w:rPr>
                <w:rFonts w:ascii="Times New Roman" w:hAnsi="Times New Roman"/>
                <w:sz w:val="24"/>
                <w:szCs w:val="24"/>
              </w:rPr>
            </w:pPr>
            <w:r>
              <w:rPr>
                <w:rFonts w:ascii="Times New Roman" w:hAnsi="Times New Roman"/>
                <w:b/>
                <w:bCs/>
                <w:sz w:val="24"/>
                <w:szCs w:val="24"/>
              </w:rPr>
              <w:t>и структура цен</w:t>
            </w:r>
            <w:r w:rsidR="009F284E">
              <w:rPr>
                <w:rFonts w:ascii="Times New Roman" w:hAnsi="Times New Roman"/>
                <w:b/>
                <w:bCs/>
                <w:sz w:val="24"/>
                <w:szCs w:val="24"/>
              </w:rPr>
              <w:t xml:space="preserve"> в экономике</w:t>
            </w:r>
          </w:p>
        </w:tc>
        <w:tc>
          <w:tcPr>
            <w:tcW w:w="4536" w:type="dxa"/>
            <w:tcBorders>
              <w:top w:val="single" w:sz="8" w:space="0" w:color="FFFFFF"/>
              <w:left w:val="single" w:sz="8" w:space="0" w:color="000000"/>
              <w:bottom w:val="single" w:sz="8" w:space="0" w:color="000000"/>
              <w:right w:val="single" w:sz="8" w:space="0" w:color="000000"/>
            </w:tcBorders>
            <w:tcMar>
              <w:top w:w="28" w:type="dxa"/>
              <w:left w:w="85" w:type="dxa"/>
              <w:bottom w:w="28" w:type="dxa"/>
              <w:right w:w="85" w:type="dxa"/>
            </w:tcMar>
            <w:vAlign w:val="center"/>
            <w:hideMark/>
          </w:tcPr>
          <w:p w:rsidR="00915AD9" w:rsidRDefault="00915AD9" w:rsidP="00E63E11">
            <w:pPr>
              <w:spacing w:after="0"/>
              <w:jc w:val="center"/>
              <w:rPr>
                <w:rFonts w:ascii="Times New Roman" w:hAnsi="Times New Roman"/>
                <w:sz w:val="24"/>
                <w:szCs w:val="24"/>
              </w:rPr>
            </w:pPr>
            <w:r>
              <w:rPr>
                <w:rFonts w:ascii="Times New Roman" w:hAnsi="Times New Roman"/>
                <w:sz w:val="24"/>
                <w:szCs w:val="24"/>
              </w:rPr>
              <w:t xml:space="preserve">изоляция от колебаний </w:t>
            </w:r>
            <w:r w:rsidR="00C33DD3">
              <w:rPr>
                <w:rFonts w:ascii="Times New Roman" w:hAnsi="Times New Roman"/>
                <w:sz w:val="24"/>
                <w:szCs w:val="24"/>
              </w:rPr>
              <w:t>цен на нефть</w:t>
            </w:r>
          </w:p>
          <w:p w:rsidR="00915AD9" w:rsidRDefault="00915AD9" w:rsidP="00E63E11">
            <w:pPr>
              <w:spacing w:after="0"/>
              <w:jc w:val="center"/>
              <w:rPr>
                <w:rFonts w:ascii="Times New Roman" w:hAnsi="Times New Roman"/>
                <w:sz w:val="24"/>
                <w:szCs w:val="24"/>
              </w:rPr>
            </w:pPr>
            <w:r>
              <w:rPr>
                <w:rFonts w:ascii="Times New Roman" w:hAnsi="Times New Roman"/>
                <w:sz w:val="24"/>
                <w:szCs w:val="24"/>
              </w:rPr>
              <w:t>=</w:t>
            </w:r>
          </w:p>
          <w:p w:rsidR="00915AD9" w:rsidRDefault="00915AD9" w:rsidP="00E63E11">
            <w:pPr>
              <w:spacing w:after="0"/>
              <w:jc w:val="center"/>
              <w:rPr>
                <w:rFonts w:ascii="Times New Roman" w:hAnsi="Times New Roman"/>
                <w:sz w:val="24"/>
                <w:szCs w:val="24"/>
              </w:rPr>
            </w:pPr>
            <w:r>
              <w:rPr>
                <w:rFonts w:ascii="Times New Roman" w:hAnsi="Times New Roman"/>
                <w:sz w:val="24"/>
                <w:szCs w:val="24"/>
              </w:rPr>
              <w:t xml:space="preserve">стабильные макро </w:t>
            </w:r>
            <w:r w:rsidR="009F284E">
              <w:rPr>
                <w:rFonts w:ascii="Times New Roman" w:hAnsi="Times New Roman"/>
                <w:sz w:val="24"/>
                <w:szCs w:val="24"/>
              </w:rPr>
              <w:t>условия</w:t>
            </w:r>
          </w:p>
        </w:tc>
      </w:tr>
      <w:tr w:rsidR="00915AD9" w:rsidTr="00915AD9">
        <w:trPr>
          <w:trHeight w:val="47"/>
        </w:trPr>
        <w:tc>
          <w:tcPr>
            <w:tcW w:w="4536" w:type="dxa"/>
            <w:tcBorders>
              <w:top w:val="single" w:sz="8" w:space="0" w:color="000000"/>
              <w:left w:val="single" w:sz="8" w:space="0" w:color="000000"/>
              <w:bottom w:val="single" w:sz="8" w:space="0" w:color="000000"/>
              <w:right w:val="single" w:sz="8" w:space="0" w:color="000000"/>
            </w:tcBorders>
            <w:tcMar>
              <w:top w:w="28" w:type="dxa"/>
              <w:left w:w="85" w:type="dxa"/>
              <w:bottom w:w="28" w:type="dxa"/>
              <w:right w:w="85" w:type="dxa"/>
            </w:tcMar>
            <w:vAlign w:val="center"/>
            <w:hideMark/>
          </w:tcPr>
          <w:p w:rsidR="00915AD9" w:rsidRDefault="00915AD9" w:rsidP="00E63E11">
            <w:pPr>
              <w:spacing w:after="0"/>
              <w:jc w:val="both"/>
              <w:rPr>
                <w:rFonts w:ascii="Times New Roman" w:hAnsi="Times New Roman"/>
                <w:sz w:val="24"/>
                <w:szCs w:val="24"/>
              </w:rPr>
            </w:pPr>
            <w:r>
              <w:rPr>
                <w:rFonts w:ascii="Times New Roman" w:hAnsi="Times New Roman"/>
                <w:b/>
                <w:bCs/>
                <w:sz w:val="24"/>
                <w:szCs w:val="24"/>
              </w:rPr>
              <w:t>стабильная и</w:t>
            </w:r>
          </w:p>
          <w:p w:rsidR="00915AD9" w:rsidRDefault="00915AD9" w:rsidP="00E63E11">
            <w:pPr>
              <w:spacing w:after="0"/>
              <w:jc w:val="both"/>
              <w:rPr>
                <w:rFonts w:ascii="Times New Roman" w:hAnsi="Times New Roman"/>
                <w:sz w:val="24"/>
                <w:szCs w:val="24"/>
              </w:rPr>
            </w:pPr>
            <w:r>
              <w:rPr>
                <w:rFonts w:ascii="Times New Roman" w:hAnsi="Times New Roman"/>
                <w:b/>
                <w:bCs/>
                <w:sz w:val="24"/>
                <w:szCs w:val="24"/>
              </w:rPr>
              <w:t>низкая инфляция</w:t>
            </w:r>
          </w:p>
        </w:tc>
        <w:tc>
          <w:tcPr>
            <w:tcW w:w="4536" w:type="dxa"/>
            <w:tcBorders>
              <w:top w:val="single" w:sz="8" w:space="0" w:color="000000"/>
              <w:left w:val="single" w:sz="8" w:space="0" w:color="000000"/>
              <w:bottom w:val="single" w:sz="8" w:space="0" w:color="000000"/>
              <w:right w:val="single" w:sz="8" w:space="0" w:color="000000"/>
            </w:tcBorders>
            <w:tcMar>
              <w:top w:w="28" w:type="dxa"/>
              <w:left w:w="85" w:type="dxa"/>
              <w:bottom w:w="28" w:type="dxa"/>
              <w:right w:w="85" w:type="dxa"/>
            </w:tcMar>
            <w:vAlign w:val="center"/>
            <w:hideMark/>
          </w:tcPr>
          <w:p w:rsidR="00915AD9" w:rsidRDefault="00915AD9" w:rsidP="00E63E11">
            <w:pPr>
              <w:spacing w:after="0"/>
              <w:jc w:val="center"/>
              <w:rPr>
                <w:rFonts w:ascii="Times New Roman" w:hAnsi="Times New Roman"/>
                <w:sz w:val="24"/>
                <w:szCs w:val="24"/>
              </w:rPr>
            </w:pPr>
            <w:r>
              <w:rPr>
                <w:rFonts w:ascii="Times New Roman" w:hAnsi="Times New Roman"/>
                <w:sz w:val="24"/>
                <w:szCs w:val="24"/>
              </w:rPr>
              <w:t>стабильная инфляция</w:t>
            </w:r>
          </w:p>
          <w:p w:rsidR="009F284E" w:rsidRDefault="009F284E" w:rsidP="00E63E11">
            <w:pPr>
              <w:spacing w:after="0"/>
              <w:jc w:val="center"/>
              <w:rPr>
                <w:rFonts w:ascii="Times New Roman" w:hAnsi="Times New Roman"/>
                <w:sz w:val="24"/>
                <w:szCs w:val="24"/>
              </w:rPr>
            </w:pPr>
            <w:r>
              <w:rPr>
                <w:rFonts w:ascii="Times New Roman" w:hAnsi="Times New Roman"/>
                <w:sz w:val="24"/>
                <w:szCs w:val="24"/>
              </w:rPr>
              <w:t>не зависит от динамики цен на нефть</w:t>
            </w:r>
          </w:p>
        </w:tc>
      </w:tr>
      <w:tr w:rsidR="00915AD9" w:rsidTr="00915AD9">
        <w:trPr>
          <w:trHeight w:val="784"/>
        </w:trPr>
        <w:tc>
          <w:tcPr>
            <w:tcW w:w="4536" w:type="dxa"/>
            <w:tcBorders>
              <w:top w:val="single" w:sz="8" w:space="0" w:color="000000"/>
              <w:left w:val="single" w:sz="8" w:space="0" w:color="000000"/>
              <w:bottom w:val="single" w:sz="8" w:space="0" w:color="000000"/>
              <w:right w:val="single" w:sz="8" w:space="0" w:color="000000"/>
            </w:tcBorders>
            <w:tcMar>
              <w:top w:w="28" w:type="dxa"/>
              <w:left w:w="85" w:type="dxa"/>
              <w:bottom w:w="28" w:type="dxa"/>
              <w:right w:w="85" w:type="dxa"/>
            </w:tcMar>
            <w:vAlign w:val="center"/>
            <w:hideMark/>
          </w:tcPr>
          <w:p w:rsidR="00915AD9" w:rsidRDefault="00915AD9" w:rsidP="00E63E11">
            <w:pPr>
              <w:spacing w:after="0"/>
              <w:jc w:val="both"/>
              <w:rPr>
                <w:rFonts w:ascii="Times New Roman" w:hAnsi="Times New Roman"/>
                <w:sz w:val="24"/>
                <w:szCs w:val="24"/>
              </w:rPr>
            </w:pPr>
            <w:r>
              <w:rPr>
                <w:rFonts w:ascii="Times New Roman" w:hAnsi="Times New Roman"/>
                <w:b/>
                <w:bCs/>
                <w:sz w:val="24"/>
                <w:szCs w:val="24"/>
              </w:rPr>
              <w:t>стабильные</w:t>
            </w:r>
          </w:p>
          <w:p w:rsidR="00915AD9" w:rsidRDefault="00915AD9" w:rsidP="00E63E11">
            <w:pPr>
              <w:spacing w:after="0"/>
              <w:jc w:val="both"/>
              <w:rPr>
                <w:rFonts w:ascii="Times New Roman" w:hAnsi="Times New Roman"/>
                <w:sz w:val="24"/>
                <w:szCs w:val="24"/>
              </w:rPr>
            </w:pPr>
            <w:r>
              <w:rPr>
                <w:rFonts w:ascii="Times New Roman" w:hAnsi="Times New Roman"/>
                <w:b/>
                <w:bCs/>
                <w:sz w:val="24"/>
                <w:szCs w:val="24"/>
              </w:rPr>
              <w:t>налоговые условия</w:t>
            </w:r>
          </w:p>
        </w:tc>
        <w:tc>
          <w:tcPr>
            <w:tcW w:w="4536" w:type="dxa"/>
            <w:tcBorders>
              <w:top w:val="single" w:sz="8" w:space="0" w:color="000000"/>
              <w:left w:val="single" w:sz="8" w:space="0" w:color="000000"/>
              <w:bottom w:val="single" w:sz="8" w:space="0" w:color="000000"/>
              <w:right w:val="single" w:sz="8" w:space="0" w:color="000000"/>
            </w:tcBorders>
            <w:tcMar>
              <w:top w:w="28" w:type="dxa"/>
              <w:left w:w="85" w:type="dxa"/>
              <w:bottom w:w="28" w:type="dxa"/>
              <w:right w:w="85" w:type="dxa"/>
            </w:tcMar>
            <w:vAlign w:val="center"/>
            <w:hideMark/>
          </w:tcPr>
          <w:p w:rsidR="00915AD9" w:rsidRDefault="00915AD9" w:rsidP="00E63E11">
            <w:pPr>
              <w:spacing w:after="0"/>
              <w:jc w:val="center"/>
              <w:rPr>
                <w:rFonts w:ascii="Times New Roman" w:hAnsi="Times New Roman"/>
                <w:sz w:val="24"/>
                <w:szCs w:val="24"/>
              </w:rPr>
            </w:pPr>
            <w:r>
              <w:rPr>
                <w:rFonts w:ascii="Times New Roman" w:hAnsi="Times New Roman"/>
                <w:sz w:val="24"/>
                <w:szCs w:val="24"/>
              </w:rPr>
              <w:t>налоговые условия</w:t>
            </w:r>
          </w:p>
          <w:p w:rsidR="00915AD9" w:rsidRDefault="00915AD9" w:rsidP="009F284E">
            <w:pPr>
              <w:spacing w:after="0"/>
              <w:jc w:val="center"/>
              <w:rPr>
                <w:rFonts w:ascii="Times New Roman" w:hAnsi="Times New Roman"/>
                <w:sz w:val="24"/>
                <w:szCs w:val="24"/>
              </w:rPr>
            </w:pPr>
            <w:r>
              <w:rPr>
                <w:rFonts w:ascii="Times New Roman" w:hAnsi="Times New Roman"/>
                <w:sz w:val="24"/>
                <w:szCs w:val="24"/>
              </w:rPr>
              <w:t>не зависят от</w:t>
            </w:r>
            <w:r w:rsidR="009F284E">
              <w:rPr>
                <w:rFonts w:ascii="Times New Roman" w:hAnsi="Times New Roman"/>
                <w:sz w:val="24"/>
                <w:szCs w:val="24"/>
              </w:rPr>
              <w:t xml:space="preserve"> </w:t>
            </w:r>
            <w:r>
              <w:rPr>
                <w:rFonts w:ascii="Times New Roman" w:hAnsi="Times New Roman"/>
                <w:sz w:val="24"/>
                <w:szCs w:val="24"/>
              </w:rPr>
              <w:t>динамики цен на нефть</w:t>
            </w:r>
          </w:p>
        </w:tc>
      </w:tr>
      <w:tr w:rsidR="00915AD9" w:rsidTr="00915AD9">
        <w:trPr>
          <w:trHeight w:val="297"/>
        </w:trPr>
        <w:tc>
          <w:tcPr>
            <w:tcW w:w="4536" w:type="dxa"/>
            <w:tcBorders>
              <w:top w:val="single" w:sz="8" w:space="0" w:color="000000"/>
              <w:left w:val="single" w:sz="8" w:space="0" w:color="000000"/>
              <w:bottom w:val="single" w:sz="8" w:space="0" w:color="000000"/>
              <w:right w:val="single" w:sz="8" w:space="0" w:color="000000"/>
            </w:tcBorders>
            <w:tcMar>
              <w:top w:w="28" w:type="dxa"/>
              <w:left w:w="85" w:type="dxa"/>
              <w:bottom w:w="28" w:type="dxa"/>
              <w:right w:w="85" w:type="dxa"/>
            </w:tcMar>
            <w:vAlign w:val="center"/>
            <w:hideMark/>
          </w:tcPr>
          <w:p w:rsidR="00915AD9" w:rsidRDefault="00915AD9" w:rsidP="00E63E11">
            <w:pPr>
              <w:spacing w:after="0"/>
              <w:jc w:val="both"/>
              <w:rPr>
                <w:rFonts w:ascii="Times New Roman" w:hAnsi="Times New Roman"/>
                <w:sz w:val="24"/>
                <w:szCs w:val="24"/>
              </w:rPr>
            </w:pPr>
            <w:r>
              <w:rPr>
                <w:rFonts w:ascii="Times New Roman" w:hAnsi="Times New Roman"/>
                <w:b/>
                <w:bCs/>
                <w:sz w:val="24"/>
                <w:szCs w:val="24"/>
              </w:rPr>
              <w:t>низкие процентные ставки</w:t>
            </w:r>
          </w:p>
          <w:p w:rsidR="00915AD9" w:rsidRDefault="00915AD9" w:rsidP="00E63E11">
            <w:pPr>
              <w:spacing w:after="0"/>
              <w:jc w:val="both"/>
              <w:rPr>
                <w:rFonts w:ascii="Times New Roman" w:hAnsi="Times New Roman"/>
                <w:sz w:val="24"/>
                <w:szCs w:val="24"/>
              </w:rPr>
            </w:pPr>
            <w:r>
              <w:rPr>
                <w:rFonts w:ascii="Times New Roman" w:hAnsi="Times New Roman"/>
                <w:b/>
                <w:bCs/>
                <w:sz w:val="24"/>
                <w:szCs w:val="24"/>
              </w:rPr>
              <w:t>по долгосрочным ресурсам</w:t>
            </w:r>
          </w:p>
        </w:tc>
        <w:tc>
          <w:tcPr>
            <w:tcW w:w="4536" w:type="dxa"/>
            <w:tcBorders>
              <w:top w:val="single" w:sz="8" w:space="0" w:color="000000"/>
              <w:left w:val="single" w:sz="8" w:space="0" w:color="000000"/>
              <w:bottom w:val="single" w:sz="8" w:space="0" w:color="000000"/>
              <w:right w:val="single" w:sz="8" w:space="0" w:color="000000"/>
            </w:tcBorders>
            <w:tcMar>
              <w:top w:w="28" w:type="dxa"/>
              <w:left w:w="85" w:type="dxa"/>
              <w:bottom w:w="28" w:type="dxa"/>
              <w:right w:w="85" w:type="dxa"/>
            </w:tcMar>
            <w:vAlign w:val="center"/>
            <w:hideMark/>
          </w:tcPr>
          <w:p w:rsidR="00915AD9" w:rsidRDefault="00915AD9" w:rsidP="00E63E11">
            <w:pPr>
              <w:spacing w:after="0"/>
              <w:jc w:val="center"/>
              <w:rPr>
                <w:rFonts w:ascii="Times New Roman" w:hAnsi="Times New Roman"/>
                <w:sz w:val="24"/>
                <w:szCs w:val="24"/>
              </w:rPr>
            </w:pPr>
            <w:r>
              <w:rPr>
                <w:rFonts w:ascii="Times New Roman" w:hAnsi="Times New Roman"/>
                <w:sz w:val="24"/>
                <w:szCs w:val="24"/>
              </w:rPr>
              <w:t>стабильная инфляция и структура цен</w:t>
            </w:r>
          </w:p>
          <w:p w:rsidR="00915AD9" w:rsidRDefault="00915AD9" w:rsidP="00E63E11">
            <w:pPr>
              <w:spacing w:after="0"/>
              <w:jc w:val="center"/>
              <w:rPr>
                <w:rFonts w:ascii="Times New Roman" w:hAnsi="Times New Roman"/>
                <w:sz w:val="24"/>
                <w:szCs w:val="24"/>
              </w:rPr>
            </w:pPr>
            <w:r>
              <w:rPr>
                <w:rFonts w:ascii="Times New Roman" w:hAnsi="Times New Roman"/>
                <w:sz w:val="24"/>
                <w:szCs w:val="24"/>
              </w:rPr>
              <w:t>=</w:t>
            </w:r>
          </w:p>
          <w:p w:rsidR="00915AD9" w:rsidRDefault="00915AD9" w:rsidP="00E63E11">
            <w:pPr>
              <w:spacing w:after="0"/>
              <w:jc w:val="center"/>
              <w:rPr>
                <w:rFonts w:ascii="Times New Roman" w:hAnsi="Times New Roman"/>
                <w:sz w:val="24"/>
                <w:szCs w:val="24"/>
              </w:rPr>
            </w:pPr>
            <w:r>
              <w:rPr>
                <w:rFonts w:ascii="Times New Roman" w:hAnsi="Times New Roman"/>
                <w:sz w:val="24"/>
                <w:szCs w:val="24"/>
              </w:rPr>
              <w:t>якорь долгосрочных % ставок</w:t>
            </w:r>
          </w:p>
        </w:tc>
      </w:tr>
    </w:tbl>
    <w:p w:rsidR="00915AD9" w:rsidRDefault="00915AD9" w:rsidP="00915AD9">
      <w:pPr>
        <w:spacing w:before="120" w:after="120"/>
        <w:jc w:val="both"/>
        <w:rPr>
          <w:rFonts w:ascii="Times New Roman" w:hAnsi="Times New Roman"/>
          <w:sz w:val="24"/>
          <w:szCs w:val="24"/>
        </w:rPr>
      </w:pPr>
    </w:p>
    <w:p w:rsidR="00915AD9" w:rsidRDefault="009F284E" w:rsidP="00915AD9">
      <w:pPr>
        <w:spacing w:before="120" w:after="120"/>
        <w:jc w:val="both"/>
        <w:rPr>
          <w:rFonts w:ascii="Times New Roman" w:hAnsi="Times New Roman"/>
          <w:sz w:val="24"/>
          <w:szCs w:val="24"/>
        </w:rPr>
      </w:pPr>
      <w:r>
        <w:rPr>
          <w:rFonts w:asciiTheme="minorHAnsi" w:hAnsiTheme="minorHAnsi" w:cstheme="minorBidi"/>
          <w:noProof/>
          <w:lang w:eastAsia="ru-RU"/>
        </w:rPr>
        <mc:AlternateContent>
          <mc:Choice Requires="wps">
            <w:drawing>
              <wp:anchor distT="0" distB="0" distL="114300" distR="114300" simplePos="0" relativeHeight="251665920" behindDoc="0" locked="0" layoutInCell="1" allowOverlap="1" wp14:anchorId="2691E09F" wp14:editId="45630270">
                <wp:simplePos x="0" y="0"/>
                <wp:positionH relativeFrom="column">
                  <wp:posOffset>-38735</wp:posOffset>
                </wp:positionH>
                <wp:positionV relativeFrom="paragraph">
                  <wp:posOffset>49368</wp:posOffset>
                </wp:positionV>
                <wp:extent cx="5851392" cy="332105"/>
                <wp:effectExtent l="0" t="0" r="0" b="0"/>
                <wp:wrapNone/>
                <wp:docPr id="1049" name="Прямоугольник 1049"/>
                <wp:cNvGraphicFramePr/>
                <a:graphic xmlns:a="http://schemas.openxmlformats.org/drawingml/2006/main">
                  <a:graphicData uri="http://schemas.microsoft.com/office/word/2010/wordprocessingShape">
                    <wps:wsp>
                      <wps:cNvSpPr/>
                      <wps:spPr>
                        <a:xfrm>
                          <a:off x="0" y="0"/>
                          <a:ext cx="5851392" cy="332105"/>
                        </a:xfrm>
                        <a:prstGeom prst="rect">
                          <a:avLst/>
                        </a:prstGeom>
                        <a:solidFill>
                          <a:srgbClr val="00602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5DFE" w:rsidRPr="00C77781" w:rsidRDefault="007E5DFE" w:rsidP="00915AD9">
                            <w:pPr>
                              <w:pStyle w:val="afb"/>
                              <w:spacing w:before="0" w:beforeAutospacing="0" w:after="0" w:afterAutospacing="0"/>
                              <w:jc w:val="center"/>
                              <w:textAlignment w:val="baseline"/>
                              <w:rPr>
                                <w:b/>
                                <w:sz w:val="20"/>
                                <w:szCs w:val="20"/>
                              </w:rPr>
                            </w:pPr>
                            <w:r w:rsidRPr="00C77781">
                              <w:rPr>
                                <w:b/>
                                <w:color w:val="FFFFFF" w:themeColor="light1"/>
                                <w:kern w:val="24"/>
                                <w:sz w:val="20"/>
                                <w:szCs w:val="20"/>
                              </w:rPr>
                              <w:t>РОСТ УРОВНЯ ЧАСТНЫХ ИНВЕСТИЦИЙ И РАСШИРЕНИЕ ПОТЕНЦИАЛА ЭКОНОМИКИ</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Прямоугольник 1049" o:spid="_x0000_s1044" style="position:absolute;left:0;text-align:left;margin-left:-3.05pt;margin-top:3.9pt;width:460.75pt;height:26.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" fillcolor="#00602b" stroked="f" strokeweight="2pt">
                <v:textbox>
                  <w:txbxContent>
                    <w:p w:rsidR="007E5DFE" w:rsidRPr="00C77781" w:rsidRDefault="007E5DFE" w:rsidP="00915AD9">
                      <w:pPr>
                        <w:pStyle w:val="afb"/>
                        <w:spacing w:before="0" w:beforeAutospacing="0" w:after="0" w:afterAutospacing="0"/>
                        <w:jc w:val="center"/>
                        <w:textAlignment w:val="baseline"/>
                        <w:rPr>
                          <w:b/>
                          <w:sz w:val="20"/>
                          <w:szCs w:val="20"/>
                        </w:rPr>
                      </w:pPr>
                      <w:r w:rsidRPr="00C77781">
                        <w:rPr>
                          <w:b/>
                          <w:color w:val="FFFFFF" w:themeColor="light1"/>
                          <w:kern w:val="24"/>
                          <w:sz w:val="20"/>
                          <w:szCs w:val="20"/>
                        </w:rPr>
                        <w:t>РОСТ УРОВНЯ ЧАСТНЫХ ИНВЕСТИЦИЙ И РАСШИРЕНИЕ ПОТЕНЦИАЛА ЭКОНОМИКИ</w:t>
                      </w:r>
                    </w:p>
                  </w:txbxContent>
                </v:textbox>
              </v:rect>
            </w:pict>
          </mc:Fallback>
        </mc:AlternateContent>
      </w:r>
    </w:p>
    <w:p w:rsidR="00915AD9" w:rsidRDefault="00915AD9" w:rsidP="004743D0">
      <w:pPr>
        <w:spacing w:before="120" w:after="120"/>
        <w:jc w:val="both"/>
        <w:rPr>
          <w:rFonts w:ascii="Times New Roman" w:hAnsi="Times New Roman"/>
          <w:sz w:val="24"/>
          <w:szCs w:val="24"/>
        </w:rPr>
      </w:pPr>
    </w:p>
    <w:p w:rsidR="007F5B53" w:rsidRPr="007F5B53" w:rsidRDefault="007F5B53" w:rsidP="009F284E">
      <w:pPr>
        <w:pStyle w:val="a9"/>
        <w:spacing w:before="120" w:after="120"/>
        <w:ind w:left="0"/>
        <w:contextualSpacing w:val="0"/>
        <w:jc w:val="both"/>
        <w:rPr>
          <w:rFonts w:ascii="Times New Roman" w:hAnsi="Times New Roman"/>
          <w:b/>
          <w:sz w:val="24"/>
          <w:szCs w:val="27"/>
        </w:rPr>
      </w:pPr>
      <w:r w:rsidRPr="007F5B53">
        <w:rPr>
          <w:rFonts w:ascii="Times New Roman" w:hAnsi="Times New Roman"/>
          <w:b/>
          <w:sz w:val="24"/>
          <w:szCs w:val="27"/>
        </w:rPr>
        <w:t xml:space="preserve">ПРЕДСКАЗУЕМЫЕ </w:t>
      </w:r>
      <w:r w:rsidR="00FF4120">
        <w:rPr>
          <w:rFonts w:ascii="Times New Roman" w:hAnsi="Times New Roman"/>
          <w:b/>
          <w:sz w:val="24"/>
          <w:szCs w:val="27"/>
        </w:rPr>
        <w:t>ФИСКАЛЬНЫЕ</w:t>
      </w:r>
      <w:r>
        <w:rPr>
          <w:rFonts w:ascii="Times New Roman" w:hAnsi="Times New Roman"/>
          <w:b/>
          <w:sz w:val="24"/>
          <w:szCs w:val="27"/>
        </w:rPr>
        <w:t xml:space="preserve"> </w:t>
      </w:r>
      <w:r w:rsidRPr="007F5B53">
        <w:rPr>
          <w:rFonts w:ascii="Times New Roman" w:hAnsi="Times New Roman"/>
          <w:b/>
          <w:sz w:val="24"/>
          <w:szCs w:val="27"/>
        </w:rPr>
        <w:t>УСЛОВИЯ</w:t>
      </w:r>
    </w:p>
    <w:p w:rsidR="00653630" w:rsidRPr="00BF1AEF" w:rsidRDefault="00653630" w:rsidP="00653630">
      <w:pPr>
        <w:spacing w:before="120" w:after="120"/>
        <w:jc w:val="both"/>
        <w:rPr>
          <w:rFonts w:ascii="Times New Roman" w:hAnsi="Times New Roman"/>
          <w:sz w:val="24"/>
          <w:szCs w:val="24"/>
        </w:rPr>
      </w:pPr>
      <w:r w:rsidRPr="00BF1AEF">
        <w:rPr>
          <w:rFonts w:ascii="Times New Roman" w:hAnsi="Times New Roman"/>
          <w:sz w:val="24"/>
          <w:szCs w:val="24"/>
        </w:rPr>
        <w:t>Снижение зависимости экономики от динамики цен на нефть – это не единственная задача в рамках цели по обеспечению устойчивой и предска</w:t>
      </w:r>
      <w:r w:rsidR="00C33DD3">
        <w:rPr>
          <w:rFonts w:ascii="Times New Roman" w:hAnsi="Times New Roman"/>
          <w:sz w:val="24"/>
          <w:szCs w:val="24"/>
        </w:rPr>
        <w:t>зуемой макроэкономической среды,</w:t>
      </w:r>
      <w:r w:rsidRPr="00BF1AEF">
        <w:rPr>
          <w:rFonts w:ascii="Times New Roman" w:hAnsi="Times New Roman"/>
          <w:sz w:val="24"/>
          <w:szCs w:val="24"/>
        </w:rPr>
        <w:t xml:space="preserve"> важны и </w:t>
      </w:r>
      <w:r w:rsidRPr="00BF1AEF">
        <w:rPr>
          <w:rFonts w:ascii="Times New Roman" w:hAnsi="Times New Roman"/>
          <w:b/>
          <w:sz w:val="24"/>
          <w:szCs w:val="24"/>
        </w:rPr>
        <w:t>предсказуемые фискальные условия</w:t>
      </w:r>
      <w:r w:rsidRPr="00BF1AEF">
        <w:rPr>
          <w:rFonts w:ascii="Times New Roman" w:hAnsi="Times New Roman"/>
          <w:sz w:val="24"/>
          <w:szCs w:val="24"/>
        </w:rPr>
        <w:t xml:space="preserve">. Бюджетные правила здесь также немаловажны, так как позволяют </w:t>
      </w:r>
      <w:r w:rsidRPr="00BF1AEF">
        <w:rPr>
          <w:rFonts w:ascii="Times New Roman" w:hAnsi="Times New Roman"/>
          <w:sz w:val="24"/>
          <w:szCs w:val="24"/>
          <w:u w:val="single"/>
        </w:rPr>
        <w:t xml:space="preserve">«отвязать» общий уровень налоговой нагрузки </w:t>
      </w:r>
      <w:proofErr w:type="spellStart"/>
      <w:r w:rsidRPr="00BF1AEF">
        <w:rPr>
          <w:rFonts w:ascii="Times New Roman" w:hAnsi="Times New Roman"/>
          <w:sz w:val="24"/>
          <w:szCs w:val="24"/>
          <w:u w:val="single"/>
        </w:rPr>
        <w:t>ненефтегазовой</w:t>
      </w:r>
      <w:proofErr w:type="spellEnd"/>
      <w:r w:rsidRPr="00BF1AEF">
        <w:rPr>
          <w:rFonts w:ascii="Times New Roman" w:hAnsi="Times New Roman"/>
          <w:sz w:val="24"/>
          <w:szCs w:val="24"/>
          <w:u w:val="single"/>
        </w:rPr>
        <w:t xml:space="preserve"> экономики от динамики цен на нефть</w:t>
      </w:r>
      <w:r w:rsidRPr="00BF1AEF">
        <w:rPr>
          <w:rFonts w:ascii="Times New Roman" w:hAnsi="Times New Roman"/>
          <w:sz w:val="24"/>
          <w:szCs w:val="24"/>
        </w:rPr>
        <w:t xml:space="preserve">. Кроме того, предполагается, что основополагающим принципом любых возможных реформ и мер по настройке налоговой системы будет </w:t>
      </w:r>
      <w:r w:rsidRPr="00BF1AEF">
        <w:rPr>
          <w:rFonts w:ascii="Times New Roman" w:hAnsi="Times New Roman"/>
          <w:b/>
          <w:i/>
          <w:sz w:val="24"/>
          <w:szCs w:val="24"/>
        </w:rPr>
        <w:t>принцип фискальной нейтральности</w:t>
      </w:r>
      <w:r w:rsidRPr="00BF1AEF">
        <w:rPr>
          <w:rFonts w:ascii="Times New Roman" w:hAnsi="Times New Roman"/>
          <w:sz w:val="24"/>
          <w:szCs w:val="24"/>
        </w:rPr>
        <w:t xml:space="preserve"> – то есть </w:t>
      </w:r>
      <w:proofErr w:type="spellStart"/>
      <w:r w:rsidRPr="00BF1AEF">
        <w:rPr>
          <w:rFonts w:ascii="Times New Roman" w:hAnsi="Times New Roman"/>
          <w:sz w:val="24"/>
          <w:szCs w:val="24"/>
        </w:rPr>
        <w:t>неповышение</w:t>
      </w:r>
      <w:proofErr w:type="spellEnd"/>
      <w:r w:rsidRPr="00BF1AEF">
        <w:rPr>
          <w:rFonts w:ascii="Times New Roman" w:hAnsi="Times New Roman"/>
          <w:sz w:val="24"/>
          <w:szCs w:val="24"/>
        </w:rPr>
        <w:t xml:space="preserve"> налоговой нагрузки для добросовестных налогоплательщиков. </w:t>
      </w:r>
    </w:p>
    <w:p w:rsidR="00653630" w:rsidRPr="00BF1AEF" w:rsidRDefault="00653630" w:rsidP="00653630">
      <w:pPr>
        <w:spacing w:before="120" w:after="120"/>
        <w:jc w:val="both"/>
        <w:rPr>
          <w:rFonts w:ascii="Times New Roman" w:hAnsi="Times New Roman"/>
          <w:sz w:val="24"/>
          <w:szCs w:val="24"/>
        </w:rPr>
      </w:pPr>
      <w:r w:rsidRPr="00BF1AEF">
        <w:rPr>
          <w:rFonts w:ascii="Times New Roman" w:hAnsi="Times New Roman"/>
          <w:sz w:val="24"/>
          <w:szCs w:val="24"/>
        </w:rPr>
        <w:t>Помимо налоговых условий, также важна и предсказуемость таких элементов фискальной системы как неналоговые платежи и налоговые льготы.</w:t>
      </w:r>
    </w:p>
    <w:p w:rsidR="00653630" w:rsidRPr="00BF1AEF" w:rsidRDefault="00653630" w:rsidP="00653630">
      <w:pPr>
        <w:spacing w:before="120" w:after="120"/>
        <w:jc w:val="both"/>
        <w:rPr>
          <w:rFonts w:ascii="Times New Roman" w:hAnsi="Times New Roman"/>
          <w:sz w:val="24"/>
          <w:szCs w:val="24"/>
        </w:rPr>
      </w:pPr>
      <w:r w:rsidRPr="00BF1AEF">
        <w:rPr>
          <w:rFonts w:ascii="Times New Roman" w:hAnsi="Times New Roman"/>
          <w:sz w:val="24"/>
          <w:szCs w:val="24"/>
        </w:rPr>
        <w:t xml:space="preserve">В части </w:t>
      </w:r>
      <w:r w:rsidRPr="00BF1AEF">
        <w:rPr>
          <w:rFonts w:ascii="Times New Roman" w:hAnsi="Times New Roman"/>
          <w:sz w:val="24"/>
          <w:szCs w:val="24"/>
          <w:u w:val="single"/>
        </w:rPr>
        <w:t>неналоговых платежей</w:t>
      </w:r>
      <w:r w:rsidRPr="00BF1AEF">
        <w:rPr>
          <w:rFonts w:ascii="Times New Roman" w:hAnsi="Times New Roman"/>
          <w:sz w:val="24"/>
          <w:szCs w:val="24"/>
        </w:rPr>
        <w:t xml:space="preserve"> совместно с деловым сообществом будет завершена работа по систематизации и законодательному закреплению единых правил их установления и взимания – своего рода </w:t>
      </w:r>
      <w:r w:rsidRPr="00BF1AEF">
        <w:rPr>
          <w:rFonts w:ascii="Times New Roman" w:hAnsi="Times New Roman"/>
          <w:b/>
          <w:i/>
          <w:sz w:val="24"/>
          <w:szCs w:val="24"/>
        </w:rPr>
        <w:t>кодекс неналоговых платежей</w:t>
      </w:r>
      <w:r w:rsidR="00E14C38" w:rsidRPr="00E14C38">
        <w:rPr>
          <w:rFonts w:ascii="Times New Roman" w:hAnsi="Times New Roman"/>
          <w:i/>
          <w:sz w:val="24"/>
          <w:szCs w:val="24"/>
        </w:rPr>
        <w:t xml:space="preserve"> </w:t>
      </w:r>
      <w:r w:rsidR="00E14C38">
        <w:rPr>
          <w:rFonts w:ascii="Times New Roman" w:hAnsi="Times New Roman"/>
          <w:i/>
          <w:sz w:val="24"/>
          <w:szCs w:val="24"/>
        </w:rPr>
        <w:t>(</w:t>
      </w:r>
      <w:r w:rsidR="00E14C38" w:rsidRPr="00E14C38">
        <w:rPr>
          <w:rFonts w:ascii="Times New Roman" w:hAnsi="Times New Roman"/>
          <w:i/>
          <w:sz w:val="24"/>
          <w:szCs w:val="24"/>
        </w:rPr>
        <w:t>разработан проект федерального закона «О регулировании отдельных обязательных платежей юридических лиц и индивидуальных предпринимателей»</w:t>
      </w:r>
      <w:r w:rsidR="00E14C38">
        <w:rPr>
          <w:rFonts w:ascii="Times New Roman" w:hAnsi="Times New Roman"/>
          <w:i/>
          <w:sz w:val="24"/>
          <w:szCs w:val="24"/>
        </w:rPr>
        <w:t>)</w:t>
      </w:r>
      <w:r w:rsidRPr="00BF1AEF">
        <w:rPr>
          <w:rFonts w:ascii="Times New Roman" w:hAnsi="Times New Roman"/>
          <w:sz w:val="24"/>
          <w:szCs w:val="24"/>
        </w:rPr>
        <w:t xml:space="preserve">. </w:t>
      </w:r>
      <w:proofErr w:type="gramStart"/>
      <w:r w:rsidRPr="00BF1AEF">
        <w:rPr>
          <w:rFonts w:ascii="Times New Roman" w:hAnsi="Times New Roman"/>
          <w:sz w:val="24"/>
          <w:szCs w:val="24"/>
        </w:rPr>
        <w:t>Это должно, с одной стороны, сделать условия ведения бизнеса более прозрачными и предсказуемым, а с другой – повысить эффективность администрирования таких платежей.</w:t>
      </w:r>
      <w:proofErr w:type="gramEnd"/>
      <w:r w:rsidRPr="00BF1AEF">
        <w:rPr>
          <w:rFonts w:ascii="Times New Roman" w:hAnsi="Times New Roman"/>
          <w:sz w:val="24"/>
          <w:szCs w:val="24"/>
        </w:rPr>
        <w:t xml:space="preserve"> По результатам создания нормативной базы, регулирующей такие платежи, планируется, по возможности, сократить количество неналоговых платежей и упростить процедуры их администрирования.</w:t>
      </w:r>
    </w:p>
    <w:p w:rsidR="00C527CC" w:rsidRDefault="005D2062" w:rsidP="00653630">
      <w:pPr>
        <w:pStyle w:val="a9"/>
        <w:spacing w:before="120" w:after="120"/>
        <w:ind w:left="0"/>
        <w:contextualSpacing w:val="0"/>
        <w:jc w:val="both"/>
        <w:rPr>
          <w:rFonts w:ascii="Times New Roman" w:hAnsi="Times New Roman"/>
          <w:sz w:val="24"/>
          <w:szCs w:val="24"/>
        </w:rPr>
      </w:pPr>
      <w:r>
        <w:rPr>
          <w:rFonts w:ascii="Times New Roman" w:hAnsi="Times New Roman"/>
          <w:sz w:val="24"/>
          <w:szCs w:val="24"/>
        </w:rPr>
        <w:t>Оптимизация</w:t>
      </w:r>
      <w:r w:rsidR="00C05A61">
        <w:rPr>
          <w:rFonts w:ascii="Times New Roman" w:hAnsi="Times New Roman"/>
          <w:sz w:val="24"/>
          <w:szCs w:val="24"/>
        </w:rPr>
        <w:t xml:space="preserve"> </w:t>
      </w:r>
      <w:r w:rsidR="00653630" w:rsidRPr="00BF1AEF">
        <w:rPr>
          <w:rFonts w:ascii="Times New Roman" w:hAnsi="Times New Roman"/>
          <w:sz w:val="24"/>
          <w:szCs w:val="24"/>
          <w:u w:val="single"/>
        </w:rPr>
        <w:t>налоговых льгот</w:t>
      </w:r>
      <w:r w:rsidR="00653630" w:rsidRPr="00BF1AEF">
        <w:rPr>
          <w:rFonts w:ascii="Times New Roman" w:hAnsi="Times New Roman"/>
          <w:sz w:val="24"/>
          <w:szCs w:val="24"/>
        </w:rPr>
        <w:t xml:space="preserve"> также представляет особую важность, учитывая тот факт, что в отличие от прямых бюджетных расходов контроль, учет и оценка эффективности налоговых льгот и преференций (или налоговых расходов) пока не формализованы, что создает предпосылки для уменьшения прозрачности бюджетной и налоговой политики, и снижения эффективности государственной экономической политики в целом. </w:t>
      </w:r>
      <w:proofErr w:type="gramStart"/>
      <w:r w:rsidR="00653630" w:rsidRPr="00BF1AEF">
        <w:rPr>
          <w:rFonts w:ascii="Times New Roman" w:hAnsi="Times New Roman"/>
          <w:sz w:val="24"/>
          <w:szCs w:val="24"/>
        </w:rPr>
        <w:t>В этом году уже проделана работа по инвентаризации и систематизации в едином документе всех льгот и освобождений, выделение в их структуре налоговых и неналоговых расходов, оценке их объема за исторический и прогнозный периоды и разнесению таких налоговых расходов по отдельным госпрограммам (см. Приложение №</w:t>
      </w:r>
      <w:r w:rsidR="00653630" w:rsidRPr="00C527CC">
        <w:rPr>
          <w:rFonts w:ascii="Times New Roman" w:hAnsi="Times New Roman"/>
          <w:sz w:val="24"/>
          <w:szCs w:val="24"/>
        </w:rPr>
        <w:t> </w:t>
      </w:r>
      <w:r w:rsidR="00653630" w:rsidRPr="00BF1AEF">
        <w:rPr>
          <w:rFonts w:ascii="Times New Roman" w:hAnsi="Times New Roman"/>
          <w:sz w:val="24"/>
          <w:szCs w:val="24"/>
        </w:rPr>
        <w:t>1).</w:t>
      </w:r>
      <w:proofErr w:type="gramEnd"/>
      <w:r w:rsidR="00653630" w:rsidRPr="00BF1AEF">
        <w:rPr>
          <w:rFonts w:ascii="Times New Roman" w:hAnsi="Times New Roman"/>
          <w:sz w:val="24"/>
          <w:szCs w:val="24"/>
        </w:rPr>
        <w:t xml:space="preserve"> </w:t>
      </w:r>
      <w:r w:rsidR="00857421">
        <w:rPr>
          <w:rFonts w:ascii="Times New Roman" w:hAnsi="Times New Roman"/>
          <w:sz w:val="24"/>
          <w:szCs w:val="24"/>
        </w:rPr>
        <w:t>Следующая</w:t>
      </w:r>
      <w:r w:rsidR="00653630" w:rsidRPr="00BF1AEF">
        <w:rPr>
          <w:rFonts w:ascii="Times New Roman" w:hAnsi="Times New Roman"/>
          <w:sz w:val="24"/>
          <w:szCs w:val="24"/>
        </w:rPr>
        <w:t xml:space="preserve"> задача </w:t>
      </w:r>
      <w:r w:rsidR="00857421">
        <w:rPr>
          <w:rFonts w:ascii="Times New Roman" w:hAnsi="Times New Roman"/>
          <w:sz w:val="24"/>
          <w:szCs w:val="24"/>
        </w:rPr>
        <w:t>–</w:t>
      </w:r>
      <w:r w:rsidR="00653630" w:rsidRPr="00BF1AEF">
        <w:rPr>
          <w:rFonts w:ascii="Times New Roman" w:hAnsi="Times New Roman"/>
          <w:sz w:val="24"/>
          <w:szCs w:val="24"/>
        </w:rPr>
        <w:t xml:space="preserve"> внедрени</w:t>
      </w:r>
      <w:r w:rsidR="00857421">
        <w:rPr>
          <w:rFonts w:ascii="Times New Roman" w:hAnsi="Times New Roman"/>
          <w:sz w:val="24"/>
          <w:szCs w:val="24"/>
        </w:rPr>
        <w:t>е</w:t>
      </w:r>
      <w:r w:rsidR="00653630" w:rsidRPr="00BF1AEF">
        <w:rPr>
          <w:rFonts w:ascii="Times New Roman" w:hAnsi="Times New Roman"/>
          <w:sz w:val="24"/>
          <w:szCs w:val="24"/>
        </w:rPr>
        <w:t xml:space="preserve"> </w:t>
      </w:r>
      <w:r w:rsidR="00653630" w:rsidRPr="00BF1AEF">
        <w:rPr>
          <w:rFonts w:ascii="Times New Roman" w:hAnsi="Times New Roman"/>
          <w:b/>
          <w:i/>
          <w:sz w:val="24"/>
          <w:szCs w:val="24"/>
        </w:rPr>
        <w:t>концепции налоговых и неналоговых расходов</w:t>
      </w:r>
      <w:r w:rsidR="00653630" w:rsidRPr="00BF1AEF">
        <w:rPr>
          <w:rFonts w:ascii="Times New Roman" w:hAnsi="Times New Roman"/>
          <w:sz w:val="24"/>
          <w:szCs w:val="24"/>
        </w:rPr>
        <w:t xml:space="preserve"> в бюджетный процесс, закреплени</w:t>
      </w:r>
      <w:r w:rsidR="00857421">
        <w:rPr>
          <w:rFonts w:ascii="Times New Roman" w:hAnsi="Times New Roman"/>
          <w:sz w:val="24"/>
          <w:szCs w:val="24"/>
        </w:rPr>
        <w:t>е</w:t>
      </w:r>
      <w:r w:rsidR="00653630" w:rsidRPr="00BF1AEF">
        <w:rPr>
          <w:rFonts w:ascii="Times New Roman" w:hAnsi="Times New Roman"/>
          <w:sz w:val="24"/>
          <w:szCs w:val="24"/>
        </w:rPr>
        <w:t xml:space="preserve"> соответствующих норм в законодательстве и создани</w:t>
      </w:r>
      <w:r w:rsidR="00857421">
        <w:rPr>
          <w:rFonts w:ascii="Times New Roman" w:hAnsi="Times New Roman"/>
          <w:sz w:val="24"/>
          <w:szCs w:val="24"/>
        </w:rPr>
        <w:t>е</w:t>
      </w:r>
      <w:r w:rsidR="00653630" w:rsidRPr="00BF1AEF">
        <w:rPr>
          <w:rFonts w:ascii="Times New Roman" w:hAnsi="Times New Roman"/>
          <w:sz w:val="24"/>
          <w:szCs w:val="24"/>
        </w:rPr>
        <w:t xml:space="preserve"> прозрачного механизма анализа объемов налоговых и неналоговых расходов и оценки их эффективности на всех уровнях бюджетов бюджетной системы</w:t>
      </w:r>
      <w:r w:rsidR="00C527CC">
        <w:rPr>
          <w:rFonts w:ascii="Times New Roman" w:hAnsi="Times New Roman"/>
          <w:sz w:val="24"/>
          <w:szCs w:val="24"/>
        </w:rPr>
        <w:t>.</w:t>
      </w:r>
    </w:p>
    <w:p w:rsidR="004E2069" w:rsidRDefault="00936E26" w:rsidP="00E60144">
      <w:pPr>
        <w:pStyle w:val="20"/>
        <w:numPr>
          <w:ilvl w:val="1"/>
          <w:numId w:val="3"/>
        </w:numPr>
        <w:spacing w:before="240" w:after="240"/>
        <w:rPr>
          <w:rFonts w:ascii="Times New Roman" w:hAnsi="Times New Roman"/>
          <w:sz w:val="28"/>
          <w:szCs w:val="28"/>
        </w:rPr>
      </w:pPr>
      <w:bookmarkStart w:id="22" w:name="_Toc494788036"/>
      <w:r>
        <w:rPr>
          <w:rFonts w:ascii="Times New Roman" w:hAnsi="Times New Roman"/>
          <w:sz w:val="28"/>
          <w:szCs w:val="28"/>
        </w:rPr>
        <w:t>СТРУКТУРНАЯ ТРАНСФОРМАЦИЯ ЭКОНОМИКИ</w:t>
      </w:r>
      <w:bookmarkEnd w:id="22"/>
    </w:p>
    <w:p w:rsidR="0011390D" w:rsidRDefault="00FF4120" w:rsidP="009E49BF">
      <w:pPr>
        <w:pStyle w:val="a9"/>
        <w:ind w:left="0"/>
        <w:contextualSpacing w:val="0"/>
        <w:jc w:val="both"/>
        <w:rPr>
          <w:rFonts w:ascii="Times New Roman" w:hAnsi="Times New Roman"/>
          <w:sz w:val="24"/>
          <w:szCs w:val="27"/>
        </w:rPr>
      </w:pPr>
      <w:r w:rsidRPr="00FF4120">
        <w:rPr>
          <w:rFonts w:ascii="Times New Roman" w:hAnsi="Times New Roman"/>
          <w:sz w:val="24"/>
          <w:szCs w:val="27"/>
        </w:rPr>
        <w:t>Создание</w:t>
      </w:r>
      <w:r w:rsidR="00EE2BE3">
        <w:rPr>
          <w:rFonts w:ascii="Times New Roman" w:hAnsi="Times New Roman"/>
          <w:sz w:val="24"/>
          <w:szCs w:val="27"/>
        </w:rPr>
        <w:t xml:space="preserve"> стабильной и </w:t>
      </w:r>
      <w:r w:rsidR="00EE2BE3" w:rsidRPr="00AD2518">
        <w:rPr>
          <w:rFonts w:ascii="Times New Roman" w:hAnsi="Times New Roman"/>
          <w:sz w:val="24"/>
          <w:szCs w:val="27"/>
        </w:rPr>
        <w:t>предсказуемой</w:t>
      </w:r>
      <w:r w:rsidR="007C17F1">
        <w:rPr>
          <w:rFonts w:ascii="Times New Roman" w:hAnsi="Times New Roman"/>
          <w:sz w:val="24"/>
          <w:szCs w:val="27"/>
        </w:rPr>
        <w:t xml:space="preserve"> макроэкономической</w:t>
      </w:r>
      <w:r w:rsidRPr="00AD2518">
        <w:rPr>
          <w:rFonts w:ascii="Times New Roman" w:hAnsi="Times New Roman"/>
          <w:sz w:val="24"/>
          <w:szCs w:val="27"/>
        </w:rPr>
        <w:t xml:space="preserve"> </w:t>
      </w:r>
      <w:r w:rsidR="00EE2BE3" w:rsidRPr="00AD2518">
        <w:rPr>
          <w:rFonts w:ascii="Times New Roman" w:hAnsi="Times New Roman"/>
          <w:sz w:val="24"/>
          <w:szCs w:val="27"/>
        </w:rPr>
        <w:t>среды</w:t>
      </w:r>
      <w:r w:rsidR="00AD2518">
        <w:rPr>
          <w:rFonts w:ascii="Times New Roman" w:hAnsi="Times New Roman"/>
          <w:sz w:val="24"/>
          <w:szCs w:val="27"/>
        </w:rPr>
        <w:t xml:space="preserve"> </w:t>
      </w:r>
      <w:r w:rsidRPr="00FF4120">
        <w:rPr>
          <w:rFonts w:ascii="Times New Roman" w:hAnsi="Times New Roman"/>
          <w:sz w:val="24"/>
          <w:szCs w:val="27"/>
        </w:rPr>
        <w:t xml:space="preserve">– это необходимое, но недостаточное условие для повышения темпов экономического роста. Низкий потолок потенциального роста – </w:t>
      </w:r>
      <w:r w:rsidR="00EE2BE3">
        <w:rPr>
          <w:rFonts w:ascii="Times New Roman" w:hAnsi="Times New Roman"/>
          <w:sz w:val="24"/>
          <w:szCs w:val="27"/>
        </w:rPr>
        <w:t xml:space="preserve">это </w:t>
      </w:r>
      <w:r w:rsidRPr="00FF4120">
        <w:rPr>
          <w:rFonts w:ascii="Times New Roman" w:hAnsi="Times New Roman"/>
          <w:sz w:val="24"/>
          <w:szCs w:val="27"/>
        </w:rPr>
        <w:t xml:space="preserve">главным образом следствие структурных ограничений, связанных </w:t>
      </w:r>
      <w:r w:rsidR="009826CF">
        <w:rPr>
          <w:rFonts w:ascii="Times New Roman" w:hAnsi="Times New Roman"/>
          <w:sz w:val="24"/>
          <w:szCs w:val="27"/>
        </w:rPr>
        <w:t>в том числе</w:t>
      </w:r>
      <w:r w:rsidR="00C527CC">
        <w:rPr>
          <w:rFonts w:ascii="Times New Roman" w:hAnsi="Times New Roman"/>
          <w:sz w:val="24"/>
          <w:szCs w:val="27"/>
        </w:rPr>
        <w:t>,</w:t>
      </w:r>
      <w:r w:rsidR="009826CF">
        <w:rPr>
          <w:rFonts w:ascii="Times New Roman" w:hAnsi="Times New Roman"/>
          <w:sz w:val="24"/>
          <w:szCs w:val="27"/>
        </w:rPr>
        <w:t xml:space="preserve"> </w:t>
      </w:r>
      <w:r w:rsidRPr="00FF4120">
        <w:rPr>
          <w:rFonts w:ascii="Times New Roman" w:hAnsi="Times New Roman"/>
          <w:sz w:val="24"/>
          <w:szCs w:val="27"/>
        </w:rPr>
        <w:t>с</w:t>
      </w:r>
      <w:r w:rsidR="000E3CBF">
        <w:rPr>
          <w:rFonts w:ascii="Times New Roman" w:hAnsi="Times New Roman"/>
          <w:sz w:val="24"/>
          <w:szCs w:val="27"/>
        </w:rPr>
        <w:t>:</w:t>
      </w:r>
      <w:r w:rsidR="00E14C38">
        <w:rPr>
          <w:rFonts w:ascii="Times New Roman" w:hAnsi="Times New Roman"/>
          <w:sz w:val="24"/>
          <w:szCs w:val="27"/>
        </w:rPr>
        <w:t xml:space="preserve"> (1) </w:t>
      </w:r>
      <w:r w:rsidR="005B778F" w:rsidRPr="00FF4120">
        <w:rPr>
          <w:rFonts w:ascii="Times New Roman" w:hAnsi="Times New Roman"/>
          <w:sz w:val="24"/>
          <w:szCs w:val="27"/>
        </w:rPr>
        <w:t>состоянием конкурентной среды и инвестиционным климатом</w:t>
      </w:r>
      <w:r w:rsidR="00E14C38">
        <w:rPr>
          <w:rFonts w:ascii="Times New Roman" w:hAnsi="Times New Roman"/>
          <w:sz w:val="24"/>
          <w:szCs w:val="27"/>
        </w:rPr>
        <w:t>, (2) </w:t>
      </w:r>
      <w:r w:rsidR="005B778F" w:rsidRPr="00FF4120">
        <w:rPr>
          <w:rFonts w:ascii="Times New Roman" w:hAnsi="Times New Roman"/>
          <w:sz w:val="24"/>
          <w:szCs w:val="27"/>
        </w:rPr>
        <w:t>качеством и эффективностью государственного управления</w:t>
      </w:r>
      <w:r w:rsidR="005B778F">
        <w:rPr>
          <w:rFonts w:ascii="Times New Roman" w:hAnsi="Times New Roman"/>
          <w:sz w:val="24"/>
          <w:szCs w:val="27"/>
        </w:rPr>
        <w:t>,</w:t>
      </w:r>
      <w:r w:rsidR="005B778F" w:rsidRPr="00FF4120">
        <w:rPr>
          <w:rFonts w:ascii="Times New Roman" w:hAnsi="Times New Roman"/>
          <w:sz w:val="24"/>
          <w:szCs w:val="27"/>
        </w:rPr>
        <w:t xml:space="preserve"> </w:t>
      </w:r>
      <w:r w:rsidR="005B778F">
        <w:rPr>
          <w:rFonts w:ascii="Times New Roman" w:hAnsi="Times New Roman"/>
          <w:sz w:val="24"/>
          <w:szCs w:val="27"/>
        </w:rPr>
        <w:t xml:space="preserve">(3) </w:t>
      </w:r>
      <w:r w:rsidRPr="00FF4120">
        <w:rPr>
          <w:rFonts w:ascii="Times New Roman" w:hAnsi="Times New Roman"/>
          <w:sz w:val="24"/>
          <w:szCs w:val="27"/>
        </w:rPr>
        <w:t xml:space="preserve">демографическими </w:t>
      </w:r>
      <w:r w:rsidR="000E3CBF">
        <w:rPr>
          <w:rFonts w:ascii="Times New Roman" w:hAnsi="Times New Roman"/>
          <w:sz w:val="24"/>
          <w:szCs w:val="27"/>
        </w:rPr>
        <w:t>вызовами</w:t>
      </w:r>
      <w:r w:rsidRPr="00FF4120">
        <w:rPr>
          <w:rFonts w:ascii="Times New Roman" w:hAnsi="Times New Roman"/>
          <w:sz w:val="24"/>
          <w:szCs w:val="27"/>
        </w:rPr>
        <w:t xml:space="preserve"> и </w:t>
      </w:r>
      <w:r w:rsidR="001A71F9">
        <w:rPr>
          <w:rFonts w:ascii="Times New Roman" w:hAnsi="Times New Roman"/>
          <w:sz w:val="24"/>
          <w:szCs w:val="27"/>
        </w:rPr>
        <w:t>развитием человеческого капитала</w:t>
      </w:r>
      <w:r w:rsidR="005B778F">
        <w:rPr>
          <w:rFonts w:ascii="Times New Roman" w:hAnsi="Times New Roman"/>
          <w:sz w:val="24"/>
          <w:szCs w:val="27"/>
        </w:rPr>
        <w:t xml:space="preserve"> </w:t>
      </w:r>
      <w:r w:rsidRPr="00FF4120">
        <w:rPr>
          <w:rFonts w:ascii="Times New Roman" w:hAnsi="Times New Roman"/>
          <w:sz w:val="24"/>
          <w:szCs w:val="27"/>
        </w:rPr>
        <w:t>и др</w:t>
      </w:r>
      <w:r w:rsidR="009E49BF">
        <w:rPr>
          <w:rFonts w:ascii="Times New Roman" w:hAnsi="Times New Roman"/>
          <w:sz w:val="24"/>
          <w:szCs w:val="27"/>
        </w:rPr>
        <w:t>.</w:t>
      </w:r>
    </w:p>
    <w:p w:rsidR="005B778F" w:rsidRPr="007E4DE3" w:rsidRDefault="005B778F" w:rsidP="007E4DE3">
      <w:pPr>
        <w:spacing w:before="240" w:after="120"/>
        <w:jc w:val="both"/>
        <w:rPr>
          <w:rFonts w:ascii="Times New Roman" w:hAnsi="Times New Roman"/>
          <w:b/>
          <w:sz w:val="24"/>
          <w:szCs w:val="24"/>
        </w:rPr>
      </w:pPr>
      <w:r w:rsidRPr="007E4DE3">
        <w:rPr>
          <w:rFonts w:ascii="Times New Roman" w:hAnsi="Times New Roman"/>
          <w:b/>
          <w:sz w:val="24"/>
          <w:szCs w:val="24"/>
        </w:rPr>
        <w:t>СОКРАЩЕНИЕ ТЕНЕВОГО СЕКТОРА И СОЗДАНИЕ РАВНЫХ КОНКУРЕНТНЫХ УСЛОВИЙ</w:t>
      </w:r>
    </w:p>
    <w:p w:rsidR="00541A4A" w:rsidRDefault="00EE2BE3" w:rsidP="004D7D77">
      <w:pPr>
        <w:spacing w:before="60" w:after="60" w:line="264" w:lineRule="auto"/>
        <w:jc w:val="both"/>
        <w:rPr>
          <w:rFonts w:ascii="Times New Roman" w:hAnsi="Times New Roman"/>
          <w:sz w:val="24"/>
          <w:szCs w:val="24"/>
        </w:rPr>
      </w:pPr>
      <w:r w:rsidRPr="00EE2BE3">
        <w:rPr>
          <w:rFonts w:ascii="Times New Roman" w:hAnsi="Times New Roman"/>
          <w:sz w:val="24"/>
          <w:szCs w:val="24"/>
        </w:rPr>
        <w:t xml:space="preserve">Текущее состояние конкурентной среды и качество </w:t>
      </w:r>
      <w:proofErr w:type="spellStart"/>
      <w:r w:rsidRPr="00EE2BE3">
        <w:rPr>
          <w:rFonts w:ascii="Times New Roman" w:hAnsi="Times New Roman"/>
          <w:sz w:val="24"/>
          <w:szCs w:val="24"/>
        </w:rPr>
        <w:t>инвестклимата</w:t>
      </w:r>
      <w:proofErr w:type="spellEnd"/>
      <w:r w:rsidRPr="00EE2BE3">
        <w:rPr>
          <w:rFonts w:ascii="Times New Roman" w:hAnsi="Times New Roman"/>
          <w:sz w:val="24"/>
          <w:szCs w:val="24"/>
        </w:rPr>
        <w:t xml:space="preserve"> – один из ключевых факторов, сдерживающих потенциал развития</w:t>
      </w:r>
      <w:r w:rsidR="00C527CC">
        <w:rPr>
          <w:rFonts w:ascii="Times New Roman" w:hAnsi="Times New Roman"/>
          <w:sz w:val="24"/>
          <w:szCs w:val="24"/>
        </w:rPr>
        <w:t xml:space="preserve"> экономики</w:t>
      </w:r>
      <w:r>
        <w:rPr>
          <w:rFonts w:ascii="Times New Roman" w:hAnsi="Times New Roman"/>
          <w:sz w:val="24"/>
          <w:szCs w:val="24"/>
        </w:rPr>
        <w:t xml:space="preserve">. Это обуславливает высокую значимость мер, направленных на </w:t>
      </w:r>
      <w:r w:rsidR="00541A4A" w:rsidRPr="00A04031">
        <w:rPr>
          <w:rFonts w:ascii="Times New Roman" w:hAnsi="Times New Roman"/>
          <w:b/>
          <w:sz w:val="24"/>
          <w:szCs w:val="24"/>
        </w:rPr>
        <w:t>обеспечени</w:t>
      </w:r>
      <w:r w:rsidR="00541A4A">
        <w:rPr>
          <w:rFonts w:ascii="Times New Roman" w:hAnsi="Times New Roman"/>
          <w:b/>
          <w:sz w:val="24"/>
          <w:szCs w:val="24"/>
        </w:rPr>
        <w:t>е</w:t>
      </w:r>
      <w:r w:rsidR="00541A4A" w:rsidRPr="00A04031">
        <w:rPr>
          <w:rFonts w:ascii="Times New Roman" w:hAnsi="Times New Roman"/>
          <w:b/>
          <w:sz w:val="24"/>
          <w:szCs w:val="24"/>
        </w:rPr>
        <w:t xml:space="preserve"> равных конкурентных условий</w:t>
      </w:r>
      <w:r w:rsidR="00541A4A">
        <w:rPr>
          <w:rFonts w:ascii="Times New Roman" w:hAnsi="Times New Roman"/>
          <w:b/>
          <w:sz w:val="24"/>
          <w:szCs w:val="24"/>
        </w:rPr>
        <w:t xml:space="preserve"> </w:t>
      </w:r>
      <w:r w:rsidR="00541A4A" w:rsidRPr="00A04031">
        <w:rPr>
          <w:rFonts w:ascii="Times New Roman" w:hAnsi="Times New Roman"/>
          <w:sz w:val="24"/>
          <w:szCs w:val="24"/>
        </w:rPr>
        <w:t>для</w:t>
      </w:r>
      <w:r w:rsidR="00541A4A">
        <w:rPr>
          <w:rFonts w:ascii="Times New Roman" w:hAnsi="Times New Roman"/>
          <w:sz w:val="24"/>
          <w:szCs w:val="24"/>
        </w:rPr>
        <w:t xml:space="preserve"> различных групп экономических агентов и </w:t>
      </w:r>
      <w:r w:rsidR="00541A4A" w:rsidRPr="00D43231">
        <w:rPr>
          <w:rFonts w:ascii="Times New Roman" w:hAnsi="Times New Roman"/>
          <w:b/>
          <w:sz w:val="24"/>
          <w:szCs w:val="24"/>
        </w:rPr>
        <w:t>улучшение условий ведения бизнеса</w:t>
      </w:r>
      <w:r>
        <w:rPr>
          <w:rFonts w:ascii="Times New Roman" w:hAnsi="Times New Roman"/>
          <w:b/>
          <w:sz w:val="24"/>
          <w:szCs w:val="24"/>
        </w:rPr>
        <w:t xml:space="preserve"> </w:t>
      </w:r>
      <w:r w:rsidRPr="00EE2BE3">
        <w:rPr>
          <w:rFonts w:ascii="Times New Roman" w:hAnsi="Times New Roman"/>
          <w:sz w:val="24"/>
          <w:szCs w:val="24"/>
        </w:rPr>
        <w:t>за счет сокращения административной нагрузки</w:t>
      </w:r>
      <w:r w:rsidR="00541A4A">
        <w:rPr>
          <w:rFonts w:ascii="Times New Roman" w:hAnsi="Times New Roman"/>
          <w:sz w:val="24"/>
          <w:szCs w:val="24"/>
        </w:rPr>
        <w:t>.</w:t>
      </w:r>
    </w:p>
    <w:p w:rsidR="00541A4A" w:rsidRDefault="00541A4A" w:rsidP="004D7D77">
      <w:pPr>
        <w:spacing w:before="60" w:after="60" w:line="264" w:lineRule="auto"/>
        <w:jc w:val="both"/>
        <w:rPr>
          <w:rFonts w:ascii="Times New Roman" w:hAnsi="Times New Roman"/>
          <w:sz w:val="24"/>
          <w:szCs w:val="24"/>
        </w:rPr>
      </w:pPr>
      <w:r>
        <w:rPr>
          <w:rFonts w:ascii="Times New Roman" w:hAnsi="Times New Roman"/>
          <w:sz w:val="24"/>
          <w:szCs w:val="24"/>
        </w:rPr>
        <w:t xml:space="preserve">Основным инструментом бюджетной политики в этой сфере является </w:t>
      </w:r>
      <w:r w:rsidRPr="009940CE">
        <w:rPr>
          <w:rFonts w:ascii="Times New Roman" w:hAnsi="Times New Roman"/>
          <w:b/>
          <w:sz w:val="24"/>
          <w:szCs w:val="24"/>
          <w:u w:val="single"/>
        </w:rPr>
        <w:t>улучшение качества администрирования доходов бюджетной системы</w:t>
      </w:r>
      <w:r>
        <w:rPr>
          <w:rFonts w:ascii="Times New Roman" w:hAnsi="Times New Roman"/>
          <w:sz w:val="24"/>
          <w:szCs w:val="24"/>
        </w:rPr>
        <w:t xml:space="preserve">. </w:t>
      </w:r>
      <w:r w:rsidRPr="00F6030C">
        <w:rPr>
          <w:rFonts w:ascii="Times New Roman" w:hAnsi="Times New Roman"/>
          <w:sz w:val="24"/>
          <w:szCs w:val="24"/>
        </w:rPr>
        <w:t>С 201</w:t>
      </w:r>
      <w:r w:rsidR="00F60DAF">
        <w:rPr>
          <w:rFonts w:ascii="Times New Roman" w:hAnsi="Times New Roman"/>
          <w:sz w:val="24"/>
          <w:szCs w:val="24"/>
        </w:rPr>
        <w:t>7</w:t>
      </w:r>
      <w:r w:rsidRPr="00F6030C">
        <w:rPr>
          <w:rFonts w:ascii="Times New Roman" w:hAnsi="Times New Roman"/>
          <w:sz w:val="24"/>
          <w:szCs w:val="24"/>
        </w:rPr>
        <w:t xml:space="preserve"> года в ведении Минфина России находятся налоговые администраторы, обеспечивающие сбор 90% доходов бюджетной системы. Ключевая задача на ближайшие годы</w:t>
      </w:r>
      <w:r w:rsidR="00857421">
        <w:rPr>
          <w:rFonts w:ascii="Times New Roman" w:hAnsi="Times New Roman"/>
          <w:sz w:val="24"/>
          <w:szCs w:val="24"/>
        </w:rPr>
        <w:t xml:space="preserve"> –</w:t>
      </w:r>
      <w:r w:rsidRPr="00F6030C">
        <w:rPr>
          <w:rFonts w:ascii="Times New Roman" w:hAnsi="Times New Roman"/>
          <w:sz w:val="24"/>
          <w:szCs w:val="24"/>
        </w:rPr>
        <w:t xml:space="preserve"> </w:t>
      </w:r>
      <w:r w:rsidRPr="00264D5F">
        <w:rPr>
          <w:rFonts w:ascii="Times New Roman" w:hAnsi="Times New Roman"/>
          <w:i/>
          <w:sz w:val="24"/>
          <w:szCs w:val="24"/>
        </w:rPr>
        <w:t xml:space="preserve">создание системы администрирования, построенной на единой методологической </w:t>
      </w:r>
      <w:r w:rsidR="00F1151C">
        <w:rPr>
          <w:rFonts w:ascii="Times New Roman" w:hAnsi="Times New Roman"/>
          <w:i/>
          <w:sz w:val="24"/>
          <w:szCs w:val="24"/>
        </w:rPr>
        <w:t xml:space="preserve">и информационной </w:t>
      </w:r>
      <w:r w:rsidRPr="00264D5F">
        <w:rPr>
          <w:rFonts w:ascii="Times New Roman" w:hAnsi="Times New Roman"/>
          <w:i/>
          <w:sz w:val="24"/>
          <w:szCs w:val="24"/>
        </w:rPr>
        <w:t>основе</w:t>
      </w:r>
      <w:r w:rsidRPr="00F6030C">
        <w:rPr>
          <w:rFonts w:ascii="Times New Roman" w:hAnsi="Times New Roman"/>
          <w:sz w:val="24"/>
          <w:szCs w:val="24"/>
        </w:rPr>
        <w:t xml:space="preserve">, что </w:t>
      </w:r>
      <w:r>
        <w:rPr>
          <w:rFonts w:ascii="Times New Roman" w:hAnsi="Times New Roman"/>
          <w:sz w:val="24"/>
          <w:szCs w:val="24"/>
        </w:rPr>
        <w:t>обеспечит рост собираемости налогов</w:t>
      </w:r>
      <w:r w:rsidRPr="00F6030C">
        <w:rPr>
          <w:rFonts w:ascii="Times New Roman" w:hAnsi="Times New Roman"/>
          <w:sz w:val="24"/>
          <w:szCs w:val="24"/>
        </w:rPr>
        <w:t xml:space="preserve"> и </w:t>
      </w:r>
      <w:r>
        <w:rPr>
          <w:rFonts w:ascii="Times New Roman" w:hAnsi="Times New Roman"/>
          <w:sz w:val="24"/>
          <w:szCs w:val="24"/>
        </w:rPr>
        <w:t xml:space="preserve">снижение </w:t>
      </w:r>
      <w:r w:rsidRPr="00F6030C">
        <w:rPr>
          <w:rFonts w:ascii="Times New Roman" w:hAnsi="Times New Roman"/>
          <w:sz w:val="24"/>
          <w:szCs w:val="24"/>
        </w:rPr>
        <w:t xml:space="preserve">административной нагрузки для </w:t>
      </w:r>
      <w:r w:rsidR="000E3CBF">
        <w:rPr>
          <w:rFonts w:ascii="Times New Roman" w:hAnsi="Times New Roman"/>
          <w:sz w:val="24"/>
          <w:szCs w:val="24"/>
        </w:rPr>
        <w:t>добросовестного</w:t>
      </w:r>
      <w:r w:rsidRPr="00F6030C">
        <w:rPr>
          <w:rFonts w:ascii="Times New Roman" w:hAnsi="Times New Roman"/>
          <w:sz w:val="24"/>
          <w:szCs w:val="24"/>
        </w:rPr>
        <w:t xml:space="preserve"> бизнеса.</w:t>
      </w:r>
      <w:r w:rsidR="00F1151C">
        <w:rPr>
          <w:rFonts w:ascii="Times New Roman" w:hAnsi="Times New Roman"/>
          <w:sz w:val="24"/>
          <w:szCs w:val="24"/>
        </w:rPr>
        <w:t xml:space="preserve"> В этих целях</w:t>
      </w:r>
      <w:r w:rsidR="009940CE">
        <w:rPr>
          <w:rFonts w:ascii="Times New Roman" w:hAnsi="Times New Roman"/>
          <w:sz w:val="24"/>
          <w:szCs w:val="24"/>
        </w:rPr>
        <w:t xml:space="preserve"> планируется</w:t>
      </w:r>
      <w:r w:rsidR="00F1151C">
        <w:rPr>
          <w:rFonts w:ascii="Times New Roman" w:hAnsi="Times New Roman"/>
          <w:sz w:val="24"/>
          <w:szCs w:val="24"/>
        </w:rPr>
        <w:t>:</w:t>
      </w:r>
    </w:p>
    <w:p w:rsidR="009940CE" w:rsidRPr="009940CE" w:rsidRDefault="00C90003" w:rsidP="009F1CCA">
      <w:pPr>
        <w:pStyle w:val="a9"/>
        <w:numPr>
          <w:ilvl w:val="0"/>
          <w:numId w:val="35"/>
        </w:numPr>
        <w:spacing w:before="60" w:after="60" w:line="264" w:lineRule="auto"/>
        <w:ind w:left="357" w:hanging="357"/>
        <w:contextualSpacing w:val="0"/>
        <w:jc w:val="both"/>
        <w:rPr>
          <w:rFonts w:ascii="Times New Roman" w:hAnsi="Times New Roman"/>
          <w:i/>
          <w:sz w:val="24"/>
          <w:szCs w:val="24"/>
        </w:rPr>
      </w:pPr>
      <w:r w:rsidRPr="00C90003">
        <w:rPr>
          <w:rFonts w:ascii="Times New Roman" w:hAnsi="Times New Roman"/>
          <w:i/>
          <w:sz w:val="24"/>
          <w:szCs w:val="24"/>
        </w:rPr>
        <w:t>П</w:t>
      </w:r>
      <w:r w:rsidR="00C91915" w:rsidRPr="00C90003">
        <w:rPr>
          <w:rFonts w:ascii="Times New Roman" w:hAnsi="Times New Roman"/>
          <w:i/>
          <w:sz w:val="24"/>
          <w:szCs w:val="24"/>
        </w:rPr>
        <w:t>олный охват</w:t>
      </w:r>
      <w:r w:rsidR="00094FF8">
        <w:rPr>
          <w:rFonts w:ascii="Times New Roman" w:hAnsi="Times New Roman"/>
          <w:i/>
          <w:sz w:val="24"/>
          <w:szCs w:val="24"/>
        </w:rPr>
        <w:t xml:space="preserve"> </w:t>
      </w:r>
      <w:r w:rsidR="00094FF8" w:rsidRPr="009940CE">
        <w:rPr>
          <w:rFonts w:ascii="Times New Roman" w:hAnsi="Times New Roman"/>
          <w:sz w:val="24"/>
          <w:szCs w:val="24"/>
        </w:rPr>
        <w:t>(с 1 июля 2018 года)</w:t>
      </w:r>
      <w:r w:rsidR="00C91915" w:rsidRPr="00C90003">
        <w:rPr>
          <w:rFonts w:ascii="Times New Roman" w:hAnsi="Times New Roman"/>
          <w:i/>
          <w:sz w:val="24"/>
          <w:szCs w:val="24"/>
        </w:rPr>
        <w:t xml:space="preserve"> розничной торговой сети контрольно-кассовой техникой</w:t>
      </w:r>
      <w:r w:rsidR="00244B49">
        <w:rPr>
          <w:rFonts w:ascii="Times New Roman" w:hAnsi="Times New Roman"/>
          <w:i/>
          <w:sz w:val="24"/>
          <w:szCs w:val="24"/>
        </w:rPr>
        <w:t xml:space="preserve"> (ККТ)</w:t>
      </w:r>
      <w:r w:rsidR="00C91915" w:rsidRPr="009940CE">
        <w:rPr>
          <w:rFonts w:ascii="Times New Roman" w:hAnsi="Times New Roman"/>
          <w:i/>
          <w:sz w:val="24"/>
          <w:szCs w:val="24"/>
        </w:rPr>
        <w:t xml:space="preserve">, </w:t>
      </w:r>
      <w:r w:rsidR="00C91915" w:rsidRPr="009940CE">
        <w:rPr>
          <w:rFonts w:ascii="Times New Roman" w:hAnsi="Times New Roman"/>
          <w:sz w:val="24"/>
          <w:szCs w:val="24"/>
        </w:rPr>
        <w:t>обеспечивающей онлайн-</w:t>
      </w:r>
      <w:r w:rsidR="00F1151C" w:rsidRPr="009940CE">
        <w:rPr>
          <w:rFonts w:ascii="Times New Roman" w:hAnsi="Times New Roman"/>
          <w:sz w:val="24"/>
          <w:szCs w:val="24"/>
        </w:rPr>
        <w:t>передачу данных на сервера ФНС.</w:t>
      </w:r>
      <w:r w:rsidR="00244B49" w:rsidRPr="009940CE">
        <w:rPr>
          <w:rFonts w:ascii="Times New Roman" w:hAnsi="Times New Roman"/>
          <w:i/>
          <w:sz w:val="24"/>
          <w:szCs w:val="24"/>
        </w:rPr>
        <w:t xml:space="preserve"> </w:t>
      </w:r>
    </w:p>
    <w:p w:rsidR="00C91915" w:rsidRPr="00F1151C" w:rsidRDefault="00244B49" w:rsidP="004D7D77">
      <w:pPr>
        <w:pStyle w:val="a9"/>
        <w:spacing w:before="60" w:after="60" w:line="264" w:lineRule="auto"/>
        <w:ind w:left="357"/>
        <w:contextualSpacing w:val="0"/>
        <w:jc w:val="both"/>
        <w:rPr>
          <w:rFonts w:ascii="Times New Roman" w:hAnsi="Times New Roman"/>
          <w:sz w:val="24"/>
          <w:szCs w:val="24"/>
        </w:rPr>
      </w:pPr>
      <w:r>
        <w:rPr>
          <w:rFonts w:ascii="Times New Roman" w:hAnsi="Times New Roman"/>
          <w:sz w:val="24"/>
          <w:szCs w:val="24"/>
        </w:rPr>
        <w:t>Предоставление малому бизнесу (плательщики ЕНВД, патента) права уменьшать соответствующие налоги на расходы по приобретению ККТ (</w:t>
      </w:r>
      <w:r w:rsidR="00720748" w:rsidRPr="00720748">
        <w:rPr>
          <w:rFonts w:ascii="Times New Roman" w:hAnsi="Times New Roman"/>
          <w:sz w:val="24"/>
          <w:szCs w:val="24"/>
        </w:rPr>
        <w:t>в размере не более 18</w:t>
      </w:r>
      <w:r w:rsidR="00720748">
        <w:rPr>
          <w:rFonts w:ascii="Times New Roman" w:hAnsi="Times New Roman"/>
          <w:sz w:val="24"/>
          <w:szCs w:val="24"/>
        </w:rPr>
        <w:t> </w:t>
      </w:r>
      <w:r w:rsidR="00720748" w:rsidRPr="00720748">
        <w:rPr>
          <w:rFonts w:ascii="Times New Roman" w:hAnsi="Times New Roman"/>
          <w:sz w:val="24"/>
          <w:szCs w:val="24"/>
        </w:rPr>
        <w:t>000 рублей за один кассовый аппарат</w:t>
      </w:r>
      <w:r>
        <w:rPr>
          <w:rFonts w:ascii="Times New Roman" w:hAnsi="Times New Roman"/>
          <w:sz w:val="24"/>
          <w:szCs w:val="24"/>
        </w:rPr>
        <w:t>)</w:t>
      </w:r>
      <w:r w:rsidR="00857421">
        <w:rPr>
          <w:rFonts w:ascii="Times New Roman" w:hAnsi="Times New Roman"/>
          <w:sz w:val="24"/>
          <w:szCs w:val="24"/>
        </w:rPr>
        <w:t>.</w:t>
      </w:r>
    </w:p>
    <w:p w:rsidR="009940CE" w:rsidRDefault="00F1151C" w:rsidP="009F1CCA">
      <w:pPr>
        <w:pStyle w:val="a9"/>
        <w:numPr>
          <w:ilvl w:val="0"/>
          <w:numId w:val="35"/>
        </w:numPr>
        <w:spacing w:before="60" w:after="60" w:line="264" w:lineRule="auto"/>
        <w:ind w:left="357" w:hanging="357"/>
        <w:contextualSpacing w:val="0"/>
        <w:jc w:val="both"/>
        <w:rPr>
          <w:rFonts w:ascii="Times New Roman" w:hAnsi="Times New Roman"/>
          <w:sz w:val="24"/>
          <w:szCs w:val="24"/>
        </w:rPr>
      </w:pPr>
      <w:r w:rsidRPr="00C90003">
        <w:rPr>
          <w:rFonts w:ascii="Times New Roman" w:hAnsi="Times New Roman"/>
          <w:i/>
          <w:sz w:val="24"/>
          <w:szCs w:val="24"/>
        </w:rPr>
        <w:t>И</w:t>
      </w:r>
      <w:r w:rsidR="00C91915" w:rsidRPr="00C90003">
        <w:rPr>
          <w:rFonts w:ascii="Times New Roman" w:hAnsi="Times New Roman"/>
          <w:i/>
          <w:sz w:val="24"/>
          <w:szCs w:val="24"/>
        </w:rPr>
        <w:t xml:space="preserve">нтеграция информационных систем </w:t>
      </w:r>
      <w:r w:rsidRPr="00C90003">
        <w:rPr>
          <w:rFonts w:ascii="Times New Roman" w:hAnsi="Times New Roman"/>
          <w:i/>
          <w:sz w:val="24"/>
          <w:szCs w:val="24"/>
        </w:rPr>
        <w:t xml:space="preserve">и систем управления рисками </w:t>
      </w:r>
      <w:r w:rsidR="00C91915" w:rsidRPr="00F1151C">
        <w:rPr>
          <w:rFonts w:ascii="Times New Roman" w:hAnsi="Times New Roman"/>
          <w:sz w:val="24"/>
          <w:szCs w:val="24"/>
        </w:rPr>
        <w:t>налоговых и таможенных органов</w:t>
      </w:r>
      <w:r>
        <w:rPr>
          <w:rFonts w:ascii="Times New Roman" w:hAnsi="Times New Roman"/>
          <w:sz w:val="24"/>
          <w:szCs w:val="24"/>
        </w:rPr>
        <w:t>;</w:t>
      </w:r>
      <w:r w:rsidR="00C91915" w:rsidRPr="00F1151C">
        <w:rPr>
          <w:rFonts w:ascii="Times New Roman" w:hAnsi="Times New Roman"/>
          <w:sz w:val="24"/>
          <w:szCs w:val="24"/>
        </w:rPr>
        <w:t xml:space="preserve"> созда</w:t>
      </w:r>
      <w:r>
        <w:rPr>
          <w:rFonts w:ascii="Times New Roman" w:hAnsi="Times New Roman"/>
          <w:sz w:val="24"/>
          <w:szCs w:val="24"/>
        </w:rPr>
        <w:t>ние</w:t>
      </w:r>
      <w:r w:rsidR="00C91915" w:rsidRPr="00F1151C">
        <w:rPr>
          <w:rFonts w:ascii="Times New Roman" w:hAnsi="Times New Roman"/>
          <w:sz w:val="24"/>
          <w:szCs w:val="24"/>
        </w:rPr>
        <w:t xml:space="preserve"> </w:t>
      </w:r>
      <w:r w:rsidR="00C91915" w:rsidRPr="00FE61CD">
        <w:rPr>
          <w:rFonts w:ascii="Times New Roman" w:hAnsi="Times New Roman"/>
          <w:i/>
          <w:sz w:val="24"/>
          <w:szCs w:val="24"/>
        </w:rPr>
        <w:t>систем</w:t>
      </w:r>
      <w:r w:rsidRPr="00FE61CD">
        <w:rPr>
          <w:rFonts w:ascii="Times New Roman" w:hAnsi="Times New Roman"/>
          <w:i/>
          <w:sz w:val="24"/>
          <w:szCs w:val="24"/>
        </w:rPr>
        <w:t xml:space="preserve">ы </w:t>
      </w:r>
      <w:proofErr w:type="spellStart"/>
      <w:r w:rsidRPr="00FE61CD">
        <w:rPr>
          <w:rFonts w:ascii="Times New Roman" w:hAnsi="Times New Roman"/>
          <w:i/>
          <w:sz w:val="24"/>
          <w:szCs w:val="24"/>
        </w:rPr>
        <w:t>прослеживаемости</w:t>
      </w:r>
      <w:proofErr w:type="spellEnd"/>
      <w:r w:rsidRPr="00FE61CD">
        <w:rPr>
          <w:rFonts w:ascii="Times New Roman" w:hAnsi="Times New Roman"/>
          <w:i/>
          <w:sz w:val="24"/>
          <w:szCs w:val="24"/>
        </w:rPr>
        <w:t xml:space="preserve"> </w:t>
      </w:r>
      <w:r w:rsidR="00C91915" w:rsidRPr="00FE61CD">
        <w:rPr>
          <w:rFonts w:ascii="Times New Roman" w:hAnsi="Times New Roman"/>
          <w:sz w:val="24"/>
          <w:szCs w:val="24"/>
        </w:rPr>
        <w:t>движения товаров от этапа таможенного оформления до реализации конечно</w:t>
      </w:r>
      <w:r w:rsidR="00FE61CD" w:rsidRPr="00FE61CD">
        <w:rPr>
          <w:rFonts w:ascii="Times New Roman" w:hAnsi="Times New Roman"/>
          <w:sz w:val="24"/>
          <w:szCs w:val="24"/>
        </w:rPr>
        <w:t>му</w:t>
      </w:r>
      <w:r w:rsidR="00C91915" w:rsidRPr="00FE61CD">
        <w:rPr>
          <w:rFonts w:ascii="Times New Roman" w:hAnsi="Times New Roman"/>
          <w:sz w:val="24"/>
          <w:szCs w:val="24"/>
        </w:rPr>
        <w:t xml:space="preserve"> потребителю</w:t>
      </w:r>
      <w:r w:rsidR="00C91915" w:rsidRPr="00F1151C">
        <w:rPr>
          <w:rFonts w:ascii="Times New Roman" w:hAnsi="Times New Roman"/>
          <w:sz w:val="24"/>
          <w:szCs w:val="24"/>
        </w:rPr>
        <w:t>.</w:t>
      </w:r>
    </w:p>
    <w:p w:rsidR="00C91915" w:rsidRPr="00F1151C" w:rsidRDefault="009940CE" w:rsidP="004D7D77">
      <w:pPr>
        <w:pStyle w:val="a9"/>
        <w:spacing w:before="60" w:after="60" w:line="264" w:lineRule="auto"/>
        <w:ind w:left="357"/>
        <w:contextualSpacing w:val="0"/>
        <w:jc w:val="both"/>
        <w:rPr>
          <w:rFonts w:ascii="Times New Roman" w:hAnsi="Times New Roman"/>
          <w:sz w:val="24"/>
          <w:szCs w:val="24"/>
        </w:rPr>
      </w:pPr>
      <w:r>
        <w:rPr>
          <w:rFonts w:ascii="Times New Roman" w:hAnsi="Times New Roman"/>
          <w:sz w:val="24"/>
          <w:szCs w:val="24"/>
        </w:rPr>
        <w:t xml:space="preserve">Запуск </w:t>
      </w:r>
      <w:r w:rsidR="00811E27">
        <w:rPr>
          <w:rFonts w:ascii="Times New Roman" w:hAnsi="Times New Roman"/>
          <w:sz w:val="24"/>
          <w:szCs w:val="24"/>
        </w:rPr>
        <w:t xml:space="preserve">(1 февраля 2018 года) </w:t>
      </w:r>
      <w:r>
        <w:rPr>
          <w:rFonts w:ascii="Times New Roman" w:hAnsi="Times New Roman"/>
          <w:sz w:val="24"/>
          <w:szCs w:val="24"/>
        </w:rPr>
        <w:t xml:space="preserve">пилотного </w:t>
      </w:r>
      <w:r w:rsidRPr="009940CE">
        <w:rPr>
          <w:rFonts w:ascii="Times New Roman" w:hAnsi="Times New Roman"/>
          <w:sz w:val="24"/>
          <w:szCs w:val="24"/>
        </w:rPr>
        <w:t>прое</w:t>
      </w:r>
      <w:r>
        <w:rPr>
          <w:rFonts w:ascii="Times New Roman" w:hAnsi="Times New Roman"/>
          <w:sz w:val="24"/>
          <w:szCs w:val="24"/>
        </w:rPr>
        <w:t xml:space="preserve">кта по внедрению на территории ЕАЭС механизма </w:t>
      </w:r>
      <w:proofErr w:type="spellStart"/>
      <w:r>
        <w:rPr>
          <w:rFonts w:ascii="Times New Roman" w:hAnsi="Times New Roman"/>
          <w:sz w:val="24"/>
          <w:szCs w:val="24"/>
        </w:rPr>
        <w:t>прослеживаемости</w:t>
      </w:r>
      <w:proofErr w:type="spellEnd"/>
      <w:r>
        <w:rPr>
          <w:rFonts w:ascii="Times New Roman" w:hAnsi="Times New Roman"/>
          <w:sz w:val="24"/>
          <w:szCs w:val="24"/>
        </w:rPr>
        <w:t xml:space="preserve"> со </w:t>
      </w:r>
      <w:r w:rsidRPr="009940CE">
        <w:rPr>
          <w:rFonts w:ascii="Times New Roman" w:hAnsi="Times New Roman"/>
          <w:sz w:val="24"/>
          <w:szCs w:val="24"/>
        </w:rPr>
        <w:t xml:space="preserve">«сквозной» </w:t>
      </w:r>
      <w:r>
        <w:rPr>
          <w:rFonts w:ascii="Times New Roman" w:hAnsi="Times New Roman"/>
          <w:sz w:val="24"/>
          <w:szCs w:val="24"/>
        </w:rPr>
        <w:t>(</w:t>
      </w:r>
      <w:r w:rsidRPr="009940CE">
        <w:rPr>
          <w:rFonts w:ascii="Times New Roman" w:hAnsi="Times New Roman"/>
          <w:sz w:val="24"/>
          <w:szCs w:val="24"/>
        </w:rPr>
        <w:t>от границы до розничн</w:t>
      </w:r>
      <w:r>
        <w:rPr>
          <w:rFonts w:ascii="Times New Roman" w:hAnsi="Times New Roman"/>
          <w:sz w:val="24"/>
          <w:szCs w:val="24"/>
        </w:rPr>
        <w:t>ого звена)</w:t>
      </w:r>
      <w:r w:rsidRPr="009940CE">
        <w:rPr>
          <w:rFonts w:ascii="Times New Roman" w:hAnsi="Times New Roman"/>
          <w:sz w:val="24"/>
          <w:szCs w:val="24"/>
        </w:rPr>
        <w:t xml:space="preserve"> идентификаци</w:t>
      </w:r>
      <w:r>
        <w:rPr>
          <w:rFonts w:ascii="Times New Roman" w:hAnsi="Times New Roman"/>
          <w:sz w:val="24"/>
          <w:szCs w:val="24"/>
        </w:rPr>
        <w:t>ей</w:t>
      </w:r>
      <w:r w:rsidRPr="009940CE">
        <w:rPr>
          <w:rFonts w:ascii="Times New Roman" w:hAnsi="Times New Roman"/>
          <w:sz w:val="24"/>
          <w:szCs w:val="24"/>
        </w:rPr>
        <w:t xml:space="preserve"> ввезенного товара путем присвоения ему уникальных классификационных признаков</w:t>
      </w:r>
      <w:r>
        <w:rPr>
          <w:rFonts w:ascii="Times New Roman" w:hAnsi="Times New Roman"/>
          <w:sz w:val="24"/>
          <w:szCs w:val="24"/>
        </w:rPr>
        <w:t>.</w:t>
      </w:r>
    </w:p>
    <w:p w:rsidR="00F1151C" w:rsidRDefault="00C90003" w:rsidP="009F1CCA">
      <w:pPr>
        <w:pStyle w:val="a9"/>
        <w:numPr>
          <w:ilvl w:val="0"/>
          <w:numId w:val="35"/>
        </w:numPr>
        <w:spacing w:before="60" w:after="60" w:line="264" w:lineRule="auto"/>
        <w:contextualSpacing w:val="0"/>
        <w:jc w:val="both"/>
        <w:rPr>
          <w:rFonts w:ascii="Times New Roman" w:hAnsi="Times New Roman"/>
          <w:sz w:val="24"/>
          <w:szCs w:val="24"/>
        </w:rPr>
      </w:pPr>
      <w:r w:rsidRPr="00C90003">
        <w:rPr>
          <w:rFonts w:ascii="Times New Roman" w:hAnsi="Times New Roman"/>
          <w:i/>
          <w:sz w:val="24"/>
          <w:szCs w:val="24"/>
        </w:rPr>
        <w:t>И</w:t>
      </w:r>
      <w:r w:rsidR="00C91915" w:rsidRPr="00C90003">
        <w:rPr>
          <w:rFonts w:ascii="Times New Roman" w:hAnsi="Times New Roman"/>
          <w:i/>
          <w:sz w:val="24"/>
          <w:szCs w:val="24"/>
        </w:rPr>
        <w:t>нтеграци</w:t>
      </w:r>
      <w:r w:rsidRPr="00C90003">
        <w:rPr>
          <w:rFonts w:ascii="Times New Roman" w:hAnsi="Times New Roman"/>
          <w:i/>
          <w:sz w:val="24"/>
          <w:szCs w:val="24"/>
        </w:rPr>
        <w:t>я</w:t>
      </w:r>
      <w:r w:rsidR="00C91915" w:rsidRPr="00C90003">
        <w:rPr>
          <w:rFonts w:ascii="Times New Roman" w:hAnsi="Times New Roman"/>
          <w:i/>
          <w:sz w:val="24"/>
          <w:szCs w:val="24"/>
        </w:rPr>
        <w:t xml:space="preserve"> информационных массивов государственных внебюджетных фондов и </w:t>
      </w:r>
      <w:r w:rsidRPr="00C90003">
        <w:rPr>
          <w:rFonts w:ascii="Times New Roman" w:hAnsi="Times New Roman"/>
          <w:i/>
          <w:sz w:val="24"/>
          <w:szCs w:val="24"/>
        </w:rPr>
        <w:t>налоговой службы</w:t>
      </w:r>
      <w:r w:rsidR="00FE61CD">
        <w:rPr>
          <w:rFonts w:ascii="Times New Roman" w:hAnsi="Times New Roman"/>
          <w:i/>
          <w:sz w:val="24"/>
          <w:szCs w:val="24"/>
        </w:rPr>
        <w:t>;</w:t>
      </w:r>
      <w:r>
        <w:rPr>
          <w:rFonts w:ascii="Times New Roman" w:hAnsi="Times New Roman"/>
          <w:sz w:val="24"/>
          <w:szCs w:val="24"/>
        </w:rPr>
        <w:t xml:space="preserve"> </w:t>
      </w:r>
      <w:r w:rsidR="00FE61CD">
        <w:rPr>
          <w:rFonts w:ascii="Times New Roman" w:hAnsi="Times New Roman"/>
          <w:sz w:val="24"/>
          <w:szCs w:val="24"/>
        </w:rPr>
        <w:t>запуск е</w:t>
      </w:r>
      <w:r w:rsidR="00FE61CD" w:rsidRPr="00FE61CD">
        <w:rPr>
          <w:rFonts w:ascii="Times New Roman" w:hAnsi="Times New Roman"/>
          <w:sz w:val="24"/>
          <w:szCs w:val="24"/>
        </w:rPr>
        <w:t>диного государственного реестра записей актов гражданского состояния</w:t>
      </w:r>
      <w:r w:rsidR="00FE61CD">
        <w:rPr>
          <w:rFonts w:ascii="Times New Roman" w:hAnsi="Times New Roman"/>
          <w:sz w:val="24"/>
          <w:szCs w:val="24"/>
        </w:rPr>
        <w:t xml:space="preserve"> и создание федерального р</w:t>
      </w:r>
      <w:r w:rsidR="00FE61CD" w:rsidRPr="00FE61CD">
        <w:rPr>
          <w:rFonts w:ascii="Times New Roman" w:hAnsi="Times New Roman"/>
          <w:sz w:val="24"/>
          <w:szCs w:val="24"/>
        </w:rPr>
        <w:t>егистра сведени</w:t>
      </w:r>
      <w:r w:rsidR="00FE61CD">
        <w:rPr>
          <w:rFonts w:ascii="Times New Roman" w:hAnsi="Times New Roman"/>
          <w:sz w:val="24"/>
          <w:szCs w:val="24"/>
        </w:rPr>
        <w:t>й</w:t>
      </w:r>
      <w:r w:rsidR="00FE61CD" w:rsidRPr="00FE61CD">
        <w:rPr>
          <w:rFonts w:ascii="Times New Roman" w:hAnsi="Times New Roman"/>
          <w:sz w:val="24"/>
          <w:szCs w:val="24"/>
        </w:rPr>
        <w:t xml:space="preserve"> о населении</w:t>
      </w:r>
      <w:r w:rsidR="00C91915" w:rsidRPr="00F1151C">
        <w:rPr>
          <w:rFonts w:ascii="Times New Roman" w:hAnsi="Times New Roman"/>
          <w:sz w:val="24"/>
          <w:szCs w:val="24"/>
        </w:rPr>
        <w:t>.</w:t>
      </w:r>
    </w:p>
    <w:p w:rsidR="00C90003" w:rsidRDefault="00C90003" w:rsidP="009F1CCA">
      <w:pPr>
        <w:pStyle w:val="a9"/>
        <w:numPr>
          <w:ilvl w:val="0"/>
          <w:numId w:val="35"/>
        </w:numPr>
        <w:spacing w:before="60" w:after="60" w:line="264" w:lineRule="auto"/>
        <w:ind w:left="357" w:hanging="357"/>
        <w:contextualSpacing w:val="0"/>
        <w:jc w:val="both"/>
        <w:rPr>
          <w:rFonts w:ascii="Times New Roman" w:hAnsi="Times New Roman"/>
          <w:sz w:val="24"/>
          <w:szCs w:val="24"/>
        </w:rPr>
      </w:pPr>
      <w:r w:rsidRPr="00C90003">
        <w:rPr>
          <w:rFonts w:ascii="Times New Roman" w:hAnsi="Times New Roman"/>
          <w:sz w:val="24"/>
          <w:szCs w:val="24"/>
        </w:rPr>
        <w:t>Постепенное</w:t>
      </w:r>
      <w:r>
        <w:rPr>
          <w:rFonts w:ascii="Times New Roman" w:hAnsi="Times New Roman"/>
          <w:i/>
          <w:sz w:val="24"/>
          <w:szCs w:val="24"/>
        </w:rPr>
        <w:t xml:space="preserve"> распространение систем </w:t>
      </w:r>
      <w:proofErr w:type="spellStart"/>
      <w:r>
        <w:rPr>
          <w:rFonts w:ascii="Times New Roman" w:hAnsi="Times New Roman"/>
          <w:i/>
          <w:sz w:val="24"/>
          <w:szCs w:val="24"/>
        </w:rPr>
        <w:t>прослеживаемости</w:t>
      </w:r>
      <w:proofErr w:type="spellEnd"/>
      <w:r>
        <w:rPr>
          <w:rFonts w:ascii="Times New Roman" w:hAnsi="Times New Roman"/>
          <w:i/>
          <w:sz w:val="24"/>
          <w:szCs w:val="24"/>
        </w:rPr>
        <w:t xml:space="preserve"> (ЕГАИС, маркировка) </w:t>
      </w:r>
      <w:r>
        <w:rPr>
          <w:rFonts w:ascii="Times New Roman" w:hAnsi="Times New Roman"/>
          <w:sz w:val="24"/>
          <w:szCs w:val="24"/>
        </w:rPr>
        <w:t>на другие товарные группы.</w:t>
      </w:r>
    </w:p>
    <w:p w:rsidR="00C527CC" w:rsidRPr="00040DA3" w:rsidRDefault="00C527CC" w:rsidP="009F1CCA">
      <w:pPr>
        <w:pStyle w:val="a9"/>
        <w:numPr>
          <w:ilvl w:val="0"/>
          <w:numId w:val="35"/>
        </w:numPr>
        <w:spacing w:before="60" w:after="60" w:line="264" w:lineRule="auto"/>
        <w:ind w:left="357" w:hanging="357"/>
        <w:contextualSpacing w:val="0"/>
        <w:jc w:val="both"/>
        <w:rPr>
          <w:rFonts w:ascii="Times New Roman" w:hAnsi="Times New Roman"/>
          <w:i/>
          <w:sz w:val="24"/>
          <w:szCs w:val="24"/>
        </w:rPr>
      </w:pPr>
      <w:proofErr w:type="spellStart"/>
      <w:r w:rsidRPr="00040DA3">
        <w:rPr>
          <w:rFonts w:ascii="Times New Roman" w:hAnsi="Times New Roman"/>
          <w:i/>
          <w:sz w:val="24"/>
          <w:szCs w:val="24"/>
        </w:rPr>
        <w:t>Автообмен</w:t>
      </w:r>
      <w:proofErr w:type="spellEnd"/>
      <w:r w:rsidRPr="00040DA3">
        <w:rPr>
          <w:rFonts w:ascii="Times New Roman" w:hAnsi="Times New Roman"/>
          <w:i/>
          <w:sz w:val="24"/>
          <w:szCs w:val="24"/>
        </w:rPr>
        <w:t xml:space="preserve"> налоговой информацией </w:t>
      </w:r>
      <w:r w:rsidRPr="00040DA3">
        <w:rPr>
          <w:rFonts w:ascii="Times New Roman" w:hAnsi="Times New Roman"/>
          <w:sz w:val="24"/>
          <w:szCs w:val="24"/>
        </w:rPr>
        <w:t>в целях противодействия уклонению от уплаты налогов с использованием низконалоговых юрисдикций.</w:t>
      </w:r>
    </w:p>
    <w:p w:rsidR="00C527CC" w:rsidRDefault="00C527CC" w:rsidP="004D7D77">
      <w:pPr>
        <w:pStyle w:val="a9"/>
        <w:spacing w:before="60" w:after="60" w:line="264" w:lineRule="auto"/>
        <w:ind w:left="357"/>
        <w:contextualSpacing w:val="0"/>
        <w:jc w:val="both"/>
        <w:rPr>
          <w:rFonts w:ascii="Times New Roman" w:hAnsi="Times New Roman"/>
          <w:sz w:val="24"/>
          <w:szCs w:val="24"/>
        </w:rPr>
      </w:pPr>
      <w:r>
        <w:rPr>
          <w:rFonts w:ascii="Times New Roman" w:hAnsi="Times New Roman"/>
          <w:sz w:val="24"/>
          <w:szCs w:val="24"/>
        </w:rPr>
        <w:t>С</w:t>
      </w:r>
      <w:r w:rsidRPr="000362E4">
        <w:rPr>
          <w:rFonts w:ascii="Times New Roman" w:hAnsi="Times New Roman"/>
          <w:sz w:val="24"/>
          <w:szCs w:val="24"/>
        </w:rPr>
        <w:t>оздан</w:t>
      </w:r>
      <w:r>
        <w:rPr>
          <w:rFonts w:ascii="Times New Roman" w:hAnsi="Times New Roman"/>
          <w:sz w:val="24"/>
          <w:szCs w:val="24"/>
        </w:rPr>
        <w:t>ие</w:t>
      </w:r>
      <w:r w:rsidRPr="000362E4">
        <w:rPr>
          <w:rFonts w:ascii="Times New Roman" w:hAnsi="Times New Roman"/>
          <w:sz w:val="24"/>
          <w:szCs w:val="24"/>
        </w:rPr>
        <w:t xml:space="preserve"> механизм</w:t>
      </w:r>
      <w:r>
        <w:rPr>
          <w:rFonts w:ascii="Times New Roman" w:hAnsi="Times New Roman"/>
          <w:sz w:val="24"/>
          <w:szCs w:val="24"/>
        </w:rPr>
        <w:t>а</w:t>
      </w:r>
      <w:r w:rsidRPr="000362E4">
        <w:rPr>
          <w:rFonts w:ascii="Times New Roman" w:hAnsi="Times New Roman"/>
          <w:sz w:val="24"/>
          <w:szCs w:val="24"/>
        </w:rPr>
        <w:t xml:space="preserve"> сбора </w:t>
      </w:r>
      <w:r>
        <w:rPr>
          <w:rFonts w:ascii="Times New Roman" w:hAnsi="Times New Roman"/>
          <w:sz w:val="24"/>
          <w:szCs w:val="24"/>
        </w:rPr>
        <w:t xml:space="preserve">ФНС необходимой </w:t>
      </w:r>
      <w:r w:rsidRPr="000362E4">
        <w:rPr>
          <w:rFonts w:ascii="Times New Roman" w:hAnsi="Times New Roman"/>
          <w:sz w:val="24"/>
          <w:szCs w:val="24"/>
        </w:rPr>
        <w:t>информации</w:t>
      </w:r>
      <w:r>
        <w:rPr>
          <w:rFonts w:ascii="Times New Roman" w:hAnsi="Times New Roman"/>
          <w:sz w:val="24"/>
          <w:szCs w:val="24"/>
        </w:rPr>
        <w:t xml:space="preserve">, в том числе в части: (1) сведений по международным группам компаний (МГК – выручка свыше 50 </w:t>
      </w:r>
      <w:proofErr w:type="gramStart"/>
      <w:r w:rsidR="007F725F">
        <w:rPr>
          <w:rFonts w:ascii="Times New Roman" w:hAnsi="Times New Roman"/>
          <w:sz w:val="24"/>
          <w:szCs w:val="24"/>
        </w:rPr>
        <w:t>млрд</w:t>
      </w:r>
      <w:proofErr w:type="gramEnd"/>
      <w:r>
        <w:rPr>
          <w:rFonts w:ascii="Times New Roman" w:hAnsi="Times New Roman"/>
          <w:sz w:val="24"/>
          <w:szCs w:val="24"/>
        </w:rPr>
        <w:t xml:space="preserve"> рублей), </w:t>
      </w:r>
      <w:r w:rsidRPr="00040DA3">
        <w:rPr>
          <w:rFonts w:ascii="Times New Roman" w:hAnsi="Times New Roman"/>
          <w:sz w:val="24"/>
          <w:szCs w:val="24"/>
        </w:rPr>
        <w:t>включающи</w:t>
      </w:r>
      <w:r>
        <w:rPr>
          <w:rFonts w:ascii="Times New Roman" w:hAnsi="Times New Roman"/>
          <w:sz w:val="24"/>
          <w:szCs w:val="24"/>
        </w:rPr>
        <w:t>х</w:t>
      </w:r>
      <w:r w:rsidRPr="00040DA3">
        <w:rPr>
          <w:rFonts w:ascii="Times New Roman" w:hAnsi="Times New Roman"/>
          <w:sz w:val="24"/>
          <w:szCs w:val="24"/>
        </w:rPr>
        <w:t xml:space="preserve"> </w:t>
      </w:r>
      <w:proofErr w:type="spellStart"/>
      <w:r w:rsidRPr="00040DA3">
        <w:rPr>
          <w:rFonts w:ascii="Times New Roman" w:hAnsi="Times New Roman"/>
          <w:sz w:val="24"/>
          <w:szCs w:val="24"/>
        </w:rPr>
        <w:t>страновой</w:t>
      </w:r>
      <w:proofErr w:type="spellEnd"/>
      <w:r w:rsidRPr="00040DA3">
        <w:rPr>
          <w:rFonts w:ascii="Times New Roman" w:hAnsi="Times New Roman"/>
          <w:sz w:val="24"/>
          <w:szCs w:val="24"/>
        </w:rPr>
        <w:t xml:space="preserve"> отчет, глобальную</w:t>
      </w:r>
      <w:r>
        <w:rPr>
          <w:rFonts w:ascii="Times New Roman" w:hAnsi="Times New Roman"/>
          <w:sz w:val="24"/>
          <w:szCs w:val="24"/>
        </w:rPr>
        <w:t xml:space="preserve"> (по МГК)</w:t>
      </w:r>
      <w:r w:rsidRPr="00040DA3">
        <w:rPr>
          <w:rFonts w:ascii="Times New Roman" w:hAnsi="Times New Roman"/>
          <w:sz w:val="24"/>
          <w:szCs w:val="24"/>
        </w:rPr>
        <w:t xml:space="preserve"> </w:t>
      </w:r>
      <w:r>
        <w:rPr>
          <w:rFonts w:ascii="Times New Roman" w:hAnsi="Times New Roman"/>
          <w:sz w:val="24"/>
          <w:szCs w:val="24"/>
        </w:rPr>
        <w:t xml:space="preserve">и национальную (по участнику МГК) </w:t>
      </w:r>
      <w:r w:rsidRPr="00040DA3">
        <w:rPr>
          <w:rFonts w:ascii="Times New Roman" w:hAnsi="Times New Roman"/>
          <w:sz w:val="24"/>
          <w:szCs w:val="24"/>
        </w:rPr>
        <w:t>документацию</w:t>
      </w:r>
      <w:r>
        <w:rPr>
          <w:rFonts w:ascii="Times New Roman" w:hAnsi="Times New Roman"/>
          <w:sz w:val="24"/>
          <w:szCs w:val="24"/>
        </w:rPr>
        <w:t xml:space="preserve">; (2) </w:t>
      </w:r>
      <w:r w:rsidRPr="000B035F">
        <w:rPr>
          <w:rFonts w:ascii="Times New Roman" w:hAnsi="Times New Roman"/>
          <w:sz w:val="24"/>
          <w:szCs w:val="24"/>
        </w:rPr>
        <w:t>информаци</w:t>
      </w:r>
      <w:r>
        <w:rPr>
          <w:rFonts w:ascii="Times New Roman" w:hAnsi="Times New Roman"/>
          <w:sz w:val="24"/>
          <w:szCs w:val="24"/>
        </w:rPr>
        <w:t>и</w:t>
      </w:r>
      <w:r w:rsidRPr="000B035F">
        <w:rPr>
          <w:rFonts w:ascii="Times New Roman" w:hAnsi="Times New Roman"/>
          <w:sz w:val="24"/>
          <w:szCs w:val="24"/>
        </w:rPr>
        <w:t xml:space="preserve"> </w:t>
      </w:r>
      <w:r>
        <w:rPr>
          <w:rFonts w:ascii="Times New Roman" w:hAnsi="Times New Roman"/>
          <w:sz w:val="24"/>
          <w:szCs w:val="24"/>
        </w:rPr>
        <w:t xml:space="preserve">от </w:t>
      </w:r>
      <w:r w:rsidRPr="000B035F">
        <w:rPr>
          <w:rFonts w:ascii="Times New Roman" w:hAnsi="Times New Roman"/>
          <w:sz w:val="24"/>
          <w:szCs w:val="24"/>
        </w:rPr>
        <w:t>организаци</w:t>
      </w:r>
      <w:r>
        <w:rPr>
          <w:rFonts w:ascii="Times New Roman" w:hAnsi="Times New Roman"/>
          <w:sz w:val="24"/>
          <w:szCs w:val="24"/>
        </w:rPr>
        <w:t xml:space="preserve">й финансового рынка </w:t>
      </w:r>
      <w:r w:rsidRPr="000B035F">
        <w:rPr>
          <w:rFonts w:ascii="Times New Roman" w:hAnsi="Times New Roman"/>
          <w:sz w:val="24"/>
          <w:szCs w:val="24"/>
        </w:rPr>
        <w:t>о</w:t>
      </w:r>
      <w:r>
        <w:rPr>
          <w:rFonts w:ascii="Times New Roman" w:hAnsi="Times New Roman"/>
          <w:sz w:val="24"/>
          <w:szCs w:val="24"/>
        </w:rPr>
        <w:t>б</w:t>
      </w:r>
      <w:r w:rsidRPr="000B035F">
        <w:rPr>
          <w:rFonts w:ascii="Times New Roman" w:hAnsi="Times New Roman"/>
          <w:sz w:val="24"/>
          <w:szCs w:val="24"/>
        </w:rPr>
        <w:t xml:space="preserve"> </w:t>
      </w:r>
      <w:r>
        <w:rPr>
          <w:rFonts w:ascii="Times New Roman" w:hAnsi="Times New Roman"/>
          <w:sz w:val="24"/>
          <w:szCs w:val="24"/>
        </w:rPr>
        <w:t xml:space="preserve">их </w:t>
      </w:r>
      <w:r w:rsidRPr="000B035F">
        <w:rPr>
          <w:rFonts w:ascii="Times New Roman" w:hAnsi="Times New Roman"/>
          <w:sz w:val="24"/>
          <w:szCs w:val="24"/>
        </w:rPr>
        <w:t>клиентах, выгодоприобре</w:t>
      </w:r>
      <w:r>
        <w:rPr>
          <w:rFonts w:ascii="Times New Roman" w:hAnsi="Times New Roman"/>
          <w:sz w:val="24"/>
          <w:szCs w:val="24"/>
        </w:rPr>
        <w:t xml:space="preserve">тателях и/или </w:t>
      </w:r>
      <w:r w:rsidRPr="000B035F">
        <w:rPr>
          <w:rFonts w:ascii="Times New Roman" w:hAnsi="Times New Roman"/>
          <w:sz w:val="24"/>
          <w:szCs w:val="24"/>
        </w:rPr>
        <w:t>лицах, прямо или косвенно их контролирующих</w:t>
      </w:r>
      <w:r>
        <w:rPr>
          <w:rFonts w:ascii="Times New Roman" w:hAnsi="Times New Roman"/>
          <w:sz w:val="24"/>
          <w:szCs w:val="24"/>
        </w:rPr>
        <w:t>.</w:t>
      </w:r>
    </w:p>
    <w:p w:rsidR="00711F0F" w:rsidRDefault="005339C2" w:rsidP="004D7D77">
      <w:pPr>
        <w:spacing w:before="60" w:after="60" w:line="264" w:lineRule="auto"/>
        <w:jc w:val="both"/>
        <w:rPr>
          <w:rFonts w:ascii="Times New Roman" w:hAnsi="Times New Roman"/>
          <w:sz w:val="24"/>
          <w:szCs w:val="24"/>
        </w:rPr>
      </w:pPr>
      <w:proofErr w:type="spellStart"/>
      <w:r>
        <w:rPr>
          <w:rFonts w:ascii="Times New Roman" w:hAnsi="Times New Roman"/>
          <w:sz w:val="24"/>
          <w:szCs w:val="24"/>
        </w:rPr>
        <w:t>Цифровизация</w:t>
      </w:r>
      <w:proofErr w:type="spellEnd"/>
      <w:r>
        <w:rPr>
          <w:rFonts w:ascii="Times New Roman" w:hAnsi="Times New Roman"/>
          <w:sz w:val="24"/>
          <w:szCs w:val="24"/>
        </w:rPr>
        <w:t xml:space="preserve"> и интеграция всех источников информации и потоков данных в единое информационное пространство с последующей автоматизацией ее анализа на основе внедрения современных технологий обработки больших массивов данных позволит кратно расширить амуницию </w:t>
      </w:r>
      <w:r w:rsidR="001C552C">
        <w:rPr>
          <w:rFonts w:ascii="Times New Roman" w:hAnsi="Times New Roman"/>
          <w:sz w:val="24"/>
          <w:szCs w:val="24"/>
        </w:rPr>
        <w:t>налогового администрирования. Это с одной стороны станет одним из наиболее эффективных инструменто</w:t>
      </w:r>
      <w:r w:rsidR="007C17F1">
        <w:rPr>
          <w:rFonts w:ascii="Times New Roman" w:hAnsi="Times New Roman"/>
          <w:sz w:val="24"/>
          <w:szCs w:val="24"/>
        </w:rPr>
        <w:t>в</w:t>
      </w:r>
      <w:r w:rsidR="001C552C">
        <w:rPr>
          <w:rFonts w:ascii="Times New Roman" w:hAnsi="Times New Roman"/>
          <w:sz w:val="24"/>
          <w:szCs w:val="24"/>
        </w:rPr>
        <w:t xml:space="preserve"> пресечения неформальных практик, а с другой стороны позволит существенно упростить и облегчить взаимодействие между государством и добросовестными налогоплательщиками.</w:t>
      </w:r>
      <w:r w:rsidR="002B7E2E">
        <w:rPr>
          <w:rFonts w:ascii="Times New Roman" w:hAnsi="Times New Roman"/>
          <w:sz w:val="24"/>
          <w:szCs w:val="24"/>
        </w:rPr>
        <w:t xml:space="preserve"> В том числе</w:t>
      </w:r>
      <w:r w:rsidR="00184458">
        <w:rPr>
          <w:rFonts w:ascii="Times New Roman" w:hAnsi="Times New Roman"/>
          <w:sz w:val="24"/>
          <w:szCs w:val="24"/>
        </w:rPr>
        <w:t xml:space="preserve"> указанные меры будут содействовать решению задачи</w:t>
      </w:r>
      <w:r w:rsidR="002B7E2E">
        <w:rPr>
          <w:rFonts w:ascii="Times New Roman" w:hAnsi="Times New Roman"/>
          <w:sz w:val="24"/>
          <w:szCs w:val="24"/>
        </w:rPr>
        <w:t xml:space="preserve"> по оптимизации форм налоговой отчетности</w:t>
      </w:r>
      <w:r w:rsidR="00184458">
        <w:rPr>
          <w:rFonts w:ascii="Times New Roman" w:hAnsi="Times New Roman"/>
          <w:sz w:val="24"/>
          <w:szCs w:val="24"/>
        </w:rPr>
        <w:t>.</w:t>
      </w:r>
    </w:p>
    <w:p w:rsidR="002D0765" w:rsidRDefault="002D0765" w:rsidP="002D0765">
      <w:pPr>
        <w:spacing w:before="60" w:after="60" w:line="264" w:lineRule="auto"/>
        <w:jc w:val="both"/>
        <w:rPr>
          <w:rFonts w:ascii="Times New Roman" w:hAnsi="Times New Roman"/>
          <w:sz w:val="24"/>
          <w:szCs w:val="24"/>
        </w:rPr>
      </w:pPr>
    </w:p>
    <w:p w:rsidR="002D0765" w:rsidRDefault="002D0765" w:rsidP="002D0765">
      <w:pPr>
        <w:spacing w:before="60" w:after="60" w:line="264" w:lineRule="auto"/>
        <w:jc w:val="both"/>
        <w:rPr>
          <w:rFonts w:ascii="Times New Roman" w:hAnsi="Times New Roman"/>
          <w:sz w:val="24"/>
          <w:szCs w:val="24"/>
        </w:rPr>
      </w:pPr>
    </w:p>
    <w:p w:rsidR="002D0765" w:rsidRDefault="002D0765" w:rsidP="002D0765">
      <w:pPr>
        <w:spacing w:before="60" w:after="60" w:line="264" w:lineRule="auto"/>
        <w:jc w:val="both"/>
        <w:rPr>
          <w:rFonts w:ascii="Times New Roman" w:hAnsi="Times New Roman"/>
          <w:sz w:val="24"/>
          <w:szCs w:val="24"/>
        </w:rPr>
      </w:pPr>
    </w:p>
    <w:p w:rsidR="002D0765" w:rsidRDefault="002D0765" w:rsidP="002D0765">
      <w:pPr>
        <w:spacing w:before="60" w:after="60" w:line="264" w:lineRule="auto"/>
        <w:jc w:val="both"/>
        <w:rPr>
          <w:rFonts w:ascii="Times New Roman" w:hAnsi="Times New Roman"/>
          <w:sz w:val="24"/>
          <w:szCs w:val="24"/>
        </w:rPr>
      </w:pPr>
    </w:p>
    <w:p w:rsidR="002D0765" w:rsidRDefault="002D0765" w:rsidP="002D0765">
      <w:pPr>
        <w:spacing w:before="60" w:after="60" w:line="264" w:lineRule="auto"/>
        <w:jc w:val="both"/>
        <w:rPr>
          <w:rFonts w:ascii="Times New Roman" w:hAnsi="Times New Roman"/>
          <w:sz w:val="24"/>
          <w:szCs w:val="24"/>
        </w:rPr>
      </w:pPr>
    </w:p>
    <w:p w:rsidR="002D0765" w:rsidRDefault="002D0765" w:rsidP="002D0765">
      <w:pPr>
        <w:spacing w:before="60" w:after="60" w:line="264" w:lineRule="auto"/>
        <w:jc w:val="both"/>
        <w:rPr>
          <w:rFonts w:ascii="Times New Roman" w:hAnsi="Times New Roman"/>
          <w:sz w:val="24"/>
          <w:szCs w:val="24"/>
        </w:rPr>
      </w:pPr>
    </w:p>
    <w:tbl>
      <w:tblPr>
        <w:tblStyle w:val="Smalltable"/>
        <w:tblW w:w="8026" w:type="dxa"/>
        <w:jc w:val="center"/>
        <w:tblInd w:w="0" w:type="dxa"/>
        <w:tblLook w:val="04A0" w:firstRow="1" w:lastRow="0" w:firstColumn="1" w:lastColumn="0" w:noHBand="0" w:noVBand="1"/>
      </w:tblPr>
      <w:tblGrid>
        <w:gridCol w:w="8026"/>
      </w:tblGrid>
      <w:tr w:rsidR="002D0765" w:rsidRPr="00E0414B" w:rsidTr="007E5DFE">
        <w:trPr>
          <w:trHeight w:val="246"/>
          <w:jc w:val="center"/>
        </w:trPr>
        <w:tc>
          <w:tcPr>
            <w:tcW w:w="8026" w:type="dxa"/>
            <w:shd w:val="clear" w:color="auto" w:fill="auto"/>
          </w:tcPr>
          <w:p w:rsidR="002D0765" w:rsidRDefault="002D0765" w:rsidP="007E5DFE">
            <w:pPr>
              <w:pStyle w:val="GraphTitle"/>
              <w:rPr>
                <w:rFonts w:ascii="Times New Roman" w:hAnsi="Times New Roman" w:cs="Times New Roman"/>
                <w:b/>
                <w:sz w:val="24"/>
                <w:szCs w:val="20"/>
                <w:lang w:val="ru-RU"/>
              </w:rPr>
            </w:pPr>
            <w:r>
              <w:rPr>
                <w:rFonts w:ascii="Times New Roman" w:hAnsi="Times New Roman" w:cs="Times New Roman"/>
                <w:b/>
                <w:sz w:val="24"/>
                <w:szCs w:val="20"/>
                <w:lang w:val="ru-RU"/>
              </w:rPr>
              <w:t xml:space="preserve">Единое </w:t>
            </w:r>
            <w:r w:rsidRPr="005339C2">
              <w:rPr>
                <w:rFonts w:ascii="Times New Roman" w:hAnsi="Times New Roman" w:cs="Times New Roman"/>
                <w:b/>
                <w:sz w:val="24"/>
                <w:szCs w:val="20"/>
                <w:lang w:val="ru-RU"/>
              </w:rPr>
              <w:t>информационно</w:t>
            </w:r>
            <w:r>
              <w:rPr>
                <w:rFonts w:ascii="Times New Roman" w:hAnsi="Times New Roman" w:cs="Times New Roman"/>
                <w:b/>
                <w:sz w:val="24"/>
                <w:szCs w:val="20"/>
                <w:lang w:val="ru-RU"/>
              </w:rPr>
              <w:t>е</w:t>
            </w:r>
            <w:r w:rsidRPr="005339C2">
              <w:rPr>
                <w:rFonts w:ascii="Times New Roman" w:hAnsi="Times New Roman" w:cs="Times New Roman"/>
                <w:b/>
                <w:sz w:val="24"/>
                <w:szCs w:val="20"/>
                <w:lang w:val="ru-RU"/>
              </w:rPr>
              <w:t xml:space="preserve"> </w:t>
            </w:r>
            <w:r>
              <w:rPr>
                <w:rFonts w:ascii="Times New Roman" w:hAnsi="Times New Roman" w:cs="Times New Roman"/>
                <w:b/>
                <w:sz w:val="24"/>
                <w:szCs w:val="20"/>
                <w:lang w:val="ru-RU"/>
              </w:rPr>
              <w:t xml:space="preserve">пространство </w:t>
            </w:r>
            <w:r w:rsidRPr="005339C2">
              <w:rPr>
                <w:rFonts w:ascii="Times New Roman" w:hAnsi="Times New Roman" w:cs="Times New Roman"/>
                <w:b/>
                <w:sz w:val="24"/>
                <w:szCs w:val="20"/>
                <w:lang w:val="ru-RU"/>
              </w:rPr>
              <w:t>налогового администрирования</w:t>
            </w:r>
          </w:p>
        </w:tc>
      </w:tr>
      <w:tr w:rsidR="002D0765" w:rsidRPr="00E65DE3" w:rsidTr="007E5DFE">
        <w:trPr>
          <w:trHeight w:hRule="exact" w:val="34"/>
          <w:jc w:val="center"/>
        </w:trPr>
        <w:tc>
          <w:tcPr>
            <w:tcW w:w="8026" w:type="dxa"/>
            <w:tcBorders>
              <w:bottom w:val="single" w:sz="4" w:space="0" w:color="auto"/>
            </w:tcBorders>
            <w:shd w:val="clear" w:color="auto" w:fill="auto"/>
          </w:tcPr>
          <w:p w:rsidR="002D0765" w:rsidRPr="00E65DE3" w:rsidRDefault="002D0765" w:rsidP="007E5DFE">
            <w:pPr>
              <w:pStyle w:val="TabText"/>
              <w:rPr>
                <w:rFonts w:ascii="Times New Roman" w:hAnsi="Times New Roman" w:cs="Times New Roman"/>
                <w:lang w:val="ru-RU"/>
              </w:rPr>
            </w:pPr>
          </w:p>
        </w:tc>
      </w:tr>
      <w:tr w:rsidR="002D0765" w:rsidRPr="00E65DE3" w:rsidTr="007E5DFE">
        <w:tblPrEx>
          <w:tblCellMar>
            <w:left w:w="108" w:type="dxa"/>
            <w:right w:w="108" w:type="dxa"/>
          </w:tblCellMar>
        </w:tblPrEx>
        <w:trPr>
          <w:trHeight w:val="2739"/>
          <w:jc w:val="center"/>
        </w:trPr>
        <w:tc>
          <w:tcPr>
            <w:tcW w:w="8026" w:type="dxa"/>
            <w:tcBorders>
              <w:top w:val="single" w:sz="4" w:space="0" w:color="auto"/>
              <w:bottom w:val="single" w:sz="4" w:space="0" w:color="auto"/>
            </w:tcBorders>
            <w:shd w:val="clear" w:color="auto" w:fill="auto"/>
            <w:tcMar>
              <w:left w:w="0" w:type="nil"/>
              <w:right w:w="0" w:type="nil"/>
            </w:tcMar>
          </w:tcPr>
          <w:p w:rsidR="002D0765" w:rsidRPr="00E65DE3" w:rsidRDefault="002D0765" w:rsidP="007E5DFE">
            <w:pPr>
              <w:pStyle w:val="TabText"/>
              <w:jc w:val="center"/>
              <w:rPr>
                <w:rFonts w:ascii="Times New Roman" w:hAnsi="Times New Roman" w:cs="Times New Roman"/>
                <w:lang w:val="ru-RU"/>
              </w:rPr>
            </w:pPr>
            <w:r>
              <w:rPr>
                <w:rFonts w:ascii="Times New Roman" w:hAnsi="Times New Roman" w:cs="Times New Roman"/>
                <w:noProof/>
                <w:lang w:val="ru-RU" w:bidi="ar-SA"/>
              </w:rPr>
              <w:drawing>
                <wp:inline distT="0" distB="0" distL="0" distR="0" wp14:anchorId="026151E4" wp14:editId="6A8F4B14">
                  <wp:extent cx="4781174" cy="2250830"/>
                  <wp:effectExtent l="0" t="0" r="635"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1174" cy="2250830"/>
                          </a:xfrm>
                          <a:prstGeom prst="rect">
                            <a:avLst/>
                          </a:prstGeom>
                          <a:noFill/>
                        </pic:spPr>
                      </pic:pic>
                    </a:graphicData>
                  </a:graphic>
                </wp:inline>
              </w:drawing>
            </w:r>
          </w:p>
        </w:tc>
      </w:tr>
      <w:tr w:rsidR="002D0765" w:rsidRPr="00C9605A" w:rsidTr="007E5DFE">
        <w:trPr>
          <w:trHeight w:val="246"/>
          <w:jc w:val="center"/>
        </w:trPr>
        <w:tc>
          <w:tcPr>
            <w:tcW w:w="8026" w:type="dxa"/>
            <w:tcBorders>
              <w:top w:val="single" w:sz="4" w:space="0" w:color="auto"/>
            </w:tcBorders>
            <w:shd w:val="clear" w:color="auto" w:fill="auto"/>
          </w:tcPr>
          <w:p w:rsidR="002D0765" w:rsidRPr="00C9605A" w:rsidRDefault="002D0765" w:rsidP="007E5DFE">
            <w:pPr>
              <w:pStyle w:val="SourceLarge"/>
              <w:spacing w:after="240"/>
              <w:rPr>
                <w:rFonts w:ascii="Times New Roman" w:hAnsi="Times New Roman" w:cs="Times New Roman"/>
                <w:i/>
                <w:lang w:val="ru-RU"/>
              </w:rPr>
            </w:pPr>
            <w:r w:rsidRPr="00235B64">
              <w:rPr>
                <w:rFonts w:ascii="Times New Roman" w:hAnsi="Times New Roman" w:cs="Times New Roman"/>
                <w:i/>
                <w:sz w:val="14"/>
                <w:szCs w:val="14"/>
                <w:lang w:val="ru-RU"/>
              </w:rPr>
              <w:t>Источник:</w:t>
            </w:r>
            <w:r w:rsidRPr="003633FC">
              <w:rPr>
                <w:rFonts w:ascii="Times New Roman" w:hAnsi="Times New Roman" w:cs="Times New Roman"/>
                <w:i/>
                <w:sz w:val="14"/>
                <w:szCs w:val="14"/>
              </w:rPr>
              <w:t xml:space="preserve"> Минфин</w:t>
            </w:r>
          </w:p>
        </w:tc>
      </w:tr>
    </w:tbl>
    <w:p w:rsidR="002D0765" w:rsidRPr="002D0765" w:rsidRDefault="002D0765" w:rsidP="002D0765">
      <w:pPr>
        <w:spacing w:before="60" w:after="60" w:line="264" w:lineRule="auto"/>
        <w:jc w:val="both"/>
        <w:rPr>
          <w:rFonts w:ascii="Times New Roman" w:hAnsi="Times New Roman"/>
          <w:sz w:val="24"/>
          <w:szCs w:val="24"/>
        </w:rPr>
      </w:pPr>
      <w:proofErr w:type="gramStart"/>
      <w:r w:rsidRPr="002D0765">
        <w:rPr>
          <w:rFonts w:ascii="Times New Roman" w:hAnsi="Times New Roman"/>
          <w:sz w:val="24"/>
          <w:szCs w:val="24"/>
        </w:rPr>
        <w:t xml:space="preserve">Учитывая значительные масштабы неформальных практик на рынке труда (по оценкам, объем «серого» фонда оплаты труда – с которого налоги не уплачиваются либо уплачиваются не полностью – достигает 10 трлн. рублей в год), существует риск, что по мере расширения возможностей налогового администрирования экономика все в большей степени будет сталкиваться с проблематикой </w:t>
      </w:r>
      <w:proofErr w:type="spellStart"/>
      <w:r w:rsidRPr="002D0765">
        <w:rPr>
          <w:rFonts w:ascii="Times New Roman" w:hAnsi="Times New Roman"/>
          <w:sz w:val="24"/>
          <w:szCs w:val="24"/>
        </w:rPr>
        <w:t>субоптимальности</w:t>
      </w:r>
      <w:proofErr w:type="spellEnd"/>
      <w:r w:rsidRPr="002D0765">
        <w:rPr>
          <w:rFonts w:ascii="Times New Roman" w:hAnsi="Times New Roman"/>
          <w:sz w:val="24"/>
          <w:szCs w:val="24"/>
        </w:rPr>
        <w:t xml:space="preserve"> структуры налоговой нагрузки.</w:t>
      </w:r>
      <w:proofErr w:type="gramEnd"/>
      <w:r w:rsidRPr="002D0765">
        <w:rPr>
          <w:rFonts w:ascii="Times New Roman" w:hAnsi="Times New Roman"/>
          <w:sz w:val="24"/>
          <w:szCs w:val="24"/>
        </w:rPr>
        <w:t xml:space="preserve"> Переход из серой в белую зону может оказаться болезненным в силу повышенной нагрузки прямых налогов на труд. В этом контексте </w:t>
      </w:r>
      <w:proofErr w:type="gramStart"/>
      <w:r w:rsidRPr="002D0765">
        <w:rPr>
          <w:rFonts w:ascii="Times New Roman" w:hAnsi="Times New Roman"/>
          <w:sz w:val="24"/>
          <w:szCs w:val="24"/>
          <w:lang w:val="en-US"/>
        </w:rPr>
        <w:t>c</w:t>
      </w:r>
      <w:proofErr w:type="spellStart"/>
      <w:proofErr w:type="gramEnd"/>
      <w:r w:rsidRPr="002D0765">
        <w:rPr>
          <w:rFonts w:ascii="Times New Roman" w:hAnsi="Times New Roman"/>
          <w:sz w:val="24"/>
          <w:szCs w:val="24"/>
        </w:rPr>
        <w:t>оздание</w:t>
      </w:r>
      <w:proofErr w:type="spellEnd"/>
      <w:r w:rsidRPr="002D0765">
        <w:rPr>
          <w:rFonts w:ascii="Times New Roman" w:hAnsi="Times New Roman"/>
          <w:sz w:val="24"/>
          <w:szCs w:val="24"/>
        </w:rPr>
        <w:t xml:space="preserve"> дополнительного экономического стимула – в том числе в налоговой системе – может способствовать смягчению экономических последствий от </w:t>
      </w:r>
      <w:proofErr w:type="spellStart"/>
      <w:r w:rsidRPr="002D0765">
        <w:rPr>
          <w:rFonts w:ascii="Times New Roman" w:hAnsi="Times New Roman"/>
          <w:sz w:val="24"/>
          <w:szCs w:val="24"/>
        </w:rPr>
        <w:t>обеленения</w:t>
      </w:r>
      <w:proofErr w:type="spellEnd"/>
      <w:r w:rsidRPr="002D0765">
        <w:rPr>
          <w:rFonts w:ascii="Times New Roman" w:hAnsi="Times New Roman"/>
          <w:sz w:val="24"/>
          <w:szCs w:val="24"/>
        </w:rPr>
        <w:t xml:space="preserve"> в переходный период.</w:t>
      </w:r>
    </w:p>
    <w:tbl>
      <w:tblPr>
        <w:tblStyle w:val="Smalltable"/>
        <w:tblW w:w="11320" w:type="dxa"/>
        <w:tblInd w:w="-823" w:type="dxa"/>
        <w:tblLayout w:type="fixed"/>
        <w:tblLook w:val="04A0" w:firstRow="1" w:lastRow="0" w:firstColumn="1" w:lastColumn="0" w:noHBand="0" w:noVBand="1"/>
      </w:tblPr>
      <w:tblGrid>
        <w:gridCol w:w="5272"/>
        <w:gridCol w:w="236"/>
        <w:gridCol w:w="5272"/>
        <w:gridCol w:w="540"/>
      </w:tblGrid>
      <w:tr w:rsidR="002D0765" w:rsidRPr="00E65DE3" w:rsidTr="007E5DFE">
        <w:trPr>
          <w:gridAfter w:val="1"/>
          <w:wAfter w:w="540" w:type="dxa"/>
          <w:trHeight w:val="198"/>
        </w:trPr>
        <w:tc>
          <w:tcPr>
            <w:tcW w:w="10780" w:type="dxa"/>
            <w:gridSpan w:val="3"/>
            <w:shd w:val="clear" w:color="auto" w:fill="auto"/>
          </w:tcPr>
          <w:p w:rsidR="002D0765" w:rsidRPr="004F621B" w:rsidRDefault="002D0765" w:rsidP="007E5DFE">
            <w:pPr>
              <w:pStyle w:val="GraphTitle"/>
              <w:rPr>
                <w:rFonts w:ascii="Times New Roman" w:hAnsi="Times New Roman" w:cs="Times New Roman"/>
                <w:b/>
                <w:sz w:val="24"/>
                <w:szCs w:val="24"/>
                <w:lang w:val="ru-RU"/>
              </w:rPr>
            </w:pPr>
            <w:r>
              <w:rPr>
                <w:rFonts w:ascii="Times New Roman" w:hAnsi="Times New Roman" w:cs="Times New Roman"/>
                <w:b/>
                <w:sz w:val="24"/>
                <w:szCs w:val="24"/>
                <w:lang w:val="ru-RU"/>
              </w:rPr>
              <w:t>В России относительно высокая собираемость НДС и низкая собираемость налогов на труд</w:t>
            </w:r>
          </w:p>
        </w:tc>
      </w:tr>
      <w:tr w:rsidR="002D0765" w:rsidRPr="00E65DE3" w:rsidTr="007E5DFE">
        <w:trPr>
          <w:trHeight w:hRule="exact" w:val="28"/>
        </w:trPr>
        <w:tc>
          <w:tcPr>
            <w:tcW w:w="5272" w:type="dxa"/>
            <w:tcBorders>
              <w:bottom w:val="single" w:sz="4" w:space="0" w:color="000000" w:themeColor="text1"/>
            </w:tcBorders>
            <w:shd w:val="clear" w:color="auto" w:fill="auto"/>
          </w:tcPr>
          <w:p w:rsidR="002D0765" w:rsidRPr="00E65DE3" w:rsidRDefault="002D0765" w:rsidP="007E5DFE">
            <w:pPr>
              <w:pStyle w:val="TabText"/>
              <w:rPr>
                <w:rFonts w:ascii="Times New Roman" w:hAnsi="Times New Roman" w:cs="Times New Roman"/>
                <w:lang w:val="ru-RU"/>
              </w:rPr>
            </w:pPr>
          </w:p>
        </w:tc>
        <w:tc>
          <w:tcPr>
            <w:tcW w:w="236" w:type="dxa"/>
            <w:tcBorders>
              <w:bottom w:val="single" w:sz="4" w:space="0" w:color="000000" w:themeColor="text1"/>
            </w:tcBorders>
            <w:shd w:val="clear" w:color="auto" w:fill="auto"/>
          </w:tcPr>
          <w:p w:rsidR="002D0765" w:rsidRPr="00E65DE3" w:rsidRDefault="002D0765" w:rsidP="007E5DFE">
            <w:pPr>
              <w:pStyle w:val="TabText"/>
              <w:rPr>
                <w:rFonts w:ascii="Times New Roman" w:hAnsi="Times New Roman" w:cs="Times New Roman"/>
                <w:lang w:val="ru-RU"/>
              </w:rPr>
            </w:pPr>
          </w:p>
        </w:tc>
        <w:tc>
          <w:tcPr>
            <w:tcW w:w="5272" w:type="dxa"/>
            <w:tcBorders>
              <w:bottom w:val="single" w:sz="4" w:space="0" w:color="000000" w:themeColor="text1"/>
            </w:tcBorders>
            <w:shd w:val="clear" w:color="auto" w:fill="auto"/>
          </w:tcPr>
          <w:p w:rsidR="002D0765" w:rsidRPr="00E65DE3" w:rsidRDefault="002D0765" w:rsidP="007E5DFE">
            <w:pPr>
              <w:pStyle w:val="TabText"/>
              <w:rPr>
                <w:rFonts w:ascii="Times New Roman" w:hAnsi="Times New Roman" w:cs="Times New Roman"/>
                <w:lang w:val="ru-RU"/>
              </w:rPr>
            </w:pPr>
          </w:p>
        </w:tc>
        <w:tc>
          <w:tcPr>
            <w:tcW w:w="540" w:type="dxa"/>
            <w:shd w:val="clear" w:color="auto" w:fill="auto"/>
          </w:tcPr>
          <w:p w:rsidR="002D0765" w:rsidRPr="00E65DE3" w:rsidRDefault="002D0765" w:rsidP="007E5DFE">
            <w:pPr>
              <w:pStyle w:val="TabText"/>
              <w:rPr>
                <w:rFonts w:ascii="Times New Roman" w:hAnsi="Times New Roman" w:cs="Times New Roman"/>
                <w:lang w:val="ru-RU"/>
              </w:rPr>
            </w:pPr>
          </w:p>
        </w:tc>
      </w:tr>
      <w:tr w:rsidR="002D0765" w:rsidRPr="00E65DE3" w:rsidTr="007E5DFE">
        <w:tblPrEx>
          <w:tblCellMar>
            <w:left w:w="108" w:type="dxa"/>
            <w:right w:w="108" w:type="dxa"/>
          </w:tblCellMar>
        </w:tblPrEx>
        <w:trPr>
          <w:gridAfter w:val="1"/>
          <w:wAfter w:w="540" w:type="dxa"/>
          <w:trHeight w:val="2200"/>
        </w:trPr>
        <w:tc>
          <w:tcPr>
            <w:tcW w:w="5272" w:type="dxa"/>
            <w:tcBorders>
              <w:top w:val="single" w:sz="4" w:space="0" w:color="000000" w:themeColor="text1"/>
              <w:bottom w:val="single" w:sz="4" w:space="0" w:color="auto"/>
            </w:tcBorders>
            <w:shd w:val="clear" w:color="auto" w:fill="auto"/>
            <w:tcMar>
              <w:left w:w="0" w:type="nil"/>
              <w:right w:w="0" w:type="nil"/>
            </w:tcMar>
            <w:vAlign w:val="center"/>
          </w:tcPr>
          <w:p w:rsidR="002D0765" w:rsidRPr="00E65DE3" w:rsidRDefault="002D0765" w:rsidP="007E5DFE">
            <w:pPr>
              <w:pStyle w:val="TabText"/>
              <w:jc w:val="center"/>
              <w:rPr>
                <w:rFonts w:ascii="Times New Roman" w:hAnsi="Times New Roman" w:cs="Times New Roman"/>
                <w:lang w:val="ru-RU"/>
              </w:rPr>
            </w:pPr>
            <w:r>
              <w:rPr>
                <w:noProof/>
                <w:lang w:val="ru-RU" w:bidi="ar-SA"/>
              </w:rPr>
              <w:drawing>
                <wp:inline distT="0" distB="0" distL="0" distR="0" wp14:anchorId="16402167" wp14:editId="354E1C73">
                  <wp:extent cx="2969260" cy="3257550"/>
                  <wp:effectExtent l="0" t="0" r="2540" b="0"/>
                  <wp:docPr id="128" name="Диаграмма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236" w:type="dxa"/>
            <w:tcBorders>
              <w:top w:val="single" w:sz="4" w:space="0" w:color="000000" w:themeColor="text1"/>
              <w:bottom w:val="single" w:sz="4" w:space="0" w:color="auto"/>
            </w:tcBorders>
            <w:shd w:val="clear" w:color="auto" w:fill="auto"/>
            <w:tcMar>
              <w:left w:w="0" w:type="nil"/>
              <w:right w:w="0" w:type="nil"/>
            </w:tcMar>
          </w:tcPr>
          <w:p w:rsidR="002D0765" w:rsidRPr="00E65DE3" w:rsidRDefault="002D0765" w:rsidP="007E5DFE">
            <w:pPr>
              <w:pStyle w:val="TabText"/>
              <w:rPr>
                <w:rFonts w:ascii="Times New Roman" w:hAnsi="Times New Roman" w:cs="Times New Roman"/>
                <w:lang w:val="ru-RU"/>
              </w:rPr>
            </w:pPr>
          </w:p>
        </w:tc>
        <w:tc>
          <w:tcPr>
            <w:tcW w:w="5272" w:type="dxa"/>
            <w:tcBorders>
              <w:top w:val="single" w:sz="4" w:space="0" w:color="000000" w:themeColor="text1"/>
              <w:bottom w:val="single" w:sz="4" w:space="0" w:color="auto"/>
            </w:tcBorders>
            <w:shd w:val="clear" w:color="auto" w:fill="auto"/>
            <w:tcMar>
              <w:left w:w="0" w:type="nil"/>
              <w:right w:w="0" w:type="nil"/>
            </w:tcMar>
            <w:vAlign w:val="center"/>
          </w:tcPr>
          <w:p w:rsidR="002D0765" w:rsidRPr="00E65DE3" w:rsidRDefault="002D0765" w:rsidP="007E5DFE">
            <w:pPr>
              <w:pStyle w:val="TabText"/>
              <w:jc w:val="center"/>
              <w:rPr>
                <w:rFonts w:ascii="Times New Roman" w:hAnsi="Times New Roman" w:cs="Times New Roman"/>
                <w:lang w:val="ru-RU"/>
              </w:rPr>
            </w:pPr>
            <w:r>
              <w:rPr>
                <w:noProof/>
                <w:lang w:val="ru-RU" w:bidi="ar-SA"/>
              </w:rPr>
              <w:drawing>
                <wp:inline distT="0" distB="0" distL="0" distR="0" wp14:anchorId="10A62BD1" wp14:editId="51EBA1B4">
                  <wp:extent cx="2960370" cy="3317358"/>
                  <wp:effectExtent l="0" t="0" r="0" b="0"/>
                  <wp:docPr id="131" name="Диаграмма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2D0765" w:rsidRPr="00E65DE3" w:rsidTr="007E5DFE">
        <w:trPr>
          <w:gridAfter w:val="1"/>
          <w:wAfter w:w="540" w:type="dxa"/>
          <w:trHeight w:val="198"/>
        </w:trPr>
        <w:tc>
          <w:tcPr>
            <w:tcW w:w="10780" w:type="dxa"/>
            <w:gridSpan w:val="3"/>
            <w:tcBorders>
              <w:top w:val="single" w:sz="4" w:space="0" w:color="auto"/>
            </w:tcBorders>
            <w:shd w:val="clear" w:color="auto" w:fill="auto"/>
          </w:tcPr>
          <w:p w:rsidR="002D0765" w:rsidRPr="00312A2A" w:rsidRDefault="002D0765" w:rsidP="007E5DFE">
            <w:pPr>
              <w:pStyle w:val="SourceLarge"/>
              <w:spacing w:after="240"/>
              <w:rPr>
                <w:rFonts w:ascii="Times New Roman" w:hAnsi="Times New Roman" w:cs="Times New Roman"/>
                <w:i/>
                <w:lang w:val="ru-RU"/>
              </w:rPr>
            </w:pPr>
            <w:r w:rsidRPr="00312A2A">
              <w:rPr>
                <w:rFonts w:ascii="Times New Roman" w:hAnsi="Times New Roman" w:cs="Times New Roman"/>
                <w:i/>
                <w:sz w:val="14"/>
                <w:szCs w:val="14"/>
                <w:lang w:val="ru-RU"/>
              </w:rPr>
              <w:t>Источник:</w:t>
            </w:r>
            <w:r w:rsidRPr="003633FC">
              <w:rPr>
                <w:rFonts w:ascii="Times New Roman" w:hAnsi="Times New Roman" w:cs="Times New Roman"/>
                <w:i/>
                <w:sz w:val="14"/>
                <w:szCs w:val="14"/>
              </w:rPr>
              <w:t> </w:t>
            </w:r>
            <w:r>
              <w:rPr>
                <w:rFonts w:ascii="Times New Roman" w:hAnsi="Times New Roman" w:cs="Times New Roman"/>
                <w:i/>
                <w:sz w:val="14"/>
                <w:szCs w:val="14"/>
                <w:lang w:val="ru-RU"/>
              </w:rPr>
              <w:t>ОЭСР, Росстат, Федеральное казначейство</w:t>
            </w:r>
          </w:p>
        </w:tc>
      </w:tr>
    </w:tbl>
    <w:p w:rsidR="00711F0F" w:rsidRDefault="00711F0F" w:rsidP="004D7D77">
      <w:pPr>
        <w:spacing w:before="60" w:after="60" w:line="264" w:lineRule="auto"/>
        <w:jc w:val="both"/>
        <w:rPr>
          <w:rFonts w:ascii="Times New Roman" w:hAnsi="Times New Roman"/>
          <w:sz w:val="24"/>
          <w:szCs w:val="24"/>
        </w:rPr>
      </w:pPr>
    </w:p>
    <w:p w:rsidR="000B035F" w:rsidRPr="00C77781" w:rsidRDefault="001C552C" w:rsidP="00244B49">
      <w:pPr>
        <w:spacing w:before="120" w:after="120"/>
        <w:jc w:val="both"/>
        <w:rPr>
          <w:rFonts w:ascii="Times New Roman" w:hAnsi="Times New Roman"/>
          <w:sz w:val="24"/>
          <w:szCs w:val="24"/>
        </w:rPr>
      </w:pPr>
      <w:r w:rsidRPr="00C96102">
        <w:rPr>
          <w:rFonts w:ascii="Times New Roman" w:hAnsi="Times New Roman"/>
          <w:sz w:val="24"/>
          <w:szCs w:val="24"/>
        </w:rPr>
        <w:t xml:space="preserve">Среди </w:t>
      </w:r>
      <w:r w:rsidRPr="00C96102">
        <w:rPr>
          <w:rFonts w:ascii="Times New Roman" w:hAnsi="Times New Roman"/>
          <w:b/>
          <w:sz w:val="24"/>
          <w:szCs w:val="24"/>
          <w:u w:val="single"/>
        </w:rPr>
        <w:t>других мер</w:t>
      </w:r>
      <w:r w:rsidRPr="00C96102">
        <w:rPr>
          <w:rFonts w:ascii="Times New Roman" w:hAnsi="Times New Roman"/>
          <w:b/>
          <w:sz w:val="24"/>
          <w:szCs w:val="24"/>
        </w:rPr>
        <w:t xml:space="preserve">, направленных на сокращение теневого сектора и создание </w:t>
      </w:r>
      <w:r w:rsidRPr="00C77781">
        <w:rPr>
          <w:rFonts w:ascii="Times New Roman" w:hAnsi="Times New Roman"/>
          <w:b/>
          <w:sz w:val="24"/>
          <w:szCs w:val="24"/>
        </w:rPr>
        <w:t>равных конкурентных условий</w:t>
      </w:r>
      <w:r w:rsidRPr="00C77781">
        <w:rPr>
          <w:rFonts w:ascii="Times New Roman" w:hAnsi="Times New Roman"/>
          <w:sz w:val="24"/>
          <w:szCs w:val="24"/>
        </w:rPr>
        <w:t xml:space="preserve">, </w:t>
      </w:r>
      <w:r w:rsidR="005F40BE" w:rsidRPr="00C77781">
        <w:rPr>
          <w:rFonts w:ascii="Times New Roman" w:hAnsi="Times New Roman"/>
          <w:sz w:val="24"/>
          <w:szCs w:val="24"/>
        </w:rPr>
        <w:t xml:space="preserve">предполагаемых к реализации в течение планового периода, </w:t>
      </w:r>
      <w:r w:rsidRPr="00C77781">
        <w:rPr>
          <w:rFonts w:ascii="Times New Roman" w:hAnsi="Times New Roman"/>
          <w:sz w:val="24"/>
          <w:szCs w:val="24"/>
        </w:rPr>
        <w:t>можно выделить:</w:t>
      </w:r>
    </w:p>
    <w:p w:rsidR="0054169F" w:rsidRPr="009D0674" w:rsidRDefault="0054169F" w:rsidP="00C96102">
      <w:pPr>
        <w:pStyle w:val="a9"/>
        <w:numPr>
          <w:ilvl w:val="0"/>
          <w:numId w:val="39"/>
        </w:numPr>
        <w:spacing w:before="120" w:after="120"/>
        <w:contextualSpacing w:val="0"/>
        <w:jc w:val="both"/>
        <w:rPr>
          <w:rFonts w:ascii="Times New Roman" w:hAnsi="Times New Roman"/>
          <w:sz w:val="24"/>
          <w:szCs w:val="24"/>
        </w:rPr>
      </w:pPr>
      <w:r w:rsidRPr="00C77781">
        <w:rPr>
          <w:rFonts w:ascii="Times New Roman" w:hAnsi="Times New Roman"/>
          <w:b/>
          <w:sz w:val="24"/>
          <w:szCs w:val="24"/>
        </w:rPr>
        <w:t>Выравнивание налоговых условий для отечественных и иностранных операторов Интернет-торговли</w:t>
      </w:r>
      <w:r w:rsidRPr="00C77781">
        <w:rPr>
          <w:rFonts w:ascii="Times New Roman" w:hAnsi="Times New Roman"/>
          <w:sz w:val="24"/>
          <w:szCs w:val="24"/>
        </w:rPr>
        <w:t xml:space="preserve"> за счет</w:t>
      </w:r>
      <w:r>
        <w:rPr>
          <w:rFonts w:ascii="Times New Roman" w:hAnsi="Times New Roman"/>
          <w:sz w:val="24"/>
          <w:szCs w:val="24"/>
        </w:rPr>
        <w:t xml:space="preserve"> уточнения правил взимания таможенных платежей</w:t>
      </w:r>
      <w:r w:rsidRPr="0054169F">
        <w:rPr>
          <w:rFonts w:ascii="Times New Roman" w:hAnsi="Times New Roman"/>
          <w:sz w:val="24"/>
          <w:szCs w:val="24"/>
        </w:rPr>
        <w:t xml:space="preserve"> </w:t>
      </w:r>
      <w:r>
        <w:rPr>
          <w:rFonts w:ascii="Times New Roman" w:hAnsi="Times New Roman"/>
          <w:sz w:val="24"/>
          <w:szCs w:val="24"/>
        </w:rPr>
        <w:t>при</w:t>
      </w:r>
      <w:r w:rsidRPr="00C77781">
        <w:rPr>
          <w:rFonts w:ascii="Times New Roman" w:hAnsi="Times New Roman"/>
          <w:sz w:val="24"/>
          <w:szCs w:val="24"/>
        </w:rPr>
        <w:t xml:space="preserve"> ввоз</w:t>
      </w:r>
      <w:r>
        <w:rPr>
          <w:rFonts w:ascii="Times New Roman" w:hAnsi="Times New Roman"/>
          <w:sz w:val="24"/>
          <w:szCs w:val="24"/>
        </w:rPr>
        <w:t>е</w:t>
      </w:r>
      <w:r w:rsidRPr="00C77781">
        <w:rPr>
          <w:rFonts w:ascii="Times New Roman" w:hAnsi="Times New Roman"/>
          <w:sz w:val="24"/>
          <w:szCs w:val="24"/>
        </w:rPr>
        <w:t xml:space="preserve"> товаров физическими лицами</w:t>
      </w:r>
      <w:r>
        <w:rPr>
          <w:rFonts w:ascii="Times New Roman" w:hAnsi="Times New Roman"/>
          <w:sz w:val="24"/>
          <w:szCs w:val="24"/>
        </w:rPr>
        <w:t>.</w:t>
      </w:r>
    </w:p>
    <w:p w:rsidR="00731EAD" w:rsidRPr="00C77781" w:rsidRDefault="00C96102" w:rsidP="00C96102">
      <w:pPr>
        <w:pStyle w:val="a9"/>
        <w:numPr>
          <w:ilvl w:val="0"/>
          <w:numId w:val="39"/>
        </w:numPr>
        <w:spacing w:before="120" w:after="120"/>
        <w:contextualSpacing w:val="0"/>
        <w:jc w:val="both"/>
        <w:rPr>
          <w:rFonts w:ascii="Times New Roman" w:hAnsi="Times New Roman"/>
          <w:sz w:val="24"/>
          <w:szCs w:val="24"/>
        </w:rPr>
      </w:pPr>
      <w:r w:rsidRPr="00C77781">
        <w:rPr>
          <w:rFonts w:ascii="Times New Roman" w:hAnsi="Times New Roman"/>
          <w:b/>
          <w:sz w:val="24"/>
          <w:szCs w:val="24"/>
        </w:rPr>
        <w:t>Предотвращение реализации товаров-заменителей (суррогатов) дизельного топлива без уплаты акцизов</w:t>
      </w:r>
      <w:r w:rsidRPr="00C77781">
        <w:rPr>
          <w:rFonts w:ascii="Times New Roman" w:hAnsi="Times New Roman"/>
          <w:sz w:val="24"/>
          <w:szCs w:val="24"/>
        </w:rPr>
        <w:t xml:space="preserve"> за счет уточнения идентификационных признаков средних дистиллятов.</w:t>
      </w:r>
    </w:p>
    <w:p w:rsidR="009D0674" w:rsidRDefault="00040DA3" w:rsidP="009D0674">
      <w:pPr>
        <w:pStyle w:val="a9"/>
        <w:numPr>
          <w:ilvl w:val="0"/>
          <w:numId w:val="39"/>
        </w:numPr>
        <w:spacing w:before="120" w:after="120"/>
        <w:jc w:val="both"/>
        <w:rPr>
          <w:rFonts w:ascii="Times New Roman" w:hAnsi="Times New Roman"/>
          <w:sz w:val="24"/>
          <w:szCs w:val="24"/>
        </w:rPr>
      </w:pPr>
      <w:r w:rsidRPr="002A4266">
        <w:rPr>
          <w:rFonts w:ascii="Times New Roman" w:hAnsi="Times New Roman"/>
          <w:b/>
          <w:sz w:val="24"/>
          <w:szCs w:val="24"/>
        </w:rPr>
        <w:t xml:space="preserve">Совершенствование принципов налогообложения прибыли </w:t>
      </w:r>
      <w:r w:rsidR="004707C2" w:rsidRPr="002A4266">
        <w:rPr>
          <w:rFonts w:ascii="Times New Roman" w:hAnsi="Times New Roman"/>
          <w:b/>
          <w:sz w:val="24"/>
          <w:szCs w:val="24"/>
        </w:rPr>
        <w:t>контролируемых иностранных компаний (</w:t>
      </w:r>
      <w:r w:rsidRPr="002A4266">
        <w:rPr>
          <w:rFonts w:ascii="Times New Roman" w:hAnsi="Times New Roman"/>
          <w:b/>
          <w:sz w:val="24"/>
          <w:szCs w:val="24"/>
        </w:rPr>
        <w:t>КИК</w:t>
      </w:r>
      <w:r w:rsidR="004707C2" w:rsidRPr="002A4266">
        <w:rPr>
          <w:rFonts w:ascii="Times New Roman" w:hAnsi="Times New Roman"/>
          <w:b/>
          <w:sz w:val="24"/>
          <w:szCs w:val="24"/>
        </w:rPr>
        <w:t>)</w:t>
      </w:r>
      <w:r w:rsidRPr="002A4266">
        <w:rPr>
          <w:rFonts w:ascii="Times New Roman" w:hAnsi="Times New Roman"/>
          <w:b/>
          <w:sz w:val="24"/>
          <w:szCs w:val="24"/>
        </w:rPr>
        <w:t xml:space="preserve"> </w:t>
      </w:r>
      <w:r w:rsidRPr="002A4266">
        <w:rPr>
          <w:rFonts w:ascii="Times New Roman" w:hAnsi="Times New Roman"/>
          <w:sz w:val="24"/>
          <w:szCs w:val="24"/>
        </w:rPr>
        <w:t>в целях снятия выявленных на практике (с момента введения института КИК в 2015 году) неясностей и коллизий принятых норм, а также минимизации налоговых препятствий для</w:t>
      </w:r>
      <w:r w:rsidR="00072CA9">
        <w:rPr>
          <w:rFonts w:ascii="Times New Roman" w:hAnsi="Times New Roman"/>
          <w:sz w:val="24"/>
          <w:szCs w:val="24"/>
        </w:rPr>
        <w:t xml:space="preserve"> добросовестных предпринимателей</w:t>
      </w:r>
      <w:r w:rsidRPr="002A4266">
        <w:rPr>
          <w:rFonts w:ascii="Times New Roman" w:hAnsi="Times New Roman"/>
          <w:sz w:val="24"/>
          <w:szCs w:val="24"/>
        </w:rPr>
        <w:t xml:space="preserve">. </w:t>
      </w:r>
    </w:p>
    <w:p w:rsidR="002A4266" w:rsidRPr="00737AD6" w:rsidRDefault="00AC1F1D" w:rsidP="009D0674">
      <w:pPr>
        <w:spacing w:before="120" w:after="120"/>
        <w:ind w:left="357"/>
        <w:jc w:val="both"/>
        <w:rPr>
          <w:rFonts w:ascii="Times New Roman" w:hAnsi="Times New Roman"/>
          <w:sz w:val="24"/>
          <w:szCs w:val="24"/>
        </w:rPr>
      </w:pPr>
      <w:proofErr w:type="gramStart"/>
      <w:r w:rsidRPr="00AC1F1D">
        <w:rPr>
          <w:rFonts w:ascii="Times New Roman" w:hAnsi="Times New Roman"/>
          <w:sz w:val="24"/>
          <w:szCs w:val="24"/>
        </w:rPr>
        <w:t xml:space="preserve">В частности, планируется уточнение: 1) правил переноса на будущее убытков КИК, в том числе порядка определения убытков по отдельным видам операций; 2) порядка налогообложения операций КИК с финансовыми активами; 3) порядка исчисления финансовых показателей КИК, являющейся участником иностранной КГН; 4) </w:t>
      </w:r>
      <w:proofErr w:type="spellStart"/>
      <w:r w:rsidRPr="00AC1F1D">
        <w:rPr>
          <w:rFonts w:ascii="Times New Roman" w:hAnsi="Times New Roman"/>
          <w:sz w:val="24"/>
          <w:szCs w:val="24"/>
        </w:rPr>
        <w:t>деофшоризационных</w:t>
      </w:r>
      <w:proofErr w:type="spellEnd"/>
      <w:r w:rsidRPr="00AC1F1D">
        <w:rPr>
          <w:rFonts w:ascii="Times New Roman" w:hAnsi="Times New Roman"/>
          <w:sz w:val="24"/>
          <w:szCs w:val="24"/>
        </w:rPr>
        <w:t xml:space="preserve"> норм применительно к налогоплательщикам-физическим лицам; 5) отдельных положений концепции налогового резидентства юридических лиц.</w:t>
      </w:r>
      <w:proofErr w:type="gramEnd"/>
      <w:r w:rsidRPr="00AC1F1D">
        <w:rPr>
          <w:rFonts w:ascii="Times New Roman" w:hAnsi="Times New Roman"/>
          <w:sz w:val="24"/>
          <w:szCs w:val="24"/>
        </w:rPr>
        <w:t xml:space="preserve"> Кроме того предлагается устранить необходимость неоднократной подачи документов, подтверждающих условия освобождения прибыли КИК от налогообложения в рамках многоуровневых цепочек владения в Российской Федерации.</w:t>
      </w:r>
    </w:p>
    <w:p w:rsidR="002457FB" w:rsidRPr="002A4266" w:rsidRDefault="002457FB" w:rsidP="00731EAD">
      <w:pPr>
        <w:pStyle w:val="a9"/>
        <w:numPr>
          <w:ilvl w:val="0"/>
          <w:numId w:val="39"/>
        </w:numPr>
        <w:spacing w:before="120" w:after="120"/>
        <w:contextualSpacing w:val="0"/>
        <w:jc w:val="both"/>
        <w:rPr>
          <w:rFonts w:ascii="Times New Roman" w:hAnsi="Times New Roman"/>
          <w:sz w:val="24"/>
          <w:szCs w:val="24"/>
        </w:rPr>
      </w:pPr>
      <w:r w:rsidRPr="002A4266">
        <w:rPr>
          <w:rFonts w:ascii="Times New Roman" w:hAnsi="Times New Roman"/>
          <w:b/>
          <w:sz w:val="24"/>
          <w:szCs w:val="24"/>
        </w:rPr>
        <w:t xml:space="preserve">Пресечение злоупотреблений с использованием режима </w:t>
      </w:r>
      <w:r w:rsidR="007C17F1" w:rsidRPr="002A4266">
        <w:rPr>
          <w:rFonts w:ascii="Times New Roman" w:hAnsi="Times New Roman"/>
          <w:b/>
          <w:sz w:val="24"/>
          <w:szCs w:val="24"/>
        </w:rPr>
        <w:t>единого сельскохозяйственного налога (</w:t>
      </w:r>
      <w:r w:rsidRPr="002A4266">
        <w:rPr>
          <w:rFonts w:ascii="Times New Roman" w:hAnsi="Times New Roman"/>
          <w:b/>
          <w:sz w:val="24"/>
          <w:szCs w:val="24"/>
        </w:rPr>
        <w:t>ЕСХН</w:t>
      </w:r>
      <w:r w:rsidR="007C17F1" w:rsidRPr="002A4266">
        <w:rPr>
          <w:rFonts w:ascii="Times New Roman" w:hAnsi="Times New Roman"/>
          <w:b/>
          <w:sz w:val="24"/>
          <w:szCs w:val="24"/>
        </w:rPr>
        <w:t>)</w:t>
      </w:r>
      <w:r w:rsidRPr="002A4266">
        <w:rPr>
          <w:rFonts w:ascii="Times New Roman" w:hAnsi="Times New Roman"/>
          <w:sz w:val="24"/>
          <w:szCs w:val="24"/>
        </w:rPr>
        <w:t xml:space="preserve">. </w:t>
      </w:r>
    </w:p>
    <w:p w:rsidR="00244B49" w:rsidRDefault="00976CB4" w:rsidP="009F1CCA">
      <w:pPr>
        <w:pStyle w:val="a9"/>
        <w:numPr>
          <w:ilvl w:val="0"/>
          <w:numId w:val="38"/>
        </w:numPr>
        <w:spacing w:before="120" w:after="120"/>
        <w:ind w:left="720"/>
        <w:contextualSpacing w:val="0"/>
        <w:jc w:val="both"/>
        <w:rPr>
          <w:rFonts w:ascii="Times New Roman" w:hAnsi="Times New Roman"/>
          <w:sz w:val="24"/>
          <w:szCs w:val="24"/>
        </w:rPr>
      </w:pPr>
      <w:r w:rsidRPr="002457FB">
        <w:rPr>
          <w:rFonts w:ascii="Times New Roman" w:hAnsi="Times New Roman"/>
          <w:sz w:val="24"/>
          <w:szCs w:val="24"/>
        </w:rPr>
        <w:t>Признание плательщиков ЕСХН плательщиками НДС в</w:t>
      </w:r>
      <w:r w:rsidR="00244B49" w:rsidRPr="002457FB">
        <w:rPr>
          <w:rFonts w:ascii="Times New Roman" w:hAnsi="Times New Roman"/>
          <w:sz w:val="24"/>
          <w:szCs w:val="24"/>
        </w:rPr>
        <w:t xml:space="preserve"> целях </w:t>
      </w:r>
      <w:r w:rsidRPr="002457FB">
        <w:rPr>
          <w:rFonts w:ascii="Times New Roman" w:hAnsi="Times New Roman"/>
          <w:sz w:val="24"/>
          <w:szCs w:val="24"/>
        </w:rPr>
        <w:t xml:space="preserve">пресечения злоупотреблений и беспрепятственного их </w:t>
      </w:r>
      <w:r w:rsidR="00244B49" w:rsidRPr="002457FB">
        <w:rPr>
          <w:rFonts w:ascii="Times New Roman" w:hAnsi="Times New Roman"/>
          <w:sz w:val="24"/>
          <w:szCs w:val="24"/>
        </w:rPr>
        <w:t xml:space="preserve">встраивания в </w:t>
      </w:r>
      <w:r w:rsidRPr="002457FB">
        <w:rPr>
          <w:rFonts w:ascii="Times New Roman" w:hAnsi="Times New Roman"/>
          <w:sz w:val="24"/>
          <w:szCs w:val="24"/>
        </w:rPr>
        <w:t xml:space="preserve">хозяйственные отношения с </w:t>
      </w:r>
      <w:r w:rsidR="00244B49" w:rsidRPr="002457FB">
        <w:rPr>
          <w:rFonts w:ascii="Times New Roman" w:hAnsi="Times New Roman"/>
          <w:sz w:val="24"/>
          <w:szCs w:val="24"/>
        </w:rPr>
        <w:t>плательщик</w:t>
      </w:r>
      <w:r w:rsidRPr="002457FB">
        <w:rPr>
          <w:rFonts w:ascii="Times New Roman" w:hAnsi="Times New Roman"/>
          <w:sz w:val="24"/>
          <w:szCs w:val="24"/>
        </w:rPr>
        <w:t>ами</w:t>
      </w:r>
      <w:r w:rsidR="00244B49" w:rsidRPr="002457FB">
        <w:rPr>
          <w:rFonts w:ascii="Times New Roman" w:hAnsi="Times New Roman"/>
          <w:sz w:val="24"/>
          <w:szCs w:val="24"/>
        </w:rPr>
        <w:t xml:space="preserve"> НДС</w:t>
      </w:r>
      <w:r w:rsidRPr="002457FB">
        <w:rPr>
          <w:rFonts w:ascii="Times New Roman" w:hAnsi="Times New Roman"/>
          <w:sz w:val="24"/>
          <w:szCs w:val="24"/>
        </w:rPr>
        <w:t xml:space="preserve">. </w:t>
      </w:r>
      <w:r w:rsidR="00244B49" w:rsidRPr="002457FB">
        <w:rPr>
          <w:rFonts w:ascii="Times New Roman" w:hAnsi="Times New Roman"/>
          <w:sz w:val="24"/>
          <w:szCs w:val="24"/>
        </w:rPr>
        <w:t xml:space="preserve">Для этого потребуется урегулирование ряда вопросов, в том числе: </w:t>
      </w:r>
    </w:p>
    <w:p w:rsidR="009D1AD9" w:rsidRDefault="009D1AD9" w:rsidP="009D1AD9">
      <w:pPr>
        <w:pStyle w:val="a9"/>
        <w:numPr>
          <w:ilvl w:val="0"/>
          <w:numId w:val="37"/>
        </w:numPr>
        <w:spacing w:before="120" w:after="120"/>
        <w:ind w:left="1134" w:hanging="425"/>
        <w:contextualSpacing w:val="0"/>
        <w:jc w:val="both"/>
        <w:rPr>
          <w:rFonts w:ascii="Times New Roman" w:hAnsi="Times New Roman"/>
          <w:sz w:val="24"/>
          <w:szCs w:val="24"/>
        </w:rPr>
      </w:pPr>
      <w:r w:rsidRPr="009D1AD9">
        <w:rPr>
          <w:rFonts w:ascii="Times New Roman" w:hAnsi="Times New Roman"/>
          <w:sz w:val="24"/>
          <w:szCs w:val="24"/>
        </w:rPr>
        <w:t>определение объема выручки, при достижении которого налогоплательщики ЕСХН лишаются права на применение освобождени</w:t>
      </w:r>
      <w:r w:rsidR="00FC34CD">
        <w:rPr>
          <w:rFonts w:ascii="Times New Roman" w:hAnsi="Times New Roman"/>
          <w:sz w:val="24"/>
          <w:szCs w:val="24"/>
        </w:rPr>
        <w:t>я</w:t>
      </w:r>
      <w:r w:rsidRPr="009D1AD9">
        <w:rPr>
          <w:rFonts w:ascii="Times New Roman" w:hAnsi="Times New Roman"/>
          <w:sz w:val="24"/>
          <w:szCs w:val="24"/>
        </w:rPr>
        <w:t xml:space="preserve"> от обязанности по исчислению и уплате НДС;</w:t>
      </w:r>
    </w:p>
    <w:p w:rsidR="00244B49" w:rsidRPr="002457FB" w:rsidRDefault="00244B49" w:rsidP="009D1AD9">
      <w:pPr>
        <w:pStyle w:val="a9"/>
        <w:numPr>
          <w:ilvl w:val="0"/>
          <w:numId w:val="37"/>
        </w:numPr>
        <w:spacing w:before="120" w:after="120"/>
        <w:ind w:left="1134" w:hanging="425"/>
        <w:contextualSpacing w:val="0"/>
        <w:jc w:val="both"/>
        <w:rPr>
          <w:rFonts w:ascii="Times New Roman" w:hAnsi="Times New Roman"/>
          <w:sz w:val="24"/>
          <w:szCs w:val="24"/>
        </w:rPr>
      </w:pPr>
      <w:r w:rsidRPr="002457FB">
        <w:rPr>
          <w:rFonts w:ascii="Times New Roman" w:hAnsi="Times New Roman"/>
          <w:sz w:val="24"/>
          <w:szCs w:val="24"/>
        </w:rPr>
        <w:t xml:space="preserve">исключение из состава расходов сумм НДС по приобретенным и оплаченным товарам (работам, услугам), учитываемым при определении объекта налогообложения ЕСХН; </w:t>
      </w:r>
    </w:p>
    <w:p w:rsidR="00244B49" w:rsidRPr="002457FB" w:rsidRDefault="00244B49" w:rsidP="009F1CCA">
      <w:pPr>
        <w:pStyle w:val="a9"/>
        <w:numPr>
          <w:ilvl w:val="0"/>
          <w:numId w:val="37"/>
        </w:numPr>
        <w:spacing w:before="120" w:after="120"/>
        <w:ind w:left="1080"/>
        <w:contextualSpacing w:val="0"/>
        <w:jc w:val="both"/>
        <w:rPr>
          <w:rFonts w:ascii="Times New Roman" w:hAnsi="Times New Roman"/>
          <w:sz w:val="24"/>
          <w:szCs w:val="24"/>
        </w:rPr>
      </w:pPr>
      <w:r w:rsidRPr="002457FB">
        <w:rPr>
          <w:rFonts w:ascii="Times New Roman" w:hAnsi="Times New Roman"/>
          <w:sz w:val="24"/>
          <w:szCs w:val="24"/>
        </w:rPr>
        <w:t xml:space="preserve">правомерность принятия к вычету НДС по товарам (работам, услугам), не учитываемым в составе расходов при определении объекта налогообложения по ЕСХН;  </w:t>
      </w:r>
    </w:p>
    <w:p w:rsidR="00244B49" w:rsidRPr="002457FB" w:rsidRDefault="00244B49" w:rsidP="009F1CCA">
      <w:pPr>
        <w:pStyle w:val="a9"/>
        <w:numPr>
          <w:ilvl w:val="0"/>
          <w:numId w:val="37"/>
        </w:numPr>
        <w:spacing w:before="120" w:after="120"/>
        <w:ind w:left="1080"/>
        <w:contextualSpacing w:val="0"/>
        <w:jc w:val="both"/>
        <w:rPr>
          <w:rFonts w:ascii="Times New Roman" w:hAnsi="Times New Roman"/>
          <w:sz w:val="24"/>
          <w:szCs w:val="24"/>
        </w:rPr>
      </w:pPr>
      <w:r w:rsidRPr="002457FB">
        <w:rPr>
          <w:rFonts w:ascii="Times New Roman" w:hAnsi="Times New Roman"/>
          <w:sz w:val="24"/>
          <w:szCs w:val="24"/>
        </w:rPr>
        <w:t xml:space="preserve">урегулирование порядка применения налоговых вычетов по НДС, осуществляемых без оплаты, в связи с признанием плательщиками ЕСХН расходов только после их оплаты; </w:t>
      </w:r>
    </w:p>
    <w:p w:rsidR="00244B49" w:rsidRPr="002457FB" w:rsidRDefault="00244B49" w:rsidP="009F1CCA">
      <w:pPr>
        <w:pStyle w:val="a9"/>
        <w:numPr>
          <w:ilvl w:val="0"/>
          <w:numId w:val="37"/>
        </w:numPr>
        <w:spacing w:before="120" w:after="120"/>
        <w:ind w:left="1080"/>
        <w:contextualSpacing w:val="0"/>
        <w:jc w:val="both"/>
        <w:rPr>
          <w:rFonts w:ascii="Times New Roman" w:hAnsi="Times New Roman"/>
          <w:sz w:val="24"/>
          <w:szCs w:val="24"/>
        </w:rPr>
      </w:pPr>
      <w:r w:rsidRPr="002457FB">
        <w:rPr>
          <w:rFonts w:ascii="Times New Roman" w:hAnsi="Times New Roman"/>
          <w:sz w:val="24"/>
          <w:szCs w:val="24"/>
        </w:rPr>
        <w:t xml:space="preserve">применение особого порядка исчисления налоговой базы по НДС в виде </w:t>
      </w:r>
      <w:proofErr w:type="spellStart"/>
      <w:r w:rsidRPr="002457FB">
        <w:rPr>
          <w:rFonts w:ascii="Times New Roman" w:hAnsi="Times New Roman"/>
          <w:sz w:val="24"/>
          <w:szCs w:val="24"/>
        </w:rPr>
        <w:t>межценовой</w:t>
      </w:r>
      <w:proofErr w:type="spellEnd"/>
      <w:r w:rsidRPr="002457FB">
        <w:rPr>
          <w:rFonts w:ascii="Times New Roman" w:hAnsi="Times New Roman"/>
          <w:sz w:val="24"/>
          <w:szCs w:val="24"/>
        </w:rPr>
        <w:t xml:space="preserve"> разницы при реализации имущества, ранее приобретенного плательщиками ЕСХН, НДС по которому включается в расходы при исчислении ЕСХН в виде отдельного расхода.</w:t>
      </w:r>
    </w:p>
    <w:p w:rsidR="00244B49" w:rsidRDefault="00244B49" w:rsidP="009F1CCA">
      <w:pPr>
        <w:pStyle w:val="a9"/>
        <w:numPr>
          <w:ilvl w:val="0"/>
          <w:numId w:val="38"/>
        </w:numPr>
        <w:spacing w:before="120" w:after="120"/>
        <w:ind w:left="720"/>
        <w:contextualSpacing w:val="0"/>
        <w:jc w:val="both"/>
        <w:rPr>
          <w:rFonts w:ascii="Times New Roman" w:hAnsi="Times New Roman"/>
          <w:sz w:val="24"/>
          <w:szCs w:val="24"/>
        </w:rPr>
      </w:pPr>
      <w:r>
        <w:rPr>
          <w:rFonts w:ascii="Times New Roman" w:hAnsi="Times New Roman"/>
          <w:sz w:val="24"/>
          <w:szCs w:val="24"/>
        </w:rPr>
        <w:t>О</w:t>
      </w:r>
      <w:r w:rsidRPr="00244B49">
        <w:rPr>
          <w:rFonts w:ascii="Times New Roman" w:hAnsi="Times New Roman"/>
          <w:sz w:val="24"/>
          <w:szCs w:val="24"/>
        </w:rPr>
        <w:t>свобо</w:t>
      </w:r>
      <w:r>
        <w:rPr>
          <w:rFonts w:ascii="Times New Roman" w:hAnsi="Times New Roman"/>
          <w:sz w:val="24"/>
          <w:szCs w:val="24"/>
        </w:rPr>
        <w:t xml:space="preserve">ждение плательщиков ЕСХН </w:t>
      </w:r>
      <w:r w:rsidRPr="00244B49">
        <w:rPr>
          <w:rFonts w:ascii="Times New Roman" w:hAnsi="Times New Roman"/>
          <w:sz w:val="24"/>
          <w:szCs w:val="24"/>
        </w:rPr>
        <w:t xml:space="preserve">от налога на имущество организаций и </w:t>
      </w:r>
      <w:r w:rsidR="004328D4" w:rsidRPr="004328D4">
        <w:rPr>
          <w:rFonts w:ascii="Times New Roman" w:hAnsi="Times New Roman"/>
          <w:sz w:val="24"/>
          <w:szCs w:val="24"/>
        </w:rPr>
        <w:t>налога на имущество физических лиц</w:t>
      </w:r>
      <w:r>
        <w:rPr>
          <w:rFonts w:ascii="Times New Roman" w:hAnsi="Times New Roman"/>
          <w:sz w:val="24"/>
          <w:szCs w:val="24"/>
        </w:rPr>
        <w:t xml:space="preserve"> </w:t>
      </w:r>
      <w:r w:rsidRPr="00244B49">
        <w:rPr>
          <w:rFonts w:ascii="Times New Roman" w:hAnsi="Times New Roman"/>
          <w:sz w:val="24"/>
          <w:szCs w:val="24"/>
        </w:rPr>
        <w:t xml:space="preserve">только в части имущества, используемого в предпринимательской деятельности, в отношении которой применяется </w:t>
      </w:r>
      <w:r>
        <w:rPr>
          <w:rFonts w:ascii="Times New Roman" w:hAnsi="Times New Roman"/>
          <w:sz w:val="24"/>
          <w:szCs w:val="24"/>
        </w:rPr>
        <w:t>ЕСХН</w:t>
      </w:r>
      <w:r w:rsidR="00276E1F">
        <w:rPr>
          <w:rFonts w:ascii="Times New Roman" w:hAnsi="Times New Roman"/>
          <w:sz w:val="24"/>
          <w:szCs w:val="24"/>
        </w:rPr>
        <w:t>.</w:t>
      </w:r>
    </w:p>
    <w:p w:rsidR="00C96102" w:rsidRPr="00A702B0" w:rsidRDefault="00C96102" w:rsidP="005D1DB9">
      <w:pPr>
        <w:pStyle w:val="a9"/>
        <w:numPr>
          <w:ilvl w:val="0"/>
          <w:numId w:val="39"/>
        </w:numPr>
        <w:spacing w:before="120" w:after="0"/>
        <w:ind w:left="357" w:hanging="357"/>
        <w:contextualSpacing w:val="0"/>
        <w:jc w:val="both"/>
        <w:rPr>
          <w:rFonts w:ascii="Times New Roman" w:hAnsi="Times New Roman"/>
          <w:sz w:val="24"/>
          <w:szCs w:val="24"/>
        </w:rPr>
      </w:pPr>
      <w:r w:rsidRPr="00A702B0">
        <w:rPr>
          <w:rFonts w:ascii="Times New Roman" w:hAnsi="Times New Roman"/>
          <w:b/>
          <w:sz w:val="24"/>
          <w:szCs w:val="24"/>
        </w:rPr>
        <w:t xml:space="preserve">Пресечение злоупотреблений, связанных с применением налоговой льготы </w:t>
      </w:r>
      <w:r w:rsidRPr="00A702B0">
        <w:rPr>
          <w:rFonts w:ascii="Times New Roman" w:hAnsi="Times New Roman"/>
          <w:sz w:val="24"/>
          <w:szCs w:val="24"/>
        </w:rPr>
        <w:t>в форме освобождения от уплаты НДС</w:t>
      </w:r>
      <w:r>
        <w:rPr>
          <w:rFonts w:ascii="Times New Roman" w:hAnsi="Times New Roman"/>
          <w:sz w:val="24"/>
          <w:szCs w:val="24"/>
        </w:rPr>
        <w:t xml:space="preserve"> при </w:t>
      </w:r>
      <w:r w:rsidRPr="00A702B0">
        <w:rPr>
          <w:rFonts w:ascii="Times New Roman" w:hAnsi="Times New Roman"/>
          <w:sz w:val="24"/>
          <w:szCs w:val="24"/>
        </w:rPr>
        <w:t>реализации лома и отходов черных и цветных металлов. Признание покупателей отдельных видов товаров (лом и отходы черных и цветных металлов, вторичные алюминиевые сплавы, сырые шкуры) налоговыми агентами и возложение на них обязанности по уплате в бюджет НДС в целях пресечения схем незаконного возмещения и уклонения от уплаты НДС.</w:t>
      </w:r>
    </w:p>
    <w:p w:rsidR="00C96102" w:rsidRPr="00A702B0" w:rsidRDefault="00F37C7F" w:rsidP="00F37C7F">
      <w:pPr>
        <w:pStyle w:val="a9"/>
        <w:numPr>
          <w:ilvl w:val="0"/>
          <w:numId w:val="39"/>
        </w:numPr>
        <w:spacing w:before="120" w:after="0"/>
        <w:contextualSpacing w:val="0"/>
        <w:jc w:val="both"/>
        <w:rPr>
          <w:rFonts w:ascii="Times New Roman" w:hAnsi="Times New Roman"/>
          <w:b/>
          <w:sz w:val="24"/>
          <w:szCs w:val="24"/>
        </w:rPr>
      </w:pPr>
      <w:r w:rsidRPr="00F37C7F">
        <w:rPr>
          <w:rFonts w:ascii="Times New Roman" w:hAnsi="Times New Roman"/>
          <w:b/>
          <w:sz w:val="24"/>
          <w:szCs w:val="24"/>
        </w:rPr>
        <w:t xml:space="preserve">Совершенствование порядка исчисления акцизов с целью усиления </w:t>
      </w:r>
      <w:proofErr w:type="gramStart"/>
      <w:r w:rsidRPr="00F37C7F">
        <w:rPr>
          <w:rFonts w:ascii="Times New Roman" w:hAnsi="Times New Roman"/>
          <w:b/>
          <w:sz w:val="24"/>
          <w:szCs w:val="24"/>
        </w:rPr>
        <w:t>контроля за</w:t>
      </w:r>
      <w:proofErr w:type="gramEnd"/>
      <w:r w:rsidRPr="00F37C7F">
        <w:rPr>
          <w:rFonts w:ascii="Times New Roman" w:hAnsi="Times New Roman"/>
          <w:b/>
          <w:sz w:val="24"/>
          <w:szCs w:val="24"/>
        </w:rPr>
        <w:t xml:space="preserve"> оборотом этилового спирта и спиртосодержащей продукции </w:t>
      </w:r>
      <w:r w:rsidRPr="00AC1F1D">
        <w:rPr>
          <w:rFonts w:ascii="Times New Roman" w:hAnsi="Times New Roman"/>
          <w:sz w:val="24"/>
          <w:szCs w:val="24"/>
        </w:rPr>
        <w:t>в части пресечения нецелевого использования спиртосодержащей парфюмерно-косметической продукции и продукции бытовой химии.</w:t>
      </w:r>
    </w:p>
    <w:p w:rsidR="00C96102" w:rsidRDefault="00C96102" w:rsidP="00C96102">
      <w:pPr>
        <w:pStyle w:val="a9"/>
        <w:numPr>
          <w:ilvl w:val="0"/>
          <w:numId w:val="39"/>
        </w:numPr>
        <w:spacing w:before="120" w:after="120"/>
        <w:contextualSpacing w:val="0"/>
        <w:jc w:val="both"/>
        <w:rPr>
          <w:rFonts w:ascii="Times New Roman" w:hAnsi="Times New Roman"/>
          <w:sz w:val="24"/>
          <w:szCs w:val="24"/>
        </w:rPr>
      </w:pPr>
      <w:r w:rsidRPr="002457FB">
        <w:rPr>
          <w:rFonts w:ascii="Times New Roman" w:hAnsi="Times New Roman"/>
          <w:b/>
          <w:sz w:val="24"/>
          <w:szCs w:val="24"/>
        </w:rPr>
        <w:t>Создание равных конкурентных условий на рынке розничных продаж алкогольной продукции.</w:t>
      </w:r>
      <w:r>
        <w:rPr>
          <w:rFonts w:ascii="Times New Roman" w:hAnsi="Times New Roman"/>
          <w:b/>
          <w:sz w:val="24"/>
          <w:szCs w:val="24"/>
        </w:rPr>
        <w:t xml:space="preserve"> </w:t>
      </w:r>
      <w:r w:rsidRPr="00A702B0">
        <w:rPr>
          <w:rFonts w:ascii="Times New Roman" w:hAnsi="Times New Roman"/>
          <w:sz w:val="24"/>
          <w:szCs w:val="24"/>
        </w:rPr>
        <w:t>Установление дифференцированного подхода к определению размера государственной пошлины для лиц, осуществляющих розничную торговлю алкогольной продукцией, в зависимости от количества мест осуществления деятельности (в настоящее время размер госпошлины – 65 000 рублей в год – универсален как для крупной торговой сети, так и для отдельных сельских магазинов).</w:t>
      </w:r>
    </w:p>
    <w:p w:rsidR="00124A14" w:rsidRDefault="00124A14" w:rsidP="009F1CCA">
      <w:pPr>
        <w:pStyle w:val="a9"/>
        <w:numPr>
          <w:ilvl w:val="0"/>
          <w:numId w:val="39"/>
        </w:numPr>
        <w:spacing w:before="120" w:after="120"/>
        <w:contextualSpacing w:val="0"/>
        <w:jc w:val="both"/>
        <w:rPr>
          <w:rFonts w:ascii="Times New Roman" w:hAnsi="Times New Roman"/>
          <w:sz w:val="24"/>
          <w:szCs w:val="24"/>
        </w:rPr>
      </w:pPr>
      <w:r w:rsidRPr="00A702B0">
        <w:rPr>
          <w:rFonts w:ascii="Times New Roman" w:hAnsi="Times New Roman"/>
          <w:b/>
          <w:sz w:val="24"/>
          <w:szCs w:val="24"/>
        </w:rPr>
        <w:t xml:space="preserve">Пресечение злоупотреблений, связанных </w:t>
      </w:r>
      <w:r>
        <w:rPr>
          <w:rFonts w:ascii="Times New Roman" w:hAnsi="Times New Roman"/>
          <w:b/>
          <w:sz w:val="24"/>
          <w:szCs w:val="24"/>
        </w:rPr>
        <w:t xml:space="preserve">с использованием </w:t>
      </w:r>
      <w:r w:rsidRPr="00124A14">
        <w:rPr>
          <w:rFonts w:ascii="Times New Roman" w:hAnsi="Times New Roman"/>
          <w:b/>
          <w:sz w:val="24"/>
          <w:szCs w:val="24"/>
        </w:rPr>
        <w:t xml:space="preserve">патентной системы налогообложения </w:t>
      </w:r>
      <w:r w:rsidRPr="00124A14">
        <w:rPr>
          <w:rFonts w:ascii="Times New Roman" w:hAnsi="Times New Roman"/>
          <w:sz w:val="24"/>
          <w:szCs w:val="24"/>
        </w:rPr>
        <w:t>для минимизации налогообложения по такому виду предпринимательской деятельности как сдача в аренду (наем) жилых и нежилых помещений, дач, земельных участков, принадлежащих индивидуальному предпринимателю на праве собственности</w:t>
      </w:r>
      <w:r>
        <w:rPr>
          <w:rFonts w:ascii="Times New Roman" w:hAnsi="Times New Roman"/>
          <w:sz w:val="24"/>
          <w:szCs w:val="24"/>
        </w:rPr>
        <w:t>.</w:t>
      </w:r>
      <w:r w:rsidRPr="00124A14">
        <w:rPr>
          <w:rFonts w:ascii="Times New Roman" w:hAnsi="Times New Roman"/>
          <w:sz w:val="24"/>
          <w:szCs w:val="24"/>
        </w:rPr>
        <w:t xml:space="preserve"> </w:t>
      </w:r>
      <w:r>
        <w:rPr>
          <w:rFonts w:ascii="Times New Roman" w:hAnsi="Times New Roman"/>
          <w:sz w:val="24"/>
          <w:szCs w:val="24"/>
        </w:rPr>
        <w:t>П</w:t>
      </w:r>
      <w:r w:rsidRPr="00124A14">
        <w:rPr>
          <w:rFonts w:ascii="Times New Roman" w:hAnsi="Times New Roman"/>
          <w:sz w:val="24"/>
          <w:szCs w:val="24"/>
        </w:rPr>
        <w:t>редлагается ограничить общее количество таких объектов (общую площадь объектов), в отношении которых индивидуальный предприниматель может применять пат</w:t>
      </w:r>
      <w:r w:rsidR="00711F0F">
        <w:rPr>
          <w:rFonts w:ascii="Times New Roman" w:hAnsi="Times New Roman"/>
          <w:sz w:val="24"/>
          <w:szCs w:val="24"/>
        </w:rPr>
        <w:t>ентную систему налогообложения, а также уточнить</w:t>
      </w:r>
      <w:r w:rsidR="00711F0F" w:rsidRPr="001F0C6A">
        <w:rPr>
          <w:rFonts w:ascii="Times New Roman" w:hAnsi="Times New Roman"/>
          <w:sz w:val="24"/>
          <w:szCs w:val="24"/>
        </w:rPr>
        <w:t xml:space="preserve"> вид</w:t>
      </w:r>
      <w:r w:rsidR="00711F0F">
        <w:rPr>
          <w:rFonts w:ascii="Times New Roman" w:hAnsi="Times New Roman"/>
          <w:sz w:val="24"/>
          <w:szCs w:val="24"/>
        </w:rPr>
        <w:t>ы</w:t>
      </w:r>
      <w:r w:rsidR="00711F0F" w:rsidRPr="001F0C6A">
        <w:rPr>
          <w:rFonts w:ascii="Times New Roman" w:hAnsi="Times New Roman"/>
          <w:sz w:val="24"/>
          <w:szCs w:val="24"/>
        </w:rPr>
        <w:t xml:space="preserve"> предпринимательской деятельности, в отношении которых могут применяться система налогообложения в виде единого налога на вмененный доход  и патентная система налогообложения</w:t>
      </w:r>
      <w:r w:rsidR="00711F0F">
        <w:rPr>
          <w:rFonts w:ascii="Times New Roman" w:hAnsi="Times New Roman"/>
          <w:sz w:val="24"/>
          <w:szCs w:val="24"/>
        </w:rPr>
        <w:t>.</w:t>
      </w:r>
    </w:p>
    <w:p w:rsidR="002D0765" w:rsidRPr="002D0765" w:rsidRDefault="002D0765" w:rsidP="002D0765">
      <w:pPr>
        <w:pStyle w:val="a9"/>
        <w:numPr>
          <w:ilvl w:val="0"/>
          <w:numId w:val="39"/>
        </w:numPr>
        <w:spacing w:before="120" w:after="120"/>
        <w:contextualSpacing w:val="0"/>
        <w:jc w:val="both"/>
        <w:rPr>
          <w:rFonts w:ascii="Times New Roman" w:hAnsi="Times New Roman"/>
          <w:sz w:val="24"/>
          <w:szCs w:val="24"/>
        </w:rPr>
      </w:pPr>
      <w:r w:rsidRPr="002D0765">
        <w:rPr>
          <w:rFonts w:ascii="Times New Roman" w:hAnsi="Times New Roman"/>
          <w:b/>
          <w:sz w:val="24"/>
          <w:szCs w:val="24"/>
        </w:rPr>
        <w:t xml:space="preserve">Вовлечение в формальную экономику </w:t>
      </w:r>
      <w:proofErr w:type="spellStart"/>
      <w:r w:rsidRPr="002D0765">
        <w:rPr>
          <w:rFonts w:ascii="Times New Roman" w:hAnsi="Times New Roman"/>
          <w:b/>
          <w:sz w:val="24"/>
          <w:szCs w:val="24"/>
        </w:rPr>
        <w:t>самозанятых</w:t>
      </w:r>
      <w:proofErr w:type="spellEnd"/>
      <w:r w:rsidRPr="002D0765">
        <w:rPr>
          <w:rFonts w:ascii="Times New Roman" w:hAnsi="Times New Roman"/>
          <w:b/>
          <w:sz w:val="24"/>
          <w:szCs w:val="24"/>
        </w:rPr>
        <w:t xml:space="preserve">. </w:t>
      </w:r>
      <w:r w:rsidRPr="002D0765">
        <w:rPr>
          <w:rFonts w:ascii="Times New Roman" w:hAnsi="Times New Roman"/>
          <w:sz w:val="24"/>
          <w:szCs w:val="24"/>
        </w:rPr>
        <w:t xml:space="preserve">Освобождение </w:t>
      </w:r>
      <w:proofErr w:type="spellStart"/>
      <w:r w:rsidRPr="002D0765">
        <w:rPr>
          <w:rFonts w:ascii="Times New Roman" w:hAnsi="Times New Roman"/>
          <w:sz w:val="24"/>
          <w:szCs w:val="24"/>
        </w:rPr>
        <w:t>самозанятых</w:t>
      </w:r>
      <w:proofErr w:type="spellEnd"/>
      <w:r w:rsidRPr="002D0765">
        <w:rPr>
          <w:rFonts w:ascii="Times New Roman" w:hAnsi="Times New Roman"/>
          <w:sz w:val="24"/>
          <w:szCs w:val="24"/>
        </w:rPr>
        <w:t xml:space="preserve"> до конца 2018 года</w:t>
      </w:r>
      <w:r w:rsidRPr="002D0765">
        <w:rPr>
          <w:rFonts w:ascii="Times New Roman" w:hAnsi="Times New Roman"/>
          <w:b/>
          <w:sz w:val="24"/>
          <w:szCs w:val="24"/>
        </w:rPr>
        <w:t xml:space="preserve"> </w:t>
      </w:r>
      <w:r w:rsidRPr="002D0765">
        <w:rPr>
          <w:rFonts w:ascii="Times New Roman" w:hAnsi="Times New Roman"/>
          <w:sz w:val="24"/>
          <w:szCs w:val="24"/>
        </w:rPr>
        <w:t xml:space="preserve">от уплаты НДФЛ при условии уведомления налогового органа об осуществлении упомянутой деятельности. По окончанию льготного периода такие граждане смогут самостоятельно определиться с режимом налогообложения их доходов. </w:t>
      </w:r>
      <w:proofErr w:type="gramStart"/>
      <w:r w:rsidRPr="002D0765">
        <w:rPr>
          <w:rFonts w:ascii="Times New Roman" w:hAnsi="Times New Roman"/>
          <w:sz w:val="24"/>
          <w:szCs w:val="24"/>
        </w:rPr>
        <w:t>Вопрос внесения дополнительных изменений в законодательство Российской Федерации, в том числе в части определения понятия физических, самостоятельно осуществляющих предпринимательскую деятельность, особенностей их учета в налоговых органов, а также установления налоговых условий их деятельности предполагается рассмотреть уже в 2017 году.</w:t>
      </w:r>
      <w:r w:rsidRPr="002D0765">
        <w:rPr>
          <w:rFonts w:ascii="Times New Roman" w:eastAsiaTheme="minorHAnsi" w:hAnsi="Times New Roman"/>
          <w:sz w:val="28"/>
          <w:szCs w:val="28"/>
        </w:rPr>
        <w:t xml:space="preserve"> </w:t>
      </w:r>
      <w:proofErr w:type="gramEnd"/>
    </w:p>
    <w:p w:rsidR="006B0F04" w:rsidRPr="002D0765" w:rsidRDefault="002D0765" w:rsidP="00B80FF2">
      <w:pPr>
        <w:pStyle w:val="a9"/>
        <w:numPr>
          <w:ilvl w:val="0"/>
          <w:numId w:val="39"/>
        </w:numPr>
        <w:spacing w:before="120" w:after="120"/>
        <w:contextualSpacing w:val="0"/>
        <w:jc w:val="both"/>
        <w:rPr>
          <w:rFonts w:ascii="Times New Roman" w:hAnsi="Times New Roman"/>
          <w:b/>
          <w:sz w:val="24"/>
          <w:szCs w:val="24"/>
          <w:u w:val="single"/>
        </w:rPr>
      </w:pPr>
      <w:r w:rsidRPr="002D0765">
        <w:rPr>
          <w:rFonts w:ascii="Times New Roman" w:hAnsi="Times New Roman"/>
          <w:sz w:val="24"/>
          <w:szCs w:val="24"/>
        </w:rPr>
        <w:t>Уточнение видов предпринимательской деятельности в отношении которых могут применяться ЕНВД, патентная система налогообложения и пониженные тарифы страховых взносов для плательщиков на упрощенной системы налогообложения в связи с введением в действие ОКВЭД</w:t>
      </w:r>
      <w:proofErr w:type="gramStart"/>
      <w:r w:rsidRPr="002D0765">
        <w:rPr>
          <w:rFonts w:ascii="Times New Roman" w:hAnsi="Times New Roman"/>
          <w:sz w:val="24"/>
          <w:szCs w:val="24"/>
        </w:rPr>
        <w:t>2</w:t>
      </w:r>
      <w:proofErr w:type="gramEnd"/>
      <w:r w:rsidRPr="002D0765">
        <w:rPr>
          <w:rFonts w:ascii="Times New Roman" w:hAnsi="Times New Roman"/>
          <w:sz w:val="24"/>
          <w:szCs w:val="24"/>
        </w:rPr>
        <w:t>.</w:t>
      </w:r>
    </w:p>
    <w:p w:rsidR="00B80FF2" w:rsidRPr="00B80FF2" w:rsidRDefault="00B80FF2" w:rsidP="00B80FF2">
      <w:pPr>
        <w:spacing w:before="120" w:after="120"/>
        <w:jc w:val="both"/>
        <w:rPr>
          <w:rFonts w:ascii="Times New Roman" w:hAnsi="Times New Roman"/>
          <w:sz w:val="24"/>
          <w:szCs w:val="24"/>
        </w:rPr>
      </w:pPr>
      <w:r w:rsidRPr="00B80FF2">
        <w:rPr>
          <w:rFonts w:ascii="Times New Roman" w:hAnsi="Times New Roman"/>
          <w:b/>
          <w:sz w:val="24"/>
          <w:szCs w:val="24"/>
          <w:u w:val="single"/>
        </w:rPr>
        <w:t>Меры налоговой политики, направленные на облегчение администрирования и снижение административных издержек</w:t>
      </w:r>
      <w:r>
        <w:rPr>
          <w:rFonts w:ascii="Times New Roman" w:hAnsi="Times New Roman"/>
          <w:sz w:val="24"/>
          <w:szCs w:val="24"/>
        </w:rPr>
        <w:t xml:space="preserve">: </w:t>
      </w:r>
    </w:p>
    <w:p w:rsidR="00CF7142" w:rsidRPr="00B80FF2" w:rsidRDefault="00CF7142" w:rsidP="009F1CCA">
      <w:pPr>
        <w:pStyle w:val="a9"/>
        <w:numPr>
          <w:ilvl w:val="0"/>
          <w:numId w:val="45"/>
        </w:numPr>
        <w:spacing w:before="120" w:after="120"/>
        <w:contextualSpacing w:val="0"/>
        <w:jc w:val="both"/>
        <w:rPr>
          <w:rFonts w:ascii="Times New Roman" w:hAnsi="Times New Roman"/>
          <w:sz w:val="24"/>
          <w:szCs w:val="24"/>
        </w:rPr>
      </w:pPr>
      <w:r w:rsidRPr="00B80FF2">
        <w:rPr>
          <w:rFonts w:ascii="Times New Roman" w:hAnsi="Times New Roman"/>
          <w:b/>
          <w:sz w:val="24"/>
          <w:szCs w:val="24"/>
        </w:rPr>
        <w:t>Возможность для налогового агента уведомить налогоплательщика</w:t>
      </w:r>
      <w:r w:rsidRPr="00B80FF2">
        <w:rPr>
          <w:rFonts w:ascii="Times New Roman" w:hAnsi="Times New Roman"/>
          <w:sz w:val="24"/>
          <w:szCs w:val="24"/>
        </w:rPr>
        <w:t xml:space="preserve"> о невозможности удержать налог, о суммах дохода, с которого не удержан налог, и сумме неудержанного налога по установленной форме как письменно, так и </w:t>
      </w:r>
      <w:r w:rsidRPr="00B80FF2">
        <w:rPr>
          <w:rFonts w:ascii="Times New Roman" w:hAnsi="Times New Roman"/>
          <w:b/>
          <w:sz w:val="24"/>
          <w:szCs w:val="24"/>
        </w:rPr>
        <w:t>посредством электронных сервисов</w:t>
      </w:r>
      <w:r w:rsidRPr="00B80FF2">
        <w:rPr>
          <w:rFonts w:ascii="Times New Roman" w:hAnsi="Times New Roman"/>
          <w:sz w:val="24"/>
          <w:szCs w:val="24"/>
        </w:rPr>
        <w:t xml:space="preserve"> при условии обеспечения гарантированной доставки указанной информации до налогоплательщика.</w:t>
      </w:r>
    </w:p>
    <w:p w:rsidR="00CF7142" w:rsidRPr="00B80FF2" w:rsidRDefault="00CF7142" w:rsidP="009F1CCA">
      <w:pPr>
        <w:pStyle w:val="a9"/>
        <w:numPr>
          <w:ilvl w:val="0"/>
          <w:numId w:val="45"/>
        </w:numPr>
        <w:spacing w:before="120" w:after="120"/>
        <w:contextualSpacing w:val="0"/>
        <w:jc w:val="both"/>
        <w:rPr>
          <w:rFonts w:ascii="Times New Roman" w:hAnsi="Times New Roman"/>
          <w:sz w:val="24"/>
          <w:szCs w:val="24"/>
        </w:rPr>
      </w:pPr>
      <w:r w:rsidRPr="00B80FF2">
        <w:rPr>
          <w:rFonts w:ascii="Times New Roman" w:hAnsi="Times New Roman"/>
          <w:sz w:val="24"/>
          <w:szCs w:val="24"/>
        </w:rPr>
        <w:t>Предоставление физическим лицам возможност</w:t>
      </w:r>
      <w:r>
        <w:rPr>
          <w:rFonts w:ascii="Times New Roman" w:hAnsi="Times New Roman"/>
          <w:sz w:val="24"/>
          <w:szCs w:val="24"/>
        </w:rPr>
        <w:t>и</w:t>
      </w:r>
      <w:r w:rsidRPr="00B80FF2">
        <w:rPr>
          <w:rFonts w:ascii="Times New Roman" w:hAnsi="Times New Roman"/>
          <w:sz w:val="24"/>
          <w:szCs w:val="24"/>
        </w:rPr>
        <w:t xml:space="preserve"> </w:t>
      </w:r>
      <w:r w:rsidRPr="00B80FF2">
        <w:rPr>
          <w:rFonts w:ascii="Times New Roman" w:hAnsi="Times New Roman"/>
          <w:b/>
          <w:sz w:val="24"/>
          <w:szCs w:val="24"/>
        </w:rPr>
        <w:t>уплаты налогов и платежей через МФЦ</w:t>
      </w:r>
      <w:r w:rsidRPr="00B80FF2">
        <w:rPr>
          <w:rFonts w:ascii="Times New Roman" w:hAnsi="Times New Roman"/>
          <w:sz w:val="24"/>
          <w:szCs w:val="24"/>
        </w:rPr>
        <w:t xml:space="preserve"> предоставления государственных и муниципальных услуг в случаях, когда субъектами на них (МФЦ) возложены соответствующие функции.</w:t>
      </w:r>
    </w:p>
    <w:p w:rsidR="00B80FF2" w:rsidRPr="00CF7142" w:rsidRDefault="00CF7142" w:rsidP="009F1CCA">
      <w:pPr>
        <w:pStyle w:val="a9"/>
        <w:numPr>
          <w:ilvl w:val="0"/>
          <w:numId w:val="45"/>
        </w:numPr>
        <w:spacing w:before="120" w:after="120"/>
        <w:contextualSpacing w:val="0"/>
        <w:jc w:val="both"/>
        <w:rPr>
          <w:rFonts w:ascii="Times New Roman" w:hAnsi="Times New Roman"/>
          <w:sz w:val="24"/>
          <w:szCs w:val="24"/>
        </w:rPr>
      </w:pPr>
      <w:r w:rsidRPr="00CF7142">
        <w:rPr>
          <w:rFonts w:ascii="Times New Roman" w:hAnsi="Times New Roman"/>
          <w:sz w:val="24"/>
          <w:szCs w:val="24"/>
        </w:rPr>
        <w:t xml:space="preserve">Расширение возможности использования </w:t>
      </w:r>
      <w:r w:rsidRPr="00CF7142">
        <w:rPr>
          <w:rFonts w:ascii="Times New Roman" w:hAnsi="Times New Roman"/>
          <w:b/>
          <w:sz w:val="24"/>
          <w:szCs w:val="24"/>
        </w:rPr>
        <w:t>института «уточнение платежа»</w:t>
      </w:r>
      <w:r w:rsidRPr="00CF7142">
        <w:rPr>
          <w:rFonts w:ascii="Times New Roman" w:hAnsi="Times New Roman"/>
          <w:sz w:val="24"/>
          <w:szCs w:val="24"/>
        </w:rPr>
        <w:t>, в том числе в случаях ошибочного указания при уплате таких платежей счетов Федерального казначейства, а также предоставление полномочий налоговым органам при определенных условиях самостоятельно (без заявлений плательщиков) принимать решения об уточнении платежей для исключения начисления пеней.</w:t>
      </w:r>
    </w:p>
    <w:p w:rsidR="00B80FF2" w:rsidRDefault="00B80FF2" w:rsidP="009F1CCA">
      <w:pPr>
        <w:pStyle w:val="a9"/>
        <w:numPr>
          <w:ilvl w:val="0"/>
          <w:numId w:val="45"/>
        </w:numPr>
        <w:spacing w:before="120" w:after="120"/>
        <w:contextualSpacing w:val="0"/>
        <w:jc w:val="both"/>
        <w:rPr>
          <w:rFonts w:ascii="Times New Roman" w:hAnsi="Times New Roman"/>
          <w:sz w:val="24"/>
          <w:szCs w:val="24"/>
        </w:rPr>
      </w:pPr>
      <w:r w:rsidRPr="00B80FF2">
        <w:rPr>
          <w:rFonts w:ascii="Times New Roman" w:hAnsi="Times New Roman"/>
          <w:sz w:val="24"/>
          <w:szCs w:val="24"/>
        </w:rPr>
        <w:t xml:space="preserve">Введение </w:t>
      </w:r>
      <w:r w:rsidRPr="00B80FF2">
        <w:rPr>
          <w:rFonts w:ascii="Times New Roman" w:hAnsi="Times New Roman"/>
          <w:b/>
          <w:sz w:val="24"/>
          <w:szCs w:val="24"/>
        </w:rPr>
        <w:t>института специальных авансовых взносов</w:t>
      </w:r>
      <w:r w:rsidRPr="00B80FF2">
        <w:rPr>
          <w:rFonts w:ascii="Times New Roman" w:hAnsi="Times New Roman"/>
          <w:sz w:val="24"/>
          <w:szCs w:val="24"/>
        </w:rPr>
        <w:t>, которые указанные лица смогут добровольно перечислять в бюджетную систему Российской Федерации на соответствующий счет Федерального казначейства в счет уплаты ими предстоящих платежей по транспортному налогу, земельному налогу и налогу на имущество физических лиц.</w:t>
      </w:r>
    </w:p>
    <w:p w:rsidR="00570D05" w:rsidRDefault="00FB630E" w:rsidP="00DA7293">
      <w:pPr>
        <w:pStyle w:val="a9"/>
        <w:numPr>
          <w:ilvl w:val="0"/>
          <w:numId w:val="45"/>
        </w:numPr>
        <w:spacing w:before="120" w:after="120"/>
        <w:contextualSpacing w:val="0"/>
        <w:jc w:val="both"/>
        <w:rPr>
          <w:rFonts w:ascii="Times New Roman" w:hAnsi="Times New Roman"/>
          <w:sz w:val="24"/>
          <w:szCs w:val="24"/>
        </w:rPr>
      </w:pPr>
      <w:proofErr w:type="gramStart"/>
      <w:r w:rsidRPr="00570D05">
        <w:rPr>
          <w:rFonts w:ascii="Times New Roman" w:hAnsi="Times New Roman"/>
          <w:sz w:val="24"/>
          <w:szCs w:val="24"/>
        </w:rPr>
        <w:t xml:space="preserve">Расширение </w:t>
      </w:r>
      <w:r w:rsidRPr="00570D05">
        <w:rPr>
          <w:rFonts w:ascii="Times New Roman" w:hAnsi="Times New Roman"/>
          <w:b/>
          <w:sz w:val="24"/>
          <w:szCs w:val="24"/>
        </w:rPr>
        <w:t>перечня оснований для предоставления отсрочки (рассрочки)</w:t>
      </w:r>
      <w:r w:rsidRPr="00570D05">
        <w:rPr>
          <w:rFonts w:ascii="Times New Roman" w:hAnsi="Times New Roman"/>
          <w:sz w:val="24"/>
          <w:szCs w:val="24"/>
        </w:rPr>
        <w:t xml:space="preserve"> по уплате платежей, </w:t>
      </w:r>
      <w:r w:rsidR="00D605F5">
        <w:rPr>
          <w:rFonts w:ascii="Times New Roman" w:hAnsi="Times New Roman"/>
          <w:sz w:val="24"/>
          <w:szCs w:val="24"/>
        </w:rPr>
        <w:t>установленных</w:t>
      </w:r>
      <w:r w:rsidRPr="00570D05">
        <w:rPr>
          <w:rFonts w:ascii="Times New Roman" w:hAnsi="Times New Roman"/>
          <w:sz w:val="24"/>
          <w:szCs w:val="24"/>
        </w:rPr>
        <w:t xml:space="preserve"> Налоговым кодексом в целях повышения эффективности мер по урегулированию задолженности перед бюджетной системой и предотвращения банкротства организаций, </w:t>
      </w:r>
      <w:r w:rsidR="00D605F5">
        <w:rPr>
          <w:rFonts w:ascii="Times New Roman" w:hAnsi="Times New Roman"/>
          <w:sz w:val="24"/>
          <w:szCs w:val="24"/>
        </w:rPr>
        <w:t xml:space="preserve">с </w:t>
      </w:r>
      <w:r w:rsidRPr="00570D05">
        <w:rPr>
          <w:rFonts w:ascii="Times New Roman" w:hAnsi="Times New Roman"/>
          <w:sz w:val="24"/>
          <w:szCs w:val="24"/>
        </w:rPr>
        <w:t>предостав</w:t>
      </w:r>
      <w:r w:rsidR="00D605F5">
        <w:rPr>
          <w:rFonts w:ascii="Times New Roman" w:hAnsi="Times New Roman"/>
          <w:sz w:val="24"/>
          <w:szCs w:val="24"/>
        </w:rPr>
        <w:t>лением</w:t>
      </w:r>
      <w:r w:rsidRPr="00570D05">
        <w:rPr>
          <w:rFonts w:ascii="Times New Roman" w:hAnsi="Times New Roman"/>
          <w:sz w:val="24"/>
          <w:szCs w:val="24"/>
        </w:rPr>
        <w:t xml:space="preserve"> данн</w:t>
      </w:r>
      <w:r w:rsidR="00D605F5">
        <w:rPr>
          <w:rFonts w:ascii="Times New Roman" w:hAnsi="Times New Roman"/>
          <w:sz w:val="24"/>
          <w:szCs w:val="24"/>
        </w:rPr>
        <w:t>ой</w:t>
      </w:r>
      <w:r w:rsidRPr="00570D05">
        <w:rPr>
          <w:rFonts w:ascii="Times New Roman" w:hAnsi="Times New Roman"/>
          <w:sz w:val="24"/>
          <w:szCs w:val="24"/>
        </w:rPr>
        <w:t xml:space="preserve"> возможност</w:t>
      </w:r>
      <w:r w:rsidR="00D605F5">
        <w:rPr>
          <w:rFonts w:ascii="Times New Roman" w:hAnsi="Times New Roman"/>
          <w:sz w:val="24"/>
          <w:szCs w:val="24"/>
        </w:rPr>
        <w:t>и</w:t>
      </w:r>
      <w:r w:rsidRPr="00570D05">
        <w:rPr>
          <w:rFonts w:ascii="Times New Roman" w:hAnsi="Times New Roman"/>
          <w:sz w:val="24"/>
          <w:szCs w:val="24"/>
        </w:rPr>
        <w:t xml:space="preserve"> организациям, выполняющим особо важные заказы по социально-экономическому развитию регионов, предоставляющим особо важные услуги населению, а также включенным в перечень стратегических предприятий и организаций, который определяется в соответствии с</w:t>
      </w:r>
      <w:proofErr w:type="gramEnd"/>
      <w:r w:rsidRPr="00570D05">
        <w:rPr>
          <w:rFonts w:ascii="Times New Roman" w:hAnsi="Times New Roman"/>
          <w:sz w:val="24"/>
          <w:szCs w:val="24"/>
        </w:rPr>
        <w:t xml:space="preserve"> законодательством Российской Федерации о несостоятельности (банкротстве).</w:t>
      </w:r>
      <w:r w:rsidR="00E37FE8" w:rsidRPr="00E37FE8">
        <w:rPr>
          <w:rFonts w:ascii="Times New Roman" w:hAnsi="Times New Roman"/>
          <w:sz w:val="24"/>
          <w:szCs w:val="24"/>
        </w:rPr>
        <w:t xml:space="preserve"> </w:t>
      </w:r>
      <w:proofErr w:type="gramStart"/>
      <w:r w:rsidR="00E37FE8" w:rsidRPr="00717ED5">
        <w:rPr>
          <w:rFonts w:ascii="Times New Roman" w:hAnsi="Times New Roman"/>
          <w:sz w:val="24"/>
          <w:szCs w:val="24"/>
        </w:rPr>
        <w:t>Представляется целесообразным при определенных условиях, исключающих злоупотребление участниками налоговых правоотношений их правами, и с предоставлением банковских гарантий использование рассрочки по уплате сумм налогов и иных регулируемых Налоговым кодексом платежей, начисленных по результатам налоговых проверок, в случаях невозможности единовременной уплаты должником таких сумм при наличии достаточных оснований полагать, что возможность уплаты указанных сумм возникнет в течение срока, на который предоставляется рассрочка</w:t>
      </w:r>
      <w:proofErr w:type="gramEnd"/>
      <w:r w:rsidR="00E37FE8">
        <w:rPr>
          <w:rFonts w:ascii="Times New Roman" w:hAnsi="Times New Roman"/>
          <w:sz w:val="24"/>
          <w:szCs w:val="24"/>
        </w:rPr>
        <w:t>.</w:t>
      </w:r>
    </w:p>
    <w:p w:rsidR="002D0765" w:rsidRPr="00B80FF2" w:rsidRDefault="002D0765" w:rsidP="002D0765">
      <w:pPr>
        <w:pStyle w:val="a9"/>
        <w:numPr>
          <w:ilvl w:val="0"/>
          <w:numId w:val="45"/>
        </w:numPr>
        <w:spacing w:before="120" w:after="120"/>
        <w:contextualSpacing w:val="0"/>
        <w:jc w:val="both"/>
        <w:rPr>
          <w:rFonts w:ascii="Times New Roman" w:hAnsi="Times New Roman"/>
          <w:sz w:val="24"/>
          <w:szCs w:val="24"/>
        </w:rPr>
      </w:pPr>
      <w:r w:rsidRPr="00C96102">
        <w:rPr>
          <w:rFonts w:ascii="Times New Roman" w:hAnsi="Times New Roman"/>
          <w:b/>
          <w:sz w:val="24"/>
          <w:szCs w:val="24"/>
        </w:rPr>
        <w:t>Обеспечение определенности налогообложения</w:t>
      </w:r>
      <w:r w:rsidRPr="00812667">
        <w:rPr>
          <w:rFonts w:ascii="Times New Roman" w:hAnsi="Times New Roman"/>
          <w:b/>
          <w:sz w:val="24"/>
          <w:szCs w:val="24"/>
        </w:rPr>
        <w:t xml:space="preserve"> доходов физических лиц</w:t>
      </w:r>
      <w:r>
        <w:rPr>
          <w:rFonts w:ascii="Times New Roman" w:hAnsi="Times New Roman"/>
          <w:b/>
          <w:sz w:val="24"/>
          <w:szCs w:val="24"/>
        </w:rPr>
        <w:t xml:space="preserve"> </w:t>
      </w:r>
      <w:r w:rsidRPr="00C96102">
        <w:rPr>
          <w:rFonts w:ascii="Times New Roman" w:hAnsi="Times New Roman"/>
          <w:sz w:val="24"/>
          <w:szCs w:val="24"/>
        </w:rPr>
        <w:t>за счет</w:t>
      </w:r>
      <w:r w:rsidRPr="00B80FF2">
        <w:rPr>
          <w:rFonts w:ascii="Times New Roman" w:hAnsi="Times New Roman"/>
          <w:sz w:val="24"/>
          <w:szCs w:val="24"/>
        </w:rPr>
        <w:t xml:space="preserve">: </w:t>
      </w:r>
    </w:p>
    <w:p w:rsidR="002D0765" w:rsidRPr="00B80FF2" w:rsidRDefault="002D0765" w:rsidP="002D0765">
      <w:pPr>
        <w:pStyle w:val="a9"/>
        <w:numPr>
          <w:ilvl w:val="0"/>
          <w:numId w:val="43"/>
        </w:numPr>
        <w:spacing w:before="120" w:after="120"/>
        <w:contextualSpacing w:val="0"/>
        <w:jc w:val="both"/>
        <w:rPr>
          <w:rFonts w:ascii="Times New Roman" w:hAnsi="Times New Roman"/>
          <w:sz w:val="24"/>
          <w:szCs w:val="24"/>
        </w:rPr>
      </w:pPr>
      <w:r w:rsidRPr="00B80FF2">
        <w:rPr>
          <w:rFonts w:ascii="Times New Roman" w:hAnsi="Times New Roman"/>
          <w:sz w:val="24"/>
          <w:szCs w:val="24"/>
        </w:rPr>
        <w:t>уточнени</w:t>
      </w:r>
      <w:r>
        <w:rPr>
          <w:rFonts w:ascii="Times New Roman" w:hAnsi="Times New Roman"/>
          <w:sz w:val="24"/>
          <w:szCs w:val="24"/>
        </w:rPr>
        <w:t>я</w:t>
      </w:r>
      <w:r w:rsidRPr="00B80FF2">
        <w:rPr>
          <w:rFonts w:ascii="Times New Roman" w:hAnsi="Times New Roman"/>
          <w:sz w:val="24"/>
          <w:szCs w:val="24"/>
        </w:rPr>
        <w:t xml:space="preserve"> порядка признания расходов при определении налоговой базы в случае реализации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w:t>
      </w:r>
    </w:p>
    <w:p w:rsidR="002D0765" w:rsidRPr="00B80FF2" w:rsidRDefault="002D0765" w:rsidP="002D0765">
      <w:pPr>
        <w:pStyle w:val="a9"/>
        <w:numPr>
          <w:ilvl w:val="0"/>
          <w:numId w:val="43"/>
        </w:numPr>
        <w:spacing w:before="120" w:after="120"/>
        <w:contextualSpacing w:val="0"/>
        <w:jc w:val="both"/>
        <w:rPr>
          <w:rFonts w:ascii="Times New Roman" w:hAnsi="Times New Roman"/>
          <w:sz w:val="24"/>
          <w:szCs w:val="24"/>
        </w:rPr>
      </w:pPr>
      <w:r>
        <w:rPr>
          <w:rFonts w:ascii="Times New Roman" w:hAnsi="Times New Roman"/>
          <w:sz w:val="24"/>
          <w:szCs w:val="24"/>
        </w:rPr>
        <w:t>уточнения</w:t>
      </w:r>
      <w:r w:rsidRPr="00B80FF2">
        <w:rPr>
          <w:rFonts w:ascii="Times New Roman" w:hAnsi="Times New Roman"/>
          <w:sz w:val="24"/>
          <w:szCs w:val="24"/>
        </w:rPr>
        <w:t xml:space="preserve"> стоимости имущества (имущественных прав), внесенных в иностранную структуру без образования юридического лица, в пределах которой не подлежат налогообложению доходы, полученные от такой структуры и не являющиеся распределением прибыли такой структуры; </w:t>
      </w:r>
    </w:p>
    <w:p w:rsidR="002D0765" w:rsidRPr="00B80FF2" w:rsidRDefault="002D0765" w:rsidP="002D0765">
      <w:pPr>
        <w:pStyle w:val="a9"/>
        <w:numPr>
          <w:ilvl w:val="0"/>
          <w:numId w:val="43"/>
        </w:numPr>
        <w:spacing w:before="120" w:after="120"/>
        <w:contextualSpacing w:val="0"/>
        <w:jc w:val="both"/>
        <w:rPr>
          <w:rFonts w:ascii="Times New Roman" w:hAnsi="Times New Roman"/>
          <w:sz w:val="24"/>
          <w:szCs w:val="24"/>
        </w:rPr>
      </w:pPr>
      <w:r>
        <w:rPr>
          <w:rFonts w:ascii="Times New Roman" w:hAnsi="Times New Roman"/>
          <w:sz w:val="24"/>
          <w:szCs w:val="24"/>
        </w:rPr>
        <w:t>уточнения</w:t>
      </w:r>
      <w:r w:rsidRPr="00B80FF2">
        <w:rPr>
          <w:rFonts w:ascii="Times New Roman" w:hAnsi="Times New Roman"/>
          <w:sz w:val="24"/>
          <w:szCs w:val="24"/>
        </w:rPr>
        <w:t xml:space="preserve"> порядка признания расходов при определении налоговой базы в случае реализации (погашения) ценных бумаг, которые были получены налогоплательщиком на безвозмездной основе или с частичной оплатой, а также в порядке дарения или наследования;</w:t>
      </w:r>
    </w:p>
    <w:p w:rsidR="002D0765" w:rsidRDefault="002D0765" w:rsidP="002D0765">
      <w:pPr>
        <w:pStyle w:val="a9"/>
        <w:numPr>
          <w:ilvl w:val="0"/>
          <w:numId w:val="43"/>
        </w:numPr>
        <w:spacing w:before="120" w:after="120"/>
        <w:contextualSpacing w:val="0"/>
        <w:jc w:val="both"/>
        <w:rPr>
          <w:rFonts w:ascii="Times New Roman" w:hAnsi="Times New Roman"/>
          <w:sz w:val="24"/>
          <w:szCs w:val="24"/>
        </w:rPr>
      </w:pPr>
      <w:r>
        <w:rPr>
          <w:rFonts w:ascii="Times New Roman" w:hAnsi="Times New Roman"/>
          <w:sz w:val="24"/>
          <w:szCs w:val="24"/>
        </w:rPr>
        <w:t>уточнения</w:t>
      </w:r>
      <w:r w:rsidRPr="00B80FF2">
        <w:rPr>
          <w:rFonts w:ascii="Times New Roman" w:hAnsi="Times New Roman"/>
          <w:sz w:val="24"/>
          <w:szCs w:val="24"/>
        </w:rPr>
        <w:t xml:space="preserve"> особенност</w:t>
      </w:r>
      <w:r>
        <w:rPr>
          <w:rFonts w:ascii="Times New Roman" w:hAnsi="Times New Roman"/>
          <w:sz w:val="24"/>
          <w:szCs w:val="24"/>
        </w:rPr>
        <w:t>ей</w:t>
      </w:r>
      <w:r w:rsidRPr="00B80FF2">
        <w:rPr>
          <w:rFonts w:ascii="Times New Roman" w:hAnsi="Times New Roman"/>
          <w:sz w:val="24"/>
          <w:szCs w:val="24"/>
        </w:rPr>
        <w:t xml:space="preserve"> налогообложения доходов участников договора доверительного управления имуществом по аналогии с особенностями, предусмотренными при доверительном управлении ценными бумагами.</w:t>
      </w:r>
    </w:p>
    <w:p w:rsidR="002D0765" w:rsidRDefault="002D0765" w:rsidP="002D0765">
      <w:pPr>
        <w:pStyle w:val="a9"/>
        <w:numPr>
          <w:ilvl w:val="0"/>
          <w:numId w:val="45"/>
        </w:numPr>
        <w:spacing w:before="120" w:after="120"/>
        <w:contextualSpacing w:val="0"/>
        <w:jc w:val="both"/>
        <w:rPr>
          <w:rFonts w:ascii="Times New Roman" w:hAnsi="Times New Roman"/>
          <w:sz w:val="24"/>
          <w:szCs w:val="24"/>
        </w:rPr>
      </w:pPr>
      <w:proofErr w:type="gramStart"/>
      <w:r w:rsidRPr="00C96102">
        <w:rPr>
          <w:rFonts w:ascii="Times New Roman" w:hAnsi="Times New Roman"/>
          <w:b/>
          <w:sz w:val="24"/>
          <w:szCs w:val="24"/>
        </w:rPr>
        <w:t>Включение в объект обложения страховыми взносами</w:t>
      </w:r>
      <w:r w:rsidRPr="00534A10">
        <w:rPr>
          <w:rFonts w:ascii="Times New Roman" w:hAnsi="Times New Roman"/>
          <w:sz w:val="24"/>
          <w:szCs w:val="24"/>
        </w:rPr>
        <w:t xml:space="preserve"> выплат и иных вознаграждений по договорам об отчуждении исключительного права на все виды </w:t>
      </w:r>
      <w:r w:rsidRPr="00C96102">
        <w:rPr>
          <w:rFonts w:ascii="Times New Roman" w:hAnsi="Times New Roman"/>
          <w:b/>
          <w:sz w:val="24"/>
          <w:szCs w:val="24"/>
        </w:rPr>
        <w:t>результатов интеллектуальной деятельности</w:t>
      </w:r>
      <w:r w:rsidRPr="00534A10">
        <w:rPr>
          <w:rFonts w:ascii="Times New Roman" w:hAnsi="Times New Roman"/>
          <w:sz w:val="24"/>
          <w:szCs w:val="24"/>
        </w:rPr>
        <w:t>, и лицензионным договорам о предоставлении права использования всех результатов интеллектуальной деятельности (не включая приравненные к ним средства индивидуализации юридических лиц, товаров, работ, услуг и предприятий)</w:t>
      </w:r>
      <w:r w:rsidRPr="00B90042">
        <w:rPr>
          <w:rFonts w:ascii="Times New Roman" w:hAnsi="Times New Roman"/>
          <w:sz w:val="24"/>
          <w:szCs w:val="24"/>
        </w:rPr>
        <w:t xml:space="preserve"> </w:t>
      </w:r>
      <w:r>
        <w:rPr>
          <w:rFonts w:ascii="Times New Roman" w:hAnsi="Times New Roman"/>
          <w:sz w:val="24"/>
          <w:szCs w:val="24"/>
        </w:rPr>
        <w:t>с</w:t>
      </w:r>
      <w:r w:rsidRPr="00534A10">
        <w:rPr>
          <w:rFonts w:ascii="Times New Roman" w:hAnsi="Times New Roman"/>
          <w:sz w:val="24"/>
          <w:szCs w:val="24"/>
        </w:rPr>
        <w:t xml:space="preserve"> целью установления единообразного подхода</w:t>
      </w:r>
      <w:r>
        <w:rPr>
          <w:rFonts w:ascii="Times New Roman" w:hAnsi="Times New Roman"/>
          <w:sz w:val="24"/>
          <w:szCs w:val="24"/>
        </w:rPr>
        <w:t xml:space="preserve"> налогообложения.</w:t>
      </w:r>
      <w:proofErr w:type="gramEnd"/>
    </w:p>
    <w:p w:rsidR="00034334" w:rsidRPr="00034334" w:rsidRDefault="00034334" w:rsidP="00034334">
      <w:pPr>
        <w:pStyle w:val="a9"/>
        <w:spacing w:before="120" w:after="120"/>
        <w:ind w:left="360"/>
        <w:contextualSpacing w:val="0"/>
        <w:jc w:val="both"/>
        <w:rPr>
          <w:rFonts w:ascii="Times New Roman" w:hAnsi="Times New Roman"/>
          <w:sz w:val="24"/>
          <w:szCs w:val="24"/>
        </w:rPr>
      </w:pPr>
      <w:r>
        <w:rPr>
          <w:rFonts w:ascii="Times New Roman" w:hAnsi="Times New Roman"/>
          <w:sz w:val="24"/>
          <w:szCs w:val="24"/>
        </w:rPr>
        <w:t>Полный перечень предлагаемых мер в области налоговой политики по видам налогов представлен в Приложении № 2.</w:t>
      </w:r>
    </w:p>
    <w:p w:rsidR="002457FB" w:rsidRPr="00A702B0" w:rsidRDefault="00A702B0" w:rsidP="00653630">
      <w:pPr>
        <w:spacing w:before="240" w:after="120"/>
        <w:jc w:val="both"/>
        <w:rPr>
          <w:rFonts w:ascii="Times New Roman" w:hAnsi="Times New Roman"/>
          <w:b/>
          <w:sz w:val="24"/>
          <w:szCs w:val="24"/>
        </w:rPr>
      </w:pPr>
      <w:r w:rsidRPr="00A702B0">
        <w:rPr>
          <w:rFonts w:ascii="Times New Roman" w:hAnsi="Times New Roman"/>
          <w:b/>
          <w:sz w:val="24"/>
          <w:szCs w:val="24"/>
        </w:rPr>
        <w:t xml:space="preserve">ПОВЫШЕНИЕ ЭФФЕКТИВНОСТИ </w:t>
      </w:r>
      <w:r w:rsidR="007E4DE3">
        <w:rPr>
          <w:rFonts w:ascii="Times New Roman" w:hAnsi="Times New Roman"/>
          <w:b/>
          <w:sz w:val="24"/>
          <w:szCs w:val="24"/>
        </w:rPr>
        <w:t>ГОСКОМПАНИЙ</w:t>
      </w:r>
    </w:p>
    <w:p w:rsidR="007E5DFE" w:rsidRPr="00C96102" w:rsidRDefault="007E5DFE" w:rsidP="007E5DFE">
      <w:pPr>
        <w:spacing w:before="120" w:after="120"/>
        <w:jc w:val="both"/>
        <w:rPr>
          <w:rFonts w:ascii="Times New Roman" w:hAnsi="Times New Roman"/>
          <w:sz w:val="24"/>
          <w:szCs w:val="24"/>
        </w:rPr>
      </w:pPr>
      <w:r>
        <w:rPr>
          <w:rFonts w:ascii="Times New Roman" w:hAnsi="Times New Roman"/>
          <w:sz w:val="24"/>
          <w:szCs w:val="24"/>
        </w:rPr>
        <w:t xml:space="preserve">Предлагается, что с 2018 года </w:t>
      </w:r>
      <w:r w:rsidRPr="00D6083C">
        <w:rPr>
          <w:rFonts w:ascii="Times New Roman" w:hAnsi="Times New Roman"/>
          <w:b/>
          <w:sz w:val="24"/>
          <w:szCs w:val="24"/>
          <w:u w:val="single"/>
        </w:rPr>
        <w:t xml:space="preserve">минимальный норматив дивидендных выплат в размере 50% от чистой прибыли по </w:t>
      </w:r>
      <w:r w:rsidRPr="00C96102">
        <w:rPr>
          <w:rFonts w:ascii="Times New Roman" w:hAnsi="Times New Roman"/>
          <w:b/>
          <w:sz w:val="24"/>
          <w:szCs w:val="24"/>
          <w:u w:val="single"/>
        </w:rPr>
        <w:t>МСФО будет распространяться на все публичные компании с государственным участием</w:t>
      </w:r>
      <w:r w:rsidRPr="00C96102">
        <w:rPr>
          <w:rFonts w:ascii="Times New Roman" w:hAnsi="Times New Roman"/>
          <w:sz w:val="24"/>
          <w:szCs w:val="24"/>
        </w:rPr>
        <w:t>, включая Сбербанк.</w:t>
      </w:r>
    </w:p>
    <w:p w:rsidR="00C65C50" w:rsidRDefault="00C65C50" w:rsidP="00C65C50">
      <w:pPr>
        <w:spacing w:before="120" w:after="120"/>
        <w:jc w:val="both"/>
        <w:rPr>
          <w:rFonts w:ascii="Times New Roman" w:hAnsi="Times New Roman"/>
          <w:sz w:val="24"/>
          <w:szCs w:val="24"/>
        </w:rPr>
      </w:pPr>
      <w:r w:rsidRPr="00C96102">
        <w:rPr>
          <w:rFonts w:ascii="Times New Roman" w:hAnsi="Times New Roman"/>
          <w:sz w:val="24"/>
          <w:szCs w:val="24"/>
        </w:rPr>
        <w:t xml:space="preserve">Увеличение дивидендных выплат будет способствовать </w:t>
      </w:r>
      <w:r w:rsidRPr="00C96102">
        <w:rPr>
          <w:rFonts w:ascii="Times New Roman" w:hAnsi="Times New Roman"/>
          <w:b/>
          <w:i/>
          <w:sz w:val="24"/>
          <w:szCs w:val="24"/>
        </w:rPr>
        <w:t>повышению качества распределения дефицитных ресурсов в экономике</w:t>
      </w:r>
      <w:r w:rsidRPr="00C96102">
        <w:rPr>
          <w:rFonts w:ascii="Times New Roman" w:hAnsi="Times New Roman"/>
          <w:sz w:val="24"/>
          <w:szCs w:val="24"/>
        </w:rPr>
        <w:t xml:space="preserve"> и расширению</w:t>
      </w:r>
      <w:r>
        <w:rPr>
          <w:rFonts w:ascii="Times New Roman" w:hAnsi="Times New Roman"/>
          <w:sz w:val="24"/>
          <w:szCs w:val="24"/>
        </w:rPr>
        <w:t xml:space="preserve"> ее потенциала </w:t>
      </w:r>
      <w:proofErr w:type="gramStart"/>
      <w:r>
        <w:rPr>
          <w:rFonts w:ascii="Times New Roman" w:hAnsi="Times New Roman"/>
          <w:sz w:val="24"/>
          <w:szCs w:val="24"/>
        </w:rPr>
        <w:t>благодаря</w:t>
      </w:r>
      <w:proofErr w:type="gramEnd"/>
      <w:r>
        <w:rPr>
          <w:rFonts w:ascii="Times New Roman" w:hAnsi="Times New Roman"/>
          <w:sz w:val="24"/>
          <w:szCs w:val="24"/>
        </w:rPr>
        <w:t xml:space="preserve">: </w:t>
      </w:r>
    </w:p>
    <w:p w:rsidR="00C65C50" w:rsidRDefault="00C65C50" w:rsidP="009F1CCA">
      <w:pPr>
        <w:pStyle w:val="a9"/>
        <w:numPr>
          <w:ilvl w:val="0"/>
          <w:numId w:val="40"/>
        </w:numPr>
        <w:spacing w:before="120" w:after="120"/>
        <w:contextualSpacing w:val="0"/>
        <w:jc w:val="both"/>
        <w:rPr>
          <w:rFonts w:ascii="Times New Roman" w:hAnsi="Times New Roman"/>
          <w:sz w:val="24"/>
          <w:szCs w:val="24"/>
        </w:rPr>
      </w:pPr>
      <w:r w:rsidRPr="001723CB">
        <w:rPr>
          <w:rFonts w:ascii="Times New Roman" w:hAnsi="Times New Roman"/>
          <w:i/>
          <w:sz w:val="24"/>
          <w:szCs w:val="24"/>
        </w:rPr>
        <w:t>Обеспечению более эффективного использовани</w:t>
      </w:r>
      <w:r w:rsidR="00CF7142">
        <w:rPr>
          <w:rFonts w:ascii="Times New Roman" w:hAnsi="Times New Roman"/>
          <w:i/>
          <w:sz w:val="24"/>
          <w:szCs w:val="24"/>
        </w:rPr>
        <w:t>я</w:t>
      </w:r>
      <w:r w:rsidRPr="001723CB">
        <w:rPr>
          <w:rFonts w:ascii="Times New Roman" w:hAnsi="Times New Roman"/>
          <w:i/>
          <w:sz w:val="24"/>
          <w:szCs w:val="24"/>
        </w:rPr>
        <w:t xml:space="preserve"> инвестиционных ресурсов</w:t>
      </w:r>
      <w:r w:rsidRPr="007C2C74">
        <w:rPr>
          <w:rFonts w:ascii="Times New Roman" w:hAnsi="Times New Roman"/>
          <w:sz w:val="24"/>
          <w:szCs w:val="24"/>
        </w:rPr>
        <w:t xml:space="preserve"> и повышению качества инвестиционных проектов госкомпаний, что приведет к росту их капитализации, а, соответственно, и кредитного качества, расширив, таким образом, доступ к долговым ресурсам, </w:t>
      </w:r>
      <w:r>
        <w:rPr>
          <w:rFonts w:ascii="Times New Roman" w:hAnsi="Times New Roman"/>
          <w:sz w:val="24"/>
          <w:szCs w:val="24"/>
        </w:rPr>
        <w:t>если таковые потребуются</w:t>
      </w:r>
      <w:r w:rsidRPr="007C2C74">
        <w:rPr>
          <w:rFonts w:ascii="Times New Roman" w:hAnsi="Times New Roman"/>
          <w:sz w:val="24"/>
          <w:szCs w:val="24"/>
        </w:rPr>
        <w:t xml:space="preserve"> для реализации окупаемых проектов.</w:t>
      </w:r>
      <w:r>
        <w:rPr>
          <w:rFonts w:ascii="Times New Roman" w:hAnsi="Times New Roman"/>
          <w:sz w:val="24"/>
          <w:szCs w:val="24"/>
        </w:rPr>
        <w:t xml:space="preserve"> </w:t>
      </w:r>
      <w:r w:rsidRPr="00C65C50">
        <w:rPr>
          <w:rFonts w:ascii="Times New Roman" w:hAnsi="Times New Roman"/>
          <w:sz w:val="24"/>
          <w:szCs w:val="24"/>
        </w:rPr>
        <w:t>То есть уплата акционеру конкурентного уровня доходности не должна приводить к сокращению инвестиций в окупаемые проекты</w:t>
      </w:r>
      <w:r>
        <w:rPr>
          <w:rFonts w:ascii="Times New Roman" w:hAnsi="Times New Roman"/>
          <w:sz w:val="24"/>
          <w:szCs w:val="24"/>
        </w:rPr>
        <w:t>.</w:t>
      </w:r>
    </w:p>
    <w:p w:rsidR="00C65C50" w:rsidRDefault="00C65C50" w:rsidP="009F1CCA">
      <w:pPr>
        <w:pStyle w:val="a9"/>
        <w:numPr>
          <w:ilvl w:val="0"/>
          <w:numId w:val="40"/>
        </w:numPr>
        <w:spacing w:before="120" w:after="120"/>
        <w:ind w:left="357" w:hanging="357"/>
        <w:contextualSpacing w:val="0"/>
        <w:jc w:val="both"/>
        <w:rPr>
          <w:rFonts w:ascii="Times New Roman" w:hAnsi="Times New Roman"/>
          <w:sz w:val="24"/>
          <w:szCs w:val="24"/>
        </w:rPr>
      </w:pPr>
      <w:r w:rsidRPr="001723CB">
        <w:rPr>
          <w:rFonts w:ascii="Times New Roman" w:hAnsi="Times New Roman"/>
          <w:i/>
          <w:sz w:val="24"/>
          <w:szCs w:val="24"/>
        </w:rPr>
        <w:t>Созданию равных конкурентных условий</w:t>
      </w:r>
      <w:r w:rsidRPr="007C2C74">
        <w:rPr>
          <w:rFonts w:ascii="Times New Roman" w:hAnsi="Times New Roman"/>
          <w:sz w:val="24"/>
          <w:szCs w:val="24"/>
        </w:rPr>
        <w:t xml:space="preserve">. </w:t>
      </w:r>
      <w:r>
        <w:rPr>
          <w:rFonts w:ascii="Times New Roman" w:hAnsi="Times New Roman"/>
          <w:sz w:val="24"/>
          <w:szCs w:val="24"/>
        </w:rPr>
        <w:t xml:space="preserve">Искусственное занижение уровня отдачи на вложенный капитал акционера (за счет пониженного уровня норматива выплат и/или его нестрогого соблюдения) создает необоснованное преимущество для госкомпаний и ставит частные инвестиции в субординированное положение, </w:t>
      </w:r>
      <w:r w:rsidRPr="007C2C74">
        <w:rPr>
          <w:rFonts w:ascii="Times New Roman" w:hAnsi="Times New Roman"/>
          <w:sz w:val="24"/>
          <w:szCs w:val="24"/>
        </w:rPr>
        <w:t>что противоречит принци</w:t>
      </w:r>
      <w:r>
        <w:rPr>
          <w:rFonts w:ascii="Times New Roman" w:hAnsi="Times New Roman"/>
          <w:sz w:val="24"/>
          <w:szCs w:val="24"/>
        </w:rPr>
        <w:t>пам конкурентной нейтральности.</w:t>
      </w:r>
    </w:p>
    <w:p w:rsidR="00CF7142" w:rsidRPr="00653630" w:rsidRDefault="00CF7142" w:rsidP="00653630">
      <w:pPr>
        <w:spacing w:before="120" w:after="120"/>
        <w:jc w:val="both"/>
        <w:rPr>
          <w:rFonts w:ascii="Times New Roman" w:hAnsi="Times New Roman"/>
          <w:sz w:val="24"/>
          <w:szCs w:val="24"/>
        </w:rPr>
      </w:pPr>
      <w:r w:rsidRPr="00653630">
        <w:rPr>
          <w:rFonts w:ascii="Times New Roman" w:hAnsi="Times New Roman"/>
          <w:sz w:val="24"/>
          <w:szCs w:val="24"/>
        </w:rPr>
        <w:t xml:space="preserve">Кроме того, такое повышение несколько сблизит коэффициент дивидендных выплат (как % от прибыли) отечественных госкомпаний с аналогами в развитых и развивающихся странах. Например, в странах центральной и восточной Европы (ЦВЕ) аналогичный показатель составлял за последние 5 лет в среднем 70%. Сближение с лучшей мировой практикой повысит привлекательность российского фондового рынка, что </w:t>
      </w:r>
      <w:r w:rsidRPr="00653630">
        <w:rPr>
          <w:rFonts w:ascii="Times New Roman" w:hAnsi="Times New Roman"/>
          <w:b/>
          <w:i/>
          <w:sz w:val="24"/>
          <w:szCs w:val="24"/>
        </w:rPr>
        <w:t>облегчит привлечение капитала для частного сектора и приватизацию государственных активов</w:t>
      </w:r>
      <w:r w:rsidRPr="00653630">
        <w:rPr>
          <w:rFonts w:ascii="Times New Roman" w:hAnsi="Times New Roman"/>
          <w:sz w:val="24"/>
          <w:szCs w:val="24"/>
        </w:rPr>
        <w:t>.</w:t>
      </w:r>
    </w:p>
    <w:p w:rsidR="00CF7142" w:rsidRPr="00653630" w:rsidRDefault="00CF7142" w:rsidP="00653630">
      <w:pPr>
        <w:spacing w:before="120" w:after="120"/>
        <w:jc w:val="both"/>
        <w:rPr>
          <w:rFonts w:ascii="Times New Roman" w:hAnsi="Times New Roman"/>
          <w:sz w:val="24"/>
          <w:szCs w:val="24"/>
        </w:rPr>
      </w:pPr>
      <w:r w:rsidRPr="00653630">
        <w:rPr>
          <w:rFonts w:ascii="Times New Roman" w:hAnsi="Times New Roman"/>
          <w:sz w:val="24"/>
          <w:szCs w:val="24"/>
        </w:rPr>
        <w:t xml:space="preserve">Увеличение норматива дивидендных выплат также будет способствовать </w:t>
      </w:r>
      <w:r w:rsidRPr="00653630">
        <w:rPr>
          <w:rFonts w:ascii="Times New Roman" w:hAnsi="Times New Roman"/>
          <w:b/>
          <w:i/>
          <w:sz w:val="24"/>
          <w:szCs w:val="24"/>
        </w:rPr>
        <w:t>повышению эффективности бюджетных расходов</w:t>
      </w:r>
      <w:r w:rsidRPr="00653630">
        <w:rPr>
          <w:rFonts w:ascii="Times New Roman" w:hAnsi="Times New Roman"/>
          <w:sz w:val="24"/>
          <w:szCs w:val="24"/>
        </w:rPr>
        <w:t xml:space="preserve">. По экономической сущности заниженный уровень требуемой отдачи от государственных активов представляет собой субсидию (или неналоговый расход бюджета). Стоимостная оценка такой субсидии определяется как разность между дивидендной доходностью и доходностью по долгосрочным государственным облигациям: субсидия – если такая разница отрицательная, доход – в случае положительной разницы. Размер этой субсидии только по 4-м крупнейшим публичным госкомпаниям (Роснефть, Газпром, Сбербанк, ВТБ) достиг по итогам их работы в 2016 году 350 </w:t>
      </w:r>
      <w:proofErr w:type="gramStart"/>
      <w:r w:rsidR="007F725F">
        <w:rPr>
          <w:rFonts w:ascii="Times New Roman" w:hAnsi="Times New Roman"/>
          <w:sz w:val="24"/>
          <w:szCs w:val="24"/>
        </w:rPr>
        <w:t>млрд</w:t>
      </w:r>
      <w:proofErr w:type="gramEnd"/>
      <w:r w:rsidRPr="00653630">
        <w:rPr>
          <w:rFonts w:ascii="Times New Roman" w:hAnsi="Times New Roman"/>
          <w:sz w:val="24"/>
          <w:szCs w:val="24"/>
        </w:rPr>
        <w:t xml:space="preserve"> рублей (или 0,4% ВВП), а в среднем за последние 5 лет составлял около 300 </w:t>
      </w:r>
      <w:r w:rsidR="007F725F">
        <w:rPr>
          <w:rFonts w:ascii="Times New Roman" w:hAnsi="Times New Roman"/>
          <w:sz w:val="24"/>
          <w:szCs w:val="24"/>
        </w:rPr>
        <w:t>млрд</w:t>
      </w:r>
      <w:r w:rsidRPr="00653630">
        <w:rPr>
          <w:rFonts w:ascii="Times New Roman" w:hAnsi="Times New Roman"/>
          <w:sz w:val="24"/>
          <w:szCs w:val="24"/>
        </w:rPr>
        <w:t xml:space="preserve"> рублей. Строгое соблюдение норматива перечисления дивидендов в размере 50% чистой прибыли лишь сократит вмененную дивидендную субсидию для этой группы из 4-х публичных госкомпаний.</w:t>
      </w:r>
    </w:p>
    <w:p w:rsidR="00CF7142" w:rsidRDefault="00CF7142" w:rsidP="00653630">
      <w:pPr>
        <w:spacing w:before="120" w:after="120"/>
        <w:jc w:val="both"/>
        <w:rPr>
          <w:rFonts w:ascii="Times New Roman" w:hAnsi="Times New Roman"/>
          <w:sz w:val="24"/>
          <w:szCs w:val="24"/>
        </w:rPr>
      </w:pPr>
      <w:r w:rsidRPr="00653630">
        <w:rPr>
          <w:rFonts w:ascii="Times New Roman" w:hAnsi="Times New Roman"/>
          <w:sz w:val="24"/>
          <w:szCs w:val="24"/>
        </w:rPr>
        <w:t>Вместе с тем, в отличие от соответствующих прямых бюджетных расходов, подобные вмененные субсидии не являются объектом бюджетного контроля, учета и оценки эффективности. Более того, учитывая отраслевую принадлежность крупных госкомпаний, предоставление им субсидий, очевидно, не отвечает решению задач государственной политики, а напротив, способствует неоптимальному размещению дефицитных бюджетных ресурсов и, в конечном итоге, ведет к прямым потерям общественного благосостояния.</w:t>
      </w:r>
    </w:p>
    <w:p w:rsidR="00901545" w:rsidRDefault="00901545" w:rsidP="00653630">
      <w:pPr>
        <w:spacing w:before="120" w:after="120"/>
        <w:jc w:val="both"/>
        <w:rPr>
          <w:rFonts w:ascii="Times New Roman" w:hAnsi="Times New Roman"/>
          <w:sz w:val="24"/>
          <w:szCs w:val="24"/>
        </w:rPr>
      </w:pPr>
    </w:p>
    <w:p w:rsidR="00901545" w:rsidRDefault="00901545" w:rsidP="00653630">
      <w:pPr>
        <w:spacing w:before="120" w:after="120"/>
        <w:jc w:val="both"/>
        <w:rPr>
          <w:rFonts w:ascii="Times New Roman" w:hAnsi="Times New Roman"/>
          <w:sz w:val="24"/>
          <w:szCs w:val="24"/>
        </w:rPr>
      </w:pPr>
    </w:p>
    <w:p w:rsidR="007E5DFE" w:rsidRPr="00653630" w:rsidRDefault="007E5DFE" w:rsidP="00653630">
      <w:pPr>
        <w:spacing w:before="120" w:after="120"/>
        <w:jc w:val="both"/>
        <w:rPr>
          <w:rFonts w:ascii="Times New Roman" w:hAnsi="Times New Roman"/>
          <w:sz w:val="24"/>
          <w:szCs w:val="24"/>
        </w:rPr>
      </w:pPr>
    </w:p>
    <w:tbl>
      <w:tblPr>
        <w:tblStyle w:val="Smalltable"/>
        <w:tblW w:w="7416" w:type="dxa"/>
        <w:jc w:val="center"/>
        <w:tblInd w:w="0" w:type="dxa"/>
        <w:tblLook w:val="04A0" w:firstRow="1" w:lastRow="0" w:firstColumn="1" w:lastColumn="0" w:noHBand="0" w:noVBand="1"/>
      </w:tblPr>
      <w:tblGrid>
        <w:gridCol w:w="7416"/>
      </w:tblGrid>
      <w:tr w:rsidR="0023477E" w:rsidRPr="00E0414B" w:rsidTr="00CF7142">
        <w:trPr>
          <w:trHeight w:val="246"/>
          <w:jc w:val="center"/>
        </w:trPr>
        <w:tc>
          <w:tcPr>
            <w:tcW w:w="7416" w:type="dxa"/>
            <w:shd w:val="clear" w:color="auto" w:fill="auto"/>
          </w:tcPr>
          <w:p w:rsidR="0023477E" w:rsidRPr="00E0414B" w:rsidRDefault="0023477E" w:rsidP="007E78A5">
            <w:pPr>
              <w:pStyle w:val="GraphTitle"/>
              <w:rPr>
                <w:rFonts w:ascii="Times New Roman" w:hAnsi="Times New Roman" w:cs="Times New Roman"/>
                <w:b/>
                <w:sz w:val="24"/>
                <w:szCs w:val="20"/>
                <w:lang w:val="ru-RU"/>
              </w:rPr>
            </w:pPr>
            <w:r>
              <w:rPr>
                <w:rFonts w:ascii="Times New Roman" w:hAnsi="Times New Roman" w:cs="Times New Roman"/>
                <w:b/>
                <w:sz w:val="24"/>
                <w:szCs w:val="20"/>
                <w:lang w:val="ru-RU"/>
              </w:rPr>
              <w:t>Вмененная «дивидендная субсидия» 4-м публичным госкомпаниям</w:t>
            </w:r>
          </w:p>
        </w:tc>
      </w:tr>
      <w:tr w:rsidR="0023477E" w:rsidRPr="00E65DE3" w:rsidTr="00CF7142">
        <w:trPr>
          <w:trHeight w:hRule="exact" w:val="34"/>
          <w:jc w:val="center"/>
        </w:trPr>
        <w:tc>
          <w:tcPr>
            <w:tcW w:w="7416" w:type="dxa"/>
            <w:tcBorders>
              <w:bottom w:val="single" w:sz="4" w:space="0" w:color="auto"/>
            </w:tcBorders>
            <w:shd w:val="clear" w:color="auto" w:fill="auto"/>
          </w:tcPr>
          <w:p w:rsidR="0023477E" w:rsidRPr="00E65DE3" w:rsidRDefault="0023477E" w:rsidP="007E78A5">
            <w:pPr>
              <w:pStyle w:val="TabText"/>
              <w:rPr>
                <w:rFonts w:ascii="Times New Roman" w:hAnsi="Times New Roman" w:cs="Times New Roman"/>
                <w:lang w:val="ru-RU"/>
              </w:rPr>
            </w:pPr>
          </w:p>
        </w:tc>
      </w:tr>
      <w:tr w:rsidR="0023477E" w:rsidRPr="00E65DE3" w:rsidTr="00CF7142">
        <w:tblPrEx>
          <w:tblCellMar>
            <w:left w:w="108" w:type="dxa"/>
            <w:right w:w="108" w:type="dxa"/>
          </w:tblCellMar>
        </w:tblPrEx>
        <w:trPr>
          <w:trHeight w:val="2739"/>
          <w:jc w:val="center"/>
        </w:trPr>
        <w:tc>
          <w:tcPr>
            <w:tcW w:w="7416" w:type="dxa"/>
            <w:tcBorders>
              <w:top w:val="single" w:sz="4" w:space="0" w:color="auto"/>
              <w:bottom w:val="single" w:sz="4" w:space="0" w:color="auto"/>
            </w:tcBorders>
            <w:shd w:val="clear" w:color="auto" w:fill="auto"/>
            <w:tcMar>
              <w:left w:w="0" w:type="nil"/>
              <w:right w:w="0" w:type="nil"/>
            </w:tcMar>
          </w:tcPr>
          <w:p w:rsidR="0023477E" w:rsidRPr="00E65DE3" w:rsidRDefault="001613DC" w:rsidP="007E78A5">
            <w:pPr>
              <w:pStyle w:val="TabText"/>
              <w:jc w:val="center"/>
              <w:rPr>
                <w:rFonts w:ascii="Times New Roman" w:hAnsi="Times New Roman" w:cs="Times New Roman"/>
                <w:lang w:val="ru-RU"/>
              </w:rPr>
            </w:pPr>
            <w:r>
              <w:rPr>
                <w:noProof/>
                <w:lang w:val="ru-RU" w:bidi="ar-SA"/>
              </w:rPr>
              <w:drawing>
                <wp:inline distT="0" distB="0" distL="0" distR="0" wp14:anchorId="57A759BF" wp14:editId="4A2AC8AE">
                  <wp:extent cx="4572000" cy="2743200"/>
                  <wp:effectExtent l="0" t="0" r="0" b="0"/>
                  <wp:docPr id="132" name="Диаграмма 132">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23477E" w:rsidRPr="00E0414B" w:rsidTr="00CF7142">
        <w:trPr>
          <w:trHeight w:val="246"/>
          <w:jc w:val="center"/>
        </w:trPr>
        <w:tc>
          <w:tcPr>
            <w:tcW w:w="7416" w:type="dxa"/>
            <w:tcBorders>
              <w:top w:val="single" w:sz="4" w:space="0" w:color="auto"/>
            </w:tcBorders>
            <w:shd w:val="clear" w:color="auto" w:fill="auto"/>
          </w:tcPr>
          <w:p w:rsidR="0023477E" w:rsidRPr="00C9605A" w:rsidRDefault="0023477E" w:rsidP="007E78A5">
            <w:pPr>
              <w:pStyle w:val="SourceLarge"/>
              <w:spacing w:after="240"/>
              <w:rPr>
                <w:rFonts w:ascii="Times New Roman" w:hAnsi="Times New Roman" w:cs="Times New Roman"/>
                <w:i/>
                <w:lang w:val="ru-RU"/>
              </w:rPr>
            </w:pPr>
            <w:r w:rsidRPr="00235B64">
              <w:rPr>
                <w:rFonts w:ascii="Times New Roman" w:hAnsi="Times New Roman" w:cs="Times New Roman"/>
                <w:i/>
                <w:sz w:val="14"/>
                <w:szCs w:val="14"/>
                <w:lang w:val="ru-RU"/>
              </w:rPr>
              <w:t>Источник:</w:t>
            </w:r>
            <w:r w:rsidRPr="003633FC">
              <w:rPr>
                <w:rFonts w:ascii="Times New Roman" w:hAnsi="Times New Roman" w:cs="Times New Roman"/>
                <w:i/>
                <w:sz w:val="14"/>
                <w:szCs w:val="14"/>
              </w:rPr>
              <w:t> </w:t>
            </w:r>
            <w:r>
              <w:rPr>
                <w:rFonts w:ascii="Times New Roman" w:hAnsi="Times New Roman" w:cs="Times New Roman"/>
                <w:i/>
                <w:sz w:val="14"/>
                <w:szCs w:val="14"/>
                <w:lang w:val="ru-RU"/>
              </w:rPr>
              <w:t>данные компаний, оценка Минфина</w:t>
            </w:r>
          </w:p>
        </w:tc>
      </w:tr>
    </w:tbl>
    <w:p w:rsidR="0023477E" w:rsidRDefault="0023477E" w:rsidP="00B80FF2">
      <w:pPr>
        <w:spacing w:before="120" w:after="120"/>
        <w:jc w:val="both"/>
        <w:rPr>
          <w:rFonts w:ascii="Times New Roman" w:hAnsi="Times New Roman"/>
          <w:sz w:val="24"/>
          <w:szCs w:val="24"/>
        </w:rPr>
      </w:pPr>
      <w:r>
        <w:rPr>
          <w:rFonts w:ascii="Times New Roman" w:hAnsi="Times New Roman"/>
          <w:sz w:val="24"/>
          <w:szCs w:val="24"/>
        </w:rPr>
        <w:t xml:space="preserve">В целях повышения эффективности государственного сектора также будет продолжена работа по </w:t>
      </w:r>
      <w:r w:rsidR="007E4DE3">
        <w:rPr>
          <w:rFonts w:ascii="Times New Roman" w:hAnsi="Times New Roman"/>
          <w:b/>
          <w:sz w:val="24"/>
          <w:szCs w:val="24"/>
          <w:u w:val="single"/>
        </w:rPr>
        <w:t>оптимизации</w:t>
      </w:r>
      <w:r w:rsidRPr="007E4DE3">
        <w:rPr>
          <w:rFonts w:ascii="Times New Roman" w:hAnsi="Times New Roman"/>
          <w:b/>
          <w:sz w:val="24"/>
          <w:szCs w:val="24"/>
          <w:u w:val="single"/>
        </w:rPr>
        <w:t xml:space="preserve"> других субсидий госкомпаниям</w:t>
      </w:r>
      <w:r>
        <w:rPr>
          <w:rFonts w:ascii="Times New Roman" w:hAnsi="Times New Roman"/>
          <w:sz w:val="24"/>
          <w:szCs w:val="24"/>
        </w:rPr>
        <w:t>, искажающих конкурентную среду и/или систему мотивационных сигналов. Это будет касаться как прямых субсидий, зачастую фактически маскирующих низкую операционную эффективность, так и неявных, предоставляемых через систему налоговых льгот и освобождений.</w:t>
      </w:r>
    </w:p>
    <w:p w:rsidR="004A2745" w:rsidRDefault="004A2745" w:rsidP="004A2745">
      <w:pPr>
        <w:spacing w:before="120" w:after="120"/>
        <w:jc w:val="both"/>
        <w:rPr>
          <w:rFonts w:ascii="Times New Roman" w:hAnsi="Times New Roman"/>
          <w:sz w:val="24"/>
          <w:szCs w:val="24"/>
        </w:rPr>
      </w:pPr>
      <w:r>
        <w:rPr>
          <w:rFonts w:ascii="Times New Roman" w:hAnsi="Times New Roman"/>
          <w:sz w:val="24"/>
          <w:szCs w:val="24"/>
        </w:rPr>
        <w:t xml:space="preserve">Кроме того осуществляется </w:t>
      </w:r>
      <w:r w:rsidRPr="004A2745">
        <w:rPr>
          <w:rFonts w:ascii="Times New Roman" w:hAnsi="Times New Roman"/>
          <w:sz w:val="24"/>
          <w:szCs w:val="24"/>
        </w:rPr>
        <w:t>проработк</w:t>
      </w:r>
      <w:r w:rsidR="00721EA2">
        <w:rPr>
          <w:rFonts w:ascii="Times New Roman" w:hAnsi="Times New Roman"/>
          <w:sz w:val="24"/>
          <w:szCs w:val="24"/>
        </w:rPr>
        <w:t>а</w:t>
      </w:r>
      <w:r w:rsidRPr="004A2745">
        <w:rPr>
          <w:rFonts w:ascii="Times New Roman" w:hAnsi="Times New Roman"/>
          <w:sz w:val="24"/>
          <w:szCs w:val="24"/>
        </w:rPr>
        <w:t xml:space="preserve"> предложений по повышению эффективности использования средств федерального бюджета, предоставляемых государственным компани</w:t>
      </w:r>
      <w:r w:rsidR="00907F39">
        <w:rPr>
          <w:rFonts w:ascii="Times New Roman" w:hAnsi="Times New Roman"/>
          <w:sz w:val="24"/>
          <w:szCs w:val="24"/>
        </w:rPr>
        <w:t>ям</w:t>
      </w:r>
      <w:r w:rsidRPr="004A2745">
        <w:rPr>
          <w:rFonts w:ascii="Times New Roman" w:hAnsi="Times New Roman"/>
          <w:sz w:val="24"/>
          <w:szCs w:val="24"/>
        </w:rPr>
        <w:t xml:space="preserve">, в том числе предоставляемых </w:t>
      </w:r>
      <w:r w:rsidR="00277FBA">
        <w:rPr>
          <w:rFonts w:ascii="Times New Roman" w:hAnsi="Times New Roman"/>
          <w:sz w:val="24"/>
          <w:szCs w:val="24"/>
        </w:rPr>
        <w:t xml:space="preserve">их </w:t>
      </w:r>
      <w:r w:rsidRPr="004A2745">
        <w:rPr>
          <w:rFonts w:ascii="Times New Roman" w:hAnsi="Times New Roman"/>
          <w:sz w:val="24"/>
          <w:szCs w:val="24"/>
        </w:rPr>
        <w:t>дочерним обществам.</w:t>
      </w:r>
    </w:p>
    <w:p w:rsidR="007E4DE3" w:rsidRPr="00A702B0" w:rsidRDefault="0027766B" w:rsidP="00653630">
      <w:pPr>
        <w:spacing w:before="240" w:after="120"/>
        <w:jc w:val="both"/>
        <w:rPr>
          <w:rFonts w:ascii="Times New Roman" w:hAnsi="Times New Roman"/>
          <w:b/>
          <w:sz w:val="24"/>
          <w:szCs w:val="24"/>
        </w:rPr>
      </w:pPr>
      <w:r w:rsidRPr="0027766B">
        <w:rPr>
          <w:rFonts w:ascii="Times New Roman" w:hAnsi="Times New Roman"/>
          <w:b/>
          <w:sz w:val="24"/>
          <w:szCs w:val="24"/>
        </w:rPr>
        <w:t xml:space="preserve">СТИМУЛИРОВАНИЕ ИНВЕСТИЦИОННОЙ </w:t>
      </w:r>
      <w:r w:rsidR="00222A10">
        <w:rPr>
          <w:rFonts w:ascii="Times New Roman" w:hAnsi="Times New Roman"/>
          <w:b/>
          <w:sz w:val="24"/>
          <w:szCs w:val="24"/>
        </w:rPr>
        <w:t>АКТИВНОСТИ</w:t>
      </w:r>
    </w:p>
    <w:p w:rsidR="009805CD" w:rsidRDefault="00CF7142" w:rsidP="00B80FF2">
      <w:pPr>
        <w:spacing w:before="120" w:after="120"/>
        <w:jc w:val="both"/>
        <w:rPr>
          <w:rFonts w:ascii="Times New Roman" w:hAnsi="Times New Roman"/>
          <w:sz w:val="24"/>
          <w:szCs w:val="24"/>
        </w:rPr>
      </w:pPr>
      <w:r>
        <w:rPr>
          <w:rFonts w:ascii="Times New Roman" w:hAnsi="Times New Roman"/>
          <w:sz w:val="24"/>
          <w:szCs w:val="24"/>
        </w:rPr>
        <w:t>В части создания комфортных налоговых условий для осуществления новых инвестиционных проектов в настоящее время д</w:t>
      </w:r>
      <w:r w:rsidRPr="009805CD">
        <w:rPr>
          <w:rFonts w:ascii="Times New Roman" w:hAnsi="Times New Roman"/>
          <w:sz w:val="24"/>
          <w:szCs w:val="24"/>
        </w:rPr>
        <w:t xml:space="preserve">ействует целый ряд механизмов, </w:t>
      </w:r>
      <w:r>
        <w:rPr>
          <w:rFonts w:ascii="Times New Roman" w:hAnsi="Times New Roman"/>
          <w:sz w:val="24"/>
          <w:szCs w:val="24"/>
        </w:rPr>
        <w:t>призванных стимулировать инвестиции. Э</w:t>
      </w:r>
      <w:r w:rsidRPr="009805CD">
        <w:rPr>
          <w:rFonts w:ascii="Times New Roman" w:hAnsi="Times New Roman"/>
          <w:sz w:val="24"/>
          <w:szCs w:val="24"/>
        </w:rPr>
        <w:t>то специальные налоговые условия для региональных инвестиционных проектов (</w:t>
      </w:r>
      <w:proofErr w:type="spellStart"/>
      <w:r w:rsidRPr="009805CD">
        <w:rPr>
          <w:rFonts w:ascii="Times New Roman" w:hAnsi="Times New Roman"/>
          <w:sz w:val="24"/>
          <w:szCs w:val="24"/>
        </w:rPr>
        <w:t>РИПов</w:t>
      </w:r>
      <w:proofErr w:type="spellEnd"/>
      <w:r w:rsidRPr="009805CD">
        <w:rPr>
          <w:rFonts w:ascii="Times New Roman" w:hAnsi="Times New Roman"/>
          <w:sz w:val="24"/>
          <w:szCs w:val="24"/>
        </w:rPr>
        <w:t>), территорий опережающего развития (</w:t>
      </w:r>
      <w:proofErr w:type="spellStart"/>
      <w:r w:rsidRPr="009805CD">
        <w:rPr>
          <w:rFonts w:ascii="Times New Roman" w:hAnsi="Times New Roman"/>
          <w:sz w:val="24"/>
          <w:szCs w:val="24"/>
        </w:rPr>
        <w:t>ТОРов</w:t>
      </w:r>
      <w:proofErr w:type="spellEnd"/>
      <w:r w:rsidRPr="009805CD">
        <w:rPr>
          <w:rFonts w:ascii="Times New Roman" w:hAnsi="Times New Roman"/>
          <w:sz w:val="24"/>
          <w:szCs w:val="24"/>
        </w:rPr>
        <w:t>), свободного порта Владивосток, специальных инвестиционных контрактов</w:t>
      </w:r>
      <w:r>
        <w:rPr>
          <w:rFonts w:ascii="Times New Roman" w:hAnsi="Times New Roman"/>
          <w:sz w:val="24"/>
          <w:szCs w:val="24"/>
        </w:rPr>
        <w:t xml:space="preserve"> (</w:t>
      </w:r>
      <w:proofErr w:type="spellStart"/>
      <w:r>
        <w:rPr>
          <w:rFonts w:ascii="Times New Roman" w:hAnsi="Times New Roman"/>
          <w:sz w:val="24"/>
          <w:szCs w:val="24"/>
        </w:rPr>
        <w:t>СПИКи</w:t>
      </w:r>
      <w:proofErr w:type="spellEnd"/>
      <w:r>
        <w:rPr>
          <w:rFonts w:ascii="Times New Roman" w:hAnsi="Times New Roman"/>
          <w:sz w:val="24"/>
          <w:szCs w:val="24"/>
        </w:rPr>
        <w:t>)</w:t>
      </w:r>
      <w:r w:rsidRPr="009805CD">
        <w:rPr>
          <w:rFonts w:ascii="Times New Roman" w:hAnsi="Times New Roman"/>
          <w:sz w:val="24"/>
          <w:szCs w:val="24"/>
        </w:rPr>
        <w:t xml:space="preserve">, для </w:t>
      </w:r>
      <w:proofErr w:type="spellStart"/>
      <w:r w:rsidRPr="009805CD">
        <w:rPr>
          <w:rFonts w:ascii="Times New Roman" w:hAnsi="Times New Roman"/>
          <w:sz w:val="24"/>
          <w:szCs w:val="24"/>
        </w:rPr>
        <w:t>гринфилдов</w:t>
      </w:r>
      <w:proofErr w:type="spellEnd"/>
      <w:r w:rsidRPr="009805CD">
        <w:rPr>
          <w:rFonts w:ascii="Times New Roman" w:hAnsi="Times New Roman"/>
          <w:sz w:val="24"/>
          <w:szCs w:val="24"/>
        </w:rPr>
        <w:t xml:space="preserve"> и организаций, осуществляющих капитальные вложения в производство.</w:t>
      </w:r>
      <w:r>
        <w:rPr>
          <w:rFonts w:ascii="Times New Roman" w:hAnsi="Times New Roman"/>
          <w:sz w:val="24"/>
          <w:szCs w:val="24"/>
        </w:rPr>
        <w:t xml:space="preserve"> Эти </w:t>
      </w:r>
      <w:r w:rsidRPr="009805CD">
        <w:rPr>
          <w:rFonts w:ascii="Times New Roman" w:hAnsi="Times New Roman"/>
          <w:sz w:val="24"/>
          <w:szCs w:val="24"/>
        </w:rPr>
        <w:t>механизмы позволяют не просто получить льготу по налогу на прибыль на сумму произведённых инвестиций, но и полностью профинансировать их за счёт бюджета (при соответствующем решении региональных властей и заключении инвестиционных соглашений).</w:t>
      </w:r>
    </w:p>
    <w:p w:rsidR="00222A10" w:rsidRDefault="00222A10" w:rsidP="00B80FF2">
      <w:pPr>
        <w:spacing w:before="120" w:after="120"/>
        <w:jc w:val="both"/>
        <w:rPr>
          <w:rFonts w:ascii="Times New Roman" w:hAnsi="Times New Roman"/>
          <w:sz w:val="24"/>
          <w:szCs w:val="24"/>
        </w:rPr>
      </w:pPr>
      <w:r>
        <w:rPr>
          <w:rFonts w:ascii="Times New Roman" w:hAnsi="Times New Roman"/>
          <w:sz w:val="24"/>
          <w:szCs w:val="24"/>
        </w:rPr>
        <w:t>Сейчас в российской экономике наблюдается скромное начало восстановительной фазы инвестиционного цикла, что делает особенно актуальными меры и стимулы, направленные на ускорение  инвестиционных программ</w:t>
      </w:r>
      <w:r w:rsidR="00D605F5">
        <w:rPr>
          <w:rFonts w:ascii="Times New Roman" w:hAnsi="Times New Roman"/>
          <w:sz w:val="24"/>
          <w:szCs w:val="24"/>
        </w:rPr>
        <w:t xml:space="preserve"> (отложенных в период кризиса)</w:t>
      </w:r>
      <w:r>
        <w:rPr>
          <w:rFonts w:ascii="Times New Roman" w:hAnsi="Times New Roman"/>
          <w:sz w:val="24"/>
          <w:szCs w:val="24"/>
        </w:rPr>
        <w:t xml:space="preserve">. В этой связи предлагается </w:t>
      </w:r>
      <w:r w:rsidRPr="00222A10">
        <w:rPr>
          <w:rFonts w:ascii="Times New Roman" w:hAnsi="Times New Roman"/>
          <w:sz w:val="24"/>
          <w:szCs w:val="24"/>
        </w:rPr>
        <w:t xml:space="preserve">предоставить налогоплательщикам </w:t>
      </w:r>
      <w:r w:rsidR="00653038" w:rsidRPr="00653038">
        <w:rPr>
          <w:rFonts w:ascii="Times New Roman" w:hAnsi="Times New Roman"/>
          <w:b/>
          <w:sz w:val="24"/>
          <w:szCs w:val="24"/>
          <w:u w:val="single"/>
        </w:rPr>
        <w:t>инвестиционный налоговый вычет</w:t>
      </w:r>
      <w:r w:rsidR="00653038">
        <w:rPr>
          <w:rFonts w:ascii="Times New Roman" w:hAnsi="Times New Roman"/>
          <w:sz w:val="24"/>
          <w:szCs w:val="24"/>
        </w:rPr>
        <w:t xml:space="preserve"> – то есть </w:t>
      </w:r>
      <w:r w:rsidRPr="00222A10">
        <w:rPr>
          <w:rFonts w:ascii="Times New Roman" w:hAnsi="Times New Roman"/>
          <w:sz w:val="24"/>
          <w:szCs w:val="24"/>
        </w:rPr>
        <w:t>право уменьшать исчисленную сумму налога на прибыль на сумму расходов, связанных с приобретением (созданием) или модернизацией (реконструкцией) объектов основных средств</w:t>
      </w:r>
      <w:r w:rsidR="00653038">
        <w:rPr>
          <w:rFonts w:ascii="Times New Roman" w:hAnsi="Times New Roman"/>
          <w:sz w:val="24"/>
          <w:szCs w:val="24"/>
        </w:rPr>
        <w:t>.</w:t>
      </w:r>
    </w:p>
    <w:p w:rsidR="00653038" w:rsidRDefault="00653038" w:rsidP="00CD3F01">
      <w:pPr>
        <w:pStyle w:val="a9"/>
        <w:numPr>
          <w:ilvl w:val="0"/>
          <w:numId w:val="41"/>
        </w:numPr>
        <w:spacing w:before="120" w:after="120"/>
        <w:contextualSpacing w:val="0"/>
        <w:jc w:val="both"/>
        <w:rPr>
          <w:rFonts w:ascii="Times New Roman" w:hAnsi="Times New Roman"/>
          <w:sz w:val="24"/>
          <w:szCs w:val="24"/>
        </w:rPr>
      </w:pPr>
      <w:r w:rsidRPr="00653038">
        <w:rPr>
          <w:rFonts w:ascii="Times New Roman" w:hAnsi="Times New Roman"/>
          <w:sz w:val="24"/>
          <w:szCs w:val="24"/>
        </w:rPr>
        <w:t xml:space="preserve">Такой налоговый вычет будет предоставляться </w:t>
      </w:r>
      <w:r w:rsidRPr="00653038">
        <w:rPr>
          <w:rFonts w:ascii="Times New Roman" w:hAnsi="Times New Roman"/>
          <w:b/>
          <w:sz w:val="24"/>
          <w:szCs w:val="24"/>
        </w:rPr>
        <w:t>по решению субъекта Р</w:t>
      </w:r>
      <w:r w:rsidR="006B0F04">
        <w:rPr>
          <w:rFonts w:ascii="Times New Roman" w:hAnsi="Times New Roman"/>
          <w:b/>
          <w:sz w:val="24"/>
          <w:szCs w:val="24"/>
        </w:rPr>
        <w:t xml:space="preserve">оссийской </w:t>
      </w:r>
      <w:r w:rsidRPr="00653038">
        <w:rPr>
          <w:rFonts w:ascii="Times New Roman" w:hAnsi="Times New Roman"/>
          <w:b/>
          <w:sz w:val="24"/>
          <w:szCs w:val="24"/>
        </w:rPr>
        <w:t>Ф</w:t>
      </w:r>
      <w:r w:rsidR="006B0F04">
        <w:rPr>
          <w:rFonts w:ascii="Times New Roman" w:hAnsi="Times New Roman"/>
          <w:b/>
          <w:sz w:val="24"/>
          <w:szCs w:val="24"/>
        </w:rPr>
        <w:t>едерации</w:t>
      </w:r>
      <w:r w:rsidR="00CD3F01">
        <w:rPr>
          <w:rFonts w:ascii="Times New Roman" w:hAnsi="Times New Roman"/>
          <w:b/>
          <w:sz w:val="24"/>
          <w:szCs w:val="24"/>
        </w:rPr>
        <w:t xml:space="preserve"> </w:t>
      </w:r>
      <w:r w:rsidR="00CD3F01" w:rsidRPr="00CD3F01">
        <w:rPr>
          <w:rFonts w:ascii="Times New Roman" w:hAnsi="Times New Roman"/>
          <w:sz w:val="24"/>
          <w:szCs w:val="24"/>
        </w:rPr>
        <w:t>по принципу «двух ключей» исходя из экономической и бюджетной целесообразности предоставления соответствующей льготы</w:t>
      </w:r>
      <w:r w:rsidRPr="00653038">
        <w:rPr>
          <w:rFonts w:ascii="Times New Roman" w:hAnsi="Times New Roman"/>
          <w:sz w:val="24"/>
          <w:szCs w:val="24"/>
        </w:rPr>
        <w:t xml:space="preserve"> при реконструкции/модернизации существующих произво</w:t>
      </w:r>
      <w:proofErr w:type="gramStart"/>
      <w:r w:rsidRPr="00653038">
        <w:rPr>
          <w:rFonts w:ascii="Times New Roman" w:hAnsi="Times New Roman"/>
          <w:sz w:val="24"/>
          <w:szCs w:val="24"/>
        </w:rPr>
        <w:t>дств в ч</w:t>
      </w:r>
      <w:proofErr w:type="gramEnd"/>
      <w:r w:rsidRPr="00653038">
        <w:rPr>
          <w:rFonts w:ascii="Times New Roman" w:hAnsi="Times New Roman"/>
          <w:sz w:val="24"/>
          <w:szCs w:val="24"/>
        </w:rPr>
        <w:t>асти имущества по 3-7 амортизационным группам (не распространяется на участников РИП).</w:t>
      </w:r>
    </w:p>
    <w:p w:rsidR="00CF7142" w:rsidRDefault="00CF7142" w:rsidP="009F1CCA">
      <w:pPr>
        <w:pStyle w:val="a9"/>
        <w:numPr>
          <w:ilvl w:val="0"/>
          <w:numId w:val="41"/>
        </w:numPr>
        <w:spacing w:before="120" w:after="120"/>
        <w:contextualSpacing w:val="0"/>
        <w:jc w:val="both"/>
        <w:rPr>
          <w:rFonts w:ascii="Times New Roman" w:hAnsi="Times New Roman"/>
          <w:sz w:val="24"/>
          <w:szCs w:val="24"/>
        </w:rPr>
      </w:pPr>
      <w:r w:rsidRPr="00653038">
        <w:rPr>
          <w:rFonts w:ascii="Times New Roman" w:hAnsi="Times New Roman"/>
          <w:b/>
          <w:sz w:val="24"/>
          <w:szCs w:val="24"/>
        </w:rPr>
        <w:t>Размер вычета</w:t>
      </w:r>
      <w:r w:rsidRPr="00653038">
        <w:rPr>
          <w:rFonts w:ascii="Times New Roman" w:hAnsi="Times New Roman"/>
          <w:sz w:val="24"/>
          <w:szCs w:val="24"/>
        </w:rPr>
        <w:t xml:space="preserve"> </w:t>
      </w:r>
      <w:r w:rsidRPr="00AC1799">
        <w:rPr>
          <w:rFonts w:ascii="Times New Roman" w:hAnsi="Times New Roman"/>
          <w:b/>
          <w:sz w:val="24"/>
          <w:szCs w:val="24"/>
        </w:rPr>
        <w:t>составляет</w:t>
      </w:r>
      <w:r>
        <w:rPr>
          <w:rFonts w:ascii="Times New Roman" w:hAnsi="Times New Roman"/>
          <w:sz w:val="24"/>
          <w:szCs w:val="24"/>
        </w:rPr>
        <w:t xml:space="preserve"> </w:t>
      </w:r>
      <w:r w:rsidRPr="00653038">
        <w:rPr>
          <w:rFonts w:ascii="Times New Roman" w:hAnsi="Times New Roman"/>
          <w:b/>
          <w:sz w:val="24"/>
          <w:szCs w:val="24"/>
        </w:rPr>
        <w:t>50%</w:t>
      </w:r>
      <w:r w:rsidRPr="00653038">
        <w:rPr>
          <w:rFonts w:ascii="Times New Roman" w:hAnsi="Times New Roman"/>
          <w:sz w:val="24"/>
          <w:szCs w:val="24"/>
        </w:rPr>
        <w:t xml:space="preserve"> от стоимости объекта: 5% за счет </w:t>
      </w:r>
      <w:r w:rsidR="006B0F04">
        <w:rPr>
          <w:rFonts w:ascii="Times New Roman" w:hAnsi="Times New Roman"/>
          <w:sz w:val="24"/>
          <w:szCs w:val="24"/>
        </w:rPr>
        <w:t>средств федерального бюджета</w:t>
      </w:r>
      <w:r w:rsidRPr="00653038">
        <w:rPr>
          <w:rFonts w:ascii="Times New Roman" w:hAnsi="Times New Roman"/>
          <w:sz w:val="24"/>
          <w:szCs w:val="24"/>
        </w:rPr>
        <w:t xml:space="preserve">; 45% за счет </w:t>
      </w:r>
      <w:r>
        <w:rPr>
          <w:rFonts w:ascii="Times New Roman" w:hAnsi="Times New Roman"/>
          <w:sz w:val="24"/>
          <w:szCs w:val="24"/>
        </w:rPr>
        <w:t>региональной</w:t>
      </w:r>
      <w:r w:rsidRPr="00653038">
        <w:rPr>
          <w:rFonts w:ascii="Times New Roman" w:hAnsi="Times New Roman"/>
          <w:sz w:val="24"/>
          <w:szCs w:val="24"/>
        </w:rPr>
        <w:t xml:space="preserve"> части (ее сумма не может быть меньше 5% от налоговой базы). Таким образом, обеспечивается </w:t>
      </w:r>
      <w:r w:rsidR="006B0F04">
        <w:rPr>
          <w:rFonts w:ascii="Times New Roman" w:hAnsi="Times New Roman"/>
          <w:b/>
          <w:sz w:val="24"/>
          <w:szCs w:val="24"/>
        </w:rPr>
        <w:t>50% со</w:t>
      </w:r>
      <w:r w:rsidRPr="00160941">
        <w:rPr>
          <w:rFonts w:ascii="Times New Roman" w:hAnsi="Times New Roman"/>
          <w:b/>
          <w:sz w:val="24"/>
          <w:szCs w:val="24"/>
        </w:rPr>
        <w:t>финансирование</w:t>
      </w:r>
      <w:r w:rsidRPr="00653038">
        <w:rPr>
          <w:rFonts w:ascii="Times New Roman" w:hAnsi="Times New Roman"/>
          <w:sz w:val="24"/>
          <w:szCs w:val="24"/>
        </w:rPr>
        <w:t xml:space="preserve"> инвестиционных расходов со стороны государства в год </w:t>
      </w:r>
      <w:r>
        <w:rPr>
          <w:rFonts w:ascii="Times New Roman" w:hAnsi="Times New Roman"/>
          <w:sz w:val="24"/>
          <w:szCs w:val="24"/>
        </w:rPr>
        <w:t xml:space="preserve">осуществления </w:t>
      </w:r>
      <w:r w:rsidRPr="00653038">
        <w:rPr>
          <w:rFonts w:ascii="Times New Roman" w:hAnsi="Times New Roman"/>
          <w:sz w:val="24"/>
          <w:szCs w:val="24"/>
        </w:rPr>
        <w:t>инвестиций</w:t>
      </w:r>
      <w:r>
        <w:rPr>
          <w:rFonts w:ascii="Times New Roman" w:hAnsi="Times New Roman"/>
          <w:sz w:val="24"/>
          <w:szCs w:val="24"/>
        </w:rPr>
        <w:t>.</w:t>
      </w:r>
    </w:p>
    <w:p w:rsidR="00CF7142" w:rsidRPr="00653038" w:rsidRDefault="00CF7142" w:rsidP="009F1CCA">
      <w:pPr>
        <w:pStyle w:val="a9"/>
        <w:numPr>
          <w:ilvl w:val="0"/>
          <w:numId w:val="41"/>
        </w:numPr>
        <w:spacing w:before="120" w:after="120"/>
        <w:contextualSpacing w:val="0"/>
        <w:jc w:val="both"/>
        <w:rPr>
          <w:rFonts w:ascii="Times New Roman" w:hAnsi="Times New Roman"/>
          <w:sz w:val="24"/>
          <w:szCs w:val="24"/>
        </w:rPr>
      </w:pPr>
      <w:r>
        <w:rPr>
          <w:rFonts w:ascii="Times New Roman" w:hAnsi="Times New Roman"/>
          <w:b/>
          <w:sz w:val="24"/>
          <w:szCs w:val="24"/>
        </w:rPr>
        <w:t xml:space="preserve">Варианты </w:t>
      </w:r>
      <w:r w:rsidRPr="00E75B94">
        <w:rPr>
          <w:rFonts w:ascii="Times New Roman" w:hAnsi="Times New Roman"/>
          <w:b/>
          <w:sz w:val="24"/>
          <w:szCs w:val="24"/>
        </w:rPr>
        <w:t>инвестиционн</w:t>
      </w:r>
      <w:r>
        <w:rPr>
          <w:rFonts w:ascii="Times New Roman" w:hAnsi="Times New Roman"/>
          <w:b/>
          <w:sz w:val="24"/>
          <w:szCs w:val="24"/>
        </w:rPr>
        <w:t>ого</w:t>
      </w:r>
      <w:r w:rsidRPr="00E75B94">
        <w:rPr>
          <w:rFonts w:ascii="Times New Roman" w:hAnsi="Times New Roman"/>
          <w:b/>
          <w:sz w:val="24"/>
          <w:szCs w:val="24"/>
        </w:rPr>
        <w:t xml:space="preserve"> налогов</w:t>
      </w:r>
      <w:r>
        <w:rPr>
          <w:rFonts w:ascii="Times New Roman" w:hAnsi="Times New Roman"/>
          <w:b/>
          <w:sz w:val="24"/>
          <w:szCs w:val="24"/>
        </w:rPr>
        <w:t>ого</w:t>
      </w:r>
      <w:r w:rsidRPr="00E75B94">
        <w:rPr>
          <w:rFonts w:ascii="Times New Roman" w:hAnsi="Times New Roman"/>
          <w:b/>
          <w:sz w:val="24"/>
          <w:szCs w:val="24"/>
        </w:rPr>
        <w:t xml:space="preserve"> вычет</w:t>
      </w:r>
      <w:r>
        <w:rPr>
          <w:rFonts w:ascii="Times New Roman" w:hAnsi="Times New Roman"/>
          <w:b/>
          <w:sz w:val="24"/>
          <w:szCs w:val="24"/>
        </w:rPr>
        <w:t>а</w:t>
      </w:r>
      <w:r w:rsidRPr="00653038">
        <w:rPr>
          <w:rFonts w:ascii="Times New Roman" w:hAnsi="Times New Roman"/>
          <w:sz w:val="24"/>
          <w:szCs w:val="24"/>
        </w:rPr>
        <w:t xml:space="preserve">: </w:t>
      </w:r>
      <w:r>
        <w:rPr>
          <w:rFonts w:ascii="Times New Roman" w:hAnsi="Times New Roman"/>
          <w:sz w:val="24"/>
          <w:szCs w:val="24"/>
        </w:rPr>
        <w:t>(1)</w:t>
      </w:r>
      <w:r w:rsidR="001F0C6A">
        <w:rPr>
          <w:rFonts w:ascii="Times New Roman" w:hAnsi="Times New Roman"/>
          <w:sz w:val="24"/>
          <w:szCs w:val="24"/>
        </w:rPr>
        <w:t> </w:t>
      </w:r>
      <w:r w:rsidRPr="00653038">
        <w:rPr>
          <w:rFonts w:ascii="Times New Roman" w:hAnsi="Times New Roman"/>
          <w:sz w:val="24"/>
          <w:szCs w:val="24"/>
        </w:rPr>
        <w:t xml:space="preserve">применение </w:t>
      </w:r>
      <w:r w:rsidRPr="00160941">
        <w:rPr>
          <w:rFonts w:ascii="Times New Roman" w:hAnsi="Times New Roman"/>
          <w:i/>
          <w:sz w:val="24"/>
          <w:szCs w:val="24"/>
        </w:rPr>
        <w:t>механизма амортизационной премии</w:t>
      </w:r>
      <w:r w:rsidRPr="00653038">
        <w:rPr>
          <w:rFonts w:ascii="Times New Roman" w:hAnsi="Times New Roman"/>
          <w:sz w:val="24"/>
          <w:szCs w:val="24"/>
        </w:rPr>
        <w:t xml:space="preserve"> и начислени</w:t>
      </w:r>
      <w:r>
        <w:rPr>
          <w:rFonts w:ascii="Times New Roman" w:hAnsi="Times New Roman"/>
          <w:sz w:val="24"/>
          <w:szCs w:val="24"/>
        </w:rPr>
        <w:t>е</w:t>
      </w:r>
      <w:r w:rsidRPr="00653038">
        <w:rPr>
          <w:rFonts w:ascii="Times New Roman" w:hAnsi="Times New Roman"/>
          <w:sz w:val="24"/>
          <w:szCs w:val="24"/>
        </w:rPr>
        <w:t xml:space="preserve"> амортизации по объектам основных средств, </w:t>
      </w:r>
      <w:r>
        <w:rPr>
          <w:rFonts w:ascii="Times New Roman" w:hAnsi="Times New Roman"/>
          <w:sz w:val="24"/>
          <w:szCs w:val="24"/>
        </w:rPr>
        <w:t>(2)</w:t>
      </w:r>
      <w:r w:rsidRPr="00653038">
        <w:rPr>
          <w:rFonts w:ascii="Times New Roman" w:hAnsi="Times New Roman"/>
          <w:sz w:val="24"/>
          <w:szCs w:val="24"/>
        </w:rPr>
        <w:t xml:space="preserve"> применение к ним </w:t>
      </w:r>
      <w:r w:rsidRPr="00160941">
        <w:rPr>
          <w:rFonts w:ascii="Times New Roman" w:hAnsi="Times New Roman"/>
          <w:i/>
          <w:sz w:val="24"/>
          <w:szCs w:val="24"/>
        </w:rPr>
        <w:t>инвестиционного налогового вычета</w:t>
      </w:r>
      <w:r>
        <w:rPr>
          <w:rFonts w:ascii="Times New Roman" w:hAnsi="Times New Roman"/>
          <w:sz w:val="24"/>
          <w:szCs w:val="24"/>
        </w:rPr>
        <w:t xml:space="preserve"> (</w:t>
      </w:r>
      <w:r w:rsidRPr="00160941">
        <w:rPr>
          <w:rFonts w:ascii="Times New Roman" w:hAnsi="Times New Roman"/>
          <w:sz w:val="24"/>
          <w:szCs w:val="24"/>
        </w:rPr>
        <w:t>с потерей возможности последующего начисления амортизации и отнесения на расходы в целях налогообложения)</w:t>
      </w:r>
      <w:r>
        <w:rPr>
          <w:rFonts w:ascii="Times New Roman" w:hAnsi="Times New Roman"/>
          <w:sz w:val="24"/>
          <w:szCs w:val="24"/>
        </w:rPr>
        <w:t>.</w:t>
      </w:r>
    </w:p>
    <w:p w:rsidR="00222A10" w:rsidRDefault="00160941" w:rsidP="00B80FF2">
      <w:pPr>
        <w:spacing w:before="120" w:after="120"/>
        <w:jc w:val="both"/>
        <w:rPr>
          <w:rFonts w:ascii="Times New Roman" w:hAnsi="Times New Roman"/>
          <w:sz w:val="24"/>
          <w:szCs w:val="24"/>
        </w:rPr>
      </w:pPr>
      <w:r>
        <w:rPr>
          <w:rFonts w:ascii="Times New Roman" w:hAnsi="Times New Roman"/>
          <w:sz w:val="24"/>
          <w:szCs w:val="24"/>
        </w:rPr>
        <w:t xml:space="preserve">Среди </w:t>
      </w:r>
      <w:r w:rsidRPr="00160941">
        <w:rPr>
          <w:rFonts w:ascii="Times New Roman" w:hAnsi="Times New Roman"/>
          <w:b/>
          <w:sz w:val="24"/>
          <w:szCs w:val="24"/>
          <w:u w:val="single"/>
        </w:rPr>
        <w:t>других мер</w:t>
      </w:r>
      <w:r>
        <w:rPr>
          <w:rFonts w:ascii="Times New Roman" w:hAnsi="Times New Roman"/>
          <w:sz w:val="24"/>
          <w:szCs w:val="24"/>
        </w:rPr>
        <w:t xml:space="preserve">, </w:t>
      </w:r>
      <w:r w:rsidRPr="00160941">
        <w:rPr>
          <w:rFonts w:ascii="Times New Roman" w:hAnsi="Times New Roman"/>
          <w:b/>
          <w:sz w:val="24"/>
          <w:szCs w:val="24"/>
        </w:rPr>
        <w:t>направленных на стимулирование инвестиционной активности</w:t>
      </w:r>
      <w:r>
        <w:rPr>
          <w:rFonts w:ascii="Times New Roman" w:hAnsi="Times New Roman"/>
          <w:sz w:val="24"/>
          <w:szCs w:val="24"/>
        </w:rPr>
        <w:t>, также предлагается:</w:t>
      </w:r>
    </w:p>
    <w:p w:rsidR="00111138" w:rsidRDefault="00111138" w:rsidP="00A71D96">
      <w:pPr>
        <w:pStyle w:val="a9"/>
        <w:numPr>
          <w:ilvl w:val="0"/>
          <w:numId w:val="42"/>
        </w:numPr>
        <w:spacing w:before="120" w:after="120"/>
        <w:contextualSpacing w:val="0"/>
        <w:jc w:val="both"/>
        <w:rPr>
          <w:rFonts w:ascii="Times New Roman" w:hAnsi="Times New Roman"/>
          <w:sz w:val="24"/>
          <w:szCs w:val="24"/>
        </w:rPr>
      </w:pPr>
      <w:r>
        <w:rPr>
          <w:rFonts w:ascii="Times New Roman" w:hAnsi="Times New Roman"/>
          <w:sz w:val="24"/>
          <w:szCs w:val="24"/>
        </w:rPr>
        <w:t>Уточнение</w:t>
      </w:r>
      <w:r w:rsidRPr="00FB630E">
        <w:rPr>
          <w:rFonts w:ascii="Times New Roman" w:hAnsi="Times New Roman"/>
          <w:sz w:val="24"/>
          <w:szCs w:val="24"/>
        </w:rPr>
        <w:t xml:space="preserve"> поряд</w:t>
      </w:r>
      <w:r>
        <w:rPr>
          <w:rFonts w:ascii="Times New Roman" w:hAnsi="Times New Roman"/>
          <w:sz w:val="24"/>
          <w:szCs w:val="24"/>
        </w:rPr>
        <w:t>ка</w:t>
      </w:r>
      <w:r w:rsidRPr="00FB630E">
        <w:rPr>
          <w:rFonts w:ascii="Times New Roman" w:hAnsi="Times New Roman"/>
          <w:sz w:val="24"/>
          <w:szCs w:val="24"/>
        </w:rPr>
        <w:t xml:space="preserve"> предоставления </w:t>
      </w:r>
      <w:r w:rsidRPr="00A70E17">
        <w:rPr>
          <w:rFonts w:ascii="Times New Roman" w:hAnsi="Times New Roman"/>
          <w:b/>
          <w:sz w:val="24"/>
          <w:szCs w:val="24"/>
        </w:rPr>
        <w:t>инвестиционного налогового кредита</w:t>
      </w:r>
      <w:r w:rsidRPr="00FB630E">
        <w:rPr>
          <w:rFonts w:ascii="Times New Roman" w:hAnsi="Times New Roman"/>
          <w:sz w:val="24"/>
          <w:szCs w:val="24"/>
        </w:rPr>
        <w:t>, расшир</w:t>
      </w:r>
      <w:r>
        <w:rPr>
          <w:rFonts w:ascii="Times New Roman" w:hAnsi="Times New Roman"/>
          <w:sz w:val="24"/>
          <w:szCs w:val="24"/>
        </w:rPr>
        <w:t>ение</w:t>
      </w:r>
      <w:r w:rsidRPr="00FB630E">
        <w:rPr>
          <w:rFonts w:ascii="Times New Roman" w:hAnsi="Times New Roman"/>
          <w:sz w:val="24"/>
          <w:szCs w:val="24"/>
        </w:rPr>
        <w:t xml:space="preserve"> перечн</w:t>
      </w:r>
      <w:r>
        <w:rPr>
          <w:rFonts w:ascii="Times New Roman" w:hAnsi="Times New Roman"/>
          <w:sz w:val="24"/>
          <w:szCs w:val="24"/>
        </w:rPr>
        <w:t>я</w:t>
      </w:r>
      <w:r w:rsidRPr="00FB630E">
        <w:rPr>
          <w:rFonts w:ascii="Times New Roman" w:hAnsi="Times New Roman"/>
          <w:sz w:val="24"/>
          <w:szCs w:val="24"/>
        </w:rPr>
        <w:t xml:space="preserve"> оснований его предоставления.</w:t>
      </w:r>
    </w:p>
    <w:p w:rsidR="00CF7142" w:rsidRDefault="00CF7142" w:rsidP="009F1CCA">
      <w:pPr>
        <w:pStyle w:val="a9"/>
        <w:numPr>
          <w:ilvl w:val="0"/>
          <w:numId w:val="42"/>
        </w:numPr>
        <w:spacing w:before="120" w:after="120"/>
        <w:contextualSpacing w:val="0"/>
        <w:jc w:val="both"/>
        <w:rPr>
          <w:rFonts w:ascii="Times New Roman" w:hAnsi="Times New Roman"/>
          <w:sz w:val="24"/>
          <w:szCs w:val="24"/>
        </w:rPr>
      </w:pPr>
      <w:r w:rsidRPr="00E53D20">
        <w:rPr>
          <w:rFonts w:ascii="Times New Roman" w:hAnsi="Times New Roman"/>
          <w:b/>
          <w:sz w:val="24"/>
          <w:szCs w:val="24"/>
        </w:rPr>
        <w:t>Предоставление налоговых льгот</w:t>
      </w:r>
      <w:r w:rsidRPr="00160941">
        <w:rPr>
          <w:rFonts w:ascii="Times New Roman" w:hAnsi="Times New Roman"/>
          <w:sz w:val="24"/>
          <w:szCs w:val="24"/>
        </w:rPr>
        <w:t xml:space="preserve"> по налогу на прибыль, НДПИ</w:t>
      </w:r>
      <w:r>
        <w:rPr>
          <w:rFonts w:ascii="Times New Roman" w:hAnsi="Times New Roman"/>
          <w:sz w:val="24"/>
          <w:szCs w:val="24"/>
        </w:rPr>
        <w:t xml:space="preserve"> и</w:t>
      </w:r>
      <w:r w:rsidRPr="00160941">
        <w:rPr>
          <w:rFonts w:ascii="Times New Roman" w:hAnsi="Times New Roman"/>
          <w:sz w:val="24"/>
          <w:szCs w:val="24"/>
        </w:rPr>
        <w:t xml:space="preserve"> региональным налогам </w:t>
      </w:r>
      <w:r w:rsidRPr="00E53D20">
        <w:rPr>
          <w:rFonts w:ascii="Times New Roman" w:hAnsi="Times New Roman"/>
          <w:b/>
          <w:sz w:val="24"/>
          <w:szCs w:val="24"/>
        </w:rPr>
        <w:t xml:space="preserve">предприятиям, </w:t>
      </w:r>
      <w:r>
        <w:rPr>
          <w:rFonts w:ascii="Times New Roman" w:hAnsi="Times New Roman"/>
          <w:b/>
          <w:sz w:val="24"/>
          <w:szCs w:val="24"/>
        </w:rPr>
        <w:t xml:space="preserve">реализующим </w:t>
      </w:r>
      <w:r w:rsidRPr="00AC1799">
        <w:rPr>
          <w:rFonts w:ascii="Times New Roman" w:hAnsi="Times New Roman"/>
          <w:b/>
          <w:sz w:val="24"/>
          <w:szCs w:val="24"/>
        </w:rPr>
        <w:t>инвестиционные проекты</w:t>
      </w:r>
      <w:r w:rsidRPr="00160941">
        <w:rPr>
          <w:rFonts w:ascii="Times New Roman" w:hAnsi="Times New Roman"/>
          <w:sz w:val="24"/>
          <w:szCs w:val="24"/>
        </w:rPr>
        <w:t xml:space="preserve"> </w:t>
      </w:r>
      <w:r>
        <w:rPr>
          <w:rFonts w:ascii="Times New Roman" w:hAnsi="Times New Roman"/>
          <w:b/>
          <w:sz w:val="24"/>
          <w:szCs w:val="24"/>
        </w:rPr>
        <w:t xml:space="preserve">в </w:t>
      </w:r>
      <w:r w:rsidRPr="00E53D20">
        <w:rPr>
          <w:rFonts w:ascii="Times New Roman" w:hAnsi="Times New Roman"/>
          <w:b/>
          <w:sz w:val="24"/>
          <w:szCs w:val="24"/>
        </w:rPr>
        <w:t>Дальневосточно</w:t>
      </w:r>
      <w:r>
        <w:rPr>
          <w:rFonts w:ascii="Times New Roman" w:hAnsi="Times New Roman"/>
          <w:b/>
          <w:sz w:val="24"/>
          <w:szCs w:val="24"/>
        </w:rPr>
        <w:t xml:space="preserve">м </w:t>
      </w:r>
      <w:r w:rsidRPr="00E53D20">
        <w:rPr>
          <w:rFonts w:ascii="Times New Roman" w:hAnsi="Times New Roman"/>
          <w:b/>
          <w:sz w:val="24"/>
          <w:szCs w:val="24"/>
        </w:rPr>
        <w:t>регионе</w:t>
      </w:r>
      <w:r w:rsidRPr="00160941">
        <w:rPr>
          <w:rFonts w:ascii="Times New Roman" w:hAnsi="Times New Roman"/>
          <w:sz w:val="24"/>
          <w:szCs w:val="24"/>
        </w:rPr>
        <w:t xml:space="preserve"> и создающи</w:t>
      </w:r>
      <w:r w:rsidR="00D605F5">
        <w:rPr>
          <w:rFonts w:ascii="Times New Roman" w:hAnsi="Times New Roman"/>
          <w:sz w:val="24"/>
          <w:szCs w:val="24"/>
        </w:rPr>
        <w:t>м</w:t>
      </w:r>
      <w:r w:rsidRPr="00160941">
        <w:rPr>
          <w:rFonts w:ascii="Times New Roman" w:hAnsi="Times New Roman"/>
          <w:sz w:val="24"/>
          <w:szCs w:val="24"/>
        </w:rPr>
        <w:t xml:space="preserve"> для этого объекты внешней инфраструктуры</w:t>
      </w:r>
      <w:r>
        <w:rPr>
          <w:rFonts w:ascii="Times New Roman" w:hAnsi="Times New Roman"/>
          <w:sz w:val="24"/>
          <w:szCs w:val="24"/>
        </w:rPr>
        <w:t>:</w:t>
      </w:r>
    </w:p>
    <w:p w:rsidR="00E53D20" w:rsidRDefault="00160941" w:rsidP="009F1CCA">
      <w:pPr>
        <w:pStyle w:val="a9"/>
        <w:numPr>
          <w:ilvl w:val="1"/>
          <w:numId w:val="42"/>
        </w:numPr>
        <w:spacing w:before="120" w:after="120"/>
        <w:ind w:left="754" w:hanging="357"/>
        <w:contextualSpacing w:val="0"/>
        <w:jc w:val="both"/>
        <w:rPr>
          <w:rFonts w:ascii="Times New Roman" w:hAnsi="Times New Roman"/>
          <w:sz w:val="24"/>
          <w:szCs w:val="24"/>
        </w:rPr>
      </w:pPr>
      <w:r w:rsidRPr="00160941">
        <w:rPr>
          <w:rFonts w:ascii="Times New Roman" w:hAnsi="Times New Roman"/>
          <w:sz w:val="24"/>
          <w:szCs w:val="24"/>
        </w:rPr>
        <w:t xml:space="preserve">Льготы будут предоставляться </w:t>
      </w:r>
      <w:r w:rsidR="00E53D20" w:rsidRPr="00EC726C">
        <w:rPr>
          <w:rFonts w:ascii="Times New Roman" w:hAnsi="Times New Roman"/>
          <w:i/>
          <w:sz w:val="24"/>
          <w:szCs w:val="24"/>
        </w:rPr>
        <w:t>по решению</w:t>
      </w:r>
      <w:r w:rsidRPr="00EC726C">
        <w:rPr>
          <w:rFonts w:ascii="Times New Roman" w:hAnsi="Times New Roman"/>
          <w:i/>
          <w:sz w:val="24"/>
          <w:szCs w:val="24"/>
        </w:rPr>
        <w:t xml:space="preserve"> субъектов</w:t>
      </w:r>
      <w:r w:rsidRPr="00160941">
        <w:rPr>
          <w:rFonts w:ascii="Times New Roman" w:hAnsi="Times New Roman"/>
          <w:sz w:val="24"/>
          <w:szCs w:val="24"/>
        </w:rPr>
        <w:t>, устанавливающих пониженные ставки по соответствующим налогам в части</w:t>
      </w:r>
      <w:r w:rsidR="00D605F5">
        <w:rPr>
          <w:rFonts w:ascii="Times New Roman" w:hAnsi="Times New Roman"/>
          <w:sz w:val="24"/>
          <w:szCs w:val="24"/>
        </w:rPr>
        <w:t>,</w:t>
      </w:r>
      <w:r w:rsidRPr="00160941">
        <w:rPr>
          <w:rFonts w:ascii="Times New Roman" w:hAnsi="Times New Roman"/>
          <w:sz w:val="24"/>
          <w:szCs w:val="24"/>
        </w:rPr>
        <w:t xml:space="preserve"> поступающей в региональный бюджет.</w:t>
      </w:r>
    </w:p>
    <w:p w:rsidR="00E53D20" w:rsidRDefault="00160941" w:rsidP="009F1CCA">
      <w:pPr>
        <w:pStyle w:val="a9"/>
        <w:numPr>
          <w:ilvl w:val="1"/>
          <w:numId w:val="42"/>
        </w:numPr>
        <w:spacing w:before="120" w:after="120"/>
        <w:ind w:left="754" w:hanging="357"/>
        <w:contextualSpacing w:val="0"/>
        <w:jc w:val="both"/>
        <w:rPr>
          <w:rFonts w:ascii="Times New Roman" w:hAnsi="Times New Roman"/>
          <w:sz w:val="24"/>
          <w:szCs w:val="24"/>
        </w:rPr>
      </w:pPr>
      <w:r w:rsidRPr="00160941">
        <w:rPr>
          <w:rFonts w:ascii="Times New Roman" w:hAnsi="Times New Roman"/>
          <w:sz w:val="24"/>
          <w:szCs w:val="24"/>
        </w:rPr>
        <w:t>Одновременно предполагается, что эти налоги не будут уплачиваться и в федеральный бюджет. Пониженные налоговые ставки будут применяться только после ввода объектов внешней инфраструктуры в эксплуатацию.</w:t>
      </w:r>
    </w:p>
    <w:p w:rsidR="00160941" w:rsidRPr="00160941" w:rsidRDefault="00160941" w:rsidP="009F1CCA">
      <w:pPr>
        <w:pStyle w:val="a9"/>
        <w:numPr>
          <w:ilvl w:val="1"/>
          <w:numId w:val="42"/>
        </w:numPr>
        <w:spacing w:before="120" w:after="120"/>
        <w:ind w:left="754" w:hanging="357"/>
        <w:contextualSpacing w:val="0"/>
        <w:jc w:val="both"/>
        <w:rPr>
          <w:rFonts w:ascii="Times New Roman" w:hAnsi="Times New Roman"/>
          <w:sz w:val="24"/>
          <w:szCs w:val="24"/>
        </w:rPr>
      </w:pPr>
      <w:r w:rsidRPr="00160941">
        <w:rPr>
          <w:rFonts w:ascii="Times New Roman" w:hAnsi="Times New Roman"/>
          <w:sz w:val="24"/>
          <w:szCs w:val="24"/>
        </w:rPr>
        <w:t>При этом предельный период применения льготы будет действовать до момента, когда размер налогов, не уплаченных в связи с применением данных льгот, составит величину, равную объему осуществленных инвестиций в указанные объекты внешней инфраструктуры.</w:t>
      </w:r>
    </w:p>
    <w:p w:rsidR="00EC726C" w:rsidRDefault="00EC726C" w:rsidP="009F1CCA">
      <w:pPr>
        <w:pStyle w:val="a9"/>
        <w:numPr>
          <w:ilvl w:val="0"/>
          <w:numId w:val="42"/>
        </w:numPr>
        <w:spacing w:before="120" w:after="120"/>
        <w:contextualSpacing w:val="0"/>
        <w:jc w:val="both"/>
        <w:rPr>
          <w:rFonts w:ascii="Times New Roman" w:hAnsi="Times New Roman"/>
          <w:sz w:val="24"/>
          <w:szCs w:val="24"/>
        </w:rPr>
      </w:pPr>
      <w:r w:rsidRPr="00EC726C">
        <w:rPr>
          <w:rFonts w:ascii="Times New Roman" w:hAnsi="Times New Roman"/>
          <w:b/>
          <w:sz w:val="24"/>
          <w:szCs w:val="24"/>
        </w:rPr>
        <w:t>Уточнение срока применения налоговых льгот</w:t>
      </w:r>
      <w:r>
        <w:rPr>
          <w:rFonts w:ascii="Times New Roman" w:hAnsi="Times New Roman"/>
          <w:sz w:val="24"/>
          <w:szCs w:val="24"/>
        </w:rPr>
        <w:t xml:space="preserve"> по налогу на прибыль и </w:t>
      </w:r>
      <w:r w:rsidRPr="00160941">
        <w:rPr>
          <w:rFonts w:ascii="Times New Roman" w:hAnsi="Times New Roman"/>
          <w:sz w:val="24"/>
          <w:szCs w:val="24"/>
        </w:rPr>
        <w:t xml:space="preserve">НДПИ </w:t>
      </w:r>
      <w:r w:rsidRPr="00EC726C">
        <w:rPr>
          <w:rFonts w:ascii="Times New Roman" w:hAnsi="Times New Roman"/>
          <w:b/>
          <w:sz w:val="24"/>
          <w:szCs w:val="24"/>
        </w:rPr>
        <w:t xml:space="preserve">для участников </w:t>
      </w:r>
      <w:proofErr w:type="spellStart"/>
      <w:r w:rsidRPr="00EC726C">
        <w:rPr>
          <w:rFonts w:ascii="Times New Roman" w:hAnsi="Times New Roman"/>
          <w:b/>
          <w:sz w:val="24"/>
          <w:szCs w:val="24"/>
        </w:rPr>
        <w:t>РИПов</w:t>
      </w:r>
      <w:proofErr w:type="spellEnd"/>
      <w:r w:rsidRPr="00EC726C">
        <w:rPr>
          <w:rFonts w:ascii="Times New Roman" w:hAnsi="Times New Roman"/>
          <w:b/>
          <w:sz w:val="24"/>
          <w:szCs w:val="24"/>
        </w:rPr>
        <w:t xml:space="preserve"> Дальневосточного региона</w:t>
      </w:r>
      <w:r>
        <w:rPr>
          <w:rFonts w:ascii="Times New Roman" w:hAnsi="Times New Roman"/>
          <w:b/>
          <w:sz w:val="24"/>
          <w:szCs w:val="24"/>
        </w:rPr>
        <w:t xml:space="preserve"> </w:t>
      </w:r>
      <w:r w:rsidRPr="00EC726C">
        <w:rPr>
          <w:rFonts w:ascii="Times New Roman" w:hAnsi="Times New Roman"/>
          <w:sz w:val="24"/>
          <w:szCs w:val="24"/>
        </w:rPr>
        <w:t>в</w:t>
      </w:r>
      <w:r>
        <w:rPr>
          <w:rFonts w:ascii="Times New Roman" w:hAnsi="Times New Roman"/>
          <w:b/>
          <w:sz w:val="24"/>
          <w:szCs w:val="24"/>
        </w:rPr>
        <w:t xml:space="preserve"> </w:t>
      </w:r>
      <w:r w:rsidRPr="00160941">
        <w:rPr>
          <w:rFonts w:ascii="Times New Roman" w:hAnsi="Times New Roman"/>
          <w:sz w:val="24"/>
          <w:szCs w:val="24"/>
        </w:rPr>
        <w:t>зависимости от срока окупаемости инвестиционного проекта</w:t>
      </w:r>
      <w:r>
        <w:rPr>
          <w:rFonts w:ascii="Times New Roman" w:hAnsi="Times New Roman"/>
          <w:sz w:val="24"/>
          <w:szCs w:val="24"/>
        </w:rPr>
        <w:t xml:space="preserve">: 10 лет или </w:t>
      </w:r>
      <w:r w:rsidRPr="00160941">
        <w:rPr>
          <w:rFonts w:ascii="Times New Roman" w:hAnsi="Times New Roman"/>
          <w:sz w:val="24"/>
          <w:szCs w:val="24"/>
        </w:rPr>
        <w:t>пока сумма капитальных вложений в созданный инвестиционный проект не станет равна сумме налогов, неуплаченных в связ</w:t>
      </w:r>
      <w:r>
        <w:rPr>
          <w:rFonts w:ascii="Times New Roman" w:hAnsi="Times New Roman"/>
          <w:sz w:val="24"/>
          <w:szCs w:val="24"/>
        </w:rPr>
        <w:t>и с применением льгот.</w:t>
      </w:r>
    </w:p>
    <w:p w:rsidR="00FB630E" w:rsidRPr="003A6DF9" w:rsidRDefault="00CF7142" w:rsidP="003A6DF9">
      <w:pPr>
        <w:pStyle w:val="a9"/>
        <w:numPr>
          <w:ilvl w:val="0"/>
          <w:numId w:val="42"/>
        </w:numPr>
        <w:spacing w:before="120" w:after="120"/>
        <w:contextualSpacing w:val="0"/>
        <w:jc w:val="both"/>
        <w:rPr>
          <w:rFonts w:ascii="Times New Roman" w:hAnsi="Times New Roman"/>
          <w:sz w:val="24"/>
          <w:szCs w:val="24"/>
        </w:rPr>
      </w:pPr>
      <w:r>
        <w:rPr>
          <w:rFonts w:ascii="Times New Roman" w:hAnsi="Times New Roman"/>
          <w:sz w:val="24"/>
          <w:szCs w:val="24"/>
        </w:rPr>
        <w:t>П</w:t>
      </w:r>
      <w:r w:rsidRPr="00E53D20">
        <w:rPr>
          <w:rFonts w:ascii="Times New Roman" w:hAnsi="Times New Roman"/>
          <w:sz w:val="24"/>
          <w:szCs w:val="24"/>
        </w:rPr>
        <w:t>редостав</w:t>
      </w:r>
      <w:r>
        <w:rPr>
          <w:rFonts w:ascii="Times New Roman" w:hAnsi="Times New Roman"/>
          <w:sz w:val="24"/>
          <w:szCs w:val="24"/>
        </w:rPr>
        <w:t>ление</w:t>
      </w:r>
      <w:r w:rsidRPr="00E53D20">
        <w:rPr>
          <w:rFonts w:ascii="Times New Roman" w:hAnsi="Times New Roman"/>
          <w:sz w:val="24"/>
          <w:szCs w:val="24"/>
        </w:rPr>
        <w:t xml:space="preserve"> налогоплательщикам, применяющим патентную систему налогообложения, возможност</w:t>
      </w:r>
      <w:r>
        <w:rPr>
          <w:rFonts w:ascii="Times New Roman" w:hAnsi="Times New Roman"/>
          <w:sz w:val="24"/>
          <w:szCs w:val="24"/>
        </w:rPr>
        <w:t>и</w:t>
      </w:r>
      <w:r w:rsidRPr="00E53D20">
        <w:rPr>
          <w:rFonts w:ascii="Times New Roman" w:hAnsi="Times New Roman"/>
          <w:sz w:val="24"/>
          <w:szCs w:val="24"/>
        </w:rPr>
        <w:t xml:space="preserve"> уменьш</w:t>
      </w:r>
      <w:r>
        <w:rPr>
          <w:rFonts w:ascii="Times New Roman" w:hAnsi="Times New Roman"/>
          <w:sz w:val="24"/>
          <w:szCs w:val="24"/>
        </w:rPr>
        <w:t xml:space="preserve">ить </w:t>
      </w:r>
      <w:r w:rsidRPr="00E53D20">
        <w:rPr>
          <w:rFonts w:ascii="Times New Roman" w:hAnsi="Times New Roman"/>
          <w:sz w:val="24"/>
          <w:szCs w:val="24"/>
        </w:rPr>
        <w:t>стоимость патента на сумму страховых взносов по аналогии с плательщиками, применяющими единый налог на вмененный доход и упро</w:t>
      </w:r>
      <w:r>
        <w:rPr>
          <w:rFonts w:ascii="Times New Roman" w:hAnsi="Times New Roman"/>
          <w:sz w:val="24"/>
          <w:szCs w:val="24"/>
        </w:rPr>
        <w:t>щенную систему налогообложения.</w:t>
      </w:r>
    </w:p>
    <w:p w:rsidR="00EC726C" w:rsidRPr="0010740A" w:rsidRDefault="00EC726C" w:rsidP="00B80FF2">
      <w:pPr>
        <w:spacing w:before="120" w:after="120"/>
        <w:jc w:val="both"/>
        <w:rPr>
          <w:rFonts w:ascii="Times New Roman" w:hAnsi="Times New Roman"/>
          <w:b/>
          <w:sz w:val="28"/>
          <w:szCs w:val="24"/>
        </w:rPr>
      </w:pPr>
      <w:r w:rsidRPr="0010740A">
        <w:rPr>
          <w:rFonts w:ascii="Times New Roman" w:hAnsi="Times New Roman"/>
          <w:b/>
          <w:sz w:val="28"/>
          <w:szCs w:val="24"/>
        </w:rPr>
        <w:t>Повышение эффективности нефтегазового сектора</w:t>
      </w:r>
    </w:p>
    <w:p w:rsidR="00EC726C" w:rsidRDefault="00EC726C" w:rsidP="00B80FF2">
      <w:pPr>
        <w:spacing w:before="120" w:after="120"/>
        <w:jc w:val="both"/>
        <w:rPr>
          <w:rFonts w:ascii="Times New Roman" w:hAnsi="Times New Roman"/>
          <w:sz w:val="24"/>
          <w:szCs w:val="24"/>
        </w:rPr>
      </w:pPr>
      <w:r w:rsidRPr="00EC726C">
        <w:rPr>
          <w:rFonts w:ascii="Times New Roman" w:hAnsi="Times New Roman"/>
          <w:sz w:val="24"/>
          <w:szCs w:val="24"/>
        </w:rPr>
        <w:t xml:space="preserve">Действующий в настоящее время механизм взимания налогов с оборота в </w:t>
      </w:r>
      <w:r>
        <w:rPr>
          <w:rFonts w:ascii="Times New Roman" w:hAnsi="Times New Roman"/>
          <w:sz w:val="24"/>
          <w:szCs w:val="24"/>
        </w:rPr>
        <w:t xml:space="preserve">нефтяной </w:t>
      </w:r>
      <w:r w:rsidRPr="00EC726C">
        <w:rPr>
          <w:rFonts w:ascii="Times New Roman" w:hAnsi="Times New Roman"/>
          <w:sz w:val="24"/>
          <w:szCs w:val="24"/>
        </w:rPr>
        <w:t>отрасли привел к созданию системы многочисленных налоговых и таможенных льгот, дальнейшее разрастание котор</w:t>
      </w:r>
      <w:r>
        <w:rPr>
          <w:rFonts w:ascii="Times New Roman" w:hAnsi="Times New Roman"/>
          <w:sz w:val="24"/>
          <w:szCs w:val="24"/>
        </w:rPr>
        <w:t>ых</w:t>
      </w:r>
      <w:r w:rsidRPr="00EC726C">
        <w:rPr>
          <w:rFonts w:ascii="Times New Roman" w:hAnsi="Times New Roman"/>
          <w:sz w:val="24"/>
          <w:szCs w:val="24"/>
        </w:rPr>
        <w:t xml:space="preserve"> ставит под угрозу эффективность системы налогообложения. С другой стороны, есть объективная тенденция увеличения истощенности разрабатываемых запасов нефти.</w:t>
      </w:r>
    </w:p>
    <w:p w:rsidR="000E6251" w:rsidRPr="000E6251" w:rsidRDefault="000E6251" w:rsidP="00B80FF2">
      <w:pPr>
        <w:spacing w:before="120" w:after="120"/>
        <w:jc w:val="both"/>
        <w:rPr>
          <w:rFonts w:ascii="Times New Roman" w:hAnsi="Times New Roman"/>
          <w:sz w:val="24"/>
          <w:szCs w:val="24"/>
        </w:rPr>
      </w:pPr>
      <w:r w:rsidRPr="000E6251">
        <w:rPr>
          <w:rFonts w:ascii="Times New Roman" w:hAnsi="Times New Roman"/>
          <w:b/>
          <w:sz w:val="24"/>
          <w:szCs w:val="24"/>
          <w:u w:val="single"/>
        </w:rPr>
        <w:t>Пилотные проекты НДД</w:t>
      </w:r>
      <w:r>
        <w:rPr>
          <w:rFonts w:ascii="Times New Roman" w:hAnsi="Times New Roman"/>
          <w:b/>
          <w:sz w:val="24"/>
          <w:szCs w:val="24"/>
        </w:rPr>
        <w:t>.</w:t>
      </w:r>
      <w:r w:rsidRPr="000E6251">
        <w:rPr>
          <w:rFonts w:ascii="Times New Roman" w:hAnsi="Times New Roman"/>
          <w:sz w:val="24"/>
          <w:szCs w:val="24"/>
        </w:rPr>
        <w:t xml:space="preserve"> В целях стимулирования разработки новых месторождений и рационального недропользования предусматривается введение</w:t>
      </w:r>
      <w:r>
        <w:rPr>
          <w:rFonts w:ascii="Times New Roman" w:hAnsi="Times New Roman"/>
          <w:sz w:val="24"/>
          <w:szCs w:val="24"/>
        </w:rPr>
        <w:t xml:space="preserve"> новой системы налогообложения </w:t>
      </w:r>
      <w:r w:rsidR="00CF7142">
        <w:rPr>
          <w:rFonts w:ascii="Times New Roman" w:hAnsi="Times New Roman"/>
          <w:sz w:val="24"/>
          <w:szCs w:val="24"/>
        </w:rPr>
        <w:t>(</w:t>
      </w:r>
      <w:r w:rsidRPr="000E6251">
        <w:rPr>
          <w:rFonts w:ascii="Times New Roman" w:hAnsi="Times New Roman"/>
          <w:sz w:val="24"/>
          <w:szCs w:val="24"/>
        </w:rPr>
        <w:t xml:space="preserve">НДД) для пилотных объектов, включающих как новые, так и зрелые месторождения. </w:t>
      </w:r>
      <w:proofErr w:type="gramStart"/>
      <w:r w:rsidRPr="000E6251">
        <w:rPr>
          <w:rFonts w:ascii="Times New Roman" w:hAnsi="Times New Roman"/>
          <w:sz w:val="24"/>
          <w:szCs w:val="24"/>
        </w:rPr>
        <w:t>Новая система предполагает снижение суммарной величины налогов, зависящи</w:t>
      </w:r>
      <w:r>
        <w:rPr>
          <w:rFonts w:ascii="Times New Roman" w:hAnsi="Times New Roman"/>
          <w:sz w:val="24"/>
          <w:szCs w:val="24"/>
        </w:rPr>
        <w:t xml:space="preserve">х от валовых показателей (НДПИ </w:t>
      </w:r>
      <w:r w:rsidRPr="000E6251">
        <w:rPr>
          <w:rFonts w:ascii="Times New Roman" w:hAnsi="Times New Roman"/>
          <w:sz w:val="24"/>
          <w:szCs w:val="24"/>
        </w:rPr>
        <w:t xml:space="preserve">и </w:t>
      </w:r>
      <w:r>
        <w:rPr>
          <w:rFonts w:ascii="Times New Roman" w:hAnsi="Times New Roman"/>
          <w:sz w:val="24"/>
          <w:szCs w:val="24"/>
        </w:rPr>
        <w:t xml:space="preserve">экспортная </w:t>
      </w:r>
      <w:r w:rsidRPr="000E6251">
        <w:rPr>
          <w:rFonts w:ascii="Times New Roman" w:hAnsi="Times New Roman"/>
          <w:sz w:val="24"/>
          <w:szCs w:val="24"/>
        </w:rPr>
        <w:t>пошлин</w:t>
      </w:r>
      <w:r>
        <w:rPr>
          <w:rFonts w:ascii="Times New Roman" w:hAnsi="Times New Roman"/>
          <w:sz w:val="24"/>
          <w:szCs w:val="24"/>
        </w:rPr>
        <w:t xml:space="preserve">а </w:t>
      </w:r>
      <w:r w:rsidRPr="000E6251">
        <w:rPr>
          <w:rFonts w:ascii="Times New Roman" w:hAnsi="Times New Roman"/>
          <w:sz w:val="24"/>
          <w:szCs w:val="24"/>
        </w:rPr>
        <w:t>на нефть), и введение налогообложения дополнительного дохода от добычи нефти, величина которого определяется за весь срок инвестиционного проекта при разработке конкретного участка недр, а уровень налоговых изъятий зависит от величины расчетного денежного потока от деятельности по разработке участка недр с учетом фактических цен на нефть</w:t>
      </w:r>
      <w:proofErr w:type="gramEnd"/>
      <w:r w:rsidRPr="000E6251">
        <w:rPr>
          <w:rFonts w:ascii="Times New Roman" w:hAnsi="Times New Roman"/>
          <w:sz w:val="24"/>
          <w:szCs w:val="24"/>
        </w:rPr>
        <w:t xml:space="preserve"> и затрат на её добычу.</w:t>
      </w:r>
    </w:p>
    <w:p w:rsidR="000E6251" w:rsidRPr="000E6251" w:rsidRDefault="000E6251" w:rsidP="00B80FF2">
      <w:pPr>
        <w:spacing w:before="120" w:after="120"/>
        <w:jc w:val="both"/>
        <w:rPr>
          <w:rFonts w:ascii="Times New Roman" w:hAnsi="Times New Roman"/>
          <w:sz w:val="24"/>
          <w:szCs w:val="24"/>
        </w:rPr>
      </w:pPr>
      <w:r w:rsidRPr="000E6251">
        <w:rPr>
          <w:rFonts w:ascii="Times New Roman" w:hAnsi="Times New Roman"/>
          <w:sz w:val="24"/>
          <w:szCs w:val="24"/>
        </w:rPr>
        <w:t>Налоговую базу НДД предлагается определять, как расчетные доходы от добычи углеводородного сырья за вычетом эксплуатационных и капитальных расходов по разработке участков недр. Налоговую ставку предполагается установить в размере 50%. НДД будет уменьшать базу налога на прибыль организаций, в остальном действующий порядок исчисления налога на прибыль организаций сохранится.</w:t>
      </w:r>
    </w:p>
    <w:p w:rsidR="000E6251" w:rsidRDefault="000E6251" w:rsidP="00B80FF2">
      <w:pPr>
        <w:spacing w:before="120" w:after="120"/>
        <w:jc w:val="both"/>
        <w:rPr>
          <w:rFonts w:ascii="Times New Roman" w:hAnsi="Times New Roman"/>
          <w:sz w:val="24"/>
          <w:szCs w:val="24"/>
        </w:rPr>
      </w:pPr>
      <w:r w:rsidRPr="000E6251">
        <w:rPr>
          <w:rFonts w:ascii="Times New Roman" w:hAnsi="Times New Roman"/>
          <w:sz w:val="24"/>
          <w:szCs w:val="24"/>
        </w:rPr>
        <w:t>Данные изменения позволят перераспределить фискальную нагрузку и перенести основную ее часть на более поздние этапы разработки месторождений, то есть после их выхода на проектную мощность.</w:t>
      </w:r>
      <w:r>
        <w:rPr>
          <w:rFonts w:ascii="Times New Roman" w:hAnsi="Times New Roman"/>
          <w:sz w:val="24"/>
          <w:szCs w:val="24"/>
        </w:rPr>
        <w:t xml:space="preserve"> </w:t>
      </w:r>
      <w:r w:rsidRPr="000E6251">
        <w:rPr>
          <w:rFonts w:ascii="Times New Roman" w:hAnsi="Times New Roman"/>
          <w:sz w:val="24"/>
          <w:szCs w:val="24"/>
        </w:rPr>
        <w:t>В зависимости от результатов по внедрению НДД на пилотных проектах будет приниматься решение о корректировке и расширении периметра его применения.</w:t>
      </w:r>
    </w:p>
    <w:p w:rsidR="007E5DFE" w:rsidRPr="007E5DFE" w:rsidRDefault="007E78A5" w:rsidP="007E5DFE">
      <w:pPr>
        <w:spacing w:before="120" w:after="120"/>
        <w:jc w:val="both"/>
        <w:rPr>
          <w:rFonts w:ascii="Times New Roman" w:hAnsi="Times New Roman"/>
          <w:sz w:val="24"/>
          <w:szCs w:val="24"/>
        </w:rPr>
      </w:pPr>
      <w:r w:rsidRPr="007E78A5">
        <w:rPr>
          <w:rFonts w:ascii="Times New Roman" w:hAnsi="Times New Roman"/>
          <w:sz w:val="24"/>
          <w:szCs w:val="24"/>
        </w:rPr>
        <w:t xml:space="preserve">В </w:t>
      </w:r>
      <w:r>
        <w:rPr>
          <w:rFonts w:ascii="Times New Roman" w:hAnsi="Times New Roman"/>
          <w:sz w:val="24"/>
          <w:szCs w:val="24"/>
        </w:rPr>
        <w:t>средн</w:t>
      </w:r>
      <w:proofErr w:type="gramStart"/>
      <w:r>
        <w:rPr>
          <w:rFonts w:ascii="Times New Roman" w:hAnsi="Times New Roman"/>
          <w:sz w:val="24"/>
          <w:szCs w:val="24"/>
        </w:rPr>
        <w:t>е-</w:t>
      </w:r>
      <w:proofErr w:type="gramEnd"/>
      <w:r>
        <w:rPr>
          <w:rFonts w:ascii="Times New Roman" w:hAnsi="Times New Roman"/>
          <w:sz w:val="24"/>
          <w:szCs w:val="24"/>
        </w:rPr>
        <w:t xml:space="preserve"> долгосрочной перспективе предлагается рассмотреть целесообразность </w:t>
      </w:r>
      <w:r w:rsidR="000E6251" w:rsidRPr="000E6251">
        <w:rPr>
          <w:rFonts w:ascii="Times New Roman" w:hAnsi="Times New Roman"/>
          <w:b/>
          <w:sz w:val="24"/>
          <w:szCs w:val="24"/>
          <w:u w:val="single"/>
        </w:rPr>
        <w:t>завершени</w:t>
      </w:r>
      <w:r>
        <w:rPr>
          <w:rFonts w:ascii="Times New Roman" w:hAnsi="Times New Roman"/>
          <w:b/>
          <w:sz w:val="24"/>
          <w:szCs w:val="24"/>
          <w:u w:val="single"/>
        </w:rPr>
        <w:t>я</w:t>
      </w:r>
      <w:r w:rsidR="000E6251" w:rsidRPr="000E6251">
        <w:rPr>
          <w:rFonts w:ascii="Times New Roman" w:hAnsi="Times New Roman"/>
          <w:b/>
          <w:sz w:val="24"/>
          <w:szCs w:val="24"/>
          <w:u w:val="single"/>
        </w:rPr>
        <w:t xml:space="preserve"> налогового маневра</w:t>
      </w:r>
      <w:r w:rsidR="000E6251" w:rsidRPr="000E6251">
        <w:rPr>
          <w:rFonts w:ascii="Times New Roman" w:hAnsi="Times New Roman"/>
          <w:sz w:val="24"/>
          <w:szCs w:val="24"/>
        </w:rPr>
        <w:t>,</w:t>
      </w:r>
      <w:r w:rsidR="00EC726C" w:rsidRPr="00381A61">
        <w:rPr>
          <w:rFonts w:ascii="Times New Roman" w:hAnsi="Times New Roman"/>
          <w:sz w:val="24"/>
          <w:szCs w:val="24"/>
        </w:rPr>
        <w:t xml:space="preserve"> </w:t>
      </w:r>
      <w:r w:rsidR="000E6251">
        <w:rPr>
          <w:rFonts w:ascii="Times New Roman" w:hAnsi="Times New Roman"/>
          <w:sz w:val="24"/>
          <w:szCs w:val="24"/>
        </w:rPr>
        <w:t xml:space="preserve">предусматривающего </w:t>
      </w:r>
      <w:r>
        <w:rPr>
          <w:rFonts w:ascii="Times New Roman" w:hAnsi="Times New Roman"/>
          <w:sz w:val="24"/>
          <w:szCs w:val="24"/>
        </w:rPr>
        <w:t xml:space="preserve">поэтапное </w:t>
      </w:r>
      <w:r w:rsidR="000E6251">
        <w:rPr>
          <w:rFonts w:ascii="Times New Roman" w:hAnsi="Times New Roman"/>
          <w:sz w:val="24"/>
          <w:szCs w:val="24"/>
        </w:rPr>
        <w:t xml:space="preserve">снижение ставки экспортной пошлины </w:t>
      </w:r>
      <w:r>
        <w:rPr>
          <w:rFonts w:ascii="Times New Roman" w:hAnsi="Times New Roman"/>
          <w:sz w:val="24"/>
          <w:szCs w:val="24"/>
        </w:rPr>
        <w:t xml:space="preserve">вплоть до ее </w:t>
      </w:r>
      <w:r w:rsidR="00EC726C" w:rsidRPr="00381A61">
        <w:rPr>
          <w:rFonts w:ascii="Times New Roman" w:hAnsi="Times New Roman"/>
          <w:sz w:val="24"/>
          <w:szCs w:val="24"/>
        </w:rPr>
        <w:t>отмен</w:t>
      </w:r>
      <w:r>
        <w:rPr>
          <w:rFonts w:ascii="Times New Roman" w:hAnsi="Times New Roman"/>
          <w:sz w:val="24"/>
          <w:szCs w:val="24"/>
        </w:rPr>
        <w:t>ы</w:t>
      </w:r>
      <w:r w:rsidR="00EC726C" w:rsidRPr="00381A61">
        <w:rPr>
          <w:rFonts w:ascii="Times New Roman" w:hAnsi="Times New Roman"/>
          <w:sz w:val="24"/>
          <w:szCs w:val="24"/>
        </w:rPr>
        <w:t xml:space="preserve"> с одновременным увеличением ставок НДПИ на нефть и корректировкой системы акцизов на нефтепродукты. </w:t>
      </w:r>
      <w:r w:rsidR="007E5DFE" w:rsidRPr="007E5DFE">
        <w:rPr>
          <w:rFonts w:ascii="Times New Roman" w:hAnsi="Times New Roman"/>
          <w:sz w:val="24"/>
          <w:szCs w:val="24"/>
        </w:rPr>
        <w:t xml:space="preserve">Основной целью такого маневра является отказ от выполнения таможенными пошлинами несвойственных им функций по изъятию сырьевой ренты и </w:t>
      </w:r>
      <w:r w:rsidR="007E5DFE" w:rsidRPr="007E5DFE">
        <w:rPr>
          <w:rFonts w:ascii="Times New Roman" w:hAnsi="Times New Roman"/>
          <w:i/>
          <w:sz w:val="24"/>
          <w:szCs w:val="24"/>
        </w:rPr>
        <w:t>субсидированию неэффективной нефтеперерабатывающей промышленности</w:t>
      </w:r>
      <w:r w:rsidR="007E5DFE" w:rsidRPr="007E5DFE">
        <w:rPr>
          <w:rFonts w:ascii="Times New Roman" w:hAnsi="Times New Roman"/>
          <w:sz w:val="24"/>
          <w:szCs w:val="24"/>
        </w:rPr>
        <w:t>.</w:t>
      </w:r>
    </w:p>
    <w:p w:rsidR="00EC726C" w:rsidRPr="00381A61" w:rsidRDefault="00EC726C" w:rsidP="00B80FF2">
      <w:pPr>
        <w:spacing w:before="120" w:after="120"/>
        <w:jc w:val="both"/>
        <w:rPr>
          <w:rFonts w:ascii="Times New Roman" w:hAnsi="Times New Roman"/>
          <w:sz w:val="24"/>
          <w:szCs w:val="24"/>
        </w:rPr>
      </w:pPr>
      <w:r w:rsidRPr="00381A61">
        <w:rPr>
          <w:rFonts w:ascii="Times New Roman" w:hAnsi="Times New Roman"/>
          <w:sz w:val="24"/>
          <w:szCs w:val="24"/>
        </w:rPr>
        <w:t xml:space="preserve">Изъятие нефтяной ренты будет осуществляться посредством увеличения НДПИ на нефть и на газовый конденсат соразмерно отменяемой таможенной пошлине. Вместо таможенной субсидии, предоставляемой предприятиям </w:t>
      </w:r>
      <w:r w:rsidR="007E78A5" w:rsidRPr="00381A61">
        <w:rPr>
          <w:rFonts w:ascii="Times New Roman" w:hAnsi="Times New Roman"/>
          <w:sz w:val="24"/>
          <w:szCs w:val="24"/>
        </w:rPr>
        <w:t>нефтеперерабатывающей</w:t>
      </w:r>
      <w:r w:rsidRPr="00381A61">
        <w:rPr>
          <w:rFonts w:ascii="Times New Roman" w:hAnsi="Times New Roman"/>
          <w:sz w:val="24"/>
          <w:szCs w:val="24"/>
        </w:rPr>
        <w:t xml:space="preserve"> промышленности,</w:t>
      </w:r>
      <w:r w:rsidRPr="00381A61" w:rsidDel="005C5F9E">
        <w:rPr>
          <w:rFonts w:ascii="Times New Roman" w:hAnsi="Times New Roman"/>
          <w:sz w:val="24"/>
          <w:szCs w:val="24"/>
        </w:rPr>
        <w:t xml:space="preserve"> </w:t>
      </w:r>
      <w:r w:rsidRPr="00381A61">
        <w:rPr>
          <w:rFonts w:ascii="Times New Roman" w:hAnsi="Times New Roman"/>
          <w:sz w:val="24"/>
          <w:szCs w:val="24"/>
        </w:rPr>
        <w:t xml:space="preserve">предполагается введение компенсационного механизма «отрицательных» акцизов на нефть. Механизм компенсаций будет обеспечивать надежность поставок качественных товарных нефтепродуктов на внутренний рынок и дальнейшее повышение эффективности переработки нефти. </w:t>
      </w:r>
    </w:p>
    <w:p w:rsidR="00CF7142" w:rsidRDefault="00CF7142" w:rsidP="00CF7142">
      <w:pPr>
        <w:spacing w:before="120" w:after="120"/>
        <w:jc w:val="both"/>
        <w:rPr>
          <w:rFonts w:ascii="Times New Roman" w:hAnsi="Times New Roman"/>
          <w:sz w:val="24"/>
          <w:szCs w:val="24"/>
        </w:rPr>
      </w:pPr>
      <w:r w:rsidRPr="00381A61">
        <w:rPr>
          <w:rFonts w:ascii="Times New Roman" w:hAnsi="Times New Roman"/>
          <w:sz w:val="24"/>
          <w:szCs w:val="24"/>
        </w:rPr>
        <w:t>При этом источниками дополнительных доходов федерального бюджета</w:t>
      </w:r>
      <w:r>
        <w:rPr>
          <w:rFonts w:ascii="Times New Roman" w:hAnsi="Times New Roman"/>
          <w:sz w:val="24"/>
          <w:szCs w:val="24"/>
        </w:rPr>
        <w:t xml:space="preserve"> могут</w:t>
      </w:r>
      <w:r w:rsidRPr="00381A61">
        <w:rPr>
          <w:rFonts w:ascii="Times New Roman" w:hAnsi="Times New Roman"/>
          <w:sz w:val="24"/>
          <w:szCs w:val="24"/>
        </w:rPr>
        <w:t xml:space="preserve"> стат</w:t>
      </w:r>
      <w:r>
        <w:rPr>
          <w:rFonts w:ascii="Times New Roman" w:hAnsi="Times New Roman"/>
          <w:sz w:val="24"/>
          <w:szCs w:val="24"/>
        </w:rPr>
        <w:t>ь</w:t>
      </w:r>
      <w:r w:rsidRPr="00381A61">
        <w:rPr>
          <w:rFonts w:ascii="Times New Roman" w:hAnsi="Times New Roman"/>
          <w:sz w:val="24"/>
          <w:szCs w:val="24"/>
        </w:rPr>
        <w:t xml:space="preserve"> увеличение поступлени</w:t>
      </w:r>
      <w:r>
        <w:rPr>
          <w:rFonts w:ascii="Times New Roman" w:hAnsi="Times New Roman"/>
          <w:sz w:val="24"/>
          <w:szCs w:val="24"/>
        </w:rPr>
        <w:t>й</w:t>
      </w:r>
      <w:r w:rsidRPr="00381A61">
        <w:rPr>
          <w:rFonts w:ascii="Times New Roman" w:hAnsi="Times New Roman"/>
          <w:sz w:val="24"/>
          <w:szCs w:val="24"/>
        </w:rPr>
        <w:t xml:space="preserve"> от НДПИ на нефть, а также отказ от предоставления нефтяной таможенной субсидии в рамках ЕАЭС</w:t>
      </w:r>
      <w:r w:rsidR="00056A93">
        <w:rPr>
          <w:rFonts w:ascii="Times New Roman" w:hAnsi="Times New Roman"/>
          <w:sz w:val="24"/>
          <w:szCs w:val="24"/>
        </w:rPr>
        <w:t>.</w:t>
      </w:r>
    </w:p>
    <w:p w:rsidR="00B566C0" w:rsidRPr="004328D4" w:rsidRDefault="00A92133" w:rsidP="00B566C0">
      <w:pPr>
        <w:spacing w:before="120" w:after="120"/>
        <w:jc w:val="both"/>
        <w:rPr>
          <w:rFonts w:ascii="Times New Roman" w:hAnsi="Times New Roman"/>
          <w:sz w:val="24"/>
          <w:szCs w:val="24"/>
        </w:rPr>
      </w:pPr>
      <w:r>
        <w:rPr>
          <w:rFonts w:ascii="Times New Roman" w:hAnsi="Times New Roman"/>
          <w:sz w:val="24"/>
          <w:szCs w:val="24"/>
        </w:rPr>
        <w:t>Кроме того, в</w:t>
      </w:r>
      <w:r w:rsidR="00B566C0" w:rsidRPr="004328D4">
        <w:rPr>
          <w:rFonts w:ascii="Times New Roman" w:hAnsi="Times New Roman"/>
          <w:sz w:val="24"/>
          <w:szCs w:val="24"/>
        </w:rPr>
        <w:t xml:space="preserve"> целях </w:t>
      </w:r>
      <w:r w:rsidR="00B566C0" w:rsidRPr="00A63553">
        <w:rPr>
          <w:rFonts w:ascii="Times New Roman" w:hAnsi="Times New Roman"/>
          <w:b/>
          <w:sz w:val="24"/>
          <w:szCs w:val="24"/>
          <w:u w:val="single"/>
        </w:rPr>
        <w:t>обеспечения сбалансированности</w:t>
      </w:r>
      <w:r w:rsidR="00B566C0" w:rsidRPr="004328D4">
        <w:rPr>
          <w:rFonts w:ascii="Times New Roman" w:hAnsi="Times New Roman"/>
          <w:sz w:val="24"/>
          <w:szCs w:val="24"/>
        </w:rPr>
        <w:t xml:space="preserve"> бюджетов бюджетной системы Российской Федерации предполагается:</w:t>
      </w:r>
    </w:p>
    <w:p w:rsidR="00B566C0" w:rsidRPr="00C96102" w:rsidRDefault="00B566C0" w:rsidP="00C96102">
      <w:pPr>
        <w:pStyle w:val="a9"/>
        <w:numPr>
          <w:ilvl w:val="0"/>
          <w:numId w:val="62"/>
        </w:numPr>
        <w:spacing w:before="120" w:after="120"/>
        <w:jc w:val="both"/>
        <w:rPr>
          <w:rFonts w:ascii="Times New Roman" w:hAnsi="Times New Roman"/>
          <w:sz w:val="24"/>
          <w:szCs w:val="24"/>
        </w:rPr>
      </w:pPr>
      <w:r w:rsidRPr="00C96102">
        <w:rPr>
          <w:rFonts w:ascii="Times New Roman" w:hAnsi="Times New Roman"/>
          <w:sz w:val="24"/>
          <w:szCs w:val="24"/>
        </w:rPr>
        <w:t>продлить действие увеличенной ставки НДПИ при добыче нефти (плюс 428 рублей за тонну), установленной на 2019 год, на период до 31 декабря 2020 года.</w:t>
      </w:r>
    </w:p>
    <w:p w:rsidR="00B566C0" w:rsidRDefault="00B566C0" w:rsidP="00C96102">
      <w:pPr>
        <w:pStyle w:val="a9"/>
        <w:numPr>
          <w:ilvl w:val="0"/>
          <w:numId w:val="62"/>
        </w:numPr>
        <w:spacing w:before="120" w:after="120"/>
        <w:jc w:val="both"/>
        <w:rPr>
          <w:rFonts w:ascii="Times New Roman" w:hAnsi="Times New Roman"/>
          <w:sz w:val="24"/>
          <w:szCs w:val="24"/>
        </w:rPr>
      </w:pPr>
      <w:proofErr w:type="gramStart"/>
      <w:r w:rsidRPr="00C96102">
        <w:rPr>
          <w:rFonts w:ascii="Times New Roman" w:hAnsi="Times New Roman"/>
          <w:sz w:val="24"/>
          <w:szCs w:val="24"/>
        </w:rPr>
        <w:t>внести изменения в порядок определения показателей, используемых при расчете НДПИ при добыче газа горючего природного организациями, являющимися собственниками объектов Единой системы газоснабжения и аффилированными с ними компаниями в 2020 году, установив значение коэффициента, характеризующего экспортную доходность единицы условного топлива в 2020 году на уро</w:t>
      </w:r>
      <w:r w:rsidR="006B0F04">
        <w:rPr>
          <w:rFonts w:ascii="Times New Roman" w:hAnsi="Times New Roman"/>
          <w:sz w:val="24"/>
          <w:szCs w:val="24"/>
        </w:rPr>
        <w:t>вне значения 2019 года (1,4441).</w:t>
      </w:r>
      <w:proofErr w:type="gramEnd"/>
    </w:p>
    <w:p w:rsidR="00717ED5" w:rsidRPr="00A702B0" w:rsidRDefault="00D40BD3" w:rsidP="00717ED5">
      <w:pPr>
        <w:spacing w:before="240" w:after="120"/>
        <w:jc w:val="both"/>
        <w:rPr>
          <w:rFonts w:ascii="Times New Roman" w:hAnsi="Times New Roman"/>
          <w:b/>
          <w:sz w:val="24"/>
          <w:szCs w:val="24"/>
        </w:rPr>
      </w:pPr>
      <w:r>
        <w:rPr>
          <w:rFonts w:ascii="Times New Roman" w:hAnsi="Times New Roman"/>
          <w:b/>
          <w:sz w:val="24"/>
          <w:szCs w:val="24"/>
        </w:rPr>
        <w:t xml:space="preserve">РАСШИРЕНИЕ </w:t>
      </w:r>
      <w:r w:rsidR="00717ED5">
        <w:rPr>
          <w:rFonts w:ascii="Times New Roman" w:hAnsi="Times New Roman"/>
          <w:b/>
          <w:sz w:val="24"/>
          <w:szCs w:val="24"/>
        </w:rPr>
        <w:t>ПРИМЕНЕНИЯ ПРОЕКТНЫХ ПРИНЦИПОВ</w:t>
      </w:r>
      <w:r w:rsidR="002B47A0">
        <w:rPr>
          <w:rFonts w:ascii="Times New Roman" w:hAnsi="Times New Roman"/>
          <w:b/>
          <w:sz w:val="24"/>
          <w:szCs w:val="24"/>
        </w:rPr>
        <w:t xml:space="preserve"> В ГОСУПРАВЛЕНИИ</w:t>
      </w:r>
    </w:p>
    <w:p w:rsidR="00717ED5" w:rsidRDefault="00717ED5" w:rsidP="00717ED5">
      <w:pPr>
        <w:jc w:val="both"/>
        <w:rPr>
          <w:rFonts w:ascii="Times New Roman" w:hAnsi="Times New Roman"/>
          <w:color w:val="000000"/>
          <w:sz w:val="24"/>
        </w:rPr>
      </w:pPr>
      <w:r w:rsidRPr="00840B77">
        <w:rPr>
          <w:rFonts w:ascii="Times New Roman" w:hAnsi="Times New Roman"/>
          <w:color w:val="000000"/>
          <w:sz w:val="24"/>
        </w:rPr>
        <w:t xml:space="preserve">В предстоящем периоде продолжится работа по </w:t>
      </w:r>
      <w:r w:rsidRPr="00B527B4">
        <w:rPr>
          <w:rFonts w:ascii="Times New Roman" w:hAnsi="Times New Roman"/>
          <w:b/>
          <w:color w:val="000000"/>
          <w:sz w:val="24"/>
        </w:rPr>
        <w:t xml:space="preserve">повышению качества и эффективности реализации государственных программ </w:t>
      </w:r>
      <w:r w:rsidRPr="00840B77">
        <w:rPr>
          <w:rFonts w:ascii="Times New Roman" w:hAnsi="Times New Roman"/>
          <w:color w:val="000000"/>
          <w:sz w:val="24"/>
        </w:rPr>
        <w:t>как основного инструмента интеграции стратегического</w:t>
      </w:r>
      <w:r>
        <w:rPr>
          <w:rFonts w:ascii="Times New Roman" w:hAnsi="Times New Roman"/>
          <w:color w:val="000000"/>
          <w:sz w:val="24"/>
        </w:rPr>
        <w:t xml:space="preserve"> целеполагания,</w:t>
      </w:r>
      <w:r w:rsidRPr="00840B77">
        <w:rPr>
          <w:rFonts w:ascii="Times New Roman" w:hAnsi="Times New Roman"/>
          <w:color w:val="000000"/>
          <w:sz w:val="24"/>
        </w:rPr>
        <w:t xml:space="preserve"> бюджетного</w:t>
      </w:r>
      <w:r>
        <w:rPr>
          <w:rFonts w:ascii="Times New Roman" w:hAnsi="Times New Roman"/>
          <w:color w:val="000000"/>
          <w:sz w:val="24"/>
        </w:rPr>
        <w:t xml:space="preserve"> планирования и </w:t>
      </w:r>
      <w:r w:rsidRPr="00840B77">
        <w:rPr>
          <w:rFonts w:ascii="Times New Roman" w:hAnsi="Times New Roman"/>
          <w:color w:val="000000"/>
          <w:sz w:val="24"/>
        </w:rPr>
        <w:t>оп</w:t>
      </w:r>
      <w:r>
        <w:rPr>
          <w:rFonts w:ascii="Times New Roman" w:hAnsi="Times New Roman"/>
          <w:color w:val="000000"/>
          <w:sz w:val="24"/>
        </w:rPr>
        <w:t>ерационного управления.</w:t>
      </w:r>
    </w:p>
    <w:p w:rsidR="00D40BD3" w:rsidRPr="00840B77" w:rsidRDefault="00717ED5" w:rsidP="00717ED5">
      <w:pPr>
        <w:jc w:val="both"/>
        <w:rPr>
          <w:rFonts w:ascii="Times New Roman" w:hAnsi="Times New Roman"/>
          <w:color w:val="000000"/>
          <w:sz w:val="24"/>
        </w:rPr>
      </w:pPr>
      <w:proofErr w:type="gramStart"/>
      <w:r w:rsidRPr="00056A93">
        <w:rPr>
          <w:rFonts w:ascii="Times New Roman" w:hAnsi="Times New Roman"/>
          <w:color w:val="000000"/>
          <w:sz w:val="24"/>
        </w:rPr>
        <w:t>Особенностью формирования проекта федерального бюджета на 2018 год и плановый период 2019 и 2020 годов является то, что впервые распределение бюджетных</w:t>
      </w:r>
      <w:r w:rsidR="00056A93">
        <w:rPr>
          <w:rFonts w:ascii="Times New Roman" w:hAnsi="Times New Roman"/>
          <w:color w:val="000000"/>
          <w:sz w:val="24"/>
        </w:rPr>
        <w:t xml:space="preserve"> </w:t>
      </w:r>
      <w:r w:rsidRPr="00056A93">
        <w:rPr>
          <w:rFonts w:ascii="Times New Roman" w:hAnsi="Times New Roman"/>
          <w:color w:val="000000"/>
          <w:sz w:val="24"/>
        </w:rPr>
        <w:t>ассигнований по кодам бюджетной классификации и его представление в Минфин России по госпрограммам осуществл</w:t>
      </w:r>
      <w:r w:rsidR="006B0F04">
        <w:rPr>
          <w:rFonts w:ascii="Times New Roman" w:hAnsi="Times New Roman"/>
          <w:color w:val="000000"/>
          <w:sz w:val="24"/>
        </w:rPr>
        <w:t>ено</w:t>
      </w:r>
      <w:r w:rsidRPr="00056A93">
        <w:rPr>
          <w:rFonts w:ascii="Times New Roman" w:hAnsi="Times New Roman"/>
          <w:color w:val="000000"/>
          <w:sz w:val="24"/>
        </w:rPr>
        <w:t xml:space="preserve"> не главными распорядителями бюджетных средств, а ответственными исполнителями соответствующих </w:t>
      </w:r>
      <w:r w:rsidR="006B0F04">
        <w:rPr>
          <w:rFonts w:ascii="Times New Roman" w:hAnsi="Times New Roman"/>
          <w:color w:val="000000"/>
          <w:sz w:val="24"/>
        </w:rPr>
        <w:t>гос</w:t>
      </w:r>
      <w:r w:rsidRPr="00056A93">
        <w:rPr>
          <w:rFonts w:ascii="Times New Roman" w:hAnsi="Times New Roman"/>
          <w:color w:val="000000"/>
          <w:sz w:val="24"/>
        </w:rPr>
        <w:t>программ, что означает расширение их полномочий и усиление ответственности в части управления финансовыми ресурсами, обеспечивающими достижение</w:t>
      </w:r>
      <w:proofErr w:type="gramEnd"/>
      <w:r w:rsidRPr="00056A93">
        <w:rPr>
          <w:rFonts w:ascii="Times New Roman" w:hAnsi="Times New Roman"/>
          <w:color w:val="000000"/>
          <w:sz w:val="24"/>
        </w:rPr>
        <w:t xml:space="preserve"> целей программ.</w:t>
      </w:r>
    </w:p>
    <w:p w:rsidR="00717ED5" w:rsidRDefault="00717ED5" w:rsidP="00717ED5">
      <w:pPr>
        <w:jc w:val="both"/>
        <w:rPr>
          <w:rFonts w:ascii="Times New Roman" w:hAnsi="Times New Roman"/>
          <w:color w:val="000000"/>
          <w:sz w:val="24"/>
        </w:rPr>
      </w:pPr>
      <w:r>
        <w:rPr>
          <w:rFonts w:ascii="Times New Roman" w:hAnsi="Times New Roman"/>
          <w:color w:val="000000"/>
          <w:sz w:val="24"/>
        </w:rPr>
        <w:t xml:space="preserve">Дальнейшее развитие методологии формирования и реализации госпрограмм предполагает расширение практики внедрения </w:t>
      </w:r>
      <w:r w:rsidRPr="002272A9">
        <w:rPr>
          <w:rFonts w:ascii="Times New Roman" w:hAnsi="Times New Roman"/>
          <w:b/>
          <w:color w:val="000000"/>
          <w:sz w:val="24"/>
        </w:rPr>
        <w:t>принципов проектного управления</w:t>
      </w:r>
      <w:r>
        <w:rPr>
          <w:rFonts w:ascii="Times New Roman" w:hAnsi="Times New Roman"/>
          <w:color w:val="000000"/>
          <w:sz w:val="24"/>
        </w:rPr>
        <w:t xml:space="preserve">. </w:t>
      </w:r>
      <w:r w:rsidRPr="00840B77">
        <w:rPr>
          <w:rFonts w:ascii="Times New Roman" w:hAnsi="Times New Roman"/>
          <w:color w:val="000000"/>
          <w:sz w:val="24"/>
        </w:rPr>
        <w:t>Осуществленная в ходе формирования федерального бюджета на 2017 год и плановый период 2018 и 2019 годов интеграция приоритетных проектов в госпрограммы была в значительной степени формальной и не затронула действующие процедуры формирования и реализации гос</w:t>
      </w:r>
      <w:r>
        <w:rPr>
          <w:rFonts w:ascii="Times New Roman" w:hAnsi="Times New Roman"/>
          <w:color w:val="000000"/>
          <w:sz w:val="24"/>
        </w:rPr>
        <w:t>программ.</w:t>
      </w:r>
    </w:p>
    <w:p w:rsidR="00717ED5" w:rsidRPr="00840B77" w:rsidRDefault="00717ED5" w:rsidP="00717ED5">
      <w:pPr>
        <w:jc w:val="both"/>
        <w:rPr>
          <w:rFonts w:ascii="Times New Roman" w:hAnsi="Times New Roman"/>
          <w:color w:val="000000"/>
          <w:sz w:val="24"/>
        </w:rPr>
      </w:pPr>
      <w:r w:rsidRPr="00840B77">
        <w:rPr>
          <w:rFonts w:ascii="Times New Roman" w:hAnsi="Times New Roman"/>
          <w:color w:val="000000"/>
          <w:sz w:val="24"/>
        </w:rPr>
        <w:t xml:space="preserve">В </w:t>
      </w:r>
      <w:r w:rsidR="00F35BA1">
        <w:rPr>
          <w:rFonts w:ascii="Times New Roman" w:hAnsi="Times New Roman"/>
          <w:color w:val="000000"/>
          <w:sz w:val="24"/>
        </w:rPr>
        <w:t>дальнейшем</w:t>
      </w:r>
      <w:r w:rsidRPr="00840B77">
        <w:rPr>
          <w:rFonts w:ascii="Times New Roman" w:hAnsi="Times New Roman"/>
          <w:color w:val="000000"/>
          <w:sz w:val="24"/>
        </w:rPr>
        <w:t xml:space="preserve"> необходимо </w:t>
      </w:r>
      <w:r>
        <w:rPr>
          <w:rFonts w:ascii="Times New Roman" w:hAnsi="Times New Roman"/>
          <w:color w:val="000000"/>
          <w:sz w:val="24"/>
        </w:rPr>
        <w:t>сформировать нормативную и методическую основу для полноценного внедрения</w:t>
      </w:r>
      <w:r w:rsidRPr="00840B77">
        <w:rPr>
          <w:rFonts w:ascii="Times New Roman" w:hAnsi="Times New Roman"/>
          <w:color w:val="000000"/>
          <w:sz w:val="24"/>
        </w:rPr>
        <w:t xml:space="preserve"> проектных методов в систему </w:t>
      </w:r>
      <w:r w:rsidR="00D40BD3">
        <w:rPr>
          <w:rFonts w:ascii="Times New Roman" w:hAnsi="Times New Roman"/>
          <w:color w:val="000000"/>
          <w:sz w:val="24"/>
        </w:rPr>
        <w:t xml:space="preserve">государственного </w:t>
      </w:r>
      <w:r w:rsidRPr="00840B77">
        <w:rPr>
          <w:rFonts w:ascii="Times New Roman" w:hAnsi="Times New Roman"/>
          <w:color w:val="000000"/>
          <w:sz w:val="24"/>
        </w:rPr>
        <w:t>управлени</w:t>
      </w:r>
      <w:r>
        <w:rPr>
          <w:rFonts w:ascii="Times New Roman" w:hAnsi="Times New Roman"/>
          <w:color w:val="000000"/>
          <w:sz w:val="24"/>
        </w:rPr>
        <w:t>я. Это предполагает необходимость решения следующих задач:</w:t>
      </w:r>
    </w:p>
    <w:p w:rsidR="00717ED5" w:rsidRPr="002B47A0" w:rsidRDefault="00717ED5" w:rsidP="009F1CCA">
      <w:pPr>
        <w:pStyle w:val="a9"/>
        <w:numPr>
          <w:ilvl w:val="0"/>
          <w:numId w:val="47"/>
        </w:numPr>
        <w:spacing w:before="120" w:after="120"/>
        <w:ind w:left="357" w:hanging="357"/>
        <w:contextualSpacing w:val="0"/>
        <w:jc w:val="both"/>
        <w:rPr>
          <w:rFonts w:ascii="Times New Roman" w:hAnsi="Times New Roman"/>
          <w:color w:val="000000"/>
          <w:sz w:val="24"/>
        </w:rPr>
      </w:pPr>
      <w:r w:rsidRPr="002B47A0">
        <w:rPr>
          <w:rFonts w:ascii="Times New Roman" w:hAnsi="Times New Roman"/>
          <w:color w:val="000000"/>
          <w:sz w:val="24"/>
        </w:rPr>
        <w:t xml:space="preserve">повышение </w:t>
      </w:r>
      <w:r w:rsidRPr="002B47A0">
        <w:rPr>
          <w:rFonts w:ascii="Times New Roman" w:hAnsi="Times New Roman"/>
          <w:b/>
          <w:color w:val="000000"/>
          <w:sz w:val="24"/>
        </w:rPr>
        <w:t>качества системы целеполагания</w:t>
      </w:r>
      <w:r w:rsidRPr="002B47A0">
        <w:rPr>
          <w:rFonts w:ascii="Times New Roman" w:hAnsi="Times New Roman"/>
          <w:color w:val="000000"/>
          <w:sz w:val="24"/>
        </w:rPr>
        <w:t xml:space="preserve"> госпрограмм</w:t>
      </w:r>
      <w:r w:rsidR="002B47A0">
        <w:rPr>
          <w:rFonts w:ascii="Times New Roman" w:hAnsi="Times New Roman"/>
          <w:color w:val="000000"/>
          <w:sz w:val="24"/>
        </w:rPr>
        <w:t>:</w:t>
      </w:r>
      <w:r w:rsidRPr="002B47A0">
        <w:rPr>
          <w:rFonts w:ascii="Times New Roman" w:hAnsi="Times New Roman"/>
          <w:color w:val="000000"/>
          <w:sz w:val="24"/>
        </w:rPr>
        <w:t xml:space="preserve"> утверждение ограниченного перечня</w:t>
      </w:r>
      <w:r w:rsidR="002B47A0">
        <w:rPr>
          <w:rFonts w:ascii="Times New Roman" w:hAnsi="Times New Roman"/>
          <w:color w:val="000000"/>
          <w:sz w:val="24"/>
        </w:rPr>
        <w:t xml:space="preserve"> (3-5)</w:t>
      </w:r>
      <w:r w:rsidRPr="002B47A0">
        <w:rPr>
          <w:rFonts w:ascii="Times New Roman" w:hAnsi="Times New Roman"/>
          <w:color w:val="000000"/>
          <w:sz w:val="24"/>
        </w:rPr>
        <w:t xml:space="preserve"> наиболее приоритетных целей, характеризующихся общественной значимостью, </w:t>
      </w:r>
      <w:proofErr w:type="spellStart"/>
      <w:r w:rsidRPr="002B47A0">
        <w:rPr>
          <w:rFonts w:ascii="Times New Roman" w:hAnsi="Times New Roman"/>
          <w:color w:val="000000"/>
          <w:sz w:val="24"/>
        </w:rPr>
        <w:t>амбициозностью</w:t>
      </w:r>
      <w:proofErr w:type="spellEnd"/>
      <w:r w:rsidRPr="002B47A0">
        <w:rPr>
          <w:rFonts w:ascii="Times New Roman" w:hAnsi="Times New Roman"/>
          <w:color w:val="000000"/>
          <w:sz w:val="24"/>
        </w:rPr>
        <w:t>, измеримостью и достижимостью;</w:t>
      </w:r>
    </w:p>
    <w:p w:rsidR="00717ED5" w:rsidRPr="002B47A0" w:rsidRDefault="00717ED5" w:rsidP="009F1CCA">
      <w:pPr>
        <w:pStyle w:val="a9"/>
        <w:numPr>
          <w:ilvl w:val="0"/>
          <w:numId w:val="47"/>
        </w:numPr>
        <w:spacing w:before="120" w:after="120"/>
        <w:ind w:left="357" w:hanging="357"/>
        <w:contextualSpacing w:val="0"/>
        <w:jc w:val="both"/>
        <w:rPr>
          <w:rFonts w:ascii="Times New Roman" w:hAnsi="Times New Roman"/>
          <w:color w:val="000000"/>
          <w:sz w:val="24"/>
        </w:rPr>
      </w:pPr>
      <w:r w:rsidRPr="002B47A0">
        <w:rPr>
          <w:rFonts w:ascii="Times New Roman" w:hAnsi="Times New Roman"/>
          <w:b/>
          <w:color w:val="000000"/>
          <w:sz w:val="24"/>
        </w:rPr>
        <w:t>концентрация в составе госпрограмм всех расходов</w:t>
      </w:r>
      <w:r w:rsidRPr="002B47A0">
        <w:rPr>
          <w:rFonts w:ascii="Times New Roman" w:hAnsi="Times New Roman"/>
          <w:color w:val="000000"/>
          <w:sz w:val="24"/>
        </w:rPr>
        <w:t xml:space="preserve"> федерального бюджета, направленных на реализацию государственной политики в соответствующих сферах;</w:t>
      </w:r>
    </w:p>
    <w:p w:rsidR="00717ED5" w:rsidRPr="002B47A0" w:rsidRDefault="00717ED5" w:rsidP="009F1CCA">
      <w:pPr>
        <w:pStyle w:val="a9"/>
        <w:numPr>
          <w:ilvl w:val="0"/>
          <w:numId w:val="47"/>
        </w:numPr>
        <w:spacing w:before="120" w:after="120"/>
        <w:ind w:left="357" w:hanging="357"/>
        <w:contextualSpacing w:val="0"/>
        <w:jc w:val="both"/>
        <w:rPr>
          <w:rFonts w:ascii="Times New Roman" w:hAnsi="Times New Roman"/>
          <w:color w:val="000000"/>
          <w:sz w:val="24"/>
        </w:rPr>
      </w:pPr>
      <w:r w:rsidRPr="002B47A0">
        <w:rPr>
          <w:rFonts w:ascii="Times New Roman" w:hAnsi="Times New Roman"/>
          <w:color w:val="000000"/>
          <w:sz w:val="24"/>
        </w:rPr>
        <w:t xml:space="preserve">обеспечение </w:t>
      </w:r>
      <w:r w:rsidRPr="002B47A0">
        <w:rPr>
          <w:rFonts w:ascii="Times New Roman" w:hAnsi="Times New Roman"/>
          <w:b/>
          <w:color w:val="000000"/>
          <w:sz w:val="24"/>
        </w:rPr>
        <w:t>полноты учета в составе программ всех финансовых ресурсов</w:t>
      </w:r>
      <w:r w:rsidRPr="002B47A0">
        <w:rPr>
          <w:rFonts w:ascii="Times New Roman" w:hAnsi="Times New Roman"/>
          <w:color w:val="000000"/>
          <w:sz w:val="24"/>
        </w:rPr>
        <w:t xml:space="preserve"> и нефинансовых инструментов, способствующих достижению целей государственной политики в соответствующей сфере;</w:t>
      </w:r>
    </w:p>
    <w:p w:rsidR="00717ED5" w:rsidRPr="002B47A0" w:rsidRDefault="00717ED5" w:rsidP="009F1CCA">
      <w:pPr>
        <w:pStyle w:val="a9"/>
        <w:numPr>
          <w:ilvl w:val="0"/>
          <w:numId w:val="47"/>
        </w:numPr>
        <w:spacing w:before="120" w:after="120"/>
        <w:ind w:left="357" w:hanging="357"/>
        <w:contextualSpacing w:val="0"/>
        <w:jc w:val="both"/>
        <w:rPr>
          <w:rFonts w:ascii="Times New Roman" w:hAnsi="Times New Roman"/>
          <w:color w:val="000000"/>
          <w:sz w:val="24"/>
        </w:rPr>
      </w:pPr>
      <w:r w:rsidRPr="002B47A0">
        <w:rPr>
          <w:rFonts w:ascii="Times New Roman" w:hAnsi="Times New Roman"/>
          <w:color w:val="000000"/>
          <w:sz w:val="24"/>
        </w:rPr>
        <w:t xml:space="preserve">обеспечение </w:t>
      </w:r>
      <w:r w:rsidRPr="002B47A0">
        <w:rPr>
          <w:rFonts w:ascii="Times New Roman" w:hAnsi="Times New Roman"/>
          <w:b/>
          <w:color w:val="000000"/>
          <w:sz w:val="24"/>
        </w:rPr>
        <w:t>согласованности</w:t>
      </w:r>
      <w:r w:rsidRPr="002B47A0">
        <w:rPr>
          <w:rFonts w:ascii="Times New Roman" w:hAnsi="Times New Roman"/>
          <w:color w:val="000000"/>
          <w:sz w:val="24"/>
        </w:rPr>
        <w:t xml:space="preserve"> реализации мероприятий госпрограмм </w:t>
      </w:r>
      <w:r w:rsidRPr="002B47A0">
        <w:rPr>
          <w:rFonts w:ascii="Times New Roman" w:hAnsi="Times New Roman"/>
          <w:b/>
          <w:color w:val="000000"/>
          <w:sz w:val="24"/>
        </w:rPr>
        <w:t>на федеральном и региональном уровнях</w:t>
      </w:r>
      <w:r w:rsidRPr="002B47A0">
        <w:rPr>
          <w:rFonts w:ascii="Times New Roman" w:hAnsi="Times New Roman"/>
          <w:color w:val="000000"/>
          <w:sz w:val="24"/>
        </w:rPr>
        <w:t>;</w:t>
      </w:r>
    </w:p>
    <w:p w:rsidR="00717ED5" w:rsidRPr="002B47A0" w:rsidRDefault="00717ED5" w:rsidP="009F1CCA">
      <w:pPr>
        <w:pStyle w:val="a9"/>
        <w:numPr>
          <w:ilvl w:val="0"/>
          <w:numId w:val="47"/>
        </w:numPr>
        <w:spacing w:before="120" w:after="120"/>
        <w:ind w:left="357" w:hanging="357"/>
        <w:contextualSpacing w:val="0"/>
        <w:jc w:val="both"/>
        <w:rPr>
          <w:rFonts w:ascii="Times New Roman" w:hAnsi="Times New Roman"/>
          <w:color w:val="000000"/>
          <w:sz w:val="24"/>
        </w:rPr>
      </w:pPr>
      <w:r w:rsidRPr="002B47A0">
        <w:rPr>
          <w:rFonts w:ascii="Times New Roman" w:hAnsi="Times New Roman"/>
          <w:b/>
          <w:color w:val="000000"/>
          <w:sz w:val="24"/>
        </w:rPr>
        <w:t>оптимизация формата госпрограмм и процедур их разработки</w:t>
      </w:r>
      <w:r w:rsidRPr="002B47A0">
        <w:rPr>
          <w:rFonts w:ascii="Times New Roman" w:hAnsi="Times New Roman"/>
          <w:color w:val="000000"/>
          <w:sz w:val="24"/>
        </w:rPr>
        <w:t xml:space="preserve">, с учетом четкого разграничения уровней ответственности и передачи значительных полномочий на уровень федеральных органов исполнительной власти и формируемых ими ведомственных координационных органов; </w:t>
      </w:r>
    </w:p>
    <w:p w:rsidR="00717ED5" w:rsidRPr="002B47A0" w:rsidRDefault="00717ED5" w:rsidP="009F1CCA">
      <w:pPr>
        <w:pStyle w:val="a9"/>
        <w:numPr>
          <w:ilvl w:val="0"/>
          <w:numId w:val="47"/>
        </w:numPr>
        <w:spacing w:before="120" w:after="120"/>
        <w:ind w:left="357" w:hanging="357"/>
        <w:contextualSpacing w:val="0"/>
        <w:jc w:val="both"/>
        <w:rPr>
          <w:rFonts w:ascii="Times New Roman" w:hAnsi="Times New Roman"/>
          <w:color w:val="000000"/>
          <w:sz w:val="24"/>
        </w:rPr>
      </w:pPr>
      <w:proofErr w:type="gramStart"/>
      <w:r w:rsidRPr="002B47A0">
        <w:rPr>
          <w:rFonts w:ascii="Times New Roman" w:hAnsi="Times New Roman"/>
          <w:b/>
          <w:color w:val="000000"/>
          <w:sz w:val="24"/>
        </w:rPr>
        <w:t>уточнение структуры госпрограмм</w:t>
      </w:r>
      <w:r w:rsidRPr="002B47A0">
        <w:rPr>
          <w:rFonts w:ascii="Times New Roman" w:hAnsi="Times New Roman"/>
          <w:color w:val="000000"/>
          <w:sz w:val="24"/>
        </w:rPr>
        <w:t xml:space="preserve"> с выделением мероприятий проектного (ограниченные по срокам и привод</w:t>
      </w:r>
      <w:r w:rsidR="002B47A0">
        <w:rPr>
          <w:rFonts w:ascii="Times New Roman" w:hAnsi="Times New Roman"/>
          <w:color w:val="000000"/>
          <w:sz w:val="24"/>
        </w:rPr>
        <w:t>ящие к уникальному результату и/</w:t>
      </w:r>
      <w:r w:rsidRPr="002B47A0">
        <w:rPr>
          <w:rFonts w:ascii="Times New Roman" w:hAnsi="Times New Roman"/>
          <w:color w:val="000000"/>
          <w:sz w:val="24"/>
        </w:rPr>
        <w:t xml:space="preserve">или качественному изменению процессов) и процессного (непрерывные или постоянно возобновляемые, реализуемые в соответствии с устоявшимися процедурами) характера; </w:t>
      </w:r>
      <w:proofErr w:type="gramEnd"/>
    </w:p>
    <w:p w:rsidR="00717ED5" w:rsidRPr="002B47A0" w:rsidRDefault="00717ED5" w:rsidP="009F1CCA">
      <w:pPr>
        <w:pStyle w:val="a9"/>
        <w:numPr>
          <w:ilvl w:val="0"/>
          <w:numId w:val="47"/>
        </w:numPr>
        <w:spacing w:before="120" w:after="120"/>
        <w:ind w:left="357" w:hanging="357"/>
        <w:contextualSpacing w:val="0"/>
        <w:jc w:val="both"/>
        <w:rPr>
          <w:rFonts w:ascii="Times New Roman" w:hAnsi="Times New Roman"/>
          <w:color w:val="000000"/>
          <w:sz w:val="24"/>
        </w:rPr>
      </w:pPr>
      <w:r w:rsidRPr="002B47A0">
        <w:rPr>
          <w:rFonts w:ascii="Times New Roman" w:hAnsi="Times New Roman"/>
          <w:b/>
          <w:color w:val="000000"/>
          <w:sz w:val="24"/>
        </w:rPr>
        <w:t>организация управления проектными мероприятиями госпрограмм</w:t>
      </w:r>
      <w:r w:rsidRPr="002B47A0">
        <w:rPr>
          <w:rFonts w:ascii="Times New Roman" w:hAnsi="Times New Roman"/>
          <w:color w:val="000000"/>
          <w:sz w:val="24"/>
        </w:rPr>
        <w:t xml:space="preserve"> в соответствии с порядком организации проектной деятельностью, в том числе с формированием соответствующих проектных комитетов и ведомственных координационных органов; </w:t>
      </w:r>
    </w:p>
    <w:p w:rsidR="00CF7142" w:rsidRPr="002B47A0" w:rsidRDefault="00CF7142" w:rsidP="009F1CCA">
      <w:pPr>
        <w:pStyle w:val="a9"/>
        <w:numPr>
          <w:ilvl w:val="0"/>
          <w:numId w:val="47"/>
        </w:numPr>
        <w:spacing w:before="120" w:after="120"/>
        <w:ind w:left="357" w:hanging="357"/>
        <w:contextualSpacing w:val="0"/>
        <w:jc w:val="both"/>
        <w:rPr>
          <w:rFonts w:ascii="Times New Roman" w:hAnsi="Times New Roman"/>
          <w:color w:val="000000"/>
          <w:sz w:val="24"/>
        </w:rPr>
      </w:pPr>
      <w:r w:rsidRPr="002B47A0">
        <w:rPr>
          <w:rFonts w:ascii="Times New Roman" w:hAnsi="Times New Roman"/>
          <w:b/>
          <w:color w:val="000000"/>
          <w:sz w:val="24"/>
        </w:rPr>
        <w:t>организация управления процессными мероприятиями</w:t>
      </w:r>
      <w:r w:rsidRPr="002B47A0">
        <w:rPr>
          <w:rFonts w:ascii="Times New Roman" w:hAnsi="Times New Roman"/>
          <w:color w:val="000000"/>
          <w:sz w:val="24"/>
        </w:rPr>
        <w:t xml:space="preserve"> с использованием механизма ведомственных целевых программ, </w:t>
      </w:r>
      <w:r>
        <w:rPr>
          <w:rFonts w:ascii="Times New Roman" w:hAnsi="Times New Roman"/>
          <w:color w:val="000000"/>
          <w:sz w:val="24"/>
        </w:rPr>
        <w:t>учитывая</w:t>
      </w:r>
      <w:r w:rsidRPr="002B47A0">
        <w:rPr>
          <w:rFonts w:ascii="Times New Roman" w:hAnsi="Times New Roman"/>
          <w:color w:val="000000"/>
          <w:sz w:val="24"/>
        </w:rPr>
        <w:t xml:space="preserve"> необходимость установления показателей результата для каждого процесса, а также необходимость повышения эффективности процессной деятельности;</w:t>
      </w:r>
    </w:p>
    <w:p w:rsidR="00717ED5" w:rsidRPr="002B47A0" w:rsidRDefault="00717ED5" w:rsidP="009F1CCA">
      <w:pPr>
        <w:pStyle w:val="a9"/>
        <w:numPr>
          <w:ilvl w:val="0"/>
          <w:numId w:val="47"/>
        </w:numPr>
        <w:spacing w:before="120" w:after="120"/>
        <w:ind w:left="357" w:hanging="357"/>
        <w:contextualSpacing w:val="0"/>
        <w:jc w:val="both"/>
        <w:rPr>
          <w:rFonts w:ascii="Times New Roman" w:hAnsi="Times New Roman"/>
          <w:color w:val="000000"/>
          <w:sz w:val="24"/>
        </w:rPr>
      </w:pPr>
      <w:r w:rsidRPr="002B47A0">
        <w:rPr>
          <w:rFonts w:ascii="Times New Roman" w:hAnsi="Times New Roman"/>
          <w:b/>
          <w:color w:val="000000"/>
          <w:sz w:val="24"/>
        </w:rPr>
        <w:t>отказ от</w:t>
      </w:r>
      <w:r w:rsidRPr="002B47A0">
        <w:rPr>
          <w:rFonts w:ascii="Times New Roman" w:hAnsi="Times New Roman"/>
          <w:color w:val="000000"/>
          <w:sz w:val="24"/>
        </w:rPr>
        <w:t xml:space="preserve"> принятия новых и постепенное завершение реализации действующих </w:t>
      </w:r>
      <w:r w:rsidRPr="002B47A0">
        <w:rPr>
          <w:rFonts w:ascii="Times New Roman" w:hAnsi="Times New Roman"/>
          <w:b/>
          <w:color w:val="000000"/>
          <w:sz w:val="24"/>
        </w:rPr>
        <w:t>федеральных целевых программ</w:t>
      </w:r>
      <w:r w:rsidRPr="002B47A0">
        <w:rPr>
          <w:rFonts w:ascii="Times New Roman" w:hAnsi="Times New Roman"/>
          <w:color w:val="000000"/>
          <w:sz w:val="24"/>
        </w:rPr>
        <w:t>, как инструмента, не соответствующего единой логике проектного управления государственными программами.</w:t>
      </w:r>
    </w:p>
    <w:p w:rsidR="00976E97" w:rsidRDefault="000F71E3" w:rsidP="00976E97">
      <w:pPr>
        <w:jc w:val="both"/>
        <w:rPr>
          <w:rFonts w:ascii="Times New Roman" w:hAnsi="Times New Roman"/>
          <w:color w:val="000000"/>
          <w:sz w:val="24"/>
        </w:rPr>
      </w:pPr>
      <w:r w:rsidRPr="00BF1AEF">
        <w:rPr>
          <w:rFonts w:ascii="Times New Roman" w:hAnsi="Times New Roman"/>
          <w:color w:val="000000"/>
          <w:sz w:val="24"/>
        </w:rPr>
        <w:t>В рамках формирования федерального бюджета на 2018 год и плановый период 2019 и 2020 годов указанные подходы апробир</w:t>
      </w:r>
      <w:r w:rsidR="006B0F04">
        <w:rPr>
          <w:rFonts w:ascii="Times New Roman" w:hAnsi="Times New Roman"/>
          <w:color w:val="000000"/>
          <w:sz w:val="24"/>
        </w:rPr>
        <w:t xml:space="preserve">уются </w:t>
      </w:r>
      <w:r w:rsidR="00C63A84">
        <w:rPr>
          <w:rFonts w:ascii="Times New Roman" w:hAnsi="Times New Roman"/>
          <w:color w:val="000000"/>
          <w:sz w:val="24"/>
        </w:rPr>
        <w:t>на «пилотных» госпрограммах</w:t>
      </w:r>
      <w:r w:rsidR="00717ED5">
        <w:rPr>
          <w:rFonts w:ascii="Times New Roman" w:hAnsi="Times New Roman"/>
          <w:color w:val="000000"/>
          <w:sz w:val="24"/>
        </w:rPr>
        <w:t>.</w:t>
      </w:r>
    </w:p>
    <w:p w:rsidR="0027766B" w:rsidRPr="00A17F02" w:rsidRDefault="0027766B" w:rsidP="0027766B">
      <w:pPr>
        <w:pStyle w:val="20"/>
        <w:numPr>
          <w:ilvl w:val="1"/>
          <w:numId w:val="3"/>
        </w:numPr>
        <w:spacing w:before="240" w:after="240"/>
        <w:rPr>
          <w:rFonts w:ascii="Times New Roman" w:hAnsi="Times New Roman"/>
          <w:sz w:val="28"/>
          <w:szCs w:val="28"/>
        </w:rPr>
      </w:pPr>
      <w:bookmarkStart w:id="23" w:name="_Toc494788037"/>
      <w:r w:rsidRPr="00A17F02">
        <w:rPr>
          <w:rFonts w:ascii="Times New Roman" w:hAnsi="Times New Roman"/>
          <w:sz w:val="28"/>
          <w:szCs w:val="28"/>
        </w:rPr>
        <w:t>ОПЕРАЦИОННАЯ ЭФФЕКТИВНОСТЬ</w:t>
      </w:r>
      <w:r w:rsidR="0079499C">
        <w:rPr>
          <w:rFonts w:ascii="Times New Roman" w:hAnsi="Times New Roman"/>
          <w:sz w:val="28"/>
          <w:szCs w:val="28"/>
        </w:rPr>
        <w:t xml:space="preserve"> ИСПОЛЬЗОВАНИЯ БЮДЖЕТНЫХ СРЕДСТВ</w:t>
      </w:r>
      <w:bookmarkEnd w:id="23"/>
    </w:p>
    <w:p w:rsidR="0027766B" w:rsidRPr="00CF7142" w:rsidRDefault="00CF7142" w:rsidP="00CC3396">
      <w:pPr>
        <w:pStyle w:val="Style4"/>
        <w:shd w:val="clear" w:color="auto" w:fill="auto"/>
        <w:spacing w:after="200" w:line="276" w:lineRule="auto"/>
        <w:jc w:val="both"/>
        <w:rPr>
          <w:rStyle w:val="CharStyle6"/>
          <w:rFonts w:ascii="Times New Roman" w:hAnsi="Times New Roman"/>
          <w:color w:val="000000"/>
          <w:sz w:val="24"/>
          <w:szCs w:val="28"/>
        </w:rPr>
      </w:pPr>
      <w:r w:rsidRPr="00CF7142">
        <w:rPr>
          <w:rStyle w:val="CharStyle6"/>
          <w:rFonts w:ascii="Times New Roman" w:hAnsi="Times New Roman"/>
          <w:color w:val="000000"/>
          <w:sz w:val="24"/>
          <w:szCs w:val="28"/>
        </w:rPr>
        <w:t>Выдвигая на первый план долгосрочную финансовую устойчивость, фокусируя внимание на выборе векторов и инструментов достижения целей, необходимо обратить особое внимание и на эффективность использования бюджетных средств. Ключевыми направлениями в этой сфере в 2018-2020 гг.</w:t>
      </w:r>
      <w:r w:rsidRPr="00CF7142">
        <w:rPr>
          <w:rStyle w:val="CharStyle6"/>
          <w:rFonts w:ascii="Times New Roman" w:hAnsi="Times New Roman"/>
          <w:b/>
          <w:color w:val="000000"/>
          <w:sz w:val="24"/>
          <w:szCs w:val="28"/>
        </w:rPr>
        <w:t xml:space="preserve"> </w:t>
      </w:r>
      <w:r w:rsidRPr="00CF7142">
        <w:rPr>
          <w:rStyle w:val="CharStyle6"/>
          <w:rFonts w:ascii="Times New Roman" w:hAnsi="Times New Roman"/>
          <w:color w:val="000000"/>
          <w:sz w:val="24"/>
          <w:szCs w:val="28"/>
        </w:rPr>
        <w:t>станут:</w:t>
      </w:r>
    </w:p>
    <w:p w:rsidR="00456A52" w:rsidRPr="00456A52" w:rsidRDefault="00CA5C9E" w:rsidP="00456A52">
      <w:pPr>
        <w:pStyle w:val="Style4"/>
        <w:numPr>
          <w:ilvl w:val="0"/>
          <w:numId w:val="48"/>
        </w:numPr>
        <w:shd w:val="clear" w:color="auto" w:fill="auto"/>
        <w:spacing w:after="200" w:line="276" w:lineRule="auto"/>
        <w:jc w:val="both"/>
        <w:rPr>
          <w:rStyle w:val="CharStyle6"/>
          <w:rFonts w:ascii="Times New Roman" w:hAnsi="Times New Roman"/>
          <w:color w:val="000000"/>
          <w:sz w:val="24"/>
          <w:szCs w:val="28"/>
        </w:rPr>
      </w:pPr>
      <w:r w:rsidRPr="00456A52">
        <w:rPr>
          <w:rStyle w:val="CharStyle6"/>
          <w:rFonts w:ascii="Times New Roman" w:hAnsi="Times New Roman"/>
          <w:b/>
          <w:color w:val="000000"/>
          <w:sz w:val="24"/>
          <w:szCs w:val="28"/>
        </w:rPr>
        <w:t>интеграция бюджетного и закупочного процесса</w:t>
      </w:r>
      <w:r w:rsidRPr="00456A52">
        <w:rPr>
          <w:rStyle w:val="CharStyle6"/>
          <w:rFonts w:ascii="Times New Roman" w:hAnsi="Times New Roman"/>
          <w:color w:val="000000"/>
          <w:sz w:val="24"/>
          <w:szCs w:val="28"/>
        </w:rPr>
        <w:t xml:space="preserve"> через развитие института нормирования закупок, автоматизацию контрольных процедур, создание условий для минимизации дебиторской задолженности по контрактам, развитие информационного пространства в целях повышения, прозрачности и подотчетности.</w:t>
      </w:r>
    </w:p>
    <w:p w:rsidR="00456A52" w:rsidRPr="002272A9" w:rsidRDefault="00CA5C9E" w:rsidP="002272A9">
      <w:pPr>
        <w:pStyle w:val="Style4"/>
        <w:widowControl/>
        <w:numPr>
          <w:ilvl w:val="0"/>
          <w:numId w:val="48"/>
        </w:numPr>
        <w:shd w:val="clear" w:color="auto" w:fill="auto"/>
        <w:tabs>
          <w:tab w:val="left" w:pos="540"/>
        </w:tabs>
        <w:spacing w:after="200" w:line="276" w:lineRule="auto"/>
        <w:jc w:val="both"/>
        <w:rPr>
          <w:rStyle w:val="CharStyle6"/>
          <w:szCs w:val="28"/>
          <w:shd w:val="clear" w:color="auto" w:fill="auto"/>
        </w:rPr>
      </w:pPr>
      <w:r>
        <w:rPr>
          <w:rStyle w:val="CharStyle6"/>
          <w:rFonts w:ascii="Times New Roman" w:hAnsi="Times New Roman"/>
          <w:color w:val="000000"/>
          <w:sz w:val="24"/>
          <w:szCs w:val="28"/>
        </w:rPr>
        <w:t>р</w:t>
      </w:r>
      <w:r w:rsidR="0027766B" w:rsidRPr="00CA5C9E">
        <w:rPr>
          <w:rStyle w:val="CharStyle6"/>
          <w:rFonts w:ascii="Times New Roman" w:hAnsi="Times New Roman"/>
          <w:color w:val="000000"/>
          <w:sz w:val="24"/>
          <w:szCs w:val="28"/>
        </w:rPr>
        <w:t xml:space="preserve">асширение применения </w:t>
      </w:r>
      <w:r w:rsidR="0027766B" w:rsidRPr="00CA5C9E">
        <w:rPr>
          <w:rStyle w:val="CharStyle6"/>
          <w:rFonts w:ascii="Times New Roman" w:hAnsi="Times New Roman"/>
          <w:b/>
          <w:color w:val="000000"/>
          <w:sz w:val="24"/>
          <w:szCs w:val="28"/>
        </w:rPr>
        <w:t>механизма казначейского сопровождения</w:t>
      </w:r>
      <w:r w:rsidR="0027766B" w:rsidRPr="00CA5C9E">
        <w:rPr>
          <w:rStyle w:val="CharStyle6"/>
          <w:rFonts w:ascii="Times New Roman" w:hAnsi="Times New Roman"/>
          <w:color w:val="000000"/>
          <w:sz w:val="24"/>
          <w:szCs w:val="28"/>
        </w:rPr>
        <w:t xml:space="preserve"> </w:t>
      </w:r>
      <w:r w:rsidRPr="00CA5C9E">
        <w:rPr>
          <w:rStyle w:val="CharStyle6"/>
          <w:rFonts w:ascii="Times New Roman" w:hAnsi="Times New Roman"/>
          <w:color w:val="000000"/>
          <w:sz w:val="24"/>
          <w:szCs w:val="28"/>
        </w:rPr>
        <w:t>расчетов по</w:t>
      </w:r>
      <w:r w:rsidR="00A36D53">
        <w:rPr>
          <w:rStyle w:val="CharStyle6"/>
          <w:rFonts w:ascii="Times New Roman" w:hAnsi="Times New Roman"/>
          <w:color w:val="000000"/>
          <w:sz w:val="24"/>
          <w:szCs w:val="28"/>
        </w:rPr>
        <w:t>: (1)</w:t>
      </w:r>
      <w:r w:rsidRPr="00CA5C9E">
        <w:rPr>
          <w:rStyle w:val="CharStyle6"/>
          <w:rFonts w:ascii="Times New Roman" w:hAnsi="Times New Roman"/>
          <w:color w:val="000000"/>
          <w:sz w:val="24"/>
          <w:szCs w:val="28"/>
        </w:rPr>
        <w:t xml:space="preserve"> исполнению </w:t>
      </w:r>
      <w:proofErr w:type="spellStart"/>
      <w:r w:rsidRPr="00CA5C9E">
        <w:rPr>
          <w:rStyle w:val="CharStyle6"/>
          <w:rFonts w:ascii="Times New Roman" w:hAnsi="Times New Roman"/>
          <w:color w:val="000000"/>
          <w:sz w:val="24"/>
          <w:szCs w:val="28"/>
        </w:rPr>
        <w:t>госконтрактов</w:t>
      </w:r>
      <w:proofErr w:type="spellEnd"/>
      <w:r w:rsidRPr="00CA5C9E">
        <w:rPr>
          <w:rStyle w:val="CharStyle6"/>
          <w:rFonts w:ascii="Times New Roman" w:hAnsi="Times New Roman"/>
          <w:color w:val="000000"/>
          <w:sz w:val="24"/>
          <w:szCs w:val="28"/>
        </w:rPr>
        <w:t xml:space="preserve"> по всей глубин</w:t>
      </w:r>
      <w:r>
        <w:rPr>
          <w:rStyle w:val="CharStyle6"/>
          <w:rFonts w:ascii="Times New Roman" w:hAnsi="Times New Roman"/>
          <w:color w:val="000000"/>
          <w:sz w:val="24"/>
          <w:szCs w:val="28"/>
        </w:rPr>
        <w:t xml:space="preserve">е кооперации (в </w:t>
      </w:r>
      <w:proofErr w:type="spellStart"/>
      <w:r w:rsidR="006B0F04">
        <w:rPr>
          <w:rStyle w:val="CharStyle6"/>
          <w:rFonts w:ascii="Times New Roman" w:hAnsi="Times New Roman"/>
          <w:color w:val="000000"/>
          <w:sz w:val="24"/>
          <w:szCs w:val="28"/>
        </w:rPr>
        <w:t>т.ч</w:t>
      </w:r>
      <w:proofErr w:type="spellEnd"/>
      <w:r w:rsidR="006B0F04">
        <w:rPr>
          <w:rStyle w:val="CharStyle6"/>
          <w:rFonts w:ascii="Times New Roman" w:hAnsi="Times New Roman"/>
          <w:color w:val="000000"/>
          <w:sz w:val="24"/>
          <w:szCs w:val="28"/>
        </w:rPr>
        <w:t xml:space="preserve">. </w:t>
      </w:r>
      <w:r>
        <w:rPr>
          <w:rStyle w:val="CharStyle6"/>
          <w:rFonts w:ascii="Times New Roman" w:hAnsi="Times New Roman"/>
          <w:color w:val="000000"/>
          <w:sz w:val="24"/>
          <w:szCs w:val="28"/>
        </w:rPr>
        <w:t>субподрядчик</w:t>
      </w:r>
      <w:r w:rsidR="006B0F04">
        <w:rPr>
          <w:rStyle w:val="CharStyle6"/>
          <w:rFonts w:ascii="Times New Roman" w:hAnsi="Times New Roman"/>
          <w:color w:val="000000"/>
          <w:sz w:val="24"/>
          <w:szCs w:val="28"/>
        </w:rPr>
        <w:t>и</w:t>
      </w:r>
      <w:r>
        <w:rPr>
          <w:rStyle w:val="CharStyle6"/>
          <w:rFonts w:ascii="Times New Roman" w:hAnsi="Times New Roman"/>
          <w:color w:val="000000"/>
          <w:sz w:val="24"/>
          <w:szCs w:val="28"/>
        </w:rPr>
        <w:t xml:space="preserve">); </w:t>
      </w:r>
      <w:r w:rsidR="00A36D53">
        <w:rPr>
          <w:rStyle w:val="CharStyle6"/>
          <w:rFonts w:ascii="Times New Roman" w:hAnsi="Times New Roman"/>
          <w:color w:val="000000"/>
          <w:sz w:val="24"/>
          <w:szCs w:val="28"/>
        </w:rPr>
        <w:t xml:space="preserve">(2) </w:t>
      </w:r>
      <w:r w:rsidRPr="00A36D53">
        <w:rPr>
          <w:rStyle w:val="CharStyle6"/>
          <w:rFonts w:ascii="Times New Roman" w:hAnsi="Times New Roman"/>
          <w:color w:val="000000"/>
          <w:sz w:val="24"/>
          <w:szCs w:val="28"/>
        </w:rPr>
        <w:t>гос</w:t>
      </w:r>
      <w:r w:rsidR="006B0F04">
        <w:rPr>
          <w:rStyle w:val="CharStyle6"/>
          <w:rFonts w:ascii="Times New Roman" w:hAnsi="Times New Roman"/>
          <w:color w:val="000000"/>
          <w:sz w:val="24"/>
          <w:szCs w:val="28"/>
        </w:rPr>
        <w:t>ударственному оборонному заказу</w:t>
      </w:r>
      <w:r w:rsidRPr="00A36D53">
        <w:rPr>
          <w:rStyle w:val="CharStyle6"/>
          <w:rFonts w:ascii="Times New Roman" w:hAnsi="Times New Roman"/>
          <w:color w:val="000000"/>
          <w:sz w:val="24"/>
          <w:szCs w:val="28"/>
        </w:rPr>
        <w:t>,</w:t>
      </w:r>
      <w:r w:rsidR="00A36D53" w:rsidRPr="00A36D53">
        <w:rPr>
          <w:rStyle w:val="CharStyle6"/>
          <w:rFonts w:ascii="Times New Roman" w:hAnsi="Times New Roman"/>
          <w:color w:val="000000"/>
          <w:sz w:val="24"/>
          <w:szCs w:val="28"/>
        </w:rPr>
        <w:t xml:space="preserve"> (3)</w:t>
      </w:r>
      <w:r w:rsidRPr="00A36D53">
        <w:rPr>
          <w:rStyle w:val="CharStyle6"/>
          <w:rFonts w:ascii="Times New Roman" w:hAnsi="Times New Roman"/>
          <w:color w:val="000000"/>
          <w:sz w:val="24"/>
          <w:szCs w:val="28"/>
        </w:rPr>
        <w:t xml:space="preserve"> контрактам с единственным </w:t>
      </w:r>
      <w:r w:rsidR="00A36D53" w:rsidRPr="00A36D53">
        <w:rPr>
          <w:rStyle w:val="CharStyle6"/>
          <w:rFonts w:ascii="Times New Roman" w:hAnsi="Times New Roman"/>
          <w:color w:val="000000"/>
          <w:sz w:val="24"/>
          <w:szCs w:val="28"/>
        </w:rPr>
        <w:t>п</w:t>
      </w:r>
      <w:r w:rsidRPr="00A36D53">
        <w:rPr>
          <w:rStyle w:val="CharStyle6"/>
          <w:rFonts w:ascii="Times New Roman" w:hAnsi="Times New Roman"/>
          <w:color w:val="000000"/>
          <w:sz w:val="24"/>
          <w:szCs w:val="28"/>
        </w:rPr>
        <w:t>оставщиком</w:t>
      </w:r>
      <w:r w:rsidR="00A36D53" w:rsidRPr="00A36D53">
        <w:rPr>
          <w:rStyle w:val="CharStyle6"/>
          <w:rFonts w:ascii="Times New Roman" w:hAnsi="Times New Roman"/>
          <w:color w:val="000000"/>
          <w:sz w:val="24"/>
          <w:szCs w:val="28"/>
        </w:rPr>
        <w:t>;</w:t>
      </w:r>
      <w:r w:rsidR="00A36D53">
        <w:rPr>
          <w:rStyle w:val="CharStyle6"/>
          <w:rFonts w:ascii="Times New Roman" w:hAnsi="Times New Roman"/>
          <w:color w:val="000000"/>
          <w:sz w:val="24"/>
          <w:szCs w:val="28"/>
        </w:rPr>
        <w:t xml:space="preserve"> (4) субсидиям </w:t>
      </w:r>
      <w:r w:rsidR="00A36D53" w:rsidRPr="00A36D53">
        <w:rPr>
          <w:rStyle w:val="CharStyle6"/>
          <w:rFonts w:ascii="Times New Roman" w:hAnsi="Times New Roman"/>
          <w:color w:val="000000"/>
          <w:sz w:val="24"/>
          <w:szCs w:val="28"/>
        </w:rPr>
        <w:t>субъектам до уровня муниципалитетов</w:t>
      </w:r>
      <w:r w:rsidR="006B0F04">
        <w:rPr>
          <w:rStyle w:val="CharStyle6"/>
          <w:rFonts w:ascii="Times New Roman" w:hAnsi="Times New Roman"/>
          <w:color w:val="000000"/>
          <w:sz w:val="24"/>
          <w:szCs w:val="28"/>
        </w:rPr>
        <w:t>, а также</w:t>
      </w:r>
      <w:r w:rsidR="00A36D53" w:rsidRPr="00A36D53">
        <w:rPr>
          <w:rStyle w:val="CharStyle6"/>
          <w:rFonts w:ascii="Times New Roman" w:hAnsi="Times New Roman"/>
          <w:color w:val="000000"/>
          <w:sz w:val="24"/>
          <w:szCs w:val="28"/>
        </w:rPr>
        <w:t xml:space="preserve"> автономных</w:t>
      </w:r>
      <w:r w:rsidR="006B0F04">
        <w:rPr>
          <w:rStyle w:val="CharStyle6"/>
          <w:rFonts w:ascii="Times New Roman" w:hAnsi="Times New Roman"/>
          <w:color w:val="000000"/>
          <w:sz w:val="24"/>
          <w:szCs w:val="28"/>
        </w:rPr>
        <w:t xml:space="preserve"> и</w:t>
      </w:r>
      <w:r w:rsidR="00A36D53" w:rsidRPr="00A36D53">
        <w:rPr>
          <w:rStyle w:val="CharStyle6"/>
          <w:rFonts w:ascii="Times New Roman" w:hAnsi="Times New Roman"/>
          <w:color w:val="000000"/>
          <w:sz w:val="24"/>
          <w:szCs w:val="28"/>
        </w:rPr>
        <w:t xml:space="preserve"> бюджетных учреждений.</w:t>
      </w:r>
    </w:p>
    <w:p w:rsidR="00A36D53" w:rsidRDefault="00A36D53" w:rsidP="009F1CCA">
      <w:pPr>
        <w:pStyle w:val="Style4"/>
        <w:widowControl/>
        <w:numPr>
          <w:ilvl w:val="0"/>
          <w:numId w:val="48"/>
        </w:numPr>
        <w:shd w:val="clear" w:color="auto" w:fill="auto"/>
        <w:tabs>
          <w:tab w:val="left" w:pos="540"/>
        </w:tabs>
        <w:spacing w:after="200" w:line="276" w:lineRule="auto"/>
        <w:jc w:val="both"/>
        <w:rPr>
          <w:rStyle w:val="CharStyle6"/>
          <w:rFonts w:ascii="Times New Roman" w:hAnsi="Times New Roman"/>
          <w:color w:val="000000"/>
          <w:sz w:val="24"/>
          <w:szCs w:val="28"/>
        </w:rPr>
      </w:pPr>
      <w:r w:rsidRPr="00A36D53">
        <w:rPr>
          <w:rStyle w:val="CharStyle6"/>
          <w:rFonts w:ascii="Times New Roman" w:hAnsi="Times New Roman"/>
          <w:color w:val="000000"/>
          <w:sz w:val="24"/>
          <w:szCs w:val="28"/>
        </w:rPr>
        <w:t>расшире</w:t>
      </w:r>
      <w:r>
        <w:rPr>
          <w:rStyle w:val="CharStyle6"/>
          <w:rFonts w:ascii="Times New Roman" w:hAnsi="Times New Roman"/>
          <w:color w:val="000000"/>
          <w:sz w:val="24"/>
          <w:szCs w:val="28"/>
        </w:rPr>
        <w:t>ние</w:t>
      </w:r>
      <w:r w:rsidRPr="00A36D53">
        <w:rPr>
          <w:rStyle w:val="CharStyle6"/>
          <w:rFonts w:ascii="Times New Roman" w:hAnsi="Times New Roman"/>
          <w:color w:val="000000"/>
          <w:sz w:val="24"/>
          <w:szCs w:val="28"/>
        </w:rPr>
        <w:t xml:space="preserve"> сфер</w:t>
      </w:r>
      <w:r>
        <w:rPr>
          <w:rStyle w:val="CharStyle6"/>
          <w:rFonts w:ascii="Times New Roman" w:hAnsi="Times New Roman"/>
          <w:color w:val="000000"/>
          <w:sz w:val="24"/>
          <w:szCs w:val="28"/>
        </w:rPr>
        <w:t>ы</w:t>
      </w:r>
      <w:r w:rsidRPr="00A36D53">
        <w:rPr>
          <w:rStyle w:val="CharStyle6"/>
          <w:rFonts w:ascii="Times New Roman" w:hAnsi="Times New Roman"/>
          <w:color w:val="000000"/>
          <w:sz w:val="24"/>
          <w:szCs w:val="28"/>
        </w:rPr>
        <w:t xml:space="preserve"> действия </w:t>
      </w:r>
      <w:r w:rsidRPr="00A36D53">
        <w:rPr>
          <w:rStyle w:val="CharStyle6"/>
          <w:rFonts w:ascii="Times New Roman" w:hAnsi="Times New Roman"/>
          <w:b/>
          <w:color w:val="000000"/>
          <w:sz w:val="24"/>
          <w:szCs w:val="28"/>
        </w:rPr>
        <w:t>казначейского аккредитива</w:t>
      </w:r>
      <w:r w:rsidRPr="00A36D53">
        <w:rPr>
          <w:rStyle w:val="CharStyle6"/>
          <w:rFonts w:ascii="Times New Roman" w:hAnsi="Times New Roman"/>
          <w:color w:val="000000"/>
          <w:sz w:val="24"/>
          <w:szCs w:val="28"/>
        </w:rPr>
        <w:t xml:space="preserve"> при предоставлении </w:t>
      </w:r>
      <w:r w:rsidR="003727A8">
        <w:rPr>
          <w:rStyle w:val="CharStyle6"/>
          <w:rFonts w:ascii="Times New Roman" w:hAnsi="Times New Roman"/>
          <w:color w:val="000000"/>
          <w:sz w:val="24"/>
          <w:szCs w:val="28"/>
        </w:rPr>
        <w:t xml:space="preserve">субсидий юридическим лицам, исполнении </w:t>
      </w:r>
      <w:proofErr w:type="spellStart"/>
      <w:r w:rsidR="003727A8">
        <w:rPr>
          <w:rStyle w:val="CharStyle6"/>
          <w:rFonts w:ascii="Times New Roman" w:hAnsi="Times New Roman"/>
          <w:color w:val="000000"/>
          <w:sz w:val="24"/>
          <w:szCs w:val="28"/>
        </w:rPr>
        <w:t>госконтрактов</w:t>
      </w:r>
      <w:proofErr w:type="spellEnd"/>
      <w:r w:rsidR="003727A8">
        <w:rPr>
          <w:rStyle w:val="CharStyle6"/>
          <w:rFonts w:ascii="Times New Roman" w:hAnsi="Times New Roman"/>
          <w:color w:val="000000"/>
          <w:sz w:val="24"/>
          <w:szCs w:val="28"/>
        </w:rPr>
        <w:t>, а также</w:t>
      </w:r>
      <w:r>
        <w:rPr>
          <w:rStyle w:val="CharStyle6"/>
          <w:rFonts w:ascii="Times New Roman" w:hAnsi="Times New Roman"/>
          <w:color w:val="000000"/>
          <w:sz w:val="24"/>
          <w:szCs w:val="28"/>
        </w:rPr>
        <w:t xml:space="preserve"> </w:t>
      </w:r>
      <w:r w:rsidRPr="00A36D53">
        <w:rPr>
          <w:rStyle w:val="CharStyle6"/>
          <w:rFonts w:ascii="Times New Roman" w:hAnsi="Times New Roman"/>
          <w:color w:val="000000"/>
          <w:sz w:val="24"/>
          <w:szCs w:val="28"/>
        </w:rPr>
        <w:t xml:space="preserve">банковском сопровождении отдельных </w:t>
      </w:r>
      <w:proofErr w:type="spellStart"/>
      <w:r w:rsidRPr="00A36D53">
        <w:rPr>
          <w:rStyle w:val="CharStyle6"/>
          <w:rFonts w:ascii="Times New Roman" w:hAnsi="Times New Roman"/>
          <w:color w:val="000000"/>
          <w:sz w:val="24"/>
          <w:szCs w:val="28"/>
        </w:rPr>
        <w:t>госконтрактов</w:t>
      </w:r>
      <w:proofErr w:type="spellEnd"/>
      <w:r>
        <w:rPr>
          <w:rStyle w:val="CharStyle6"/>
          <w:rFonts w:ascii="Times New Roman" w:hAnsi="Times New Roman"/>
          <w:color w:val="000000"/>
          <w:sz w:val="24"/>
          <w:szCs w:val="28"/>
        </w:rPr>
        <w:t>.</w:t>
      </w:r>
    </w:p>
    <w:p w:rsidR="0027766B" w:rsidRPr="00A17F02" w:rsidRDefault="0027766B" w:rsidP="009F1CCA">
      <w:pPr>
        <w:pStyle w:val="ConsPlusTitle"/>
        <w:numPr>
          <w:ilvl w:val="0"/>
          <w:numId w:val="48"/>
        </w:numPr>
        <w:tabs>
          <w:tab w:val="left" w:pos="540"/>
        </w:tabs>
        <w:spacing w:after="200" w:line="276" w:lineRule="auto"/>
        <w:jc w:val="both"/>
        <w:rPr>
          <w:b w:val="0"/>
          <w:szCs w:val="28"/>
        </w:rPr>
      </w:pPr>
      <w:r w:rsidRPr="00A17F02">
        <w:rPr>
          <w:b w:val="0"/>
          <w:szCs w:val="28"/>
        </w:rPr>
        <w:t xml:space="preserve">завершение формирования нормативно правовой базы, обеспечивающей </w:t>
      </w:r>
      <w:r w:rsidRPr="00081152">
        <w:rPr>
          <w:szCs w:val="28"/>
        </w:rPr>
        <w:t>доступ негосударственных организаций к оказанию государственных услуг</w:t>
      </w:r>
      <w:r w:rsidRPr="00A17F02">
        <w:rPr>
          <w:b w:val="0"/>
          <w:szCs w:val="28"/>
        </w:rPr>
        <w:t>;</w:t>
      </w:r>
    </w:p>
    <w:p w:rsidR="0027766B" w:rsidRPr="00A17F02" w:rsidRDefault="0027766B" w:rsidP="009F1CCA">
      <w:pPr>
        <w:pStyle w:val="ConsPlusTitle"/>
        <w:widowControl/>
        <w:numPr>
          <w:ilvl w:val="0"/>
          <w:numId w:val="48"/>
        </w:numPr>
        <w:tabs>
          <w:tab w:val="left" w:pos="540"/>
        </w:tabs>
        <w:spacing w:after="200" w:line="276" w:lineRule="auto"/>
        <w:jc w:val="both"/>
        <w:rPr>
          <w:b w:val="0"/>
          <w:szCs w:val="28"/>
        </w:rPr>
      </w:pPr>
      <w:r w:rsidRPr="00A17F02">
        <w:rPr>
          <w:b w:val="0"/>
          <w:szCs w:val="28"/>
        </w:rPr>
        <w:t xml:space="preserve">использование </w:t>
      </w:r>
      <w:r w:rsidRPr="00CA5C9E">
        <w:rPr>
          <w:szCs w:val="28"/>
        </w:rPr>
        <w:t xml:space="preserve">конкурентных способов отбора организаций </w:t>
      </w:r>
      <w:r w:rsidR="00CF7142">
        <w:rPr>
          <w:szCs w:val="28"/>
        </w:rPr>
        <w:t>для</w:t>
      </w:r>
      <w:r w:rsidRPr="00CA5C9E">
        <w:rPr>
          <w:szCs w:val="28"/>
        </w:rPr>
        <w:t xml:space="preserve"> оказания государственных услуг</w:t>
      </w:r>
      <w:r w:rsidRPr="00A17F02">
        <w:rPr>
          <w:b w:val="0"/>
          <w:szCs w:val="28"/>
        </w:rPr>
        <w:t>, в том числе путем проведения конкурсов и аукционов, предоставления сертификатов на оказание услуг, с использованием механизмов государственно-частного партнерства;</w:t>
      </w:r>
    </w:p>
    <w:p w:rsidR="0027766B" w:rsidRPr="00A17F02" w:rsidRDefault="0027766B" w:rsidP="009F1CCA">
      <w:pPr>
        <w:pStyle w:val="ConsPlusTitle"/>
        <w:widowControl/>
        <w:numPr>
          <w:ilvl w:val="0"/>
          <w:numId w:val="48"/>
        </w:numPr>
        <w:tabs>
          <w:tab w:val="left" w:pos="540"/>
        </w:tabs>
        <w:spacing w:after="200" w:line="276" w:lineRule="auto"/>
        <w:jc w:val="both"/>
        <w:rPr>
          <w:rStyle w:val="CharStyle6"/>
          <w:b w:val="0"/>
          <w:color w:val="000000"/>
          <w:szCs w:val="28"/>
        </w:rPr>
      </w:pPr>
      <w:r w:rsidRPr="00A17F02">
        <w:rPr>
          <w:rStyle w:val="CharStyle6"/>
          <w:b w:val="0"/>
          <w:color w:val="000000"/>
          <w:szCs w:val="28"/>
        </w:rPr>
        <w:t>обеспечение перехода от предоставления взносов в уставные капиталы юридических лиц на капитальное строительство к применению других механизмов расходов бюджетов (предоставление субсидий и передача полномочий государственного заказчика);</w:t>
      </w:r>
    </w:p>
    <w:p w:rsidR="0027766B" w:rsidRDefault="0027766B" w:rsidP="009F1CCA">
      <w:pPr>
        <w:pStyle w:val="ConsPlusTitle"/>
        <w:widowControl/>
        <w:numPr>
          <w:ilvl w:val="0"/>
          <w:numId w:val="48"/>
        </w:numPr>
        <w:tabs>
          <w:tab w:val="left" w:pos="540"/>
        </w:tabs>
        <w:spacing w:after="200" w:line="276" w:lineRule="auto"/>
        <w:jc w:val="both"/>
        <w:rPr>
          <w:rStyle w:val="CharStyle6"/>
          <w:b w:val="0"/>
          <w:color w:val="000000"/>
          <w:szCs w:val="28"/>
        </w:rPr>
      </w:pPr>
      <w:r w:rsidRPr="00A17F02">
        <w:rPr>
          <w:rStyle w:val="CharStyle6"/>
          <w:b w:val="0"/>
          <w:color w:val="000000"/>
          <w:szCs w:val="28"/>
        </w:rPr>
        <w:t xml:space="preserve">введение в процедуру планирования бюджетных инвестиций в объекты капитального строительства </w:t>
      </w:r>
      <w:r w:rsidRPr="00CA5C9E">
        <w:rPr>
          <w:rStyle w:val="CharStyle6"/>
          <w:color w:val="000000"/>
          <w:szCs w:val="28"/>
        </w:rPr>
        <w:t>механизма обоснования инвестиций</w:t>
      </w:r>
      <w:r w:rsidRPr="00A17F02">
        <w:rPr>
          <w:rStyle w:val="CharStyle6"/>
          <w:b w:val="0"/>
          <w:color w:val="000000"/>
          <w:szCs w:val="28"/>
        </w:rPr>
        <w:t xml:space="preserve"> и проведения его </w:t>
      </w:r>
      <w:r w:rsidRPr="00CA5C9E">
        <w:rPr>
          <w:rStyle w:val="CharStyle6"/>
          <w:color w:val="000000"/>
          <w:szCs w:val="28"/>
        </w:rPr>
        <w:t>технологического и ценового аудита</w:t>
      </w:r>
      <w:r w:rsidRPr="00A17F02">
        <w:rPr>
          <w:rStyle w:val="CharStyle6"/>
          <w:b w:val="0"/>
          <w:color w:val="000000"/>
          <w:szCs w:val="28"/>
        </w:rPr>
        <w:t>.</w:t>
      </w:r>
    </w:p>
    <w:p w:rsidR="000F71E3" w:rsidRPr="00BF1AEF" w:rsidRDefault="0042449F" w:rsidP="000F71E3">
      <w:pPr>
        <w:autoSpaceDE w:val="0"/>
        <w:autoSpaceDN w:val="0"/>
        <w:adjustRightInd w:val="0"/>
        <w:spacing w:before="120" w:after="120"/>
        <w:jc w:val="both"/>
        <w:rPr>
          <w:rFonts w:ascii="Times New Roman" w:eastAsia="Times New Roman" w:hAnsi="Times New Roman"/>
          <w:bCs/>
          <w:sz w:val="24"/>
          <w:szCs w:val="28"/>
          <w:lang w:eastAsia="ru-RU"/>
        </w:rPr>
      </w:pPr>
      <w:r>
        <w:rPr>
          <w:rFonts w:ascii="Times New Roman" w:eastAsia="Times New Roman" w:hAnsi="Times New Roman"/>
          <w:bCs/>
          <w:sz w:val="24"/>
          <w:szCs w:val="28"/>
          <w:lang w:eastAsia="ru-RU"/>
        </w:rPr>
        <w:t xml:space="preserve">В сфере </w:t>
      </w:r>
      <w:r w:rsidRPr="0042449F">
        <w:rPr>
          <w:rFonts w:ascii="Times New Roman" w:eastAsia="Times New Roman" w:hAnsi="Times New Roman"/>
          <w:b/>
          <w:bCs/>
          <w:sz w:val="24"/>
          <w:szCs w:val="28"/>
          <w:lang w:eastAsia="ru-RU"/>
        </w:rPr>
        <w:t xml:space="preserve">развития </w:t>
      </w:r>
      <w:r w:rsidR="000F71E3" w:rsidRPr="0042449F">
        <w:rPr>
          <w:rFonts w:ascii="Times New Roman" w:eastAsia="Times New Roman" w:hAnsi="Times New Roman"/>
          <w:b/>
          <w:bCs/>
          <w:sz w:val="24"/>
          <w:szCs w:val="28"/>
          <w:lang w:eastAsia="ru-RU"/>
        </w:rPr>
        <w:t>контрактной системы</w:t>
      </w:r>
      <w:r w:rsidR="000F71E3" w:rsidRPr="00BF1AEF">
        <w:rPr>
          <w:rFonts w:ascii="Times New Roman" w:eastAsia="Times New Roman" w:hAnsi="Times New Roman"/>
          <w:bCs/>
          <w:sz w:val="24"/>
          <w:szCs w:val="28"/>
          <w:lang w:eastAsia="ru-RU"/>
        </w:rPr>
        <w:t xml:space="preserve"> на настоящем этапе </w:t>
      </w:r>
      <w:r>
        <w:rPr>
          <w:rFonts w:ascii="Times New Roman" w:eastAsia="Times New Roman" w:hAnsi="Times New Roman"/>
          <w:bCs/>
          <w:sz w:val="24"/>
          <w:szCs w:val="28"/>
          <w:lang w:eastAsia="ru-RU"/>
        </w:rPr>
        <w:t xml:space="preserve">предлагается сконцентрироваться на </w:t>
      </w:r>
      <w:r w:rsidR="000F71E3" w:rsidRPr="00BF1AEF">
        <w:rPr>
          <w:rFonts w:ascii="Times New Roman" w:eastAsia="Times New Roman" w:hAnsi="Times New Roman"/>
          <w:bCs/>
          <w:sz w:val="24"/>
          <w:szCs w:val="28"/>
          <w:lang w:eastAsia="ru-RU"/>
        </w:rPr>
        <w:t>создании информационного пространства, которое позволит участникам контрактных отношений соблюдать заложенные в законодательстве о контрактной системе принципы открытости и прозрачности. Такая задача может быть решена только через использование электронных документов, единых классификаторов, единых первичных источников информации.</w:t>
      </w:r>
    </w:p>
    <w:p w:rsidR="00CC3396" w:rsidRDefault="000F71E3" w:rsidP="000F71E3">
      <w:pPr>
        <w:autoSpaceDE w:val="0"/>
        <w:autoSpaceDN w:val="0"/>
        <w:adjustRightInd w:val="0"/>
        <w:spacing w:before="120" w:after="120"/>
        <w:jc w:val="both"/>
        <w:rPr>
          <w:rStyle w:val="CharStyle6"/>
          <w:rFonts w:ascii="Times New Roman" w:hAnsi="Times New Roman"/>
          <w:color w:val="000000"/>
          <w:sz w:val="24"/>
          <w:szCs w:val="28"/>
        </w:rPr>
      </w:pPr>
      <w:r w:rsidRPr="00BF1AEF">
        <w:rPr>
          <w:rFonts w:ascii="Times New Roman" w:eastAsia="Times New Roman" w:hAnsi="Times New Roman"/>
          <w:bCs/>
          <w:sz w:val="24"/>
          <w:szCs w:val="28"/>
          <w:lang w:eastAsia="ru-RU"/>
        </w:rPr>
        <w:t>В этой связи к</w:t>
      </w:r>
      <w:r w:rsidRPr="00BF1AEF">
        <w:rPr>
          <w:rFonts w:ascii="Times New Roman" w:hAnsi="Times New Roman"/>
          <w:color w:val="000000"/>
          <w:sz w:val="24"/>
          <w:szCs w:val="28"/>
        </w:rPr>
        <w:t>лючевыми направлениями</w:t>
      </w:r>
      <w:r w:rsidRPr="00BF1AEF">
        <w:rPr>
          <w:rFonts w:ascii="Times New Roman" w:eastAsia="Times New Roman" w:hAnsi="Times New Roman"/>
          <w:bCs/>
          <w:sz w:val="24"/>
          <w:szCs w:val="28"/>
          <w:lang w:eastAsia="ru-RU"/>
        </w:rPr>
        <w:t xml:space="preserve"> совершенствования контрактной системы </w:t>
      </w:r>
      <w:r w:rsidRPr="00BF1AEF">
        <w:rPr>
          <w:rFonts w:ascii="Times New Roman" w:hAnsi="Times New Roman"/>
          <w:color w:val="000000"/>
          <w:sz w:val="24"/>
          <w:szCs w:val="28"/>
        </w:rPr>
        <w:t>в 2018-2020 гг.</w:t>
      </w:r>
      <w:r w:rsidRPr="00BF1AEF">
        <w:rPr>
          <w:rFonts w:ascii="Times New Roman" w:hAnsi="Times New Roman"/>
          <w:b/>
          <w:color w:val="000000"/>
          <w:sz w:val="24"/>
          <w:szCs w:val="28"/>
        </w:rPr>
        <w:t xml:space="preserve"> </w:t>
      </w:r>
      <w:r w:rsidRPr="00BF1AEF">
        <w:rPr>
          <w:rFonts w:ascii="Times New Roman" w:hAnsi="Times New Roman"/>
          <w:color w:val="000000"/>
          <w:sz w:val="24"/>
          <w:szCs w:val="28"/>
        </w:rPr>
        <w:t>станут</w:t>
      </w:r>
      <w:r w:rsidR="00CC3396">
        <w:rPr>
          <w:rStyle w:val="CharStyle6"/>
          <w:rFonts w:ascii="Times New Roman" w:hAnsi="Times New Roman"/>
          <w:color w:val="000000"/>
          <w:sz w:val="24"/>
          <w:szCs w:val="28"/>
        </w:rPr>
        <w:t>:</w:t>
      </w:r>
    </w:p>
    <w:p w:rsidR="000F71E3" w:rsidRPr="00BF1AEF" w:rsidRDefault="000F71E3" w:rsidP="009F1CCA">
      <w:pPr>
        <w:numPr>
          <w:ilvl w:val="0"/>
          <w:numId w:val="50"/>
        </w:numPr>
        <w:autoSpaceDE w:val="0"/>
        <w:autoSpaceDN w:val="0"/>
        <w:adjustRightInd w:val="0"/>
        <w:spacing w:before="120" w:after="120" w:line="259" w:lineRule="auto"/>
        <w:ind w:left="340" w:hanging="340"/>
        <w:jc w:val="both"/>
        <w:rPr>
          <w:rFonts w:ascii="Times New Roman" w:eastAsia="Times New Roman" w:hAnsi="Times New Roman"/>
          <w:bCs/>
          <w:sz w:val="24"/>
          <w:szCs w:val="28"/>
          <w:lang w:eastAsia="ru-RU"/>
        </w:rPr>
      </w:pPr>
      <w:r w:rsidRPr="00BF1AEF">
        <w:rPr>
          <w:rFonts w:ascii="Times New Roman" w:eastAsia="Times New Roman" w:hAnsi="Times New Roman"/>
          <w:bCs/>
          <w:sz w:val="24"/>
          <w:szCs w:val="28"/>
          <w:lang w:eastAsia="ru-RU"/>
        </w:rPr>
        <w:t>разработка</w:t>
      </w:r>
      <w:r w:rsidRPr="00BF1AEF">
        <w:rPr>
          <w:rFonts w:ascii="Times New Roman" w:eastAsia="Times New Roman" w:hAnsi="Times New Roman"/>
          <w:b/>
          <w:bCs/>
          <w:sz w:val="24"/>
          <w:szCs w:val="28"/>
          <w:lang w:eastAsia="ru-RU"/>
        </w:rPr>
        <w:t xml:space="preserve"> нормативно-правовой базы</w:t>
      </w:r>
      <w:r w:rsidRPr="00BF1AEF">
        <w:rPr>
          <w:rFonts w:ascii="Times New Roman" w:eastAsia="Times New Roman" w:hAnsi="Times New Roman"/>
          <w:bCs/>
          <w:sz w:val="24"/>
          <w:szCs w:val="28"/>
          <w:lang w:eastAsia="ru-RU"/>
        </w:rPr>
        <w:t>, предусматривающей:</w:t>
      </w:r>
    </w:p>
    <w:p w:rsidR="000F71E3" w:rsidRPr="00BF1AEF" w:rsidRDefault="000F71E3" w:rsidP="009F1CCA">
      <w:pPr>
        <w:numPr>
          <w:ilvl w:val="0"/>
          <w:numId w:val="56"/>
        </w:numPr>
        <w:autoSpaceDE w:val="0"/>
        <w:autoSpaceDN w:val="0"/>
        <w:adjustRightInd w:val="0"/>
        <w:spacing w:before="120" w:after="120" w:line="259" w:lineRule="auto"/>
        <w:ind w:left="737" w:hanging="340"/>
        <w:jc w:val="both"/>
        <w:rPr>
          <w:rFonts w:ascii="Times New Roman" w:hAnsi="Times New Roman"/>
          <w:sz w:val="24"/>
          <w:szCs w:val="24"/>
          <w:lang w:eastAsia="ru-RU"/>
        </w:rPr>
      </w:pPr>
      <w:r w:rsidRPr="00BF1AEF">
        <w:rPr>
          <w:rFonts w:ascii="Times New Roman" w:eastAsia="Times New Roman" w:hAnsi="Times New Roman"/>
          <w:bCs/>
          <w:sz w:val="24"/>
          <w:szCs w:val="28"/>
          <w:lang w:eastAsia="ru-RU"/>
        </w:rPr>
        <w:t xml:space="preserve">перевод бумажных процедур определения поставщиков (подрядчиков, исполнителей) </w:t>
      </w:r>
      <w:r w:rsidRPr="00BF1AEF">
        <w:rPr>
          <w:rFonts w:ascii="Times New Roman" w:eastAsia="Times New Roman" w:hAnsi="Times New Roman"/>
          <w:b/>
          <w:bCs/>
          <w:sz w:val="24"/>
          <w:szCs w:val="28"/>
          <w:lang w:eastAsia="ru-RU"/>
        </w:rPr>
        <w:t>в электронную форму</w:t>
      </w:r>
      <w:r w:rsidRPr="00BF1AEF">
        <w:rPr>
          <w:rFonts w:ascii="Times New Roman" w:eastAsia="Times New Roman" w:hAnsi="Times New Roman"/>
          <w:bCs/>
          <w:sz w:val="24"/>
          <w:szCs w:val="28"/>
          <w:lang w:eastAsia="ru-RU"/>
        </w:rPr>
        <w:t xml:space="preserve">, что </w:t>
      </w:r>
      <w:r w:rsidRPr="00BF1AEF">
        <w:rPr>
          <w:rFonts w:ascii="Times New Roman" w:hAnsi="Times New Roman"/>
          <w:sz w:val="24"/>
          <w:szCs w:val="24"/>
          <w:lang w:eastAsia="ru-RU"/>
        </w:rPr>
        <w:t>позволит повысить анонимность подачи и рассмотрения заказчиками заявок участников закупок, обеспечить добросовестную конкуренцию и увеличение объема экономии бюджетных средств за счет снижения рисков сговора между заказчиками и участниками;</w:t>
      </w:r>
    </w:p>
    <w:p w:rsidR="000F71E3" w:rsidRPr="00BF1AEF" w:rsidRDefault="000F71E3" w:rsidP="009F1CCA">
      <w:pPr>
        <w:numPr>
          <w:ilvl w:val="0"/>
          <w:numId w:val="56"/>
        </w:numPr>
        <w:autoSpaceDE w:val="0"/>
        <w:autoSpaceDN w:val="0"/>
        <w:adjustRightInd w:val="0"/>
        <w:spacing w:before="120" w:after="120" w:line="259" w:lineRule="auto"/>
        <w:ind w:left="737" w:hanging="340"/>
        <w:jc w:val="both"/>
        <w:rPr>
          <w:rFonts w:ascii="Times New Roman" w:hAnsi="Times New Roman"/>
          <w:sz w:val="24"/>
          <w:szCs w:val="24"/>
          <w:lang w:eastAsia="ru-RU"/>
        </w:rPr>
      </w:pPr>
      <w:r w:rsidRPr="00BF1AEF">
        <w:rPr>
          <w:rFonts w:ascii="Times New Roman" w:eastAsia="Times New Roman" w:hAnsi="Times New Roman"/>
          <w:bCs/>
          <w:sz w:val="24"/>
          <w:szCs w:val="28"/>
          <w:lang w:eastAsia="ru-RU"/>
        </w:rPr>
        <w:t xml:space="preserve">введение </w:t>
      </w:r>
      <w:r w:rsidRPr="00BF1AEF">
        <w:rPr>
          <w:rFonts w:ascii="Times New Roman" w:eastAsia="Times New Roman" w:hAnsi="Times New Roman"/>
          <w:b/>
          <w:bCs/>
          <w:sz w:val="24"/>
          <w:szCs w:val="28"/>
          <w:lang w:eastAsia="ru-RU"/>
        </w:rPr>
        <w:t xml:space="preserve">исчерпывающего перечня способов осуществления закупок </w:t>
      </w:r>
      <w:r w:rsidRPr="00BF1AEF">
        <w:rPr>
          <w:rFonts w:ascii="Times New Roman" w:eastAsia="Times New Roman" w:hAnsi="Times New Roman"/>
          <w:bCs/>
          <w:sz w:val="24"/>
          <w:szCs w:val="28"/>
          <w:lang w:eastAsia="ru-RU"/>
        </w:rPr>
        <w:t>в рамках законодательства о закупках отдельными видами юридических лиц (законопроект №</w:t>
      </w:r>
      <w:r w:rsidRPr="007F2C2A">
        <w:rPr>
          <w:rFonts w:ascii="Times New Roman" w:eastAsia="Times New Roman" w:hAnsi="Times New Roman"/>
          <w:bCs/>
          <w:sz w:val="24"/>
          <w:szCs w:val="28"/>
          <w:lang w:eastAsia="ru-RU"/>
        </w:rPr>
        <w:t> </w:t>
      </w:r>
      <w:r w:rsidRPr="00BF1AEF">
        <w:rPr>
          <w:rFonts w:ascii="Times New Roman" w:eastAsia="Times New Roman" w:hAnsi="Times New Roman"/>
          <w:bCs/>
          <w:sz w:val="24"/>
          <w:szCs w:val="28"/>
          <w:lang w:eastAsia="ru-RU"/>
        </w:rPr>
        <w:t xml:space="preserve">821534-6), направленное на </w:t>
      </w:r>
      <w:r w:rsidRPr="00BF1AEF">
        <w:rPr>
          <w:rFonts w:ascii="Times New Roman" w:hAnsi="Times New Roman"/>
          <w:sz w:val="24"/>
          <w:szCs w:val="24"/>
          <w:lang w:eastAsia="ru-RU"/>
        </w:rPr>
        <w:t>повышение гласности, прозрачности, эффективности закупок, осуществляемых отдельными видами юридических лиц, а также расширение возможностей доступа малых и средних предприятий к закупкам таких заказчиков.</w:t>
      </w:r>
    </w:p>
    <w:p w:rsidR="000F71E3" w:rsidRPr="00BF1AEF" w:rsidRDefault="000F71E3" w:rsidP="009F1CCA">
      <w:pPr>
        <w:numPr>
          <w:ilvl w:val="0"/>
          <w:numId w:val="50"/>
        </w:numPr>
        <w:autoSpaceDE w:val="0"/>
        <w:autoSpaceDN w:val="0"/>
        <w:adjustRightInd w:val="0"/>
        <w:spacing w:before="120" w:after="120" w:line="259" w:lineRule="auto"/>
        <w:ind w:left="340" w:hanging="340"/>
        <w:jc w:val="both"/>
        <w:rPr>
          <w:rFonts w:ascii="Times New Roman" w:eastAsia="Times New Roman" w:hAnsi="Times New Roman"/>
          <w:bCs/>
          <w:sz w:val="24"/>
          <w:szCs w:val="28"/>
          <w:lang w:eastAsia="ru-RU"/>
        </w:rPr>
      </w:pPr>
      <w:r w:rsidRPr="00BF1AEF">
        <w:rPr>
          <w:rFonts w:ascii="Times New Roman" w:eastAsia="Times New Roman" w:hAnsi="Times New Roman"/>
          <w:bCs/>
          <w:sz w:val="24"/>
          <w:szCs w:val="28"/>
          <w:lang w:eastAsia="ru-RU"/>
        </w:rPr>
        <w:t xml:space="preserve">формирование и ведение </w:t>
      </w:r>
      <w:r w:rsidRPr="000F71E3">
        <w:rPr>
          <w:rFonts w:ascii="Times New Roman" w:eastAsia="Times New Roman" w:hAnsi="Times New Roman"/>
          <w:b/>
          <w:bCs/>
          <w:sz w:val="24"/>
          <w:szCs w:val="28"/>
          <w:lang w:eastAsia="ru-RU"/>
        </w:rPr>
        <w:t>каталога товаров</w:t>
      </w:r>
      <w:r w:rsidRPr="000F71E3">
        <w:rPr>
          <w:rFonts w:ascii="Times New Roman" w:eastAsia="Times New Roman" w:hAnsi="Times New Roman"/>
          <w:bCs/>
          <w:sz w:val="24"/>
          <w:szCs w:val="28"/>
          <w:lang w:eastAsia="ru-RU"/>
        </w:rPr>
        <w:t>, работ, услуг</w:t>
      </w:r>
      <w:r w:rsidRPr="00BF1AEF">
        <w:rPr>
          <w:rFonts w:ascii="Times New Roman" w:eastAsia="Times New Roman" w:hAnsi="Times New Roman"/>
          <w:bCs/>
          <w:sz w:val="24"/>
          <w:szCs w:val="28"/>
          <w:lang w:eastAsia="ru-RU"/>
        </w:rPr>
        <w:t xml:space="preserve"> для обеспечения государственных и муниципальных нужд в единой информационной системе в сфере закупок, что обеспечит:</w:t>
      </w:r>
    </w:p>
    <w:p w:rsidR="000F71E3" w:rsidRPr="00BF1AEF" w:rsidRDefault="000F71E3" w:rsidP="009F1CCA">
      <w:pPr>
        <w:numPr>
          <w:ilvl w:val="0"/>
          <w:numId w:val="56"/>
        </w:numPr>
        <w:autoSpaceDE w:val="0"/>
        <w:autoSpaceDN w:val="0"/>
        <w:adjustRightInd w:val="0"/>
        <w:spacing w:before="120" w:after="120" w:line="259" w:lineRule="auto"/>
        <w:ind w:left="737" w:hanging="340"/>
        <w:jc w:val="both"/>
        <w:rPr>
          <w:rFonts w:ascii="Times New Roman" w:eastAsia="Times New Roman" w:hAnsi="Times New Roman"/>
          <w:bCs/>
          <w:sz w:val="24"/>
          <w:szCs w:val="28"/>
          <w:lang w:eastAsia="ru-RU"/>
        </w:rPr>
      </w:pPr>
      <w:r w:rsidRPr="00BF1AEF">
        <w:rPr>
          <w:rFonts w:ascii="Times New Roman" w:eastAsia="Times New Roman" w:hAnsi="Times New Roman"/>
          <w:bCs/>
          <w:sz w:val="24"/>
          <w:szCs w:val="28"/>
          <w:lang w:eastAsia="ru-RU"/>
        </w:rPr>
        <w:t>повышение прозрачности закупок и снижение коррупционных рисков за счет введения единообразных наименований товаров, работ, услуг;</w:t>
      </w:r>
    </w:p>
    <w:p w:rsidR="000F71E3" w:rsidRPr="00BF1AEF" w:rsidRDefault="000F71E3" w:rsidP="009F1CCA">
      <w:pPr>
        <w:numPr>
          <w:ilvl w:val="0"/>
          <w:numId w:val="56"/>
        </w:numPr>
        <w:autoSpaceDE w:val="0"/>
        <w:autoSpaceDN w:val="0"/>
        <w:adjustRightInd w:val="0"/>
        <w:spacing w:before="120" w:after="120" w:line="259" w:lineRule="auto"/>
        <w:ind w:left="737" w:hanging="340"/>
        <w:jc w:val="both"/>
        <w:rPr>
          <w:rFonts w:ascii="Times New Roman" w:eastAsia="Times New Roman" w:hAnsi="Times New Roman"/>
          <w:bCs/>
          <w:sz w:val="24"/>
          <w:szCs w:val="28"/>
          <w:lang w:eastAsia="ru-RU"/>
        </w:rPr>
      </w:pPr>
      <w:r w:rsidRPr="00BF1AEF">
        <w:rPr>
          <w:rFonts w:ascii="Times New Roman" w:eastAsia="Times New Roman" w:hAnsi="Times New Roman"/>
          <w:bCs/>
          <w:sz w:val="24"/>
          <w:szCs w:val="28"/>
          <w:lang w:eastAsia="ru-RU"/>
        </w:rPr>
        <w:t>снижение издержек заказчиков за счет стандартизации подходов к описанию объектов закупок;</w:t>
      </w:r>
    </w:p>
    <w:p w:rsidR="000F71E3" w:rsidRPr="00BF1AEF" w:rsidRDefault="000F71E3" w:rsidP="009F1CCA">
      <w:pPr>
        <w:numPr>
          <w:ilvl w:val="0"/>
          <w:numId w:val="56"/>
        </w:numPr>
        <w:autoSpaceDE w:val="0"/>
        <w:autoSpaceDN w:val="0"/>
        <w:adjustRightInd w:val="0"/>
        <w:spacing w:before="120" w:after="120" w:line="259" w:lineRule="auto"/>
        <w:ind w:left="737" w:hanging="340"/>
        <w:jc w:val="both"/>
        <w:rPr>
          <w:rFonts w:ascii="Times New Roman" w:eastAsia="Times New Roman" w:hAnsi="Times New Roman"/>
          <w:bCs/>
          <w:sz w:val="24"/>
          <w:szCs w:val="28"/>
          <w:lang w:eastAsia="ru-RU"/>
        </w:rPr>
      </w:pPr>
      <w:r w:rsidRPr="00BF1AEF">
        <w:rPr>
          <w:rFonts w:ascii="Times New Roman" w:eastAsia="Times New Roman" w:hAnsi="Times New Roman"/>
          <w:bCs/>
          <w:sz w:val="24"/>
          <w:szCs w:val="28"/>
          <w:lang w:eastAsia="ru-RU"/>
        </w:rPr>
        <w:t xml:space="preserve">формирование </w:t>
      </w:r>
      <w:proofErr w:type="spellStart"/>
      <w:r w:rsidRPr="00BF1AEF">
        <w:rPr>
          <w:rFonts w:ascii="Times New Roman" w:eastAsia="Times New Roman" w:hAnsi="Times New Roman"/>
          <w:bCs/>
          <w:sz w:val="24"/>
          <w:szCs w:val="28"/>
          <w:lang w:eastAsia="ru-RU"/>
        </w:rPr>
        <w:t>референтных</w:t>
      </w:r>
      <w:proofErr w:type="spellEnd"/>
      <w:r w:rsidRPr="00BF1AEF">
        <w:rPr>
          <w:rFonts w:ascii="Times New Roman" w:eastAsia="Times New Roman" w:hAnsi="Times New Roman"/>
          <w:bCs/>
          <w:sz w:val="24"/>
          <w:szCs w:val="28"/>
          <w:lang w:eastAsia="ru-RU"/>
        </w:rPr>
        <w:t xml:space="preserve"> цен на товары, работы, услуги;</w:t>
      </w:r>
    </w:p>
    <w:p w:rsidR="000F71E3" w:rsidRDefault="000F71E3" w:rsidP="009F1CCA">
      <w:pPr>
        <w:numPr>
          <w:ilvl w:val="0"/>
          <w:numId w:val="56"/>
        </w:numPr>
        <w:autoSpaceDE w:val="0"/>
        <w:autoSpaceDN w:val="0"/>
        <w:adjustRightInd w:val="0"/>
        <w:spacing w:before="120" w:after="120" w:line="259" w:lineRule="auto"/>
        <w:ind w:left="737" w:hanging="340"/>
        <w:jc w:val="both"/>
        <w:rPr>
          <w:rFonts w:ascii="Times New Roman" w:eastAsia="Times New Roman" w:hAnsi="Times New Roman"/>
          <w:bCs/>
          <w:sz w:val="24"/>
          <w:szCs w:val="28"/>
          <w:lang w:eastAsia="ru-RU"/>
        </w:rPr>
      </w:pPr>
      <w:r>
        <w:rPr>
          <w:rFonts w:ascii="Times New Roman" w:eastAsia="Times New Roman" w:hAnsi="Times New Roman"/>
          <w:bCs/>
          <w:sz w:val="24"/>
          <w:szCs w:val="28"/>
          <w:lang w:eastAsia="ru-RU"/>
        </w:rPr>
        <w:t>повышение эффективности контроля закупок.</w:t>
      </w:r>
    </w:p>
    <w:p w:rsidR="000F71E3" w:rsidRDefault="000F71E3" w:rsidP="009F1CCA">
      <w:pPr>
        <w:numPr>
          <w:ilvl w:val="0"/>
          <w:numId w:val="50"/>
        </w:numPr>
        <w:autoSpaceDE w:val="0"/>
        <w:autoSpaceDN w:val="0"/>
        <w:adjustRightInd w:val="0"/>
        <w:spacing w:before="120" w:after="120" w:line="259" w:lineRule="auto"/>
        <w:ind w:left="340" w:hanging="340"/>
        <w:jc w:val="both"/>
        <w:rPr>
          <w:rFonts w:ascii="Times New Roman" w:eastAsia="Times New Roman" w:hAnsi="Times New Roman"/>
          <w:bCs/>
          <w:sz w:val="24"/>
          <w:szCs w:val="28"/>
          <w:lang w:eastAsia="ru-RU"/>
        </w:rPr>
      </w:pPr>
      <w:r w:rsidRPr="00BF1AEF">
        <w:rPr>
          <w:rFonts w:ascii="Times New Roman" w:eastAsia="Times New Roman" w:hAnsi="Times New Roman"/>
          <w:bCs/>
          <w:sz w:val="24"/>
          <w:szCs w:val="28"/>
          <w:lang w:eastAsia="ru-RU"/>
        </w:rPr>
        <w:t xml:space="preserve">оптимизация порядка осуществления </w:t>
      </w:r>
      <w:r w:rsidRPr="000F71E3">
        <w:rPr>
          <w:rFonts w:ascii="Times New Roman" w:eastAsia="Times New Roman" w:hAnsi="Times New Roman"/>
          <w:b/>
          <w:bCs/>
          <w:sz w:val="24"/>
          <w:szCs w:val="28"/>
          <w:lang w:eastAsia="ru-RU"/>
        </w:rPr>
        <w:t>казначейского контроля</w:t>
      </w:r>
      <w:r w:rsidRPr="00BF1AEF">
        <w:rPr>
          <w:rFonts w:ascii="Times New Roman" w:eastAsia="Times New Roman" w:hAnsi="Times New Roman"/>
          <w:bCs/>
          <w:sz w:val="24"/>
          <w:szCs w:val="28"/>
          <w:lang w:eastAsia="ru-RU"/>
        </w:rPr>
        <w:t>, предусмотренного частью 5 статьи 99 Закона о контрактной системе, в целях повышения эффективности его применения, исключения случаев необоснованного автоматического блокирования закупочной деятельности заказчиков, сокращения их временных и финансовых затрат при осуществлении закупок.</w:t>
      </w:r>
    </w:p>
    <w:p w:rsidR="007E5DFE" w:rsidRPr="00BF1AEF" w:rsidRDefault="007E5DFE" w:rsidP="009F1CCA">
      <w:pPr>
        <w:numPr>
          <w:ilvl w:val="0"/>
          <w:numId w:val="50"/>
        </w:numPr>
        <w:autoSpaceDE w:val="0"/>
        <w:autoSpaceDN w:val="0"/>
        <w:adjustRightInd w:val="0"/>
        <w:spacing w:before="120" w:after="120" w:line="259" w:lineRule="auto"/>
        <w:ind w:left="340" w:hanging="340"/>
        <w:jc w:val="both"/>
        <w:rPr>
          <w:rFonts w:ascii="Times New Roman" w:eastAsia="Times New Roman" w:hAnsi="Times New Roman"/>
          <w:bCs/>
          <w:sz w:val="24"/>
          <w:szCs w:val="28"/>
          <w:lang w:eastAsia="ru-RU"/>
        </w:rPr>
      </w:pPr>
      <w:r w:rsidRPr="00BF1AEF">
        <w:rPr>
          <w:rFonts w:ascii="Times New Roman" w:eastAsia="Times New Roman" w:hAnsi="Times New Roman"/>
          <w:bCs/>
          <w:sz w:val="24"/>
          <w:szCs w:val="28"/>
          <w:lang w:eastAsia="ru-RU"/>
        </w:rPr>
        <w:t xml:space="preserve">создание механизма </w:t>
      </w:r>
      <w:r w:rsidRPr="000F71E3">
        <w:rPr>
          <w:rFonts w:ascii="Times New Roman" w:eastAsia="Times New Roman" w:hAnsi="Times New Roman"/>
          <w:b/>
          <w:bCs/>
          <w:sz w:val="24"/>
          <w:szCs w:val="28"/>
          <w:lang w:eastAsia="ru-RU"/>
        </w:rPr>
        <w:t>планирования закупок</w:t>
      </w:r>
      <w:r w:rsidRPr="00BF1AEF">
        <w:rPr>
          <w:rFonts w:ascii="Times New Roman" w:eastAsia="Times New Roman" w:hAnsi="Times New Roman"/>
          <w:bCs/>
          <w:sz w:val="24"/>
          <w:szCs w:val="28"/>
          <w:lang w:eastAsia="ru-RU"/>
        </w:rPr>
        <w:t>, позволяющего устранить излишние административные барьеры, сократить трудовые и временные затраты на формирование информации о планируемых закупках при сохранении прозрачности закупочной деятельности для потенциальных участников</w:t>
      </w:r>
      <w:r>
        <w:rPr>
          <w:rFonts w:ascii="Times New Roman" w:eastAsia="Times New Roman" w:hAnsi="Times New Roman"/>
          <w:bCs/>
          <w:sz w:val="24"/>
          <w:szCs w:val="28"/>
          <w:lang w:eastAsia="ru-RU"/>
        </w:rPr>
        <w:t xml:space="preserve"> закупок</w:t>
      </w:r>
    </w:p>
    <w:p w:rsidR="000F71E3" w:rsidRDefault="000F71E3" w:rsidP="007E5DFE">
      <w:pPr>
        <w:autoSpaceDE w:val="0"/>
        <w:autoSpaceDN w:val="0"/>
        <w:adjustRightInd w:val="0"/>
        <w:spacing w:before="120" w:after="120" w:line="259" w:lineRule="auto"/>
        <w:jc w:val="both"/>
        <w:rPr>
          <w:rFonts w:ascii="Times New Roman" w:eastAsia="Times New Roman" w:hAnsi="Times New Roman"/>
          <w:bCs/>
          <w:sz w:val="24"/>
          <w:szCs w:val="28"/>
          <w:lang w:eastAsia="ru-RU"/>
        </w:rPr>
      </w:pPr>
    </w:p>
    <w:p w:rsidR="0027766B" w:rsidRPr="002A2CDE" w:rsidRDefault="007E5DFE" w:rsidP="0027766B">
      <w:pPr>
        <w:pStyle w:val="20"/>
        <w:numPr>
          <w:ilvl w:val="1"/>
          <w:numId w:val="3"/>
        </w:numPr>
        <w:spacing w:before="240" w:after="240"/>
        <w:rPr>
          <w:rFonts w:ascii="Times New Roman" w:hAnsi="Times New Roman"/>
          <w:sz w:val="28"/>
          <w:szCs w:val="28"/>
        </w:rPr>
      </w:pPr>
      <w:bookmarkStart w:id="24" w:name="_Toc494788038"/>
      <w:r w:rsidRPr="008C0987">
        <w:rPr>
          <w:noProof/>
          <w:lang w:eastAsia="ru-RU"/>
        </w:rPr>
        <mc:AlternateContent>
          <mc:Choice Requires="wps">
            <w:drawing>
              <wp:anchor distT="45720" distB="45720" distL="114300" distR="114300" simplePos="0" relativeHeight="251668992" behindDoc="0" locked="0" layoutInCell="1" allowOverlap="1" wp14:anchorId="6661A24F" wp14:editId="4A9CAE81">
                <wp:simplePos x="0" y="0"/>
                <wp:positionH relativeFrom="margin">
                  <wp:posOffset>-81915</wp:posOffset>
                </wp:positionH>
                <wp:positionV relativeFrom="paragraph">
                  <wp:posOffset>158115</wp:posOffset>
                </wp:positionV>
                <wp:extent cx="5893435" cy="3752850"/>
                <wp:effectExtent l="0" t="0" r="0" b="0"/>
                <wp:wrapSquare wrapText="bothSides"/>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3752850"/>
                        </a:xfrm>
                        <a:prstGeom prst="rect">
                          <a:avLst/>
                        </a:prstGeom>
                        <a:solidFill>
                          <a:schemeClr val="bg1">
                            <a:lumMod val="95000"/>
                          </a:schemeClr>
                        </a:solidFill>
                        <a:ln w="9525">
                          <a:noFill/>
                          <a:miter lim="800000"/>
                          <a:headEnd/>
                          <a:tailEnd/>
                        </a:ln>
                      </wps:spPr>
                      <wps:txbx>
                        <w:txbxContent>
                          <w:p w:rsidR="007E5DFE" w:rsidRDefault="007E5DFE" w:rsidP="00C77781">
                            <w:pPr>
                              <w:pStyle w:val="a9"/>
                              <w:spacing w:before="120" w:after="120"/>
                              <w:ind w:left="0"/>
                              <w:contextualSpacing w:val="0"/>
                              <w:jc w:val="both"/>
                              <w:rPr>
                                <w:rFonts w:ascii="Times New Roman" w:hAnsi="Times New Roman"/>
                                <w:b/>
                                <w:sz w:val="24"/>
                                <w:szCs w:val="27"/>
                              </w:rPr>
                            </w:pPr>
                            <w:r>
                              <w:rPr>
                                <w:rFonts w:ascii="Times New Roman" w:hAnsi="Times New Roman"/>
                                <w:b/>
                                <w:sz w:val="24"/>
                                <w:szCs w:val="27"/>
                              </w:rPr>
                              <w:t>НОВАЯ РЕДАКЦИЯ БЮДЖЕТНОГО КОДЕКСА РОССИЙСКОЙ ФЕДЕРАЦИИ</w:t>
                            </w:r>
                          </w:p>
                          <w:p w:rsidR="007E5DFE" w:rsidRPr="00204AC9" w:rsidRDefault="007E5DFE" w:rsidP="00C77781">
                            <w:pPr>
                              <w:spacing w:before="120" w:after="120"/>
                              <w:rPr>
                                <w:rFonts w:ascii="Times New Roman" w:hAnsi="Times New Roman"/>
                                <w:sz w:val="20"/>
                                <w:szCs w:val="20"/>
                              </w:rPr>
                            </w:pPr>
                            <w:r>
                              <w:rPr>
                                <w:rFonts w:ascii="Times New Roman" w:hAnsi="Times New Roman"/>
                                <w:sz w:val="20"/>
                                <w:szCs w:val="20"/>
                              </w:rPr>
                              <w:t>В</w:t>
                            </w:r>
                            <w:r w:rsidRPr="00204AC9">
                              <w:rPr>
                                <w:rFonts w:ascii="Times New Roman" w:hAnsi="Times New Roman"/>
                                <w:sz w:val="20"/>
                                <w:szCs w:val="20"/>
                              </w:rPr>
                              <w:t xml:space="preserve"> рамках работы над Новой редакцией Бюджетного кодекса Российской Федерации</w:t>
                            </w:r>
                            <w:r>
                              <w:rPr>
                                <w:rFonts w:ascii="Times New Roman" w:hAnsi="Times New Roman"/>
                                <w:sz w:val="20"/>
                                <w:szCs w:val="20"/>
                              </w:rPr>
                              <w:t>.</w:t>
                            </w:r>
                            <w:r w:rsidRPr="00204AC9">
                              <w:rPr>
                                <w:rFonts w:ascii="Times New Roman" w:hAnsi="Times New Roman"/>
                                <w:sz w:val="20"/>
                                <w:szCs w:val="20"/>
                              </w:rPr>
                              <w:t xml:space="preserve"> Минфином России разработано </w:t>
                            </w:r>
                            <w:r>
                              <w:rPr>
                                <w:rFonts w:ascii="Times New Roman" w:hAnsi="Times New Roman"/>
                                <w:sz w:val="20"/>
                                <w:szCs w:val="20"/>
                              </w:rPr>
                              <w:t>7</w:t>
                            </w:r>
                            <w:r w:rsidRPr="00204AC9">
                              <w:rPr>
                                <w:rFonts w:ascii="Times New Roman" w:hAnsi="Times New Roman"/>
                                <w:sz w:val="20"/>
                                <w:szCs w:val="20"/>
                              </w:rPr>
                              <w:t xml:space="preserve"> законопроектов о внесении изменений в Бюджетный кодекс Российской Федерации, направленных </w:t>
                            </w:r>
                            <w:proofErr w:type="gramStart"/>
                            <w:r w:rsidRPr="00204AC9">
                              <w:rPr>
                                <w:rFonts w:ascii="Times New Roman" w:hAnsi="Times New Roman"/>
                                <w:sz w:val="20"/>
                                <w:szCs w:val="20"/>
                              </w:rPr>
                              <w:t>на</w:t>
                            </w:r>
                            <w:proofErr w:type="gramEnd"/>
                            <w:r w:rsidRPr="00204AC9">
                              <w:rPr>
                                <w:rFonts w:ascii="Times New Roman" w:hAnsi="Times New Roman"/>
                                <w:sz w:val="20"/>
                                <w:szCs w:val="20"/>
                              </w:rPr>
                              <w:t>:</w:t>
                            </w:r>
                          </w:p>
                          <w:p w:rsidR="007E5DFE" w:rsidRPr="00204AC9" w:rsidRDefault="007E5DFE" w:rsidP="00C77781">
                            <w:pPr>
                              <w:spacing w:before="120" w:after="120"/>
                              <w:rPr>
                                <w:rFonts w:ascii="Times New Roman" w:hAnsi="Times New Roman"/>
                                <w:sz w:val="20"/>
                                <w:szCs w:val="20"/>
                              </w:rPr>
                            </w:pPr>
                            <w:r w:rsidRPr="00204AC9">
                              <w:rPr>
                                <w:rFonts w:ascii="Times New Roman" w:hAnsi="Times New Roman"/>
                                <w:sz w:val="20"/>
                                <w:szCs w:val="20"/>
                              </w:rPr>
                              <w:t>1) закрепление новой конструкции «бюджетных правил» и совершенствование подходов к использованию нефтегазовых доходов (Федеральный закон от 29 июля 2017 г. № 262-ФЗ);</w:t>
                            </w:r>
                          </w:p>
                          <w:p w:rsidR="007E5DFE" w:rsidRPr="00204AC9" w:rsidRDefault="007E5DFE" w:rsidP="00C77781">
                            <w:pPr>
                              <w:spacing w:before="120" w:after="120"/>
                              <w:rPr>
                                <w:rFonts w:ascii="Times New Roman" w:hAnsi="Times New Roman"/>
                                <w:sz w:val="20"/>
                                <w:szCs w:val="20"/>
                              </w:rPr>
                            </w:pPr>
                            <w:r w:rsidRPr="00204AC9">
                              <w:rPr>
                                <w:rFonts w:ascii="Times New Roman" w:hAnsi="Times New Roman"/>
                                <w:sz w:val="20"/>
                                <w:szCs w:val="20"/>
                              </w:rPr>
                              <w:t xml:space="preserve">2) совершенствование формата и структуры федерального бюджета </w:t>
                            </w:r>
                            <w:r w:rsidRPr="00817E0C">
                              <w:t xml:space="preserve"> </w:t>
                            </w:r>
                            <w:r w:rsidRPr="00817E0C">
                              <w:rPr>
                                <w:rFonts w:ascii="Times New Roman" w:hAnsi="Times New Roman"/>
                                <w:sz w:val="20"/>
                                <w:szCs w:val="20"/>
                              </w:rPr>
                              <w:t>(Федеральный закон принят Государственной Думой);</w:t>
                            </w:r>
                          </w:p>
                          <w:p w:rsidR="007E5DFE" w:rsidRPr="00204AC9" w:rsidRDefault="007E5DFE" w:rsidP="00C77781">
                            <w:pPr>
                              <w:spacing w:before="120" w:after="120"/>
                              <w:rPr>
                                <w:rFonts w:ascii="Times New Roman" w:hAnsi="Times New Roman"/>
                                <w:sz w:val="20"/>
                                <w:szCs w:val="20"/>
                              </w:rPr>
                            </w:pPr>
                            <w:r w:rsidRPr="00204AC9">
                              <w:rPr>
                                <w:rFonts w:ascii="Times New Roman" w:hAnsi="Times New Roman"/>
                                <w:sz w:val="20"/>
                                <w:szCs w:val="20"/>
                              </w:rPr>
                              <w:t>3) совершенствование межбюджетных отношений;</w:t>
                            </w:r>
                          </w:p>
                          <w:p w:rsidR="007E5DFE" w:rsidRPr="00204AC9" w:rsidRDefault="007E5DFE" w:rsidP="00C77781">
                            <w:pPr>
                              <w:spacing w:before="120" w:after="120"/>
                              <w:rPr>
                                <w:rFonts w:ascii="Times New Roman" w:hAnsi="Times New Roman"/>
                                <w:sz w:val="20"/>
                                <w:szCs w:val="20"/>
                              </w:rPr>
                            </w:pPr>
                            <w:r w:rsidRPr="00204AC9">
                              <w:rPr>
                                <w:rFonts w:ascii="Times New Roman" w:hAnsi="Times New Roman"/>
                                <w:sz w:val="20"/>
                                <w:szCs w:val="20"/>
                              </w:rPr>
                              <w:t>4) совершенствование государственного (муници</w:t>
                            </w:r>
                            <w:r>
                              <w:rPr>
                                <w:rFonts w:ascii="Times New Roman" w:hAnsi="Times New Roman"/>
                                <w:sz w:val="20"/>
                                <w:szCs w:val="20"/>
                              </w:rPr>
                              <w:t>пального) финансового контроля</w:t>
                            </w:r>
                            <w:r w:rsidRPr="00204AC9">
                              <w:rPr>
                                <w:rFonts w:ascii="Times New Roman" w:hAnsi="Times New Roman"/>
                                <w:sz w:val="20"/>
                                <w:szCs w:val="20"/>
                              </w:rPr>
                              <w:t>;</w:t>
                            </w:r>
                          </w:p>
                          <w:p w:rsidR="007E5DFE" w:rsidRPr="00204AC9" w:rsidRDefault="007E5DFE" w:rsidP="00C77781">
                            <w:pPr>
                              <w:spacing w:before="120" w:after="120"/>
                              <w:rPr>
                                <w:rFonts w:ascii="Times New Roman" w:hAnsi="Times New Roman"/>
                                <w:sz w:val="20"/>
                                <w:szCs w:val="20"/>
                              </w:rPr>
                            </w:pPr>
                            <w:r w:rsidRPr="00204AC9">
                              <w:rPr>
                                <w:rFonts w:ascii="Times New Roman" w:hAnsi="Times New Roman"/>
                                <w:sz w:val="20"/>
                                <w:szCs w:val="20"/>
                              </w:rPr>
                              <w:t>5) совершенствование управления государственным (муниципальным) долгом и</w:t>
                            </w:r>
                            <w:r w:rsidRPr="00680B23">
                              <w:t xml:space="preserve"> </w:t>
                            </w:r>
                            <w:r w:rsidRPr="00680B23">
                              <w:rPr>
                                <w:rFonts w:ascii="Times New Roman" w:hAnsi="Times New Roman"/>
                                <w:sz w:val="20"/>
                                <w:szCs w:val="20"/>
                              </w:rPr>
                              <w:t>государственными финансовыми активами</w:t>
                            </w:r>
                            <w:r>
                              <w:rPr>
                                <w:rFonts w:ascii="Times New Roman" w:hAnsi="Times New Roman"/>
                                <w:sz w:val="20"/>
                                <w:szCs w:val="20"/>
                              </w:rPr>
                              <w:t xml:space="preserve">, </w:t>
                            </w:r>
                            <w:r w:rsidRPr="00204AC9">
                              <w:rPr>
                                <w:rFonts w:ascii="Times New Roman" w:hAnsi="Times New Roman"/>
                                <w:sz w:val="20"/>
                                <w:szCs w:val="20"/>
                              </w:rPr>
                              <w:t>осуществления государственных (муниципальных) заимствований;</w:t>
                            </w:r>
                          </w:p>
                          <w:p w:rsidR="007E5DFE" w:rsidRPr="00204AC9" w:rsidRDefault="007E5DFE" w:rsidP="00C77781">
                            <w:pPr>
                              <w:spacing w:before="120" w:after="120"/>
                              <w:rPr>
                                <w:rFonts w:ascii="Times New Roman" w:hAnsi="Times New Roman"/>
                                <w:sz w:val="20"/>
                                <w:szCs w:val="20"/>
                              </w:rPr>
                            </w:pPr>
                            <w:r w:rsidRPr="00204AC9">
                              <w:rPr>
                                <w:rFonts w:ascii="Times New Roman" w:hAnsi="Times New Roman"/>
                                <w:sz w:val="20"/>
                                <w:szCs w:val="20"/>
                              </w:rPr>
                              <w:t>6) совершенствование казначейского обслуживания и системы казначейских платежей;</w:t>
                            </w:r>
                          </w:p>
                          <w:p w:rsidR="007E5DFE" w:rsidRPr="00204AC9" w:rsidRDefault="007E5DFE" w:rsidP="00C77781">
                            <w:pPr>
                              <w:spacing w:before="120" w:after="120"/>
                              <w:rPr>
                                <w:rFonts w:ascii="Times New Roman" w:hAnsi="Times New Roman"/>
                                <w:sz w:val="20"/>
                                <w:szCs w:val="20"/>
                              </w:rPr>
                            </w:pPr>
                            <w:r w:rsidRPr="00204AC9">
                              <w:rPr>
                                <w:rFonts w:ascii="Times New Roman" w:hAnsi="Times New Roman"/>
                                <w:sz w:val="20"/>
                                <w:szCs w:val="20"/>
                              </w:rPr>
                              <w:t xml:space="preserve">7) совершенствование исполнения судебных актов. </w:t>
                            </w:r>
                          </w:p>
                          <w:p w:rsidR="007E5DFE" w:rsidRPr="00A61007" w:rsidRDefault="007E5DFE" w:rsidP="00C77781">
                            <w:pPr>
                              <w:spacing w:before="120" w:after="120"/>
                              <w:rPr>
                                <w:rFonts w:ascii="Times New Roman" w:hAnsi="Times New Roman"/>
                                <w:sz w:val="20"/>
                                <w:szCs w:val="20"/>
                              </w:rPr>
                            </w:pPr>
                            <w:r w:rsidRPr="00204AC9">
                              <w:rPr>
                                <w:rFonts w:ascii="Times New Roman" w:hAnsi="Times New Roman"/>
                                <w:sz w:val="20"/>
                                <w:szCs w:val="20"/>
                              </w:rPr>
                              <w:t>Принятие указанных законопроектов Государственной Думой позволит перейти к заключительному этапу работы над Новой редакцией Бюджетного кодекса Российской Федерации – его внесению в Правительство Российской Федерации.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6.45pt;margin-top:12.45pt;width:464.05pt;height:295.5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" fillcolor="#f2f2f2 [3052]" stroked="f">
                <v:textbox>
                  <w:txbxContent>
                    <w:p w:rsidR="007E5DFE" w:rsidRDefault="007E5DFE" w:rsidP="00C77781">
                      <w:pPr>
                        <w:pStyle w:val="a9"/>
                        <w:spacing w:before="120" w:after="120"/>
                        <w:ind w:left="0"/>
                        <w:contextualSpacing w:val="0"/>
                        <w:jc w:val="both"/>
                        <w:rPr>
                          <w:rFonts w:ascii="Times New Roman" w:hAnsi="Times New Roman"/>
                          <w:b/>
                          <w:sz w:val="24"/>
                          <w:szCs w:val="27"/>
                        </w:rPr>
                      </w:pPr>
                      <w:r>
                        <w:rPr>
                          <w:rFonts w:ascii="Times New Roman" w:hAnsi="Times New Roman"/>
                          <w:b/>
                          <w:sz w:val="24"/>
                          <w:szCs w:val="27"/>
                        </w:rPr>
                        <w:t>НОВАЯ РЕДАКЦИЯ БЮДЖЕТНОГО КОДЕКСА РОССИЙСКОЙ ФЕДЕРАЦИИ</w:t>
                      </w:r>
                    </w:p>
                    <w:p w:rsidR="007E5DFE" w:rsidRPr="00204AC9" w:rsidRDefault="007E5DFE" w:rsidP="00C77781">
                      <w:pPr>
                        <w:spacing w:before="120" w:after="120"/>
                        <w:rPr>
                          <w:rFonts w:ascii="Times New Roman" w:hAnsi="Times New Roman"/>
                          <w:sz w:val="20"/>
                          <w:szCs w:val="20"/>
                        </w:rPr>
                      </w:pPr>
                      <w:r>
                        <w:rPr>
                          <w:rFonts w:ascii="Times New Roman" w:hAnsi="Times New Roman"/>
                          <w:sz w:val="20"/>
                          <w:szCs w:val="20"/>
                        </w:rPr>
                        <w:t>В</w:t>
                      </w:r>
                      <w:r w:rsidRPr="00204AC9">
                        <w:rPr>
                          <w:rFonts w:ascii="Times New Roman" w:hAnsi="Times New Roman"/>
                          <w:sz w:val="20"/>
                          <w:szCs w:val="20"/>
                        </w:rPr>
                        <w:t xml:space="preserve"> рамках работы над Новой редакцией Бюджетного кодекса Российской Федерации</w:t>
                      </w:r>
                      <w:r>
                        <w:rPr>
                          <w:rFonts w:ascii="Times New Roman" w:hAnsi="Times New Roman"/>
                          <w:sz w:val="20"/>
                          <w:szCs w:val="20"/>
                        </w:rPr>
                        <w:t>.</w:t>
                      </w:r>
                      <w:r w:rsidRPr="00204AC9">
                        <w:rPr>
                          <w:rFonts w:ascii="Times New Roman" w:hAnsi="Times New Roman"/>
                          <w:sz w:val="20"/>
                          <w:szCs w:val="20"/>
                        </w:rPr>
                        <w:t xml:space="preserve"> Минфином России разработано </w:t>
                      </w:r>
                      <w:r>
                        <w:rPr>
                          <w:rFonts w:ascii="Times New Roman" w:hAnsi="Times New Roman"/>
                          <w:sz w:val="20"/>
                          <w:szCs w:val="20"/>
                        </w:rPr>
                        <w:t>7</w:t>
                      </w:r>
                      <w:r w:rsidRPr="00204AC9">
                        <w:rPr>
                          <w:rFonts w:ascii="Times New Roman" w:hAnsi="Times New Roman"/>
                          <w:sz w:val="20"/>
                          <w:szCs w:val="20"/>
                        </w:rPr>
                        <w:t xml:space="preserve"> законопроектов о внесении изменений в Бюджетный кодекс Российской Федерации, направленных </w:t>
                      </w:r>
                      <w:proofErr w:type="gramStart"/>
                      <w:r w:rsidRPr="00204AC9">
                        <w:rPr>
                          <w:rFonts w:ascii="Times New Roman" w:hAnsi="Times New Roman"/>
                          <w:sz w:val="20"/>
                          <w:szCs w:val="20"/>
                        </w:rPr>
                        <w:t>на</w:t>
                      </w:r>
                      <w:proofErr w:type="gramEnd"/>
                      <w:r w:rsidRPr="00204AC9">
                        <w:rPr>
                          <w:rFonts w:ascii="Times New Roman" w:hAnsi="Times New Roman"/>
                          <w:sz w:val="20"/>
                          <w:szCs w:val="20"/>
                        </w:rPr>
                        <w:t>:</w:t>
                      </w:r>
                    </w:p>
                    <w:p w:rsidR="007E5DFE" w:rsidRPr="00204AC9" w:rsidRDefault="007E5DFE" w:rsidP="00C77781">
                      <w:pPr>
                        <w:spacing w:before="120" w:after="120"/>
                        <w:rPr>
                          <w:rFonts w:ascii="Times New Roman" w:hAnsi="Times New Roman"/>
                          <w:sz w:val="20"/>
                          <w:szCs w:val="20"/>
                        </w:rPr>
                      </w:pPr>
                      <w:r w:rsidRPr="00204AC9">
                        <w:rPr>
                          <w:rFonts w:ascii="Times New Roman" w:hAnsi="Times New Roman"/>
                          <w:sz w:val="20"/>
                          <w:szCs w:val="20"/>
                        </w:rPr>
                        <w:t>1) закрепление новой конструкции «бюджетных правил» и совершенствование подходов к использованию нефтегазовых доходов (Федеральный закон от 29 июля 2017 г. № 262-ФЗ);</w:t>
                      </w:r>
                    </w:p>
                    <w:p w:rsidR="007E5DFE" w:rsidRPr="00204AC9" w:rsidRDefault="007E5DFE" w:rsidP="00C77781">
                      <w:pPr>
                        <w:spacing w:before="120" w:after="120"/>
                        <w:rPr>
                          <w:rFonts w:ascii="Times New Roman" w:hAnsi="Times New Roman"/>
                          <w:sz w:val="20"/>
                          <w:szCs w:val="20"/>
                        </w:rPr>
                      </w:pPr>
                      <w:r w:rsidRPr="00204AC9">
                        <w:rPr>
                          <w:rFonts w:ascii="Times New Roman" w:hAnsi="Times New Roman"/>
                          <w:sz w:val="20"/>
                          <w:szCs w:val="20"/>
                        </w:rPr>
                        <w:t xml:space="preserve">2) совершенствование формата и структуры федерального бюджета </w:t>
                      </w:r>
                      <w:r w:rsidRPr="00817E0C">
                        <w:t xml:space="preserve"> </w:t>
                      </w:r>
                      <w:r w:rsidRPr="00817E0C">
                        <w:rPr>
                          <w:rFonts w:ascii="Times New Roman" w:hAnsi="Times New Roman"/>
                          <w:sz w:val="20"/>
                          <w:szCs w:val="20"/>
                        </w:rPr>
                        <w:t>(Федеральный закон принят Государственной Думой);</w:t>
                      </w:r>
                    </w:p>
                    <w:p w:rsidR="007E5DFE" w:rsidRPr="00204AC9" w:rsidRDefault="007E5DFE" w:rsidP="00C77781">
                      <w:pPr>
                        <w:spacing w:before="120" w:after="120"/>
                        <w:rPr>
                          <w:rFonts w:ascii="Times New Roman" w:hAnsi="Times New Roman"/>
                          <w:sz w:val="20"/>
                          <w:szCs w:val="20"/>
                        </w:rPr>
                      </w:pPr>
                      <w:r w:rsidRPr="00204AC9">
                        <w:rPr>
                          <w:rFonts w:ascii="Times New Roman" w:hAnsi="Times New Roman"/>
                          <w:sz w:val="20"/>
                          <w:szCs w:val="20"/>
                        </w:rPr>
                        <w:t>3) совершенствование межбюджетных отношений;</w:t>
                      </w:r>
                    </w:p>
                    <w:p w:rsidR="007E5DFE" w:rsidRPr="00204AC9" w:rsidRDefault="007E5DFE" w:rsidP="00C77781">
                      <w:pPr>
                        <w:spacing w:before="120" w:after="120"/>
                        <w:rPr>
                          <w:rFonts w:ascii="Times New Roman" w:hAnsi="Times New Roman"/>
                          <w:sz w:val="20"/>
                          <w:szCs w:val="20"/>
                        </w:rPr>
                      </w:pPr>
                      <w:r w:rsidRPr="00204AC9">
                        <w:rPr>
                          <w:rFonts w:ascii="Times New Roman" w:hAnsi="Times New Roman"/>
                          <w:sz w:val="20"/>
                          <w:szCs w:val="20"/>
                        </w:rPr>
                        <w:t>4) совершенствование государственного (муници</w:t>
                      </w:r>
                      <w:r>
                        <w:rPr>
                          <w:rFonts w:ascii="Times New Roman" w:hAnsi="Times New Roman"/>
                          <w:sz w:val="20"/>
                          <w:szCs w:val="20"/>
                        </w:rPr>
                        <w:t>пального) финансового контроля</w:t>
                      </w:r>
                      <w:r w:rsidRPr="00204AC9">
                        <w:rPr>
                          <w:rFonts w:ascii="Times New Roman" w:hAnsi="Times New Roman"/>
                          <w:sz w:val="20"/>
                          <w:szCs w:val="20"/>
                        </w:rPr>
                        <w:t>;</w:t>
                      </w:r>
                    </w:p>
                    <w:p w:rsidR="007E5DFE" w:rsidRPr="00204AC9" w:rsidRDefault="007E5DFE" w:rsidP="00C77781">
                      <w:pPr>
                        <w:spacing w:before="120" w:after="120"/>
                        <w:rPr>
                          <w:rFonts w:ascii="Times New Roman" w:hAnsi="Times New Roman"/>
                          <w:sz w:val="20"/>
                          <w:szCs w:val="20"/>
                        </w:rPr>
                      </w:pPr>
                      <w:r w:rsidRPr="00204AC9">
                        <w:rPr>
                          <w:rFonts w:ascii="Times New Roman" w:hAnsi="Times New Roman"/>
                          <w:sz w:val="20"/>
                          <w:szCs w:val="20"/>
                        </w:rPr>
                        <w:t>5) совершенствование управления государственным (муниципальным) долгом и</w:t>
                      </w:r>
                      <w:r w:rsidRPr="00680B23">
                        <w:t xml:space="preserve"> </w:t>
                      </w:r>
                      <w:r w:rsidRPr="00680B23">
                        <w:rPr>
                          <w:rFonts w:ascii="Times New Roman" w:hAnsi="Times New Roman"/>
                          <w:sz w:val="20"/>
                          <w:szCs w:val="20"/>
                        </w:rPr>
                        <w:t>государственными финансовыми активами</w:t>
                      </w:r>
                      <w:r>
                        <w:rPr>
                          <w:rFonts w:ascii="Times New Roman" w:hAnsi="Times New Roman"/>
                          <w:sz w:val="20"/>
                          <w:szCs w:val="20"/>
                        </w:rPr>
                        <w:t xml:space="preserve">, </w:t>
                      </w:r>
                      <w:r w:rsidRPr="00204AC9">
                        <w:rPr>
                          <w:rFonts w:ascii="Times New Roman" w:hAnsi="Times New Roman"/>
                          <w:sz w:val="20"/>
                          <w:szCs w:val="20"/>
                        </w:rPr>
                        <w:t>осуществления государственных (муниципальных) заимствований;</w:t>
                      </w:r>
                    </w:p>
                    <w:p w:rsidR="007E5DFE" w:rsidRPr="00204AC9" w:rsidRDefault="007E5DFE" w:rsidP="00C77781">
                      <w:pPr>
                        <w:spacing w:before="120" w:after="120"/>
                        <w:rPr>
                          <w:rFonts w:ascii="Times New Roman" w:hAnsi="Times New Roman"/>
                          <w:sz w:val="20"/>
                          <w:szCs w:val="20"/>
                        </w:rPr>
                      </w:pPr>
                      <w:r w:rsidRPr="00204AC9">
                        <w:rPr>
                          <w:rFonts w:ascii="Times New Roman" w:hAnsi="Times New Roman"/>
                          <w:sz w:val="20"/>
                          <w:szCs w:val="20"/>
                        </w:rPr>
                        <w:t>6) совершенствование казначейского обслуживания и системы казначейских платежей;</w:t>
                      </w:r>
                    </w:p>
                    <w:p w:rsidR="007E5DFE" w:rsidRPr="00204AC9" w:rsidRDefault="007E5DFE" w:rsidP="00C77781">
                      <w:pPr>
                        <w:spacing w:before="120" w:after="120"/>
                        <w:rPr>
                          <w:rFonts w:ascii="Times New Roman" w:hAnsi="Times New Roman"/>
                          <w:sz w:val="20"/>
                          <w:szCs w:val="20"/>
                        </w:rPr>
                      </w:pPr>
                      <w:r w:rsidRPr="00204AC9">
                        <w:rPr>
                          <w:rFonts w:ascii="Times New Roman" w:hAnsi="Times New Roman"/>
                          <w:sz w:val="20"/>
                          <w:szCs w:val="20"/>
                        </w:rPr>
                        <w:t xml:space="preserve">7) совершенствование исполнения судебных актов. </w:t>
                      </w:r>
                    </w:p>
                    <w:p w:rsidR="007E5DFE" w:rsidRPr="00A61007" w:rsidRDefault="007E5DFE" w:rsidP="00C77781">
                      <w:pPr>
                        <w:spacing w:before="120" w:after="120"/>
                        <w:rPr>
                          <w:rFonts w:ascii="Times New Roman" w:hAnsi="Times New Roman"/>
                          <w:sz w:val="20"/>
                          <w:szCs w:val="20"/>
                        </w:rPr>
                      </w:pPr>
                      <w:r w:rsidRPr="00204AC9">
                        <w:rPr>
                          <w:rFonts w:ascii="Times New Roman" w:hAnsi="Times New Roman"/>
                          <w:sz w:val="20"/>
                          <w:szCs w:val="20"/>
                        </w:rPr>
                        <w:t>Принятие указанных законопроектов Государственной Думой позволит перейти к заключительному этапу работы над Новой редакцией Бюджетного кодекса Российской Федерации – его внесению в Правительство Российской Федерации.</w:t>
                      </w:r>
                    </w:p>
                  </w:txbxContent>
                </v:textbox>
                <w10:wrap type="square" anchorx="margin"/>
              </v:shape>
            </w:pict>
          </mc:Fallback>
        </mc:AlternateContent>
      </w:r>
      <w:r w:rsidR="0027766B" w:rsidRPr="002A2CDE">
        <w:rPr>
          <w:rFonts w:ascii="Times New Roman" w:hAnsi="Times New Roman"/>
          <w:sz w:val="28"/>
          <w:szCs w:val="28"/>
        </w:rPr>
        <w:t>РАЗВИТИЕ СИСТЕМЫ МЕЖБЮДЖЕТНЫХ ОТНОШЕНИЙ</w:t>
      </w:r>
      <w:bookmarkEnd w:id="24"/>
    </w:p>
    <w:p w:rsidR="0027766B" w:rsidRDefault="0027766B" w:rsidP="0027766B">
      <w:pPr>
        <w:autoSpaceDE w:val="0"/>
        <w:autoSpaceDN w:val="0"/>
        <w:adjustRightInd w:val="0"/>
        <w:spacing w:before="120" w:after="120"/>
        <w:jc w:val="both"/>
        <w:rPr>
          <w:rFonts w:ascii="Times New Roman" w:hAnsi="Times New Roman"/>
          <w:sz w:val="24"/>
          <w:szCs w:val="28"/>
          <w:lang w:eastAsia="ru-RU"/>
        </w:rPr>
      </w:pPr>
      <w:r>
        <w:rPr>
          <w:rFonts w:ascii="Times New Roman" w:hAnsi="Times New Roman"/>
          <w:sz w:val="24"/>
          <w:szCs w:val="28"/>
          <w:lang w:eastAsia="ru-RU"/>
        </w:rPr>
        <w:t>Бюджетная политика в сфере межбюджетных отношений в 2018-2020 гг. будет сосредоточена на решении следующих задач:</w:t>
      </w:r>
    </w:p>
    <w:p w:rsidR="0027766B" w:rsidRDefault="0027766B" w:rsidP="0027766B">
      <w:pPr>
        <w:pStyle w:val="a9"/>
        <w:numPr>
          <w:ilvl w:val="0"/>
          <w:numId w:val="8"/>
        </w:numPr>
        <w:autoSpaceDE w:val="0"/>
        <w:autoSpaceDN w:val="0"/>
        <w:adjustRightInd w:val="0"/>
        <w:spacing w:before="120" w:after="120"/>
        <w:ind w:left="357" w:hanging="357"/>
        <w:contextualSpacing w:val="0"/>
        <w:jc w:val="both"/>
        <w:rPr>
          <w:rFonts w:ascii="Times New Roman" w:hAnsi="Times New Roman"/>
          <w:sz w:val="24"/>
          <w:szCs w:val="28"/>
          <w:lang w:eastAsia="ru-RU"/>
        </w:rPr>
      </w:pPr>
      <w:r>
        <w:rPr>
          <w:rFonts w:ascii="Times New Roman" w:hAnsi="Times New Roman"/>
          <w:sz w:val="24"/>
          <w:szCs w:val="28"/>
          <w:lang w:eastAsia="ru-RU"/>
        </w:rPr>
        <w:t>содействие сбалансированности бюджетов субъектов и местных бюджетов;</w:t>
      </w:r>
    </w:p>
    <w:p w:rsidR="0027766B" w:rsidRDefault="0027766B" w:rsidP="0027766B">
      <w:pPr>
        <w:pStyle w:val="a9"/>
        <w:numPr>
          <w:ilvl w:val="0"/>
          <w:numId w:val="8"/>
        </w:numPr>
        <w:autoSpaceDE w:val="0"/>
        <w:autoSpaceDN w:val="0"/>
        <w:adjustRightInd w:val="0"/>
        <w:spacing w:before="120" w:after="120"/>
        <w:contextualSpacing w:val="0"/>
        <w:jc w:val="both"/>
        <w:rPr>
          <w:rFonts w:ascii="Times New Roman" w:hAnsi="Times New Roman"/>
          <w:sz w:val="24"/>
          <w:szCs w:val="28"/>
          <w:lang w:eastAsia="ru-RU"/>
        </w:rPr>
      </w:pPr>
      <w:r>
        <w:rPr>
          <w:rFonts w:ascii="Times New Roman" w:hAnsi="Times New Roman"/>
          <w:sz w:val="24"/>
          <w:szCs w:val="28"/>
          <w:lang w:eastAsia="ru-RU"/>
        </w:rPr>
        <w:t>с</w:t>
      </w:r>
      <w:r w:rsidRPr="007E26A6">
        <w:rPr>
          <w:rFonts w:ascii="Times New Roman" w:hAnsi="Times New Roman"/>
          <w:sz w:val="24"/>
          <w:szCs w:val="28"/>
          <w:lang w:eastAsia="ru-RU"/>
        </w:rPr>
        <w:t>нижение</w:t>
      </w:r>
      <w:r>
        <w:rPr>
          <w:rFonts w:ascii="Times New Roman" w:hAnsi="Times New Roman"/>
          <w:sz w:val="24"/>
          <w:szCs w:val="28"/>
          <w:lang w:eastAsia="ru-RU"/>
        </w:rPr>
        <w:t xml:space="preserve"> федерального</w:t>
      </w:r>
      <w:r w:rsidRPr="007E26A6">
        <w:rPr>
          <w:rFonts w:ascii="Times New Roman" w:hAnsi="Times New Roman"/>
          <w:sz w:val="24"/>
          <w:szCs w:val="28"/>
          <w:lang w:eastAsia="ru-RU"/>
        </w:rPr>
        <w:t xml:space="preserve"> регулирования </w:t>
      </w:r>
      <w:r>
        <w:rPr>
          <w:rFonts w:ascii="Times New Roman" w:hAnsi="Times New Roman"/>
          <w:sz w:val="24"/>
          <w:szCs w:val="28"/>
          <w:lang w:eastAsia="ru-RU"/>
        </w:rPr>
        <w:t>налоговой базы регионов;</w:t>
      </w:r>
    </w:p>
    <w:p w:rsidR="0027766B" w:rsidRDefault="0027766B" w:rsidP="0027766B">
      <w:pPr>
        <w:pStyle w:val="a9"/>
        <w:numPr>
          <w:ilvl w:val="0"/>
          <w:numId w:val="8"/>
        </w:numPr>
        <w:autoSpaceDE w:val="0"/>
        <w:autoSpaceDN w:val="0"/>
        <w:adjustRightInd w:val="0"/>
        <w:spacing w:before="120" w:after="120"/>
        <w:contextualSpacing w:val="0"/>
        <w:jc w:val="both"/>
        <w:rPr>
          <w:rFonts w:ascii="Times New Roman" w:hAnsi="Times New Roman"/>
          <w:sz w:val="24"/>
          <w:szCs w:val="28"/>
          <w:lang w:eastAsia="ru-RU"/>
        </w:rPr>
      </w:pPr>
      <w:r w:rsidRPr="007E26A6">
        <w:rPr>
          <w:rFonts w:ascii="Times New Roman" w:hAnsi="Times New Roman"/>
          <w:sz w:val="24"/>
          <w:szCs w:val="28"/>
          <w:lang w:eastAsia="ru-RU"/>
        </w:rPr>
        <w:t>повышени</w:t>
      </w:r>
      <w:r>
        <w:rPr>
          <w:rFonts w:ascii="Times New Roman" w:hAnsi="Times New Roman"/>
          <w:sz w:val="24"/>
          <w:szCs w:val="28"/>
          <w:lang w:eastAsia="ru-RU"/>
        </w:rPr>
        <w:t>е</w:t>
      </w:r>
      <w:r w:rsidRPr="007E26A6">
        <w:rPr>
          <w:rFonts w:ascii="Times New Roman" w:hAnsi="Times New Roman"/>
          <w:sz w:val="24"/>
          <w:szCs w:val="28"/>
          <w:lang w:eastAsia="ru-RU"/>
        </w:rPr>
        <w:t xml:space="preserve"> э</w:t>
      </w:r>
      <w:r>
        <w:rPr>
          <w:rFonts w:ascii="Times New Roman" w:hAnsi="Times New Roman"/>
          <w:sz w:val="24"/>
          <w:szCs w:val="28"/>
          <w:lang w:eastAsia="ru-RU"/>
        </w:rPr>
        <w:t>ффективности бюджетных расходов и</w:t>
      </w:r>
      <w:r w:rsidRPr="007E26A6">
        <w:rPr>
          <w:rFonts w:ascii="Times New Roman" w:hAnsi="Times New Roman"/>
          <w:sz w:val="24"/>
          <w:szCs w:val="28"/>
          <w:lang w:eastAsia="ru-RU"/>
        </w:rPr>
        <w:t xml:space="preserve"> бюджетная консолидация</w:t>
      </w:r>
      <w:r>
        <w:rPr>
          <w:rFonts w:ascii="Times New Roman" w:hAnsi="Times New Roman"/>
          <w:sz w:val="24"/>
          <w:szCs w:val="28"/>
          <w:lang w:eastAsia="ru-RU"/>
        </w:rPr>
        <w:t>;</w:t>
      </w:r>
    </w:p>
    <w:p w:rsidR="0027766B" w:rsidRDefault="0027766B" w:rsidP="0027766B">
      <w:pPr>
        <w:pStyle w:val="a9"/>
        <w:numPr>
          <w:ilvl w:val="0"/>
          <w:numId w:val="8"/>
        </w:numPr>
        <w:autoSpaceDE w:val="0"/>
        <w:autoSpaceDN w:val="0"/>
        <w:adjustRightInd w:val="0"/>
        <w:spacing w:before="120" w:after="120"/>
        <w:contextualSpacing w:val="0"/>
        <w:jc w:val="both"/>
        <w:rPr>
          <w:rFonts w:ascii="Times New Roman" w:hAnsi="Times New Roman"/>
          <w:sz w:val="24"/>
          <w:szCs w:val="28"/>
          <w:lang w:eastAsia="ru-RU"/>
        </w:rPr>
      </w:pPr>
      <w:r>
        <w:rPr>
          <w:rFonts w:ascii="Times New Roman" w:hAnsi="Times New Roman"/>
          <w:sz w:val="24"/>
          <w:szCs w:val="28"/>
          <w:lang w:eastAsia="ru-RU"/>
        </w:rPr>
        <w:t>с</w:t>
      </w:r>
      <w:r w:rsidRPr="007E26A6">
        <w:rPr>
          <w:rFonts w:ascii="Times New Roman" w:hAnsi="Times New Roman"/>
          <w:sz w:val="24"/>
          <w:szCs w:val="28"/>
          <w:lang w:eastAsia="ru-RU"/>
        </w:rPr>
        <w:t>оздание предсказуемых, прозрачных и комфортных условий п</w:t>
      </w:r>
      <w:r>
        <w:rPr>
          <w:rFonts w:ascii="Times New Roman" w:hAnsi="Times New Roman"/>
          <w:sz w:val="24"/>
          <w:szCs w:val="28"/>
          <w:lang w:eastAsia="ru-RU"/>
        </w:rPr>
        <w:t>редоставления финансовой помощи.</w:t>
      </w:r>
    </w:p>
    <w:p w:rsidR="00DF5A16" w:rsidRPr="00DF5A16" w:rsidRDefault="00DF5A16" w:rsidP="00DF5A16">
      <w:pPr>
        <w:jc w:val="both"/>
        <w:rPr>
          <w:rFonts w:ascii="Times New Roman" w:hAnsi="Times New Roman"/>
          <w:sz w:val="24"/>
          <w:szCs w:val="24"/>
        </w:rPr>
      </w:pPr>
      <w:r w:rsidRPr="00DF5A16">
        <w:rPr>
          <w:rFonts w:ascii="Times New Roman" w:hAnsi="Times New Roman"/>
          <w:sz w:val="24"/>
          <w:szCs w:val="24"/>
        </w:rPr>
        <w:t xml:space="preserve">В целях снижения долговой нагрузки бюджетов субъектов Российской Федерации предлагается с 2018 года провести реструктуризацию задолженности </w:t>
      </w:r>
      <w:r>
        <w:rPr>
          <w:rFonts w:ascii="Times New Roman" w:hAnsi="Times New Roman"/>
          <w:sz w:val="24"/>
          <w:szCs w:val="24"/>
        </w:rPr>
        <w:t xml:space="preserve">регионов </w:t>
      </w:r>
      <w:r w:rsidRPr="00DF5A16">
        <w:rPr>
          <w:rFonts w:ascii="Times New Roman" w:hAnsi="Times New Roman"/>
          <w:sz w:val="24"/>
          <w:szCs w:val="24"/>
        </w:rPr>
        <w:t>по бюджетным кредитам.</w:t>
      </w:r>
    </w:p>
    <w:p w:rsidR="00DF5A16" w:rsidRPr="00DF5A16" w:rsidRDefault="00DF5A16" w:rsidP="00DF5A16">
      <w:pPr>
        <w:jc w:val="both"/>
        <w:rPr>
          <w:rFonts w:ascii="Times New Roman" w:hAnsi="Times New Roman"/>
          <w:sz w:val="24"/>
          <w:szCs w:val="24"/>
        </w:rPr>
      </w:pPr>
      <w:r w:rsidRPr="00DF5A16">
        <w:rPr>
          <w:rFonts w:ascii="Times New Roman" w:hAnsi="Times New Roman"/>
          <w:sz w:val="24"/>
          <w:szCs w:val="24"/>
        </w:rPr>
        <w:t>Предлагается продлить на 7 лет срок возврата бюджетных кредитов, предоставленных регионам в 2015-2017 годах, предусмотрев погашение в 2018-2019 годах в размере 5% от суммы основного долга, в 2020 году – в размере 10% от суммы основного долга, в 2021-2024 годах – равными долями по 20% от суммы основного долга.</w:t>
      </w:r>
    </w:p>
    <w:p w:rsidR="00DF5A16" w:rsidRPr="00DF5A16" w:rsidRDefault="00DF5A16" w:rsidP="00DF5A16">
      <w:pPr>
        <w:jc w:val="both"/>
        <w:rPr>
          <w:rFonts w:ascii="Times New Roman" w:hAnsi="Times New Roman"/>
          <w:sz w:val="24"/>
          <w:szCs w:val="24"/>
        </w:rPr>
      </w:pPr>
      <w:r w:rsidRPr="00DF5A16">
        <w:rPr>
          <w:rFonts w:ascii="Times New Roman" w:hAnsi="Times New Roman"/>
          <w:sz w:val="24"/>
          <w:szCs w:val="24"/>
        </w:rPr>
        <w:t>В случае роста налоговых и неналоговых доходов консолидированных бюджетов субъектов выше уровня инфляции, будет предусмотрена дополнительная возможность продления реструктуризации и снижения доли ежегодного погашения суммы основного долга до 5% в 2020 году, до 10% в 2021-2028 годах и 5% в 2029 году.</w:t>
      </w:r>
    </w:p>
    <w:p w:rsidR="00DF5A16" w:rsidRDefault="00DF5A16" w:rsidP="00DF5A16">
      <w:pPr>
        <w:jc w:val="both"/>
        <w:rPr>
          <w:rFonts w:ascii="Times New Roman" w:hAnsi="Times New Roman"/>
          <w:sz w:val="24"/>
          <w:szCs w:val="24"/>
        </w:rPr>
      </w:pPr>
      <w:r w:rsidRPr="00DF5A16">
        <w:rPr>
          <w:rFonts w:ascii="Times New Roman" w:hAnsi="Times New Roman"/>
          <w:sz w:val="24"/>
          <w:szCs w:val="24"/>
        </w:rPr>
        <w:t xml:space="preserve">Эти предложения позволят субъектам Российской Федерации обеспечить равномерное погашение задолженности по бюджетным кредитам, снизить объемы возврата бюджетных кредитов, и высвободить средства для финансирования приоритетных расходных обязательств.  </w:t>
      </w:r>
    </w:p>
    <w:p w:rsidR="0027766B" w:rsidRDefault="0027766B" w:rsidP="00DF5A16">
      <w:pPr>
        <w:jc w:val="both"/>
        <w:rPr>
          <w:rFonts w:ascii="Times New Roman" w:hAnsi="Times New Roman"/>
          <w:sz w:val="24"/>
          <w:szCs w:val="24"/>
        </w:rPr>
      </w:pPr>
      <w:r>
        <w:rPr>
          <w:rFonts w:ascii="Times New Roman" w:hAnsi="Times New Roman"/>
          <w:sz w:val="24"/>
          <w:szCs w:val="24"/>
        </w:rPr>
        <w:t xml:space="preserve">Для поддержания сбалансированности субфедеральных и местных бюджетов в течение планового периода будет продолжено применение мер, направленных на </w:t>
      </w:r>
      <w:r w:rsidRPr="002272A9">
        <w:rPr>
          <w:rFonts w:ascii="Times New Roman" w:hAnsi="Times New Roman"/>
          <w:b/>
          <w:sz w:val="24"/>
          <w:szCs w:val="24"/>
          <w:u w:val="single"/>
        </w:rPr>
        <w:t>ограничение дефицитов и уровня долга</w:t>
      </w:r>
      <w:r>
        <w:rPr>
          <w:rFonts w:ascii="Times New Roman" w:hAnsi="Times New Roman"/>
          <w:b/>
          <w:sz w:val="24"/>
          <w:szCs w:val="24"/>
        </w:rPr>
        <w:t>, обеспечение экономического развития</w:t>
      </w:r>
      <w:r>
        <w:rPr>
          <w:rFonts w:ascii="Times New Roman" w:hAnsi="Times New Roman"/>
          <w:sz w:val="24"/>
          <w:szCs w:val="24"/>
        </w:rPr>
        <w:t xml:space="preserve">. </w:t>
      </w:r>
    </w:p>
    <w:p w:rsidR="001C7422" w:rsidRDefault="003C4091" w:rsidP="003C4091">
      <w:pPr>
        <w:jc w:val="both"/>
        <w:rPr>
          <w:rFonts w:ascii="Times New Roman" w:hAnsi="Times New Roman"/>
          <w:sz w:val="24"/>
          <w:szCs w:val="24"/>
        </w:rPr>
      </w:pPr>
      <w:proofErr w:type="gramStart"/>
      <w:r>
        <w:rPr>
          <w:rFonts w:ascii="Times New Roman" w:hAnsi="Times New Roman"/>
          <w:sz w:val="24"/>
          <w:szCs w:val="24"/>
        </w:rPr>
        <w:t xml:space="preserve">Для этого планируется </w:t>
      </w:r>
      <w:r w:rsidRPr="002272A9">
        <w:rPr>
          <w:rFonts w:ascii="Times New Roman" w:hAnsi="Times New Roman"/>
          <w:i/>
          <w:sz w:val="24"/>
          <w:szCs w:val="24"/>
        </w:rPr>
        <w:t>сокращение предельного размера дефицита</w:t>
      </w:r>
      <w:r>
        <w:rPr>
          <w:rFonts w:ascii="Times New Roman" w:hAnsi="Times New Roman"/>
          <w:sz w:val="24"/>
          <w:szCs w:val="24"/>
        </w:rPr>
        <w:t xml:space="preserve"> бюджета субъекта Российской Федерации </w:t>
      </w:r>
      <w:r w:rsidRPr="002272A9">
        <w:rPr>
          <w:rFonts w:ascii="Times New Roman" w:hAnsi="Times New Roman"/>
          <w:i/>
          <w:sz w:val="24"/>
          <w:szCs w:val="24"/>
        </w:rPr>
        <w:t>с 15% до 10%</w:t>
      </w:r>
      <w:r>
        <w:rPr>
          <w:rFonts w:ascii="Times New Roman" w:hAnsi="Times New Roman"/>
          <w:sz w:val="24"/>
          <w:szCs w:val="24"/>
        </w:rPr>
        <w:t xml:space="preserve"> от налоговых и неналоговых доходов, а также установление ограничения возможного превышения предельного объема госдолга субъекта Российской Федерации (муниципального долга) на объем привлеченных бюджетных кредитов</w:t>
      </w:r>
      <w:r w:rsidR="001C7422">
        <w:rPr>
          <w:rFonts w:ascii="Times New Roman" w:hAnsi="Times New Roman"/>
          <w:sz w:val="24"/>
          <w:szCs w:val="24"/>
        </w:rPr>
        <w:t xml:space="preserve"> </w:t>
      </w:r>
      <w:r w:rsidR="001C7422" w:rsidRPr="001C7422">
        <w:rPr>
          <w:rFonts w:ascii="Times New Roman" w:hAnsi="Times New Roman"/>
          <w:sz w:val="24"/>
          <w:szCs w:val="24"/>
        </w:rPr>
        <w:t>в зависимости от уровня «дотационности»</w:t>
      </w:r>
      <w:r>
        <w:rPr>
          <w:rFonts w:ascii="Times New Roman" w:hAnsi="Times New Roman"/>
          <w:sz w:val="24"/>
          <w:szCs w:val="24"/>
        </w:rPr>
        <w:t>,</w:t>
      </w:r>
      <w:r w:rsidRPr="000E49BA">
        <w:rPr>
          <w:rFonts w:ascii="Times New Roman" w:hAnsi="Times New Roman"/>
          <w:sz w:val="24"/>
          <w:szCs w:val="24"/>
        </w:rPr>
        <w:t xml:space="preserve"> </w:t>
      </w:r>
      <w:r w:rsidRPr="002C1712">
        <w:rPr>
          <w:rFonts w:ascii="Times New Roman" w:hAnsi="Times New Roman"/>
          <w:sz w:val="24"/>
          <w:szCs w:val="24"/>
        </w:rPr>
        <w:t>имея в виду</w:t>
      </w:r>
      <w:r w:rsidR="00CE3F17">
        <w:rPr>
          <w:rFonts w:ascii="Times New Roman" w:hAnsi="Times New Roman"/>
          <w:sz w:val="24"/>
          <w:szCs w:val="24"/>
        </w:rPr>
        <w:t>,</w:t>
      </w:r>
      <w:r w:rsidRPr="002C1712">
        <w:rPr>
          <w:rFonts w:ascii="Times New Roman" w:hAnsi="Times New Roman"/>
          <w:sz w:val="24"/>
          <w:szCs w:val="24"/>
        </w:rPr>
        <w:t xml:space="preserve"> что</w:t>
      </w:r>
      <w:r w:rsidR="001C7422">
        <w:rPr>
          <w:rFonts w:ascii="Times New Roman" w:hAnsi="Times New Roman"/>
          <w:sz w:val="24"/>
          <w:szCs w:val="24"/>
        </w:rPr>
        <w:t>:</w:t>
      </w:r>
      <w:proofErr w:type="gramEnd"/>
    </w:p>
    <w:p w:rsidR="009E6F0A" w:rsidRPr="002272A9" w:rsidRDefault="009E6F0A" w:rsidP="002272A9">
      <w:pPr>
        <w:pStyle w:val="a9"/>
        <w:numPr>
          <w:ilvl w:val="0"/>
          <w:numId w:val="64"/>
        </w:numPr>
        <w:jc w:val="both"/>
        <w:rPr>
          <w:rFonts w:ascii="Times New Roman" w:hAnsi="Times New Roman"/>
          <w:sz w:val="24"/>
          <w:szCs w:val="24"/>
        </w:rPr>
      </w:pPr>
      <w:r w:rsidRPr="002272A9">
        <w:rPr>
          <w:rFonts w:ascii="Times New Roman" w:hAnsi="Times New Roman"/>
          <w:sz w:val="24"/>
          <w:szCs w:val="24"/>
        </w:rPr>
        <w:t xml:space="preserve">для субъектов </w:t>
      </w:r>
      <w:r w:rsidR="000224B9">
        <w:rPr>
          <w:rFonts w:ascii="Times New Roman" w:hAnsi="Times New Roman"/>
          <w:sz w:val="24"/>
          <w:szCs w:val="24"/>
        </w:rPr>
        <w:t>с</w:t>
      </w:r>
      <w:r w:rsidRPr="002272A9">
        <w:rPr>
          <w:rFonts w:ascii="Times New Roman" w:hAnsi="Times New Roman"/>
          <w:sz w:val="24"/>
          <w:szCs w:val="24"/>
        </w:rPr>
        <w:t xml:space="preserve"> объем</w:t>
      </w:r>
      <w:r w:rsidR="002D1F12">
        <w:rPr>
          <w:rFonts w:ascii="Times New Roman" w:hAnsi="Times New Roman"/>
          <w:sz w:val="24"/>
          <w:szCs w:val="24"/>
        </w:rPr>
        <w:t>ом</w:t>
      </w:r>
      <w:r w:rsidRPr="002272A9">
        <w:rPr>
          <w:rFonts w:ascii="Times New Roman" w:hAnsi="Times New Roman"/>
          <w:sz w:val="24"/>
          <w:szCs w:val="24"/>
        </w:rPr>
        <w:t xml:space="preserve"> </w:t>
      </w:r>
      <w:r w:rsidR="002272A9">
        <w:rPr>
          <w:rFonts w:ascii="Times New Roman" w:hAnsi="Times New Roman"/>
          <w:sz w:val="24"/>
          <w:szCs w:val="24"/>
        </w:rPr>
        <w:t xml:space="preserve">долга, </w:t>
      </w:r>
      <w:r w:rsidR="00597A8B">
        <w:rPr>
          <w:rFonts w:ascii="Times New Roman" w:hAnsi="Times New Roman"/>
          <w:sz w:val="24"/>
          <w:szCs w:val="24"/>
        </w:rPr>
        <w:t>превышающим на 1 января 2017 года</w:t>
      </w:r>
      <w:r w:rsidRPr="002272A9">
        <w:rPr>
          <w:rFonts w:ascii="Times New Roman" w:hAnsi="Times New Roman"/>
          <w:sz w:val="24"/>
          <w:szCs w:val="24"/>
        </w:rPr>
        <w:t xml:space="preserve"> 100</w:t>
      </w:r>
      <w:r w:rsidR="006D58E6">
        <w:rPr>
          <w:rFonts w:ascii="Times New Roman" w:hAnsi="Times New Roman"/>
          <w:sz w:val="24"/>
          <w:szCs w:val="24"/>
        </w:rPr>
        <w:t>%</w:t>
      </w:r>
      <w:r w:rsidR="002272A9">
        <w:rPr>
          <w:rFonts w:ascii="Times New Roman" w:hAnsi="Times New Roman"/>
          <w:sz w:val="24"/>
          <w:szCs w:val="24"/>
        </w:rPr>
        <w:t xml:space="preserve"> </w:t>
      </w:r>
      <w:r w:rsidR="000E6828">
        <w:rPr>
          <w:rFonts w:ascii="Times New Roman" w:hAnsi="Times New Roman"/>
          <w:sz w:val="24"/>
          <w:szCs w:val="24"/>
        </w:rPr>
        <w:t xml:space="preserve">собственных </w:t>
      </w:r>
      <w:r w:rsidRPr="002272A9">
        <w:rPr>
          <w:rFonts w:ascii="Times New Roman" w:hAnsi="Times New Roman"/>
          <w:sz w:val="24"/>
          <w:szCs w:val="24"/>
        </w:rPr>
        <w:t xml:space="preserve">доходов бюджета, </w:t>
      </w:r>
      <w:r w:rsidR="005A6FC0">
        <w:rPr>
          <w:rFonts w:ascii="Times New Roman" w:hAnsi="Times New Roman"/>
          <w:sz w:val="24"/>
          <w:szCs w:val="24"/>
        </w:rPr>
        <w:t xml:space="preserve">этот показатель </w:t>
      </w:r>
      <w:r w:rsidR="006D58E6">
        <w:rPr>
          <w:rFonts w:ascii="Times New Roman" w:hAnsi="Times New Roman"/>
          <w:sz w:val="24"/>
          <w:szCs w:val="24"/>
        </w:rPr>
        <w:t xml:space="preserve">не должен превышать 140% на </w:t>
      </w:r>
      <w:r w:rsidR="003C4091" w:rsidRPr="002272A9">
        <w:rPr>
          <w:rFonts w:ascii="Times New Roman" w:hAnsi="Times New Roman"/>
          <w:sz w:val="24"/>
          <w:szCs w:val="24"/>
        </w:rPr>
        <w:t>1 января 201</w:t>
      </w:r>
      <w:r w:rsidR="002D1F12">
        <w:rPr>
          <w:rFonts w:ascii="Times New Roman" w:hAnsi="Times New Roman"/>
          <w:sz w:val="24"/>
          <w:szCs w:val="24"/>
        </w:rPr>
        <w:t>8</w:t>
      </w:r>
      <w:r w:rsidR="003C4091" w:rsidRPr="002272A9">
        <w:rPr>
          <w:rFonts w:ascii="Times New Roman" w:hAnsi="Times New Roman"/>
          <w:sz w:val="24"/>
          <w:szCs w:val="24"/>
        </w:rPr>
        <w:t xml:space="preserve"> года </w:t>
      </w:r>
      <w:r w:rsidR="002D1F12">
        <w:rPr>
          <w:rFonts w:ascii="Times New Roman" w:hAnsi="Times New Roman"/>
          <w:sz w:val="24"/>
          <w:szCs w:val="24"/>
        </w:rPr>
        <w:t>и 120% на 1 января 2019 года</w:t>
      </w:r>
      <w:r w:rsidRPr="002272A9">
        <w:rPr>
          <w:rFonts w:ascii="Times New Roman" w:hAnsi="Times New Roman"/>
          <w:sz w:val="24"/>
          <w:szCs w:val="24"/>
        </w:rPr>
        <w:t>;</w:t>
      </w:r>
    </w:p>
    <w:p w:rsidR="009E6F0A" w:rsidRPr="002272A9" w:rsidRDefault="009E6F0A" w:rsidP="002272A9">
      <w:pPr>
        <w:pStyle w:val="a9"/>
        <w:numPr>
          <w:ilvl w:val="0"/>
          <w:numId w:val="64"/>
        </w:numPr>
        <w:jc w:val="both"/>
        <w:rPr>
          <w:rFonts w:ascii="Times New Roman" w:hAnsi="Times New Roman"/>
          <w:sz w:val="24"/>
          <w:szCs w:val="24"/>
        </w:rPr>
      </w:pPr>
      <w:r w:rsidRPr="002272A9">
        <w:rPr>
          <w:rFonts w:ascii="Times New Roman" w:hAnsi="Times New Roman"/>
          <w:sz w:val="24"/>
          <w:szCs w:val="24"/>
        </w:rPr>
        <w:t xml:space="preserve">для «высокодотационных» субъектов </w:t>
      </w:r>
      <w:r w:rsidR="002D1F12">
        <w:rPr>
          <w:rFonts w:ascii="Times New Roman" w:hAnsi="Times New Roman"/>
          <w:sz w:val="24"/>
          <w:szCs w:val="24"/>
        </w:rPr>
        <w:t xml:space="preserve">с </w:t>
      </w:r>
      <w:r w:rsidRPr="002272A9">
        <w:rPr>
          <w:rFonts w:ascii="Times New Roman" w:hAnsi="Times New Roman"/>
          <w:sz w:val="24"/>
          <w:szCs w:val="24"/>
        </w:rPr>
        <w:t>объем</w:t>
      </w:r>
      <w:r w:rsidR="002D1F12">
        <w:rPr>
          <w:rFonts w:ascii="Times New Roman" w:hAnsi="Times New Roman"/>
          <w:sz w:val="24"/>
          <w:szCs w:val="24"/>
        </w:rPr>
        <w:t>ом</w:t>
      </w:r>
      <w:r w:rsidRPr="002272A9">
        <w:rPr>
          <w:rFonts w:ascii="Times New Roman" w:hAnsi="Times New Roman"/>
          <w:sz w:val="24"/>
          <w:szCs w:val="24"/>
        </w:rPr>
        <w:t xml:space="preserve"> долга</w:t>
      </w:r>
      <w:r w:rsidR="002272A9">
        <w:rPr>
          <w:rFonts w:ascii="Times New Roman" w:hAnsi="Times New Roman"/>
          <w:sz w:val="24"/>
          <w:szCs w:val="24"/>
        </w:rPr>
        <w:t>,</w:t>
      </w:r>
      <w:r w:rsidR="00F13F40">
        <w:rPr>
          <w:rFonts w:ascii="Times New Roman" w:hAnsi="Times New Roman"/>
          <w:sz w:val="24"/>
          <w:szCs w:val="24"/>
        </w:rPr>
        <w:t xml:space="preserve"> превышающим</w:t>
      </w:r>
      <w:r w:rsidRPr="002272A9">
        <w:rPr>
          <w:rFonts w:ascii="Times New Roman" w:hAnsi="Times New Roman"/>
          <w:sz w:val="24"/>
          <w:szCs w:val="24"/>
        </w:rPr>
        <w:t xml:space="preserve"> на 1 января 2017 года 50</w:t>
      </w:r>
      <w:r w:rsidR="00513B71">
        <w:rPr>
          <w:rFonts w:ascii="Times New Roman" w:hAnsi="Times New Roman"/>
          <w:sz w:val="24"/>
          <w:szCs w:val="24"/>
        </w:rPr>
        <w:t>% собственных</w:t>
      </w:r>
      <w:r w:rsidRPr="002272A9">
        <w:rPr>
          <w:rFonts w:ascii="Times New Roman" w:hAnsi="Times New Roman"/>
          <w:sz w:val="24"/>
          <w:szCs w:val="24"/>
        </w:rPr>
        <w:t xml:space="preserve"> доходов бюджета, </w:t>
      </w:r>
      <w:r w:rsidR="001210CF">
        <w:rPr>
          <w:rFonts w:ascii="Times New Roman" w:hAnsi="Times New Roman"/>
          <w:sz w:val="24"/>
          <w:szCs w:val="24"/>
        </w:rPr>
        <w:t>этот показатель не должен превышать 70%</w:t>
      </w:r>
      <w:r w:rsidRPr="002272A9">
        <w:rPr>
          <w:rFonts w:ascii="Times New Roman" w:hAnsi="Times New Roman"/>
          <w:sz w:val="24"/>
          <w:szCs w:val="24"/>
        </w:rPr>
        <w:t xml:space="preserve"> на 1 января 2018 </w:t>
      </w:r>
      <w:r w:rsidR="001210CF">
        <w:rPr>
          <w:rFonts w:ascii="Times New Roman" w:hAnsi="Times New Roman"/>
          <w:sz w:val="24"/>
          <w:szCs w:val="24"/>
        </w:rPr>
        <w:t xml:space="preserve">и </w:t>
      </w:r>
      <w:r w:rsidR="00FC44DC">
        <w:rPr>
          <w:rFonts w:ascii="Times New Roman" w:hAnsi="Times New Roman"/>
          <w:sz w:val="24"/>
          <w:szCs w:val="24"/>
        </w:rPr>
        <w:t xml:space="preserve">60% на </w:t>
      </w:r>
      <w:r w:rsidRPr="002272A9">
        <w:rPr>
          <w:rFonts w:ascii="Times New Roman" w:hAnsi="Times New Roman"/>
          <w:sz w:val="24"/>
          <w:szCs w:val="24"/>
        </w:rPr>
        <w:t>1 января 2019 года.</w:t>
      </w:r>
    </w:p>
    <w:p w:rsidR="003C4091" w:rsidRDefault="003C4091" w:rsidP="003C4091">
      <w:pPr>
        <w:jc w:val="both"/>
        <w:rPr>
          <w:rFonts w:ascii="Times New Roman" w:hAnsi="Times New Roman"/>
          <w:sz w:val="24"/>
          <w:szCs w:val="24"/>
        </w:rPr>
      </w:pPr>
      <w:r w:rsidRPr="006908EA">
        <w:rPr>
          <w:rFonts w:ascii="Times New Roman" w:hAnsi="Times New Roman"/>
          <w:sz w:val="24"/>
          <w:szCs w:val="24"/>
        </w:rPr>
        <w:t>Введение указанной нормы приведет к стимулированию поэтапного снижения объема государственного долга субъекта Российской Федерации (муниципального долга) в течение двух лет.</w:t>
      </w:r>
    </w:p>
    <w:p w:rsidR="003C4091" w:rsidRDefault="00273ADA" w:rsidP="003C4091">
      <w:pPr>
        <w:jc w:val="both"/>
        <w:rPr>
          <w:rFonts w:ascii="Times New Roman" w:hAnsi="Times New Roman"/>
          <w:sz w:val="24"/>
          <w:szCs w:val="24"/>
        </w:rPr>
      </w:pPr>
      <w:r>
        <w:rPr>
          <w:rFonts w:ascii="Times New Roman" w:hAnsi="Times New Roman"/>
          <w:sz w:val="24"/>
          <w:szCs w:val="24"/>
        </w:rPr>
        <w:t>Стратегической</w:t>
      </w:r>
      <w:r w:rsidR="003C4091" w:rsidRPr="0010507D">
        <w:rPr>
          <w:rFonts w:ascii="Times New Roman" w:hAnsi="Times New Roman"/>
          <w:sz w:val="24"/>
          <w:szCs w:val="24"/>
        </w:rPr>
        <w:t xml:space="preserve"> задачей очередного финансового года является выход на траекторию </w:t>
      </w:r>
      <w:r w:rsidR="003C4091" w:rsidRPr="002272A9">
        <w:rPr>
          <w:rFonts w:ascii="Times New Roman" w:hAnsi="Times New Roman"/>
          <w:i/>
          <w:sz w:val="24"/>
          <w:szCs w:val="24"/>
        </w:rPr>
        <w:t>целевых социально-экономических показателей, предусмотренных указами Президента от 7 мая 2012 года</w:t>
      </w:r>
      <w:r w:rsidR="003C4091" w:rsidRPr="0010507D">
        <w:rPr>
          <w:rFonts w:ascii="Times New Roman" w:hAnsi="Times New Roman"/>
          <w:sz w:val="24"/>
          <w:szCs w:val="24"/>
        </w:rPr>
        <w:t>.</w:t>
      </w:r>
      <w:r w:rsidR="003C4091">
        <w:rPr>
          <w:rFonts w:ascii="Times New Roman" w:hAnsi="Times New Roman"/>
          <w:sz w:val="24"/>
          <w:szCs w:val="24"/>
        </w:rPr>
        <w:t xml:space="preserve"> Необходимо избежать «</w:t>
      </w:r>
      <w:r w:rsidR="003C4091" w:rsidRPr="00E833C0">
        <w:rPr>
          <w:rFonts w:ascii="Times New Roman" w:hAnsi="Times New Roman"/>
          <w:sz w:val="24"/>
          <w:szCs w:val="24"/>
        </w:rPr>
        <w:t>техническо</w:t>
      </w:r>
      <w:r w:rsidR="003C4091">
        <w:rPr>
          <w:rFonts w:ascii="Times New Roman" w:hAnsi="Times New Roman"/>
          <w:sz w:val="24"/>
          <w:szCs w:val="24"/>
        </w:rPr>
        <w:t>го</w:t>
      </w:r>
      <w:r w:rsidR="003C4091" w:rsidRPr="00E833C0">
        <w:rPr>
          <w:rFonts w:ascii="Times New Roman" w:hAnsi="Times New Roman"/>
          <w:sz w:val="24"/>
          <w:szCs w:val="24"/>
        </w:rPr>
        <w:t>» повышени</w:t>
      </w:r>
      <w:r w:rsidR="003C4091">
        <w:rPr>
          <w:rFonts w:ascii="Times New Roman" w:hAnsi="Times New Roman"/>
          <w:sz w:val="24"/>
          <w:szCs w:val="24"/>
        </w:rPr>
        <w:t>я</w:t>
      </w:r>
      <w:r w:rsidR="003C4091" w:rsidRPr="00E833C0">
        <w:rPr>
          <w:rFonts w:ascii="Times New Roman" w:hAnsi="Times New Roman"/>
          <w:sz w:val="24"/>
          <w:szCs w:val="24"/>
        </w:rPr>
        <w:t xml:space="preserve"> оплаты труда</w:t>
      </w:r>
      <w:r w:rsidR="003C4091">
        <w:rPr>
          <w:rFonts w:ascii="Times New Roman" w:hAnsi="Times New Roman"/>
          <w:sz w:val="24"/>
          <w:szCs w:val="24"/>
        </w:rPr>
        <w:t>, завершив проведение структурных реформ в целях повышения качества услуг и оптимизации нагрузки на бюджетную сеть.</w:t>
      </w:r>
      <w:r w:rsidR="003C4091" w:rsidRPr="00E833C0">
        <w:rPr>
          <w:rFonts w:ascii="Times New Roman" w:hAnsi="Times New Roman"/>
          <w:sz w:val="24"/>
          <w:szCs w:val="24"/>
        </w:rPr>
        <w:t xml:space="preserve"> </w:t>
      </w:r>
    </w:p>
    <w:p w:rsidR="0027766B" w:rsidRDefault="0027766B" w:rsidP="0027766B">
      <w:pPr>
        <w:jc w:val="both"/>
        <w:rPr>
          <w:rFonts w:ascii="Times New Roman" w:hAnsi="Times New Roman"/>
          <w:sz w:val="24"/>
          <w:szCs w:val="24"/>
        </w:rPr>
      </w:pPr>
      <w:r>
        <w:rPr>
          <w:rFonts w:ascii="Times New Roman" w:hAnsi="Times New Roman"/>
          <w:sz w:val="24"/>
          <w:szCs w:val="24"/>
        </w:rPr>
        <w:t>При формировании бюджетной политики в сфере межбюджетных отношений, в том числе при заключении соглашений о предоставлении дотаций на выравнивание бюджетной обеспеченности субъектов Российской Федерации необходимо исходить из обеспечения принятия реалистичных бюджетов и повышения качества бюджетного планирования.</w:t>
      </w:r>
    </w:p>
    <w:p w:rsidR="0027766B" w:rsidRDefault="0027766B" w:rsidP="0027766B">
      <w:pPr>
        <w:jc w:val="both"/>
        <w:rPr>
          <w:rFonts w:ascii="Times New Roman" w:hAnsi="Times New Roman"/>
          <w:sz w:val="24"/>
          <w:szCs w:val="24"/>
        </w:rPr>
      </w:pPr>
      <w:r>
        <w:rPr>
          <w:rFonts w:ascii="Times New Roman" w:hAnsi="Times New Roman"/>
          <w:sz w:val="24"/>
          <w:szCs w:val="24"/>
        </w:rPr>
        <w:t xml:space="preserve">Содействие со стороны федерации в сбалансированности субфедеральных бюджетов в первую очередь будет обеспечено за счет </w:t>
      </w:r>
      <w:r w:rsidRPr="002272A9">
        <w:rPr>
          <w:rFonts w:ascii="Times New Roman" w:hAnsi="Times New Roman"/>
          <w:b/>
          <w:sz w:val="24"/>
          <w:szCs w:val="24"/>
          <w:u w:val="single"/>
        </w:rPr>
        <w:t>ограничения регулирования на федеральном уровне расходных обязательств регионов</w:t>
      </w:r>
      <w:r>
        <w:rPr>
          <w:rFonts w:ascii="Times New Roman" w:hAnsi="Times New Roman"/>
          <w:sz w:val="24"/>
          <w:szCs w:val="24"/>
        </w:rPr>
        <w:t xml:space="preserve">. Это в числе прочего не позволяет регионам проводить политику </w:t>
      </w:r>
      <w:r w:rsidRPr="004A75E1">
        <w:rPr>
          <w:rFonts w:ascii="Times New Roman" w:hAnsi="Times New Roman"/>
          <w:sz w:val="24"/>
          <w:szCs w:val="24"/>
        </w:rPr>
        <w:t>повышени</w:t>
      </w:r>
      <w:r>
        <w:rPr>
          <w:rFonts w:ascii="Times New Roman" w:hAnsi="Times New Roman"/>
          <w:sz w:val="24"/>
          <w:szCs w:val="24"/>
        </w:rPr>
        <w:t>я</w:t>
      </w:r>
      <w:r w:rsidRPr="004A75E1">
        <w:rPr>
          <w:rFonts w:ascii="Times New Roman" w:hAnsi="Times New Roman"/>
          <w:sz w:val="24"/>
          <w:szCs w:val="24"/>
        </w:rPr>
        <w:t xml:space="preserve"> эффективности бюджетных расходов, бюджетн</w:t>
      </w:r>
      <w:r>
        <w:rPr>
          <w:rFonts w:ascii="Times New Roman" w:hAnsi="Times New Roman"/>
          <w:sz w:val="24"/>
          <w:szCs w:val="24"/>
        </w:rPr>
        <w:t>ой</w:t>
      </w:r>
      <w:r w:rsidRPr="004A75E1">
        <w:rPr>
          <w:rFonts w:ascii="Times New Roman" w:hAnsi="Times New Roman"/>
          <w:sz w:val="24"/>
          <w:szCs w:val="24"/>
        </w:rPr>
        <w:t xml:space="preserve"> консолидаци</w:t>
      </w:r>
      <w:r>
        <w:rPr>
          <w:rFonts w:ascii="Times New Roman" w:hAnsi="Times New Roman"/>
          <w:sz w:val="24"/>
          <w:szCs w:val="24"/>
        </w:rPr>
        <w:t>и</w:t>
      </w:r>
      <w:r w:rsidRPr="004A75E1">
        <w:rPr>
          <w:rFonts w:ascii="Times New Roman" w:hAnsi="Times New Roman"/>
          <w:sz w:val="24"/>
          <w:szCs w:val="24"/>
        </w:rPr>
        <w:t xml:space="preserve"> и отказ</w:t>
      </w:r>
      <w:r>
        <w:rPr>
          <w:rFonts w:ascii="Times New Roman" w:hAnsi="Times New Roman"/>
          <w:sz w:val="24"/>
          <w:szCs w:val="24"/>
        </w:rPr>
        <w:t>а</w:t>
      </w:r>
      <w:r w:rsidRPr="004A75E1">
        <w:rPr>
          <w:rFonts w:ascii="Times New Roman" w:hAnsi="Times New Roman"/>
          <w:sz w:val="24"/>
          <w:szCs w:val="24"/>
        </w:rPr>
        <w:t xml:space="preserve"> от неприоритетных направлений финансирования</w:t>
      </w:r>
      <w:r>
        <w:rPr>
          <w:rFonts w:ascii="Times New Roman" w:hAnsi="Times New Roman"/>
          <w:sz w:val="24"/>
          <w:szCs w:val="24"/>
        </w:rPr>
        <w:t>, устанавливать меры социальной поддержки с учетом принципа нуждаемости.</w:t>
      </w:r>
    </w:p>
    <w:p w:rsidR="0027766B" w:rsidRPr="00E833C0" w:rsidRDefault="0027766B" w:rsidP="0027766B">
      <w:pPr>
        <w:jc w:val="both"/>
        <w:rPr>
          <w:rFonts w:ascii="Times New Roman" w:hAnsi="Times New Roman"/>
          <w:sz w:val="24"/>
          <w:szCs w:val="24"/>
        </w:rPr>
      </w:pPr>
      <w:r w:rsidRPr="00E833C0">
        <w:rPr>
          <w:rFonts w:ascii="Times New Roman" w:hAnsi="Times New Roman"/>
          <w:b/>
          <w:sz w:val="24"/>
          <w:szCs w:val="24"/>
        </w:rPr>
        <w:t>Для решения</w:t>
      </w:r>
      <w:r w:rsidRPr="00E833C0">
        <w:rPr>
          <w:rFonts w:ascii="Times New Roman" w:hAnsi="Times New Roman"/>
          <w:sz w:val="24"/>
          <w:szCs w:val="24"/>
        </w:rPr>
        <w:t xml:space="preserve"> обозначенной проблемы </w:t>
      </w:r>
      <w:r w:rsidRPr="00E833C0">
        <w:rPr>
          <w:rFonts w:ascii="Times New Roman" w:hAnsi="Times New Roman"/>
          <w:b/>
          <w:sz w:val="24"/>
          <w:szCs w:val="24"/>
        </w:rPr>
        <w:t>необходимо</w:t>
      </w:r>
      <w:r w:rsidRPr="00E833C0">
        <w:rPr>
          <w:rFonts w:ascii="Times New Roman" w:hAnsi="Times New Roman"/>
          <w:sz w:val="24"/>
          <w:szCs w:val="24"/>
        </w:rPr>
        <w:t>:</w:t>
      </w:r>
    </w:p>
    <w:p w:rsidR="0027766B" w:rsidRPr="002272A9" w:rsidRDefault="0027766B" w:rsidP="00A71D96">
      <w:pPr>
        <w:pStyle w:val="a9"/>
        <w:numPr>
          <w:ilvl w:val="0"/>
          <w:numId w:val="66"/>
        </w:numPr>
        <w:jc w:val="both"/>
        <w:rPr>
          <w:rFonts w:ascii="Times New Roman" w:hAnsi="Times New Roman"/>
          <w:sz w:val="24"/>
          <w:szCs w:val="24"/>
        </w:rPr>
      </w:pPr>
      <w:r w:rsidRPr="002272A9">
        <w:rPr>
          <w:rFonts w:ascii="Times New Roman" w:hAnsi="Times New Roman"/>
          <w:sz w:val="24"/>
          <w:szCs w:val="24"/>
        </w:rPr>
        <w:t>провести инвентаризацию регулирующего воздействия актов, принятых на федеральном уровне, с целью выявления и отмены избыточных или неправомерных актов;</w:t>
      </w:r>
    </w:p>
    <w:p w:rsidR="0027766B" w:rsidRPr="002272A9" w:rsidRDefault="0027766B" w:rsidP="00A71D96">
      <w:pPr>
        <w:pStyle w:val="a9"/>
        <w:numPr>
          <w:ilvl w:val="0"/>
          <w:numId w:val="66"/>
        </w:numPr>
        <w:jc w:val="both"/>
        <w:rPr>
          <w:rFonts w:ascii="Times New Roman" w:hAnsi="Times New Roman"/>
          <w:sz w:val="24"/>
          <w:szCs w:val="24"/>
        </w:rPr>
      </w:pPr>
      <w:r w:rsidRPr="002272A9">
        <w:rPr>
          <w:rFonts w:ascii="Times New Roman" w:hAnsi="Times New Roman"/>
          <w:sz w:val="24"/>
          <w:szCs w:val="24"/>
        </w:rPr>
        <w:t>установить мораторий на принятие таких решений на федеральном уровне</w:t>
      </w:r>
      <w:r w:rsidR="007C17F1" w:rsidRPr="002272A9">
        <w:rPr>
          <w:rFonts w:ascii="Times New Roman" w:hAnsi="Times New Roman"/>
          <w:sz w:val="24"/>
          <w:szCs w:val="24"/>
        </w:rPr>
        <w:t>;</w:t>
      </w:r>
    </w:p>
    <w:p w:rsidR="0027766B" w:rsidRPr="002272A9" w:rsidRDefault="0027766B" w:rsidP="00A71D96">
      <w:pPr>
        <w:pStyle w:val="a9"/>
        <w:numPr>
          <w:ilvl w:val="0"/>
          <w:numId w:val="66"/>
        </w:numPr>
        <w:jc w:val="both"/>
        <w:rPr>
          <w:rFonts w:ascii="Times New Roman" w:hAnsi="Times New Roman"/>
          <w:sz w:val="24"/>
          <w:szCs w:val="24"/>
        </w:rPr>
      </w:pPr>
      <w:r w:rsidRPr="002272A9">
        <w:rPr>
          <w:rFonts w:ascii="Times New Roman" w:hAnsi="Times New Roman"/>
          <w:sz w:val="24"/>
          <w:szCs w:val="24"/>
        </w:rPr>
        <w:t>предоставить субъектам Российской Федерации право определять самостоятельно или на основании рекомендаций отраслевых органов исполнительной власти требования к исполнению «собственных» полномочий, которые будут обязательными только в случае предоставления межбюджетных трансфертов на цели реализации полномочий.</w:t>
      </w:r>
    </w:p>
    <w:p w:rsidR="0027766B" w:rsidRDefault="0027766B" w:rsidP="0027766B">
      <w:pPr>
        <w:jc w:val="both"/>
        <w:rPr>
          <w:rFonts w:ascii="Times New Roman" w:hAnsi="Times New Roman"/>
          <w:sz w:val="24"/>
          <w:szCs w:val="24"/>
        </w:rPr>
      </w:pPr>
      <w:r>
        <w:rPr>
          <w:rFonts w:ascii="Times New Roman" w:hAnsi="Times New Roman"/>
          <w:sz w:val="24"/>
          <w:szCs w:val="24"/>
        </w:rPr>
        <w:t xml:space="preserve">Другим элементом бюджетной сбалансированности является </w:t>
      </w:r>
      <w:r w:rsidRPr="002272A9">
        <w:rPr>
          <w:rFonts w:ascii="Times New Roman" w:hAnsi="Times New Roman"/>
          <w:b/>
          <w:sz w:val="24"/>
          <w:szCs w:val="24"/>
          <w:u w:val="single"/>
        </w:rPr>
        <w:t>формирование доходных источников</w:t>
      </w:r>
      <w:r>
        <w:rPr>
          <w:rFonts w:ascii="Times New Roman" w:hAnsi="Times New Roman"/>
          <w:sz w:val="24"/>
          <w:szCs w:val="24"/>
        </w:rPr>
        <w:t xml:space="preserve">, достаточных для финансирования приоритетных расходных полномочий. В целях </w:t>
      </w:r>
      <w:r w:rsidRPr="00785DE5">
        <w:rPr>
          <w:rFonts w:ascii="Times New Roman" w:hAnsi="Times New Roman"/>
          <w:sz w:val="24"/>
          <w:szCs w:val="24"/>
        </w:rPr>
        <w:t>создания условий для предсказуемости формирования и наполнения бюджетов субъектов Российской Федерации и местных бюджетов</w:t>
      </w:r>
      <w:r>
        <w:rPr>
          <w:rFonts w:ascii="Times New Roman" w:hAnsi="Times New Roman"/>
          <w:sz w:val="24"/>
          <w:szCs w:val="24"/>
        </w:rPr>
        <w:t xml:space="preserve"> со стороны федерального центра необходимо также добиться снижения регулирования налоговых доходов</w:t>
      </w:r>
      <w:r w:rsidRPr="00785DE5">
        <w:rPr>
          <w:rFonts w:ascii="Times New Roman" w:hAnsi="Times New Roman"/>
          <w:sz w:val="24"/>
          <w:szCs w:val="24"/>
        </w:rPr>
        <w:t>, составляющих основу региональных и местных бюджетов.</w:t>
      </w:r>
    </w:p>
    <w:p w:rsidR="0027766B" w:rsidRPr="00951C06" w:rsidRDefault="0027766B" w:rsidP="0027766B">
      <w:pPr>
        <w:pStyle w:val="afb"/>
        <w:kinsoku w:val="0"/>
        <w:overflowPunct w:val="0"/>
        <w:spacing w:before="0" w:beforeAutospacing="0" w:after="200" w:afterAutospacing="0" w:line="276" w:lineRule="auto"/>
        <w:jc w:val="both"/>
        <w:textAlignment w:val="baseline"/>
        <w:rPr>
          <w:color w:val="000000"/>
          <w:kern w:val="24"/>
        </w:rPr>
      </w:pPr>
      <w:proofErr w:type="gramStart"/>
      <w:r w:rsidRPr="00951C06">
        <w:t xml:space="preserve">В настоящее время как на федеральном, так и на региональном уровне существует большое количество </w:t>
      </w:r>
      <w:r w:rsidR="002F7F40" w:rsidRPr="002272A9">
        <w:rPr>
          <w:b/>
        </w:rPr>
        <w:t xml:space="preserve">налоговых </w:t>
      </w:r>
      <w:r w:rsidRPr="002272A9">
        <w:rPr>
          <w:b/>
        </w:rPr>
        <w:t>льгот и преференций</w:t>
      </w:r>
      <w:r w:rsidR="002F7F40">
        <w:t>.</w:t>
      </w:r>
      <w:proofErr w:type="gramEnd"/>
      <w:r w:rsidRPr="00951C06">
        <w:t xml:space="preserve"> </w:t>
      </w:r>
      <w:r w:rsidR="002F7F40">
        <w:t>П</w:t>
      </w:r>
      <w:r w:rsidRPr="00951C06">
        <w:t xml:space="preserve">ри этом значительная часть из них </w:t>
      </w:r>
      <w:r w:rsidRPr="002272A9">
        <w:rPr>
          <w:bCs/>
          <w:i/>
        </w:rPr>
        <w:t>нос</w:t>
      </w:r>
      <w:r w:rsidR="00CE3F17" w:rsidRPr="002272A9">
        <w:rPr>
          <w:bCs/>
          <w:i/>
        </w:rPr>
        <w:t>я</w:t>
      </w:r>
      <w:r w:rsidRPr="002272A9">
        <w:rPr>
          <w:bCs/>
          <w:i/>
        </w:rPr>
        <w:t>т бессрочный характер</w:t>
      </w:r>
      <w:r w:rsidRPr="002272A9">
        <w:rPr>
          <w:i/>
        </w:rPr>
        <w:t>,</w:t>
      </w:r>
      <w:r w:rsidR="00CE3F17" w:rsidRPr="002272A9">
        <w:rPr>
          <w:i/>
        </w:rPr>
        <w:t xml:space="preserve"> не являются «адресными»</w:t>
      </w:r>
      <w:r w:rsidR="00CE3F17">
        <w:t xml:space="preserve"> и</w:t>
      </w:r>
      <w:r w:rsidRPr="00951C06">
        <w:t xml:space="preserve"> не направлен</w:t>
      </w:r>
      <w:r w:rsidR="00CE3F17">
        <w:t>ы</w:t>
      </w:r>
      <w:r w:rsidRPr="00951C06">
        <w:t xml:space="preserve"> на решение како</w:t>
      </w:r>
      <w:r w:rsidR="00B348C3">
        <w:t>го</w:t>
      </w:r>
      <w:r w:rsidRPr="00951C06">
        <w:t>-либо конкретно</w:t>
      </w:r>
      <w:r w:rsidR="00B348C3">
        <w:t>го</w:t>
      </w:r>
      <w:r w:rsidRPr="00951C06">
        <w:t xml:space="preserve"> </w:t>
      </w:r>
      <w:r w:rsidR="00B348C3">
        <w:t>приоритета</w:t>
      </w:r>
      <w:r w:rsidR="00B348C3" w:rsidRPr="00951C06">
        <w:t xml:space="preserve"> </w:t>
      </w:r>
      <w:r w:rsidR="00B348C3">
        <w:t>социально-</w:t>
      </w:r>
      <w:r w:rsidRPr="00951C06">
        <w:t>экономической политики государства.</w:t>
      </w:r>
      <w:r w:rsidR="00133F3A">
        <w:t xml:space="preserve"> В этом контексте</w:t>
      </w:r>
      <w:r w:rsidR="00133F3A">
        <w:rPr>
          <w:rFonts w:eastAsia="Calibri"/>
          <w:lang w:eastAsia="en-US"/>
        </w:rPr>
        <w:t xml:space="preserve"> с</w:t>
      </w:r>
      <w:r w:rsidRPr="00951C06">
        <w:rPr>
          <w:color w:val="000000"/>
          <w:kern w:val="24"/>
        </w:rPr>
        <w:t xml:space="preserve">охраняют актуальность следующие </w:t>
      </w:r>
      <w:r w:rsidRPr="002272A9">
        <w:rPr>
          <w:color w:val="000000"/>
          <w:kern w:val="24"/>
        </w:rPr>
        <w:t>задачи</w:t>
      </w:r>
      <w:r w:rsidRPr="00951C06">
        <w:rPr>
          <w:color w:val="000000"/>
          <w:kern w:val="24"/>
        </w:rPr>
        <w:t>:</w:t>
      </w:r>
    </w:p>
    <w:p w:rsidR="00420746" w:rsidRDefault="00D20C50" w:rsidP="002272A9">
      <w:pPr>
        <w:pStyle w:val="afb"/>
        <w:numPr>
          <w:ilvl w:val="0"/>
          <w:numId w:val="68"/>
        </w:numPr>
        <w:kinsoku w:val="0"/>
        <w:overflowPunct w:val="0"/>
        <w:spacing w:before="0" w:beforeAutospacing="0" w:after="200" w:afterAutospacing="0" w:line="276" w:lineRule="auto"/>
        <w:jc w:val="both"/>
        <w:textAlignment w:val="baseline"/>
        <w:rPr>
          <w:color w:val="000000"/>
          <w:kern w:val="24"/>
        </w:rPr>
      </w:pPr>
      <w:r w:rsidRPr="002272A9">
        <w:rPr>
          <w:i/>
          <w:color w:val="000000"/>
          <w:kern w:val="24"/>
        </w:rPr>
        <w:t>Распределить действующие федеральные налоговые льготы по региональным и местным налогам на три категории</w:t>
      </w:r>
      <w:r w:rsidRPr="00D20C50">
        <w:rPr>
          <w:color w:val="000000"/>
          <w:kern w:val="24"/>
        </w:rPr>
        <w:t xml:space="preserve"> в зависимости от срока их передачи на региональный уровень: льготы, отменяемые на федеральном уровне с 1 января 2018 года, с 1 января 2020 года и с 1 января 2022 года.</w:t>
      </w:r>
    </w:p>
    <w:p w:rsidR="0027766B" w:rsidRDefault="0027766B" w:rsidP="002272A9">
      <w:pPr>
        <w:pStyle w:val="afb"/>
        <w:numPr>
          <w:ilvl w:val="0"/>
          <w:numId w:val="68"/>
        </w:numPr>
        <w:kinsoku w:val="0"/>
        <w:overflowPunct w:val="0"/>
        <w:spacing w:before="0" w:beforeAutospacing="0" w:after="200" w:afterAutospacing="0" w:line="276" w:lineRule="auto"/>
        <w:jc w:val="both"/>
        <w:textAlignment w:val="baseline"/>
        <w:rPr>
          <w:color w:val="000000"/>
          <w:kern w:val="24"/>
        </w:rPr>
      </w:pPr>
      <w:r w:rsidRPr="002272A9">
        <w:rPr>
          <w:i/>
          <w:color w:val="000000"/>
          <w:kern w:val="24"/>
        </w:rPr>
        <w:t>Расшир</w:t>
      </w:r>
      <w:r w:rsidR="00B348C3" w:rsidRPr="002272A9">
        <w:rPr>
          <w:i/>
          <w:color w:val="000000"/>
          <w:kern w:val="24"/>
        </w:rPr>
        <w:t>ить</w:t>
      </w:r>
      <w:r w:rsidRPr="002272A9">
        <w:rPr>
          <w:i/>
          <w:color w:val="000000"/>
          <w:kern w:val="24"/>
        </w:rPr>
        <w:t xml:space="preserve"> </w:t>
      </w:r>
      <w:r w:rsidR="00B348C3" w:rsidRPr="002272A9">
        <w:rPr>
          <w:i/>
          <w:color w:val="000000"/>
          <w:kern w:val="24"/>
        </w:rPr>
        <w:t>применение</w:t>
      </w:r>
      <w:r w:rsidRPr="002272A9">
        <w:rPr>
          <w:i/>
          <w:color w:val="000000"/>
          <w:kern w:val="24"/>
        </w:rPr>
        <w:t xml:space="preserve"> правил</w:t>
      </w:r>
      <w:r w:rsidR="00B348C3" w:rsidRPr="002272A9">
        <w:rPr>
          <w:i/>
          <w:color w:val="000000"/>
          <w:kern w:val="24"/>
        </w:rPr>
        <w:t>а</w:t>
      </w:r>
      <w:r w:rsidRPr="002272A9">
        <w:rPr>
          <w:i/>
          <w:color w:val="000000"/>
          <w:kern w:val="24"/>
        </w:rPr>
        <w:t xml:space="preserve"> «двух ключей»</w:t>
      </w:r>
      <w:r w:rsidRPr="00951C06">
        <w:rPr>
          <w:color w:val="000000"/>
          <w:kern w:val="24"/>
        </w:rPr>
        <w:t xml:space="preserve"> для отдельных видов льгот и преференций, которое означает, что они применяются на территории региона </w:t>
      </w:r>
      <w:r w:rsidR="00B348C3">
        <w:rPr>
          <w:color w:val="000000"/>
          <w:kern w:val="24"/>
        </w:rPr>
        <w:t xml:space="preserve">только </w:t>
      </w:r>
      <w:r w:rsidRPr="00951C06">
        <w:rPr>
          <w:color w:val="000000"/>
          <w:kern w:val="24"/>
        </w:rPr>
        <w:t>в случае принятия соответствующего закона</w:t>
      </w:r>
      <w:r w:rsidR="00B348C3">
        <w:rPr>
          <w:color w:val="000000"/>
          <w:kern w:val="24"/>
        </w:rPr>
        <w:t xml:space="preserve"> субъекта</w:t>
      </w:r>
      <w:r w:rsidRPr="00951C06">
        <w:rPr>
          <w:color w:val="000000"/>
          <w:kern w:val="24"/>
        </w:rPr>
        <w:t xml:space="preserve">. </w:t>
      </w:r>
    </w:p>
    <w:p w:rsidR="002272A9" w:rsidRDefault="00325329" w:rsidP="004D63A1">
      <w:pPr>
        <w:pStyle w:val="a9"/>
        <w:numPr>
          <w:ilvl w:val="0"/>
          <w:numId w:val="69"/>
        </w:numPr>
        <w:spacing w:before="120" w:after="120"/>
        <w:ind w:left="714" w:hanging="357"/>
        <w:contextualSpacing w:val="0"/>
        <w:jc w:val="both"/>
        <w:rPr>
          <w:rFonts w:ascii="Times New Roman" w:hAnsi="Times New Roman"/>
          <w:sz w:val="24"/>
          <w:szCs w:val="24"/>
        </w:rPr>
      </w:pPr>
      <w:r>
        <w:rPr>
          <w:rFonts w:ascii="Times New Roman" w:hAnsi="Times New Roman"/>
          <w:sz w:val="24"/>
          <w:szCs w:val="24"/>
        </w:rPr>
        <w:t>С</w:t>
      </w:r>
      <w:r w:rsidR="0027766B" w:rsidRPr="002272A9">
        <w:rPr>
          <w:rFonts w:ascii="Times New Roman" w:hAnsi="Times New Roman"/>
          <w:sz w:val="24"/>
          <w:szCs w:val="24"/>
        </w:rPr>
        <w:t xml:space="preserve"> 1 января 2018 года </w:t>
      </w:r>
      <w:r w:rsidR="00ED46C9" w:rsidRPr="002272A9">
        <w:rPr>
          <w:rFonts w:ascii="Times New Roman" w:hAnsi="Times New Roman"/>
          <w:sz w:val="24"/>
          <w:szCs w:val="24"/>
        </w:rPr>
        <w:t>регионы</w:t>
      </w:r>
      <w:r w:rsidR="0027766B" w:rsidRPr="002272A9">
        <w:rPr>
          <w:rFonts w:ascii="Times New Roman" w:hAnsi="Times New Roman"/>
          <w:sz w:val="24"/>
          <w:szCs w:val="24"/>
        </w:rPr>
        <w:t xml:space="preserve"> получают право самостоятельно принимать решение о предоставлении на своей территории налоговых льгот по налогу на имущество организаций в отношении движимого имущества и имущества, используемого при осуществлении деятельности по разработке морских месторождений углеводородного сырья в российской части (российском секторе) Каспийского моря.</w:t>
      </w:r>
    </w:p>
    <w:p w:rsidR="001261B9" w:rsidRDefault="00325329" w:rsidP="004D63A1">
      <w:pPr>
        <w:pStyle w:val="a9"/>
        <w:numPr>
          <w:ilvl w:val="0"/>
          <w:numId w:val="69"/>
        </w:numPr>
        <w:spacing w:before="120" w:after="120"/>
        <w:ind w:left="714" w:hanging="357"/>
        <w:contextualSpacing w:val="0"/>
        <w:jc w:val="both"/>
        <w:rPr>
          <w:rFonts w:ascii="Times New Roman" w:hAnsi="Times New Roman"/>
          <w:sz w:val="24"/>
          <w:szCs w:val="24"/>
        </w:rPr>
      </w:pPr>
      <w:r>
        <w:rPr>
          <w:rFonts w:ascii="Times New Roman" w:hAnsi="Times New Roman"/>
          <w:sz w:val="24"/>
          <w:szCs w:val="24"/>
        </w:rPr>
        <w:t>С</w:t>
      </w:r>
      <w:r w:rsidR="0027766B" w:rsidRPr="002272A9">
        <w:rPr>
          <w:rFonts w:ascii="Times New Roman" w:hAnsi="Times New Roman"/>
          <w:sz w:val="24"/>
          <w:szCs w:val="24"/>
        </w:rPr>
        <w:t xml:space="preserve"> учетом предложений субъектов Российской Федерации с 2018 года планируется передача на региональный уровень налоговой льготы по налогу на имущество организаций в отношении </w:t>
      </w:r>
      <w:proofErr w:type="spellStart"/>
      <w:r w:rsidR="0027766B" w:rsidRPr="002272A9">
        <w:rPr>
          <w:rFonts w:ascii="Times New Roman" w:hAnsi="Times New Roman"/>
          <w:sz w:val="24"/>
          <w:szCs w:val="24"/>
        </w:rPr>
        <w:t>энергоэффективных</w:t>
      </w:r>
      <w:proofErr w:type="spellEnd"/>
      <w:r w:rsidR="0027766B" w:rsidRPr="002272A9">
        <w:rPr>
          <w:rFonts w:ascii="Times New Roman" w:hAnsi="Times New Roman"/>
          <w:sz w:val="24"/>
          <w:szCs w:val="24"/>
        </w:rPr>
        <w:t xml:space="preserve"> объектов.</w:t>
      </w:r>
    </w:p>
    <w:p w:rsidR="004D63A1" w:rsidRDefault="00974D19" w:rsidP="004D63A1">
      <w:pPr>
        <w:pStyle w:val="a9"/>
        <w:numPr>
          <w:ilvl w:val="0"/>
          <w:numId w:val="69"/>
        </w:numPr>
        <w:spacing w:before="120" w:after="120"/>
        <w:ind w:left="714" w:hanging="357"/>
        <w:contextualSpacing w:val="0"/>
        <w:jc w:val="both"/>
        <w:rPr>
          <w:rFonts w:ascii="Times New Roman" w:hAnsi="Times New Roman"/>
          <w:sz w:val="24"/>
          <w:szCs w:val="24"/>
        </w:rPr>
      </w:pPr>
      <w:r>
        <w:rPr>
          <w:rFonts w:ascii="Times New Roman" w:hAnsi="Times New Roman"/>
          <w:sz w:val="24"/>
          <w:szCs w:val="24"/>
        </w:rPr>
        <w:t>Д</w:t>
      </w:r>
      <w:r w:rsidR="004771D9" w:rsidRPr="002272A9">
        <w:rPr>
          <w:rFonts w:ascii="Times New Roman" w:hAnsi="Times New Roman"/>
          <w:sz w:val="24"/>
          <w:szCs w:val="24"/>
        </w:rPr>
        <w:t>альнейш</w:t>
      </w:r>
      <w:r>
        <w:rPr>
          <w:rFonts w:ascii="Times New Roman" w:hAnsi="Times New Roman"/>
          <w:sz w:val="24"/>
          <w:szCs w:val="24"/>
        </w:rPr>
        <w:t>ая</w:t>
      </w:r>
      <w:r w:rsidR="004771D9" w:rsidRPr="002272A9">
        <w:rPr>
          <w:rFonts w:ascii="Times New Roman" w:hAnsi="Times New Roman"/>
          <w:sz w:val="24"/>
          <w:szCs w:val="24"/>
        </w:rPr>
        <w:t xml:space="preserve"> работа по поэтапной отмене отдельных федеральных налоговых льгот по налогу на имущество организаций и земельному налогу </w:t>
      </w:r>
      <w:r>
        <w:rPr>
          <w:rFonts w:ascii="Times New Roman" w:hAnsi="Times New Roman"/>
          <w:sz w:val="24"/>
          <w:szCs w:val="24"/>
        </w:rPr>
        <w:t xml:space="preserve">будет продолжена </w:t>
      </w:r>
      <w:r w:rsidR="004771D9" w:rsidRPr="002272A9">
        <w:rPr>
          <w:rFonts w:ascii="Times New Roman" w:hAnsi="Times New Roman"/>
          <w:sz w:val="24"/>
          <w:szCs w:val="24"/>
        </w:rPr>
        <w:t xml:space="preserve">с учетом влияния </w:t>
      </w:r>
      <w:r w:rsidR="004D5955">
        <w:rPr>
          <w:rFonts w:ascii="Times New Roman" w:hAnsi="Times New Roman"/>
          <w:sz w:val="24"/>
          <w:szCs w:val="24"/>
        </w:rPr>
        <w:t xml:space="preserve">льгот </w:t>
      </w:r>
      <w:r w:rsidR="004771D9" w:rsidRPr="002272A9">
        <w:rPr>
          <w:rFonts w:ascii="Times New Roman" w:hAnsi="Times New Roman"/>
          <w:sz w:val="24"/>
          <w:szCs w:val="24"/>
        </w:rPr>
        <w:t>на бюджеты субъектов Российской Федерации, а также экономической и социальной значимости</w:t>
      </w:r>
      <w:r w:rsidR="00112959">
        <w:rPr>
          <w:rFonts w:ascii="Times New Roman" w:hAnsi="Times New Roman"/>
          <w:sz w:val="24"/>
          <w:szCs w:val="24"/>
        </w:rPr>
        <w:t>.</w:t>
      </w:r>
      <w:r w:rsidR="00F85D7C">
        <w:rPr>
          <w:rFonts w:ascii="Times New Roman" w:hAnsi="Times New Roman"/>
          <w:sz w:val="24"/>
          <w:szCs w:val="24"/>
        </w:rPr>
        <w:t xml:space="preserve"> </w:t>
      </w:r>
      <w:r w:rsidR="00112959">
        <w:rPr>
          <w:rFonts w:ascii="Times New Roman" w:hAnsi="Times New Roman"/>
          <w:sz w:val="24"/>
          <w:szCs w:val="24"/>
        </w:rPr>
        <w:t>В</w:t>
      </w:r>
      <w:r w:rsidR="004D5955">
        <w:rPr>
          <w:rFonts w:ascii="Times New Roman" w:hAnsi="Times New Roman"/>
          <w:sz w:val="24"/>
          <w:szCs w:val="24"/>
        </w:rPr>
        <w:t xml:space="preserve"> первоочередном порядке </w:t>
      </w:r>
      <w:r w:rsidR="00112959">
        <w:rPr>
          <w:rFonts w:ascii="Times New Roman" w:hAnsi="Times New Roman"/>
          <w:sz w:val="24"/>
          <w:szCs w:val="24"/>
        </w:rPr>
        <w:t>такая работа предполагается в отношении:</w:t>
      </w:r>
    </w:p>
    <w:p w:rsidR="0027766B" w:rsidRPr="004D63A1" w:rsidRDefault="0027766B" w:rsidP="004D63A1">
      <w:pPr>
        <w:pStyle w:val="afb"/>
        <w:numPr>
          <w:ilvl w:val="0"/>
          <w:numId w:val="70"/>
        </w:numPr>
        <w:kinsoku w:val="0"/>
        <w:overflowPunct w:val="0"/>
        <w:spacing w:before="0" w:beforeAutospacing="0" w:after="200" w:afterAutospacing="0" w:line="276" w:lineRule="auto"/>
        <w:jc w:val="both"/>
        <w:textAlignment w:val="baseline"/>
        <w:rPr>
          <w:color w:val="000000"/>
          <w:kern w:val="24"/>
        </w:rPr>
      </w:pPr>
      <w:r w:rsidRPr="004D63A1">
        <w:rPr>
          <w:color w:val="000000"/>
          <w:kern w:val="24"/>
        </w:rPr>
        <w:t>пониженной налоговой ставки по налогу на имущество организаций по линейным объектам</w:t>
      </w:r>
      <w:r w:rsidR="00A703BB" w:rsidRPr="004D63A1">
        <w:rPr>
          <w:color w:val="000000"/>
          <w:kern w:val="24"/>
        </w:rPr>
        <w:t xml:space="preserve"> инфраструктуры</w:t>
      </w:r>
      <w:r w:rsidRPr="004D63A1">
        <w:rPr>
          <w:color w:val="000000"/>
          <w:kern w:val="24"/>
        </w:rPr>
        <w:t xml:space="preserve"> (ставка 2,2% по трубопроводам, линиям энергопередачи с 2019 года, по железнодорожным путям общего пользования - с 2021 года);</w:t>
      </w:r>
    </w:p>
    <w:p w:rsidR="0027766B" w:rsidRPr="00D07656" w:rsidRDefault="0027766B" w:rsidP="002272A9">
      <w:pPr>
        <w:pStyle w:val="afb"/>
        <w:numPr>
          <w:ilvl w:val="0"/>
          <w:numId w:val="70"/>
        </w:numPr>
        <w:kinsoku w:val="0"/>
        <w:overflowPunct w:val="0"/>
        <w:spacing w:before="0" w:beforeAutospacing="0" w:after="200" w:afterAutospacing="0" w:line="276" w:lineRule="auto"/>
        <w:jc w:val="both"/>
        <w:textAlignment w:val="baseline"/>
      </w:pPr>
      <w:r w:rsidRPr="00D07656">
        <w:rPr>
          <w:color w:val="000000"/>
          <w:kern w:val="24"/>
        </w:rPr>
        <w:t xml:space="preserve">для льгот по налогу на имущество организаций и земельному налогу для </w:t>
      </w:r>
      <w:r w:rsidRPr="00D07656">
        <w:t>организаций и учреждений уголовно-исполнительной системы, а также для</w:t>
      </w:r>
      <w:r w:rsidRPr="00D07656">
        <w:rPr>
          <w:color w:val="000000"/>
          <w:kern w:val="24"/>
        </w:rPr>
        <w:t xml:space="preserve"> автомобильных дорог федерального значения</w:t>
      </w:r>
      <w:r w:rsidRPr="00D07656">
        <w:t>.</w:t>
      </w:r>
    </w:p>
    <w:p w:rsidR="0027766B" w:rsidRPr="00951C06" w:rsidRDefault="002B3F63" w:rsidP="004D63A1">
      <w:pPr>
        <w:pStyle w:val="afb"/>
        <w:numPr>
          <w:ilvl w:val="0"/>
          <w:numId w:val="71"/>
        </w:numPr>
        <w:kinsoku w:val="0"/>
        <w:overflowPunct w:val="0"/>
        <w:spacing w:before="0" w:beforeAutospacing="0" w:after="200" w:afterAutospacing="0" w:line="276" w:lineRule="auto"/>
        <w:jc w:val="both"/>
        <w:textAlignment w:val="baseline"/>
        <w:rPr>
          <w:color w:val="000000"/>
          <w:kern w:val="24"/>
        </w:rPr>
      </w:pPr>
      <w:r>
        <w:rPr>
          <w:color w:val="000000"/>
          <w:kern w:val="24"/>
        </w:rPr>
        <w:t>У</w:t>
      </w:r>
      <w:r w:rsidR="0027766B" w:rsidRPr="00D07656">
        <w:rPr>
          <w:color w:val="000000"/>
          <w:kern w:val="24"/>
        </w:rPr>
        <w:t xml:space="preserve">становить </w:t>
      </w:r>
      <w:r w:rsidR="0027766B" w:rsidRPr="00D07656">
        <w:rPr>
          <w:b/>
          <w:color w:val="000000"/>
          <w:kern w:val="24"/>
        </w:rPr>
        <w:t>мораторий</w:t>
      </w:r>
      <w:r w:rsidR="0027766B" w:rsidRPr="00D07656">
        <w:rPr>
          <w:color w:val="000000"/>
          <w:kern w:val="24"/>
        </w:rPr>
        <w:t xml:space="preserve"> на новые льготы</w:t>
      </w:r>
      <w:r w:rsidR="0027766B" w:rsidRPr="00951C06">
        <w:rPr>
          <w:color w:val="000000"/>
          <w:kern w:val="24"/>
        </w:rPr>
        <w:t xml:space="preserve"> по налогам, зачисляемым в региональные и местные бюджеты.</w:t>
      </w:r>
    </w:p>
    <w:p w:rsidR="0027766B" w:rsidRPr="00951C06" w:rsidRDefault="0027766B" w:rsidP="004D63A1">
      <w:pPr>
        <w:pStyle w:val="afb"/>
        <w:numPr>
          <w:ilvl w:val="0"/>
          <w:numId w:val="71"/>
        </w:numPr>
        <w:kinsoku w:val="0"/>
        <w:overflowPunct w:val="0"/>
        <w:spacing w:before="0" w:beforeAutospacing="0" w:after="200" w:afterAutospacing="0" w:line="276" w:lineRule="auto"/>
        <w:jc w:val="both"/>
        <w:textAlignment w:val="baseline"/>
      </w:pPr>
      <w:r w:rsidRPr="00951C06">
        <w:t xml:space="preserve">Разработать </w:t>
      </w:r>
      <w:r w:rsidRPr="00951C06">
        <w:rPr>
          <w:b/>
        </w:rPr>
        <w:t>общую методологию</w:t>
      </w:r>
      <w:r w:rsidRPr="00951C06">
        <w:t xml:space="preserve"> </w:t>
      </w:r>
      <w:r w:rsidRPr="00951C06">
        <w:rPr>
          <w:b/>
        </w:rPr>
        <w:t>оценки</w:t>
      </w:r>
      <w:r w:rsidRPr="00951C06">
        <w:t xml:space="preserve"> </w:t>
      </w:r>
      <w:r w:rsidRPr="00951C06">
        <w:rPr>
          <w:b/>
        </w:rPr>
        <w:t>эффективности</w:t>
      </w:r>
      <w:r w:rsidRPr="00951C06">
        <w:t xml:space="preserve"> льгот с использованием в рамках бюджетного процесса подхода к льготам как к «налоговым (неналоговым) расходам». </w:t>
      </w:r>
    </w:p>
    <w:p w:rsidR="0027766B" w:rsidRPr="0092423E" w:rsidRDefault="0027766B" w:rsidP="0027766B">
      <w:pPr>
        <w:pStyle w:val="afb"/>
        <w:kinsoku w:val="0"/>
        <w:overflowPunct w:val="0"/>
        <w:spacing w:before="0" w:beforeAutospacing="0" w:after="200" w:afterAutospacing="0" w:line="276" w:lineRule="auto"/>
        <w:jc w:val="both"/>
        <w:textAlignment w:val="baseline"/>
      </w:pPr>
      <w:r w:rsidRPr="00951C06">
        <w:t>Такой «проектный» подход к льготам</w:t>
      </w:r>
      <w:r w:rsidRPr="00951C06">
        <w:rPr>
          <w:b/>
        </w:rPr>
        <w:t xml:space="preserve"> </w:t>
      </w:r>
      <w:r w:rsidRPr="00951C06">
        <w:t xml:space="preserve">целесообразно использовать и при принятии решений </w:t>
      </w:r>
      <w:r w:rsidRPr="004D63A1">
        <w:rPr>
          <w:u w:val="single"/>
        </w:rPr>
        <w:t>на региональном уровне</w:t>
      </w:r>
      <w:r w:rsidRPr="00951C06">
        <w:t>. Регионам необходимо предусматривать ко</w:t>
      </w:r>
      <w:r w:rsidRPr="00336327">
        <w:t>н</w:t>
      </w:r>
      <w:r w:rsidRPr="0092423E">
        <w:t xml:space="preserve">ечные </w:t>
      </w:r>
      <w:r w:rsidRPr="004D63A1">
        <w:t>сроки</w:t>
      </w:r>
      <w:r w:rsidRPr="00336327">
        <w:t xml:space="preserve"> действия льготных режимов и </w:t>
      </w:r>
      <w:r w:rsidRPr="004D63A1">
        <w:t>целевые индикаторы</w:t>
      </w:r>
      <w:r w:rsidRPr="00336327">
        <w:t xml:space="preserve">, механизм регулярной </w:t>
      </w:r>
      <w:r w:rsidRPr="004D63A1">
        <w:t>оценки эффективности</w:t>
      </w:r>
      <w:r w:rsidRPr="00336327">
        <w:t xml:space="preserve"> льготы с точки зрения поставленных целей и </w:t>
      </w:r>
      <w:r w:rsidRPr="004D63A1">
        <w:t>механизм корректировки/отме</w:t>
      </w:r>
      <w:r w:rsidRPr="00336327">
        <w:t>ны в случае, если цели не достигаются.</w:t>
      </w:r>
    </w:p>
    <w:p w:rsidR="00204AC9" w:rsidRPr="00204AC9" w:rsidRDefault="00204AC9" w:rsidP="00204AC9">
      <w:pPr>
        <w:spacing w:before="120" w:after="120"/>
        <w:jc w:val="both"/>
        <w:rPr>
          <w:rFonts w:ascii="Times New Roman" w:hAnsi="Times New Roman"/>
          <w:sz w:val="24"/>
          <w:szCs w:val="24"/>
        </w:rPr>
      </w:pPr>
      <w:r w:rsidRPr="00204AC9">
        <w:rPr>
          <w:rFonts w:ascii="Times New Roman" w:hAnsi="Times New Roman"/>
          <w:sz w:val="24"/>
          <w:szCs w:val="24"/>
        </w:rPr>
        <w:t xml:space="preserve">В целях повышения доходов бюджетов субъектов Российской Федерации за счет </w:t>
      </w:r>
      <w:r w:rsidRPr="002B1743">
        <w:rPr>
          <w:rFonts w:ascii="Times New Roman" w:hAnsi="Times New Roman"/>
          <w:b/>
          <w:sz w:val="24"/>
          <w:szCs w:val="24"/>
        </w:rPr>
        <w:t>налога на игорный бизнес</w:t>
      </w:r>
      <w:r w:rsidRPr="00204AC9">
        <w:rPr>
          <w:rFonts w:ascii="Times New Roman" w:hAnsi="Times New Roman"/>
          <w:sz w:val="24"/>
          <w:szCs w:val="24"/>
        </w:rPr>
        <w:t>, ставки по которому не индексировались с момента их введения 1 января 2004 года, предполагается:</w:t>
      </w:r>
    </w:p>
    <w:p w:rsidR="00204AC9" w:rsidRPr="004D63A1" w:rsidRDefault="00204AC9" w:rsidP="004D63A1">
      <w:pPr>
        <w:pStyle w:val="a9"/>
        <w:numPr>
          <w:ilvl w:val="0"/>
          <w:numId w:val="72"/>
        </w:numPr>
        <w:spacing w:before="120" w:after="120"/>
        <w:ind w:left="357" w:hanging="357"/>
        <w:contextualSpacing w:val="0"/>
        <w:jc w:val="both"/>
        <w:rPr>
          <w:rFonts w:ascii="Times New Roman" w:hAnsi="Times New Roman"/>
          <w:sz w:val="24"/>
          <w:szCs w:val="24"/>
        </w:rPr>
      </w:pPr>
      <w:r w:rsidRPr="004D63A1">
        <w:rPr>
          <w:rFonts w:ascii="Times New Roman" w:hAnsi="Times New Roman"/>
          <w:sz w:val="24"/>
          <w:szCs w:val="24"/>
        </w:rPr>
        <w:t xml:space="preserve">поэтапное увеличение ставок налога на игорный бизнес по всем объектам налогообложения в 10 раз </w:t>
      </w:r>
      <w:r w:rsidR="007C5C31">
        <w:rPr>
          <w:rFonts w:ascii="Times New Roman" w:hAnsi="Times New Roman"/>
          <w:sz w:val="24"/>
          <w:szCs w:val="24"/>
        </w:rPr>
        <w:t xml:space="preserve">с </w:t>
      </w:r>
      <w:r w:rsidR="00392402">
        <w:rPr>
          <w:rFonts w:ascii="Times New Roman" w:hAnsi="Times New Roman"/>
          <w:sz w:val="24"/>
          <w:szCs w:val="24"/>
        </w:rPr>
        <w:t xml:space="preserve">повышением на первом этапе в два раза с </w:t>
      </w:r>
      <w:r w:rsidRPr="004D63A1">
        <w:rPr>
          <w:rFonts w:ascii="Times New Roman" w:hAnsi="Times New Roman"/>
          <w:sz w:val="24"/>
          <w:szCs w:val="24"/>
        </w:rPr>
        <w:t>1 января 2018 года;</w:t>
      </w:r>
    </w:p>
    <w:p w:rsidR="00204AC9" w:rsidRPr="004D63A1" w:rsidRDefault="00204AC9" w:rsidP="004D63A1">
      <w:pPr>
        <w:pStyle w:val="a9"/>
        <w:numPr>
          <w:ilvl w:val="0"/>
          <w:numId w:val="72"/>
        </w:numPr>
        <w:spacing w:before="120" w:after="120"/>
        <w:ind w:left="357" w:hanging="357"/>
        <w:contextualSpacing w:val="0"/>
        <w:jc w:val="both"/>
        <w:rPr>
          <w:rFonts w:ascii="Times New Roman" w:hAnsi="Times New Roman"/>
          <w:sz w:val="24"/>
          <w:szCs w:val="24"/>
        </w:rPr>
      </w:pPr>
      <w:r w:rsidRPr="004D63A1">
        <w:rPr>
          <w:rFonts w:ascii="Times New Roman" w:hAnsi="Times New Roman"/>
          <w:sz w:val="24"/>
          <w:szCs w:val="24"/>
        </w:rPr>
        <w:t>введение новых объектов налогообложения налога на игорный бизнес</w:t>
      </w:r>
      <w:r w:rsidR="00284C64">
        <w:rPr>
          <w:rFonts w:ascii="Times New Roman" w:hAnsi="Times New Roman"/>
          <w:sz w:val="24"/>
          <w:szCs w:val="24"/>
        </w:rPr>
        <w:t xml:space="preserve">: </w:t>
      </w:r>
      <w:r w:rsidRPr="004D63A1">
        <w:rPr>
          <w:rFonts w:ascii="Times New Roman" w:hAnsi="Times New Roman"/>
          <w:sz w:val="24"/>
          <w:szCs w:val="24"/>
        </w:rPr>
        <w:t>процессинговый центр интерактивных ставок букмекерской конторы, процессинговый центр интерактивных ставок тотализатора.</w:t>
      </w:r>
    </w:p>
    <w:p w:rsidR="00D010AA" w:rsidRPr="00C77781" w:rsidRDefault="00204AC9" w:rsidP="004D63A1">
      <w:pPr>
        <w:spacing w:before="120" w:after="120"/>
        <w:jc w:val="both"/>
        <w:rPr>
          <w:rFonts w:ascii="Times New Roman" w:eastAsia="Times New Roman" w:hAnsi="Times New Roman"/>
          <w:sz w:val="24"/>
          <w:szCs w:val="24"/>
          <w:lang w:eastAsia="ru-RU"/>
        </w:rPr>
      </w:pPr>
      <w:r w:rsidRPr="0088651C">
        <w:rPr>
          <w:rFonts w:ascii="Times New Roman" w:hAnsi="Times New Roman"/>
          <w:sz w:val="24"/>
          <w:szCs w:val="24"/>
        </w:rPr>
        <w:t>В целях увеличени</w:t>
      </w:r>
      <w:r>
        <w:rPr>
          <w:rFonts w:ascii="Times New Roman" w:hAnsi="Times New Roman"/>
          <w:sz w:val="24"/>
          <w:szCs w:val="24"/>
        </w:rPr>
        <w:t>я</w:t>
      </w:r>
      <w:r w:rsidRPr="0088651C">
        <w:rPr>
          <w:rFonts w:ascii="Times New Roman" w:hAnsi="Times New Roman"/>
          <w:sz w:val="24"/>
          <w:szCs w:val="24"/>
        </w:rPr>
        <w:t xml:space="preserve"> объемов бюджетных ассигнований региональных дорожных фондов</w:t>
      </w:r>
      <w:r>
        <w:rPr>
          <w:rFonts w:ascii="Times New Roman" w:hAnsi="Times New Roman"/>
          <w:sz w:val="24"/>
          <w:szCs w:val="24"/>
        </w:rPr>
        <w:t xml:space="preserve"> подготовлены предложения</w:t>
      </w:r>
      <w:r w:rsidRPr="0088651C">
        <w:rPr>
          <w:rFonts w:ascii="Times New Roman" w:hAnsi="Times New Roman"/>
          <w:sz w:val="24"/>
          <w:szCs w:val="24"/>
        </w:rPr>
        <w:t xml:space="preserve"> по </w:t>
      </w:r>
      <w:r w:rsidRPr="004D63A1">
        <w:rPr>
          <w:rFonts w:ascii="Times New Roman" w:hAnsi="Times New Roman"/>
          <w:i/>
          <w:sz w:val="24"/>
          <w:szCs w:val="24"/>
        </w:rPr>
        <w:t xml:space="preserve">перераспределению в </w:t>
      </w:r>
      <w:r w:rsidR="00371367" w:rsidRPr="004D63A1">
        <w:rPr>
          <w:rFonts w:ascii="Times New Roman" w:hAnsi="Times New Roman"/>
          <w:i/>
          <w:sz w:val="24"/>
          <w:szCs w:val="24"/>
        </w:rPr>
        <w:t>пользу</w:t>
      </w:r>
      <w:r w:rsidRPr="004D63A1">
        <w:rPr>
          <w:rFonts w:ascii="Times New Roman" w:hAnsi="Times New Roman"/>
          <w:i/>
          <w:sz w:val="24"/>
          <w:szCs w:val="24"/>
        </w:rPr>
        <w:t xml:space="preserve"> бюджет</w:t>
      </w:r>
      <w:r w:rsidR="00371367" w:rsidRPr="004D63A1">
        <w:rPr>
          <w:rFonts w:ascii="Times New Roman" w:hAnsi="Times New Roman"/>
          <w:i/>
          <w:sz w:val="24"/>
          <w:szCs w:val="24"/>
        </w:rPr>
        <w:t>ов</w:t>
      </w:r>
      <w:r w:rsidRPr="004D63A1">
        <w:rPr>
          <w:rFonts w:ascii="Times New Roman" w:hAnsi="Times New Roman"/>
          <w:i/>
          <w:sz w:val="24"/>
          <w:szCs w:val="24"/>
        </w:rPr>
        <w:t xml:space="preserve"> субъектов акцизов на автомобильный бензин и дизельное топливо</w:t>
      </w:r>
      <w:r w:rsidRPr="00C77781">
        <w:rPr>
          <w:rFonts w:ascii="Times New Roman" w:hAnsi="Times New Roman"/>
          <w:sz w:val="24"/>
          <w:szCs w:val="24"/>
        </w:rPr>
        <w:t xml:space="preserve"> за счет увеличения нормативов распределения доходов от уплаты акцизов на нефтепродукты, подлежащих зачислению в бюджеты субъектов.</w:t>
      </w:r>
      <w:r w:rsidR="004D63A1">
        <w:rPr>
          <w:rFonts w:ascii="Times New Roman" w:hAnsi="Times New Roman"/>
          <w:sz w:val="24"/>
          <w:szCs w:val="24"/>
        </w:rPr>
        <w:t xml:space="preserve"> </w:t>
      </w:r>
      <w:proofErr w:type="gramStart"/>
      <w:r w:rsidR="007B00E2" w:rsidRPr="00C77781">
        <w:rPr>
          <w:rFonts w:ascii="Times New Roman" w:eastAsia="Times New Roman" w:hAnsi="Times New Roman"/>
          <w:sz w:val="24"/>
          <w:szCs w:val="24"/>
          <w:lang w:eastAsia="ru-RU"/>
        </w:rPr>
        <w:t>Предполагается п</w:t>
      </w:r>
      <w:r w:rsidR="00D010AA" w:rsidRPr="00C77781">
        <w:rPr>
          <w:rFonts w:ascii="Times New Roman" w:eastAsia="Times New Roman" w:hAnsi="Times New Roman"/>
          <w:sz w:val="24"/>
          <w:szCs w:val="24"/>
          <w:lang w:eastAsia="ru-RU"/>
        </w:rPr>
        <w:t>овышение ставок акцизов на бензин автомобильный и дизельное топливо на 50 копеек за литр с 1 января 2018 года и дополнительно на 50 копеек за литр с 1 июля 2018 года при одновременном изменении норматива зачисления акцизов на нефтепродукты с целью направления в субъекты Российской Федерации для формирования Дорожного фонда дополнительных доходов, эквивалентных стоимости 1 рубля с каждого литра</w:t>
      </w:r>
      <w:proofErr w:type="gramEnd"/>
      <w:r w:rsidR="00D010AA" w:rsidRPr="00C77781">
        <w:rPr>
          <w:rFonts w:ascii="Times New Roman" w:eastAsia="Times New Roman" w:hAnsi="Times New Roman"/>
          <w:sz w:val="24"/>
          <w:szCs w:val="24"/>
          <w:lang w:eastAsia="ru-RU"/>
        </w:rPr>
        <w:t xml:space="preserve"> дизельного топлива</w:t>
      </w:r>
    </w:p>
    <w:p w:rsidR="007B00E2" w:rsidRPr="00C77781" w:rsidRDefault="007B00E2" w:rsidP="00C77781">
      <w:pPr>
        <w:spacing w:before="120" w:after="120"/>
        <w:jc w:val="both"/>
        <w:rPr>
          <w:rFonts w:ascii="Times New Roman" w:hAnsi="Times New Roman"/>
          <w:sz w:val="24"/>
          <w:szCs w:val="24"/>
        </w:rPr>
      </w:pPr>
      <w:r w:rsidRPr="00C77781">
        <w:rPr>
          <w:rFonts w:ascii="Times New Roman" w:hAnsi="Times New Roman"/>
          <w:sz w:val="24"/>
          <w:szCs w:val="24"/>
        </w:rPr>
        <w:t xml:space="preserve">В целях обеспечения устойчивости региональных бюджетов в настоящее время действует мораторий на увеличение количества действующих </w:t>
      </w:r>
      <w:r w:rsidRPr="00371367">
        <w:rPr>
          <w:rFonts w:ascii="Times New Roman" w:hAnsi="Times New Roman"/>
          <w:b/>
          <w:sz w:val="24"/>
          <w:szCs w:val="24"/>
        </w:rPr>
        <w:t>консолидированных групп налогоплательщиков</w:t>
      </w:r>
      <w:r w:rsidRPr="00C77781">
        <w:rPr>
          <w:rFonts w:ascii="Times New Roman" w:hAnsi="Times New Roman"/>
          <w:sz w:val="24"/>
          <w:szCs w:val="24"/>
        </w:rPr>
        <w:t xml:space="preserve"> (КГН). Для повышения эффективности регулирования КГН в 2018 году будет осуществлен мониторинг, в том числе с учетом оценки влияния введенного с 2017 года ограничения в размере 50% на зачет убытков убыточных организаций, входящих в состав КГН, и оценки иных факторов, влияющих на динамику поступлений </w:t>
      </w:r>
      <w:proofErr w:type="gramStart"/>
      <w:r w:rsidRPr="00C77781">
        <w:rPr>
          <w:rFonts w:ascii="Times New Roman" w:hAnsi="Times New Roman"/>
          <w:sz w:val="24"/>
          <w:szCs w:val="24"/>
        </w:rPr>
        <w:t>налога</w:t>
      </w:r>
      <w:proofErr w:type="gramEnd"/>
      <w:r w:rsidRPr="00C77781">
        <w:rPr>
          <w:rFonts w:ascii="Times New Roman" w:hAnsi="Times New Roman"/>
          <w:sz w:val="24"/>
          <w:szCs w:val="24"/>
        </w:rPr>
        <w:t xml:space="preserve"> на прибыль организаций от КГН, по результатам которого предлагается выработка </w:t>
      </w:r>
      <w:r w:rsidR="00812667" w:rsidRPr="00C77781">
        <w:rPr>
          <w:rFonts w:ascii="Times New Roman" w:hAnsi="Times New Roman"/>
          <w:sz w:val="24"/>
          <w:szCs w:val="24"/>
        </w:rPr>
        <w:t>предложений</w:t>
      </w:r>
      <w:r w:rsidRPr="00C77781">
        <w:rPr>
          <w:rFonts w:ascii="Times New Roman" w:hAnsi="Times New Roman"/>
          <w:sz w:val="24"/>
          <w:szCs w:val="24"/>
        </w:rPr>
        <w:t>, направленных на совершенствование действующего механизма функционирования КГН, в том числе на сглаживание эффекта от введения данного механизма</w:t>
      </w:r>
      <w:r w:rsidR="00812667" w:rsidRPr="00C77781">
        <w:rPr>
          <w:rFonts w:ascii="Times New Roman" w:hAnsi="Times New Roman"/>
          <w:sz w:val="24"/>
          <w:szCs w:val="24"/>
        </w:rPr>
        <w:t>.</w:t>
      </w:r>
      <w:r w:rsidRPr="00C77781">
        <w:rPr>
          <w:rFonts w:ascii="Times New Roman" w:hAnsi="Times New Roman"/>
          <w:sz w:val="24"/>
          <w:szCs w:val="24"/>
        </w:rPr>
        <w:t xml:space="preserve"> </w:t>
      </w:r>
    </w:p>
    <w:p w:rsidR="007B00E2" w:rsidRPr="00C77781" w:rsidRDefault="007B00E2" w:rsidP="00C77781">
      <w:pPr>
        <w:spacing w:before="120" w:after="120"/>
        <w:jc w:val="both"/>
        <w:rPr>
          <w:rFonts w:ascii="Times New Roman" w:hAnsi="Times New Roman"/>
          <w:sz w:val="24"/>
          <w:szCs w:val="24"/>
        </w:rPr>
      </w:pPr>
      <w:r w:rsidRPr="00C77781">
        <w:rPr>
          <w:rFonts w:ascii="Times New Roman" w:hAnsi="Times New Roman"/>
          <w:sz w:val="24"/>
          <w:szCs w:val="24"/>
        </w:rPr>
        <w:t xml:space="preserve">В дальнейшем в целях снижения контроля трансфертного ценообразования в отношении сделок внутри страны предлагается проработка вопроса о </w:t>
      </w:r>
      <w:proofErr w:type="spellStart"/>
      <w:r w:rsidRPr="00C77781">
        <w:rPr>
          <w:rFonts w:ascii="Times New Roman" w:hAnsi="Times New Roman"/>
          <w:sz w:val="24"/>
          <w:szCs w:val="24"/>
        </w:rPr>
        <w:t>неначислении</w:t>
      </w:r>
      <w:proofErr w:type="spellEnd"/>
      <w:r w:rsidRPr="00C77781">
        <w:rPr>
          <w:rFonts w:ascii="Times New Roman" w:hAnsi="Times New Roman"/>
          <w:sz w:val="24"/>
          <w:szCs w:val="24"/>
        </w:rPr>
        <w:t xml:space="preserve"> пеней и </w:t>
      </w:r>
      <w:proofErr w:type="spellStart"/>
      <w:r w:rsidRPr="00C77781">
        <w:rPr>
          <w:rFonts w:ascii="Times New Roman" w:hAnsi="Times New Roman"/>
          <w:sz w:val="24"/>
          <w:szCs w:val="24"/>
        </w:rPr>
        <w:t>невзимании</w:t>
      </w:r>
      <w:proofErr w:type="spellEnd"/>
      <w:r w:rsidRPr="00C77781">
        <w:rPr>
          <w:rFonts w:ascii="Times New Roman" w:hAnsi="Times New Roman"/>
          <w:sz w:val="24"/>
          <w:szCs w:val="24"/>
        </w:rPr>
        <w:t xml:space="preserve"> штрафов в ситуациях, в которых доначисления по внутренним сделкам у одной стороны сделки не приводят к занижению доходов консолидированного бюджета Российской Федерации (по результатам симметричных корректировок).</w:t>
      </w:r>
    </w:p>
    <w:p w:rsidR="0027766B" w:rsidRDefault="0027766B" w:rsidP="0027766B">
      <w:pPr>
        <w:jc w:val="both"/>
        <w:rPr>
          <w:rFonts w:ascii="Times New Roman" w:eastAsia="Times New Roman" w:hAnsi="Times New Roman"/>
          <w:sz w:val="24"/>
          <w:szCs w:val="24"/>
          <w:lang w:eastAsia="ru-RU"/>
        </w:rPr>
      </w:pPr>
      <w:r w:rsidRPr="00C77781">
        <w:rPr>
          <w:rFonts w:ascii="Times New Roman" w:eastAsia="Times New Roman" w:hAnsi="Times New Roman"/>
          <w:sz w:val="24"/>
          <w:szCs w:val="24"/>
          <w:lang w:eastAsia="ru-RU"/>
        </w:rPr>
        <w:t>Повышение эффективности системы</w:t>
      </w:r>
      <w:r w:rsidRPr="001C690D">
        <w:rPr>
          <w:rFonts w:ascii="Times New Roman" w:eastAsia="Times New Roman" w:hAnsi="Times New Roman"/>
          <w:sz w:val="24"/>
          <w:szCs w:val="24"/>
          <w:lang w:eastAsia="ru-RU"/>
        </w:rPr>
        <w:t xml:space="preserve"> </w:t>
      </w:r>
      <w:r w:rsidRPr="004D63A1">
        <w:rPr>
          <w:rFonts w:ascii="Times New Roman" w:eastAsia="Times New Roman" w:hAnsi="Times New Roman"/>
          <w:b/>
          <w:sz w:val="24"/>
          <w:szCs w:val="24"/>
          <w:u w:val="single"/>
          <w:lang w:eastAsia="ru-RU"/>
        </w:rPr>
        <w:t>межбюджетных трансфертов</w:t>
      </w:r>
      <w:r w:rsidRPr="001C690D">
        <w:rPr>
          <w:rFonts w:ascii="Times New Roman" w:eastAsia="Times New Roman" w:hAnsi="Times New Roman"/>
          <w:sz w:val="24"/>
          <w:szCs w:val="24"/>
          <w:lang w:eastAsia="ru-RU"/>
        </w:rPr>
        <w:t xml:space="preserve"> должно быть обеспечено за счет создания предсказуемых, прозрачных и комфортных условий предоставления финансовой помощи, своевременного ее доведения до регионов, а также </w:t>
      </w:r>
      <w:proofErr w:type="gramStart"/>
      <w:r w:rsidRPr="001C690D">
        <w:rPr>
          <w:rFonts w:ascii="Times New Roman" w:eastAsia="Times New Roman" w:hAnsi="Times New Roman"/>
          <w:sz w:val="24"/>
          <w:szCs w:val="24"/>
          <w:lang w:eastAsia="ru-RU"/>
        </w:rPr>
        <w:t>контроля за</w:t>
      </w:r>
      <w:proofErr w:type="gramEnd"/>
      <w:r w:rsidRPr="001C690D">
        <w:rPr>
          <w:rFonts w:ascii="Times New Roman" w:eastAsia="Times New Roman" w:hAnsi="Times New Roman"/>
          <w:sz w:val="24"/>
          <w:szCs w:val="24"/>
          <w:lang w:eastAsia="ru-RU"/>
        </w:rPr>
        <w:t xml:space="preserve"> эффективным расходованием целевых межбюджетных трансфертов.</w:t>
      </w:r>
    </w:p>
    <w:p w:rsidR="003C4091" w:rsidRPr="00BA7D33" w:rsidRDefault="003C4091" w:rsidP="003C4091">
      <w:pPr>
        <w:jc w:val="both"/>
        <w:rPr>
          <w:rFonts w:ascii="Times New Roman" w:eastAsia="Times New Roman" w:hAnsi="Times New Roman"/>
          <w:sz w:val="24"/>
          <w:szCs w:val="24"/>
          <w:lang w:eastAsia="ru-RU"/>
        </w:rPr>
      </w:pPr>
      <w:r>
        <w:rPr>
          <w:rFonts w:ascii="Times New Roman" w:hAnsi="Times New Roman"/>
          <w:sz w:val="24"/>
          <w:szCs w:val="24"/>
        </w:rPr>
        <w:t xml:space="preserve">В 2018 году </w:t>
      </w:r>
      <w:r w:rsidRPr="00512E8F">
        <w:rPr>
          <w:rFonts w:ascii="Times New Roman" w:hAnsi="Times New Roman"/>
          <w:sz w:val="24"/>
          <w:szCs w:val="24"/>
        </w:rPr>
        <w:t>необходим</w:t>
      </w:r>
      <w:r>
        <w:rPr>
          <w:rFonts w:ascii="Times New Roman" w:hAnsi="Times New Roman"/>
          <w:sz w:val="24"/>
          <w:szCs w:val="24"/>
        </w:rPr>
        <w:t>о</w:t>
      </w:r>
      <w:r w:rsidRPr="00512E8F">
        <w:rPr>
          <w:rFonts w:ascii="Times New Roman" w:hAnsi="Times New Roman"/>
          <w:sz w:val="24"/>
          <w:szCs w:val="24"/>
        </w:rPr>
        <w:t xml:space="preserve"> </w:t>
      </w:r>
      <w:r w:rsidRPr="004D63A1">
        <w:rPr>
          <w:rFonts w:ascii="Times New Roman" w:hAnsi="Times New Roman"/>
          <w:i/>
          <w:sz w:val="24"/>
          <w:szCs w:val="24"/>
        </w:rPr>
        <w:t>обеспечить распределение всех субсидий между бюджетами субъектов Российской Федерации приложениями к федеральному закону о бюджете</w:t>
      </w:r>
      <w:r w:rsidRPr="003C4091">
        <w:rPr>
          <w:rFonts w:ascii="Times New Roman" w:hAnsi="Times New Roman"/>
          <w:sz w:val="24"/>
          <w:szCs w:val="24"/>
        </w:rPr>
        <w:t xml:space="preserve">. </w:t>
      </w:r>
      <w:r w:rsidRPr="00BA7D33">
        <w:rPr>
          <w:rFonts w:ascii="Times New Roman" w:hAnsi="Times New Roman"/>
          <w:sz w:val="24"/>
          <w:szCs w:val="24"/>
        </w:rPr>
        <w:t xml:space="preserve">При </w:t>
      </w:r>
      <w:r w:rsidRPr="004D63A1">
        <w:rPr>
          <w:rFonts w:ascii="Times New Roman" w:hAnsi="Times New Roman"/>
          <w:sz w:val="24"/>
          <w:szCs w:val="24"/>
        </w:rPr>
        <w:t>планировании предоставления</w:t>
      </w:r>
      <w:r w:rsidRPr="00BA7D33">
        <w:rPr>
          <w:rFonts w:ascii="Times New Roman" w:hAnsi="Times New Roman"/>
          <w:sz w:val="24"/>
          <w:szCs w:val="24"/>
        </w:rPr>
        <w:t xml:space="preserve"> субсидий необходимо </w:t>
      </w:r>
      <w:r w:rsidRPr="004D63A1">
        <w:rPr>
          <w:rFonts w:ascii="Times New Roman" w:hAnsi="Times New Roman"/>
          <w:sz w:val="24"/>
          <w:szCs w:val="24"/>
        </w:rPr>
        <w:t xml:space="preserve">предварительное </w:t>
      </w:r>
      <w:r w:rsidR="00B348C3" w:rsidRPr="004D63A1">
        <w:rPr>
          <w:rFonts w:ascii="Times New Roman" w:hAnsi="Times New Roman"/>
          <w:sz w:val="24"/>
          <w:szCs w:val="24"/>
        </w:rPr>
        <w:t>(</w:t>
      </w:r>
      <w:r w:rsidR="00B348C3" w:rsidRPr="00BA7D33">
        <w:rPr>
          <w:rFonts w:ascii="Times New Roman" w:hAnsi="Times New Roman"/>
          <w:sz w:val="24"/>
          <w:szCs w:val="24"/>
        </w:rPr>
        <w:t xml:space="preserve">до утверждения закона о </w:t>
      </w:r>
      <w:r w:rsidR="00B348C3" w:rsidRPr="002954BC">
        <w:rPr>
          <w:rFonts w:ascii="Times New Roman" w:hAnsi="Times New Roman"/>
          <w:sz w:val="24"/>
          <w:szCs w:val="24"/>
        </w:rPr>
        <w:t>бюджете)</w:t>
      </w:r>
      <w:r w:rsidR="00B348C3" w:rsidRPr="004D63A1">
        <w:rPr>
          <w:rFonts w:ascii="Times New Roman" w:hAnsi="Times New Roman"/>
          <w:sz w:val="24"/>
          <w:szCs w:val="24"/>
        </w:rPr>
        <w:t xml:space="preserve"> </w:t>
      </w:r>
      <w:r w:rsidRPr="004D63A1">
        <w:rPr>
          <w:rFonts w:ascii="Times New Roman" w:hAnsi="Times New Roman"/>
          <w:sz w:val="24"/>
          <w:szCs w:val="24"/>
        </w:rPr>
        <w:t>согласование с регионами</w:t>
      </w:r>
      <w:r w:rsidRPr="00BA7D33">
        <w:rPr>
          <w:rFonts w:ascii="Times New Roman" w:hAnsi="Times New Roman"/>
          <w:sz w:val="24"/>
          <w:szCs w:val="24"/>
        </w:rPr>
        <w:t xml:space="preserve"> объемов бюджетных ассигнований, необходимых для выполнения предельного уровня софинансирования, </w:t>
      </w:r>
      <w:r w:rsidR="00B348C3" w:rsidRPr="00BA7D33">
        <w:rPr>
          <w:rFonts w:ascii="Times New Roman" w:hAnsi="Times New Roman"/>
          <w:sz w:val="24"/>
          <w:szCs w:val="24"/>
        </w:rPr>
        <w:t xml:space="preserve">и </w:t>
      </w:r>
      <w:r w:rsidRPr="00BA7D33">
        <w:rPr>
          <w:rFonts w:ascii="Times New Roman" w:hAnsi="Times New Roman"/>
          <w:sz w:val="24"/>
          <w:szCs w:val="24"/>
        </w:rPr>
        <w:t>услови</w:t>
      </w:r>
      <w:r w:rsidR="00B348C3" w:rsidRPr="00BA7D33">
        <w:rPr>
          <w:rFonts w:ascii="Times New Roman" w:hAnsi="Times New Roman"/>
          <w:sz w:val="24"/>
          <w:szCs w:val="24"/>
        </w:rPr>
        <w:t>й</w:t>
      </w:r>
      <w:r w:rsidRPr="00BA7D33">
        <w:rPr>
          <w:rFonts w:ascii="Times New Roman" w:hAnsi="Times New Roman"/>
          <w:sz w:val="24"/>
          <w:szCs w:val="24"/>
        </w:rPr>
        <w:t xml:space="preserve"> их предоставления.</w:t>
      </w:r>
    </w:p>
    <w:p w:rsidR="003C4091" w:rsidRPr="00AC1799" w:rsidRDefault="003C4091" w:rsidP="003C4091">
      <w:pPr>
        <w:jc w:val="both"/>
        <w:rPr>
          <w:rFonts w:ascii="Times New Roman" w:hAnsi="Times New Roman"/>
          <w:sz w:val="24"/>
          <w:szCs w:val="24"/>
        </w:rPr>
      </w:pPr>
      <w:r w:rsidRPr="003C4091">
        <w:rPr>
          <w:rFonts w:ascii="Times New Roman" w:hAnsi="Times New Roman"/>
          <w:sz w:val="24"/>
          <w:szCs w:val="24"/>
        </w:rPr>
        <w:t xml:space="preserve">В бюджетном законодательстве планируется установить требование о том, что нормативные правовые акты Правительства Российской Федерации, устанавливающие порядок предоставления и распределения субсидий, принимаются в соответствии с общими правилами, определяющими единые требования </w:t>
      </w:r>
      <w:r w:rsidRPr="00AC1799">
        <w:rPr>
          <w:rFonts w:ascii="Times New Roman" w:hAnsi="Times New Roman"/>
          <w:sz w:val="24"/>
          <w:szCs w:val="24"/>
        </w:rPr>
        <w:t>к формированию, предоставлению и распределению субсидий бюджетам субъектов Российской Федерации из федерального бюджета, которые устанавливаются Правительством Российской Федерации.</w:t>
      </w:r>
      <w:r w:rsidRPr="00AC1799">
        <w:rPr>
          <w:rFonts w:ascii="Times New Roman" w:hAnsi="Times New Roman"/>
          <w:color w:val="1F497D"/>
          <w:sz w:val="24"/>
          <w:szCs w:val="24"/>
        </w:rPr>
        <w:t xml:space="preserve">  </w:t>
      </w:r>
    </w:p>
    <w:p w:rsidR="003C4091" w:rsidRDefault="003C4091" w:rsidP="003C4091">
      <w:pPr>
        <w:jc w:val="both"/>
        <w:rPr>
          <w:rFonts w:ascii="Times New Roman" w:hAnsi="Times New Roman"/>
          <w:sz w:val="24"/>
          <w:szCs w:val="24"/>
        </w:rPr>
      </w:pPr>
      <w:r w:rsidRPr="00512E8F">
        <w:rPr>
          <w:rFonts w:ascii="Times New Roman" w:hAnsi="Times New Roman"/>
          <w:sz w:val="24"/>
          <w:szCs w:val="24"/>
        </w:rPr>
        <w:t xml:space="preserve">Распределение субсидий необходимо осуществить на 3-хлетний период с установлением </w:t>
      </w:r>
      <w:r w:rsidRPr="004D63A1">
        <w:rPr>
          <w:rFonts w:ascii="Times New Roman" w:hAnsi="Times New Roman"/>
          <w:i/>
          <w:sz w:val="24"/>
          <w:szCs w:val="24"/>
        </w:rPr>
        <w:t>единых формализованных условий софинансирования</w:t>
      </w:r>
      <w:r w:rsidRPr="00512E8F">
        <w:rPr>
          <w:rFonts w:ascii="Times New Roman" w:hAnsi="Times New Roman"/>
          <w:sz w:val="24"/>
          <w:szCs w:val="24"/>
        </w:rPr>
        <w:t xml:space="preserve"> приоритетных обязательств регионов в зависимости от уровня расчетной бюджетной обеспеченности регионов, что создаст возможности для расширения участия регионов в государственных программах.</w:t>
      </w:r>
    </w:p>
    <w:p w:rsidR="0027766B" w:rsidRDefault="0027766B" w:rsidP="0027766B">
      <w:pPr>
        <w:pStyle w:val="afb"/>
        <w:kinsoku w:val="0"/>
        <w:overflowPunct w:val="0"/>
        <w:spacing w:before="0" w:beforeAutospacing="0" w:after="200" w:afterAutospacing="0" w:line="276" w:lineRule="auto"/>
        <w:jc w:val="both"/>
        <w:textAlignment w:val="baseline"/>
      </w:pPr>
      <w:r>
        <w:t>При определении</w:t>
      </w:r>
      <w:r w:rsidRPr="00512E8F">
        <w:t xml:space="preserve"> предельного уровня софинансирования</w:t>
      </w:r>
      <w:r>
        <w:t xml:space="preserve"> предлагается исходить из следующих подходов</w:t>
      </w:r>
      <w:r w:rsidRPr="00512E8F">
        <w:t>:</w:t>
      </w:r>
    </w:p>
    <w:p w:rsidR="0027766B" w:rsidRPr="001C2305" w:rsidRDefault="0027766B" w:rsidP="004D63A1">
      <w:pPr>
        <w:pStyle w:val="afb"/>
        <w:numPr>
          <w:ilvl w:val="0"/>
          <w:numId w:val="73"/>
        </w:numPr>
        <w:kinsoku w:val="0"/>
        <w:overflowPunct w:val="0"/>
        <w:spacing w:before="0" w:beforeAutospacing="0" w:after="200" w:afterAutospacing="0" w:line="276" w:lineRule="auto"/>
        <w:jc w:val="both"/>
        <w:textAlignment w:val="baseline"/>
      </w:pPr>
      <w:r w:rsidRPr="00512E8F">
        <w:t xml:space="preserve">субъекты </w:t>
      </w:r>
      <w:r>
        <w:t>Российской Федерации</w:t>
      </w:r>
      <w:r w:rsidRPr="00512E8F">
        <w:t xml:space="preserve"> с уровнем расчетной бюджетной обеспеченности </w:t>
      </w:r>
      <w:r w:rsidRPr="001C2305">
        <w:rPr>
          <w:b/>
        </w:rPr>
        <w:t xml:space="preserve">менее 1 </w:t>
      </w:r>
      <w:r w:rsidRPr="00512E8F">
        <w:t xml:space="preserve">распределяются в пределах </w:t>
      </w:r>
      <w:r w:rsidRPr="001C2305">
        <w:rPr>
          <w:b/>
        </w:rPr>
        <w:t>от 95% до 70%;</w:t>
      </w:r>
    </w:p>
    <w:p w:rsidR="0027766B" w:rsidRDefault="0027766B" w:rsidP="004D63A1">
      <w:pPr>
        <w:pStyle w:val="afb"/>
        <w:numPr>
          <w:ilvl w:val="0"/>
          <w:numId w:val="73"/>
        </w:numPr>
        <w:kinsoku w:val="0"/>
        <w:overflowPunct w:val="0"/>
        <w:spacing w:before="0" w:beforeAutospacing="0" w:after="200" w:afterAutospacing="0" w:line="276" w:lineRule="auto"/>
        <w:jc w:val="both"/>
        <w:textAlignment w:val="baseline"/>
      </w:pPr>
      <w:r w:rsidRPr="00512E8F">
        <w:t xml:space="preserve">высокообеспеченные </w:t>
      </w:r>
      <w:r>
        <w:t>регионы</w:t>
      </w:r>
      <w:r w:rsidRPr="00512E8F">
        <w:t xml:space="preserve"> с уровнем расчетной бюджетной обеспеченности </w:t>
      </w:r>
      <w:r w:rsidRPr="001C2305">
        <w:rPr>
          <w:b/>
        </w:rPr>
        <w:t xml:space="preserve">более 1 </w:t>
      </w:r>
      <w:r w:rsidRPr="00512E8F">
        <w:t xml:space="preserve">распределяются </w:t>
      </w:r>
      <w:r w:rsidRPr="001C2305">
        <w:rPr>
          <w:b/>
        </w:rPr>
        <w:t>в пределах от 70% до 5%</w:t>
      </w:r>
      <w:r w:rsidRPr="00512E8F">
        <w:t xml:space="preserve"> с равномерным сокращением предельного уровня софинансирования.</w:t>
      </w:r>
    </w:p>
    <w:p w:rsidR="00EF0F18" w:rsidRDefault="003C4091" w:rsidP="00204AC9">
      <w:pPr>
        <w:autoSpaceDE w:val="0"/>
        <w:autoSpaceDN w:val="0"/>
        <w:jc w:val="both"/>
        <w:rPr>
          <w:rFonts w:ascii="Times New Roman" w:hAnsi="Times New Roman"/>
          <w:sz w:val="24"/>
          <w:szCs w:val="24"/>
          <w:lang w:eastAsia="ru-RU"/>
        </w:rPr>
      </w:pPr>
      <w:r w:rsidRPr="000E49BA">
        <w:rPr>
          <w:rFonts w:ascii="Times New Roman" w:hAnsi="Times New Roman"/>
          <w:b/>
          <w:sz w:val="24"/>
          <w:szCs w:val="24"/>
        </w:rPr>
        <w:t xml:space="preserve">Стимулирование регионов к росту экономического потенциала </w:t>
      </w:r>
      <w:r w:rsidRPr="000E49BA">
        <w:rPr>
          <w:rFonts w:ascii="Times New Roman" w:hAnsi="Times New Roman"/>
          <w:sz w:val="24"/>
          <w:szCs w:val="24"/>
        </w:rPr>
        <w:t xml:space="preserve">в первую очередь должно быть </w:t>
      </w:r>
      <w:r w:rsidRPr="00EE24EC">
        <w:rPr>
          <w:rFonts w:ascii="Times New Roman" w:hAnsi="Times New Roman"/>
          <w:sz w:val="24"/>
          <w:szCs w:val="24"/>
        </w:rPr>
        <w:t xml:space="preserve">продолжено через механизм предоставления дотаций на выравнивание (3 года без уменьшения, </w:t>
      </w:r>
      <w:proofErr w:type="spellStart"/>
      <w:r w:rsidRPr="00EE24EC">
        <w:rPr>
          <w:rFonts w:ascii="Times New Roman" w:hAnsi="Times New Roman"/>
          <w:sz w:val="24"/>
          <w:szCs w:val="24"/>
        </w:rPr>
        <w:t>несокращение</w:t>
      </w:r>
      <w:proofErr w:type="spellEnd"/>
      <w:r w:rsidRPr="00EE24EC">
        <w:rPr>
          <w:rFonts w:ascii="Times New Roman" w:hAnsi="Times New Roman"/>
          <w:sz w:val="24"/>
          <w:szCs w:val="24"/>
        </w:rPr>
        <w:t xml:space="preserve"> дотаций в случае высоких темпов роста налогов в регионе) и </w:t>
      </w:r>
      <w:r w:rsidRPr="00DB7BA7">
        <w:rPr>
          <w:rFonts w:ascii="Times New Roman" w:hAnsi="Times New Roman"/>
          <w:sz w:val="24"/>
          <w:szCs w:val="24"/>
        </w:rPr>
        <w:t xml:space="preserve">грантов за достижение наивысших темпов роста налогового потенциала территорий (по 20 </w:t>
      </w:r>
      <w:proofErr w:type="gramStart"/>
      <w:r w:rsidR="007F725F">
        <w:rPr>
          <w:rFonts w:ascii="Times New Roman" w:hAnsi="Times New Roman"/>
          <w:sz w:val="24"/>
          <w:szCs w:val="24"/>
        </w:rPr>
        <w:t>млрд</w:t>
      </w:r>
      <w:proofErr w:type="gramEnd"/>
      <w:r w:rsidRPr="00DB7BA7">
        <w:rPr>
          <w:rFonts w:ascii="Times New Roman" w:hAnsi="Times New Roman"/>
          <w:sz w:val="24"/>
          <w:szCs w:val="24"/>
        </w:rPr>
        <w:t xml:space="preserve"> рублей ежегодно</w:t>
      </w:r>
      <w:r w:rsidR="00175FF8">
        <w:rPr>
          <w:rFonts w:ascii="Times New Roman" w:hAnsi="Times New Roman"/>
          <w:sz w:val="24"/>
          <w:szCs w:val="24"/>
        </w:rPr>
        <w:t>)</w:t>
      </w:r>
      <w:r w:rsidR="00204AC9">
        <w:rPr>
          <w:rFonts w:ascii="Times New Roman" w:hAnsi="Times New Roman"/>
          <w:sz w:val="24"/>
          <w:szCs w:val="24"/>
        </w:rPr>
        <w:t xml:space="preserve">, источником которых будут </w:t>
      </w:r>
      <w:r w:rsidR="00EF0F18">
        <w:rPr>
          <w:rFonts w:ascii="Times New Roman" w:hAnsi="Times New Roman"/>
          <w:sz w:val="24"/>
          <w:szCs w:val="24"/>
          <w:lang w:eastAsia="ru-RU"/>
        </w:rPr>
        <w:t>дополнительны</w:t>
      </w:r>
      <w:r w:rsidR="00204AC9">
        <w:rPr>
          <w:rFonts w:ascii="Times New Roman" w:hAnsi="Times New Roman"/>
          <w:sz w:val="24"/>
          <w:szCs w:val="24"/>
          <w:lang w:eastAsia="ru-RU"/>
        </w:rPr>
        <w:t>е</w:t>
      </w:r>
      <w:r w:rsidR="00EF0F18">
        <w:rPr>
          <w:rFonts w:ascii="Times New Roman" w:hAnsi="Times New Roman"/>
          <w:sz w:val="24"/>
          <w:szCs w:val="24"/>
          <w:lang w:eastAsia="ru-RU"/>
        </w:rPr>
        <w:t xml:space="preserve"> средств</w:t>
      </w:r>
      <w:r w:rsidR="00204AC9">
        <w:rPr>
          <w:rFonts w:ascii="Times New Roman" w:hAnsi="Times New Roman"/>
          <w:sz w:val="24"/>
          <w:szCs w:val="24"/>
          <w:lang w:eastAsia="ru-RU"/>
        </w:rPr>
        <w:t>а</w:t>
      </w:r>
      <w:r w:rsidR="00EF0F18">
        <w:rPr>
          <w:rFonts w:ascii="Times New Roman" w:hAnsi="Times New Roman"/>
          <w:sz w:val="24"/>
          <w:szCs w:val="24"/>
          <w:lang w:eastAsia="ru-RU"/>
        </w:rPr>
        <w:t xml:space="preserve"> от централизации в федеральном бюджете 1 процентного пункта по налогу на прибыль организаций.</w:t>
      </w:r>
    </w:p>
    <w:p w:rsidR="003C4091" w:rsidRPr="00AC1799" w:rsidRDefault="003C4091" w:rsidP="003C4091">
      <w:pPr>
        <w:jc w:val="both"/>
        <w:rPr>
          <w:rFonts w:ascii="Times New Roman" w:hAnsi="Times New Roman"/>
          <w:color w:val="000000"/>
          <w:sz w:val="24"/>
          <w:szCs w:val="24"/>
        </w:rPr>
      </w:pPr>
      <w:r w:rsidRPr="00AC1799">
        <w:rPr>
          <w:rFonts w:ascii="Times New Roman" w:hAnsi="Times New Roman"/>
          <w:color w:val="000000"/>
          <w:sz w:val="24"/>
          <w:szCs w:val="24"/>
        </w:rPr>
        <w:t xml:space="preserve">В целях дальнейшего совершенствования межбюджетного регулирования на региональном и местном уровнях планируется принятие ряда положений бюджетного законодательства, расширяющих и уточняющих бюджетные полномочия публично-правовых образований в данной сфере, регулирующих  вопросы предоставления межбюджетных трансфертов (форм, условий, порядков предоставления), введения ограничений, связанных с  предоставлением межбюджетных трансфертов и </w:t>
      </w:r>
      <w:proofErr w:type="gramStart"/>
      <w:r w:rsidRPr="00AC1799">
        <w:rPr>
          <w:rFonts w:ascii="Times New Roman" w:hAnsi="Times New Roman"/>
          <w:color w:val="000000"/>
          <w:sz w:val="24"/>
          <w:szCs w:val="24"/>
        </w:rPr>
        <w:t>контролем за</w:t>
      </w:r>
      <w:proofErr w:type="gramEnd"/>
      <w:r w:rsidRPr="00AC1799">
        <w:rPr>
          <w:rFonts w:ascii="Times New Roman" w:hAnsi="Times New Roman"/>
          <w:color w:val="000000"/>
          <w:sz w:val="24"/>
          <w:szCs w:val="24"/>
        </w:rPr>
        <w:t xml:space="preserve"> их соблюдением.</w:t>
      </w:r>
    </w:p>
    <w:p w:rsidR="003C4091" w:rsidRPr="00AC1799" w:rsidRDefault="003C4091" w:rsidP="003C4091">
      <w:pPr>
        <w:jc w:val="both"/>
        <w:rPr>
          <w:rFonts w:ascii="Times New Roman" w:hAnsi="Times New Roman"/>
          <w:color w:val="000000"/>
          <w:sz w:val="24"/>
          <w:szCs w:val="24"/>
        </w:rPr>
      </w:pPr>
      <w:r w:rsidRPr="00AC1799">
        <w:rPr>
          <w:rFonts w:ascii="Times New Roman" w:hAnsi="Times New Roman"/>
          <w:color w:val="000000"/>
          <w:sz w:val="24"/>
          <w:szCs w:val="24"/>
        </w:rPr>
        <w:t>Так</w:t>
      </w:r>
      <w:r w:rsidR="00B348C3">
        <w:rPr>
          <w:rFonts w:ascii="Times New Roman" w:hAnsi="Times New Roman"/>
          <w:color w:val="000000"/>
          <w:sz w:val="24"/>
          <w:szCs w:val="24"/>
        </w:rPr>
        <w:t>,</w:t>
      </w:r>
      <w:r w:rsidRPr="00AC1799">
        <w:rPr>
          <w:rFonts w:ascii="Times New Roman" w:hAnsi="Times New Roman"/>
          <w:color w:val="000000"/>
          <w:sz w:val="24"/>
          <w:szCs w:val="24"/>
        </w:rPr>
        <w:t xml:space="preserve"> будут предусмотрены возможности </w:t>
      </w:r>
      <w:r w:rsidRPr="004D63A1">
        <w:rPr>
          <w:rFonts w:ascii="Times New Roman" w:hAnsi="Times New Roman"/>
          <w:i/>
          <w:color w:val="000000"/>
          <w:sz w:val="24"/>
          <w:szCs w:val="24"/>
        </w:rPr>
        <w:t>передачи на местный уровень отдельных видов неналоговых доходов</w:t>
      </w:r>
      <w:r w:rsidRPr="00AC1799">
        <w:rPr>
          <w:rFonts w:ascii="Times New Roman" w:hAnsi="Times New Roman"/>
          <w:color w:val="000000"/>
          <w:sz w:val="24"/>
          <w:szCs w:val="24"/>
        </w:rPr>
        <w:t>, выравнивания бюджетной обеспеченности муниципальных образований и взимания «отрицательных» трансфертов с учетом отдельных неналоговых доходов, заключения соглашений о предоставлении дотаций на выравнивание бюджетной обеспеченности муниципалитетов с обязательствами по достижению показателей социально-экономического развития и мерами ответственности за нарушение этих обязательств.</w:t>
      </w:r>
    </w:p>
    <w:p w:rsidR="003C4091" w:rsidRPr="00191C44" w:rsidRDefault="003C4091" w:rsidP="003C4091">
      <w:pPr>
        <w:jc w:val="both"/>
        <w:rPr>
          <w:rFonts w:ascii="Times New Roman" w:hAnsi="Times New Roman"/>
          <w:color w:val="000000"/>
          <w:sz w:val="24"/>
          <w:szCs w:val="24"/>
        </w:rPr>
      </w:pPr>
      <w:r w:rsidRPr="00500BAB">
        <w:rPr>
          <w:rFonts w:ascii="Times New Roman" w:hAnsi="Times New Roman"/>
          <w:sz w:val="24"/>
          <w:szCs w:val="24"/>
        </w:rPr>
        <w:t xml:space="preserve">Предлагается установление </w:t>
      </w:r>
      <w:r w:rsidRPr="004D63A1">
        <w:rPr>
          <w:rFonts w:ascii="Times New Roman" w:hAnsi="Times New Roman"/>
          <w:i/>
          <w:sz w:val="24"/>
          <w:szCs w:val="24"/>
        </w:rPr>
        <w:t>«горизонтальных субсидий»</w:t>
      </w:r>
      <w:r w:rsidRPr="00500BAB">
        <w:rPr>
          <w:rFonts w:ascii="Times New Roman" w:hAnsi="Times New Roman"/>
          <w:sz w:val="24"/>
          <w:szCs w:val="24"/>
        </w:rPr>
        <w:t xml:space="preserve"> из региональных бюджетов другим региональным бюджетам, из муниципальных бюджетов другим муниципальным бюджетам</w:t>
      </w:r>
      <w:r w:rsidR="00B348C3">
        <w:rPr>
          <w:rFonts w:ascii="Times New Roman" w:hAnsi="Times New Roman"/>
          <w:sz w:val="24"/>
          <w:szCs w:val="24"/>
        </w:rPr>
        <w:t>.</w:t>
      </w:r>
      <w:r w:rsidRPr="00191C44">
        <w:rPr>
          <w:rFonts w:ascii="Times New Roman" w:hAnsi="Times New Roman"/>
          <w:color w:val="000000"/>
          <w:sz w:val="24"/>
          <w:szCs w:val="24"/>
        </w:rPr>
        <w:t xml:space="preserve"> </w:t>
      </w:r>
    </w:p>
    <w:p w:rsidR="003C4091" w:rsidRPr="00AC1799" w:rsidRDefault="003C4091" w:rsidP="003C4091">
      <w:pPr>
        <w:jc w:val="both"/>
        <w:rPr>
          <w:rFonts w:ascii="Times New Roman" w:hAnsi="Times New Roman"/>
          <w:color w:val="000000"/>
          <w:sz w:val="24"/>
          <w:szCs w:val="24"/>
        </w:rPr>
      </w:pPr>
      <w:r w:rsidRPr="00AC1799">
        <w:rPr>
          <w:rFonts w:ascii="Times New Roman" w:hAnsi="Times New Roman"/>
          <w:color w:val="000000"/>
          <w:sz w:val="24"/>
          <w:szCs w:val="24"/>
        </w:rPr>
        <w:t>Уточнение положений, регламентирующих формы, порядки и условия предоставления межбюджетных трансфертов на региональном и местном уровнях, предусматривает расширение форм предоставления межбюджетных трансфертов между регионами и муниципальными образованиями в виде дотации на сбалансированность, введение нормы о предоставлении единой субвенции.</w:t>
      </w:r>
    </w:p>
    <w:p w:rsidR="003C4091" w:rsidRPr="00AC1799" w:rsidRDefault="003C4091" w:rsidP="003C4091">
      <w:pPr>
        <w:jc w:val="both"/>
        <w:rPr>
          <w:rFonts w:ascii="Times New Roman" w:hAnsi="Times New Roman"/>
          <w:color w:val="000000"/>
          <w:sz w:val="24"/>
          <w:szCs w:val="24"/>
        </w:rPr>
      </w:pPr>
      <w:r w:rsidRPr="00AC1799">
        <w:rPr>
          <w:rFonts w:ascii="Times New Roman" w:hAnsi="Times New Roman"/>
          <w:color w:val="000000"/>
          <w:sz w:val="24"/>
          <w:szCs w:val="24"/>
        </w:rPr>
        <w:t>Изменяется расчет размера дотационности муниципальных образований (не будет учитываться размер иных межбюджетных трансфертов между районом и поселениями по заключенным соглашениям на  решение вопросов местного значения). Вводится особый порядок расчет размера дотационности преобразованных муниципальных образований.</w:t>
      </w:r>
    </w:p>
    <w:p w:rsidR="0027766B" w:rsidRDefault="003C4091" w:rsidP="0027766B">
      <w:pPr>
        <w:jc w:val="both"/>
        <w:rPr>
          <w:rFonts w:ascii="Times New Roman" w:hAnsi="Times New Roman"/>
          <w:sz w:val="24"/>
          <w:szCs w:val="24"/>
        </w:rPr>
      </w:pPr>
      <w:proofErr w:type="gramStart"/>
      <w:r w:rsidRPr="00AC1799">
        <w:rPr>
          <w:rFonts w:ascii="Times New Roman" w:hAnsi="Times New Roman"/>
          <w:color w:val="000000"/>
          <w:sz w:val="24"/>
          <w:szCs w:val="24"/>
        </w:rPr>
        <w:t>Из расчета предельного размера иных межбюджетных трансфертов, равного 10% от общего объема межбюджетных трансфертов местным бюджетам из бюджета субъекта Российской Федерации (за исключением субвенций) и (или) расчетного объема дотации на выравнивание бюджетной обеспеченности (части расчетного объема дотации), замененной дополнительными нормативами отчислений, исключаются не только федеральные «транзитные» иные межбюджетные трансферты, но и трансферты «поощрительного» характера и трансферты на ликвидацию последствий стихийных</w:t>
      </w:r>
      <w:proofErr w:type="gramEnd"/>
      <w:r w:rsidRPr="00AC1799">
        <w:rPr>
          <w:rFonts w:ascii="Times New Roman" w:hAnsi="Times New Roman"/>
          <w:color w:val="000000"/>
          <w:sz w:val="24"/>
          <w:szCs w:val="24"/>
        </w:rPr>
        <w:t xml:space="preserve"> бедствий и чрезвычайных ситуаций. Кроме того данное предельное ограничение не будет распространяться на города федерального значения.</w:t>
      </w:r>
    </w:p>
    <w:p w:rsidR="00A36D53" w:rsidRPr="00721351" w:rsidRDefault="00A36D53" w:rsidP="00A36D53">
      <w:pPr>
        <w:pStyle w:val="20"/>
        <w:numPr>
          <w:ilvl w:val="1"/>
          <w:numId w:val="3"/>
        </w:numPr>
        <w:spacing w:before="240" w:after="240"/>
        <w:rPr>
          <w:rFonts w:ascii="Times New Roman" w:hAnsi="Times New Roman"/>
          <w:sz w:val="28"/>
          <w:szCs w:val="28"/>
        </w:rPr>
      </w:pPr>
      <w:bookmarkStart w:id="25" w:name="_Toc494788039"/>
      <w:r w:rsidRPr="00721351">
        <w:rPr>
          <w:rFonts w:ascii="Times New Roman" w:hAnsi="Times New Roman"/>
          <w:sz w:val="28"/>
          <w:szCs w:val="28"/>
        </w:rPr>
        <w:t>ТАМОЖЕННО-ТАРИФНОЕ РЕГУЛИРОВАНИЕ</w:t>
      </w:r>
      <w:bookmarkEnd w:id="25"/>
    </w:p>
    <w:p w:rsidR="00090F12" w:rsidRPr="007334B6" w:rsidRDefault="00090F12" w:rsidP="007334B6">
      <w:pPr>
        <w:autoSpaceDE w:val="0"/>
        <w:autoSpaceDN w:val="0"/>
        <w:spacing w:before="120" w:after="120"/>
        <w:rPr>
          <w:rFonts w:ascii="Times New Roman" w:hAnsi="Times New Roman"/>
          <w:b/>
          <w:bCs/>
          <w:sz w:val="24"/>
          <w:szCs w:val="24"/>
        </w:rPr>
      </w:pPr>
      <w:r w:rsidRPr="007334B6">
        <w:rPr>
          <w:rFonts w:ascii="Times New Roman" w:hAnsi="Times New Roman"/>
          <w:b/>
          <w:bCs/>
          <w:sz w:val="24"/>
          <w:szCs w:val="24"/>
        </w:rPr>
        <w:t>Таможенно-тарифная политика Евразийского экономического союза</w:t>
      </w:r>
    </w:p>
    <w:p w:rsidR="00090F12" w:rsidRPr="00A36D53" w:rsidRDefault="00090F12" w:rsidP="00090F12">
      <w:pPr>
        <w:spacing w:before="120" w:after="120"/>
        <w:jc w:val="both"/>
        <w:rPr>
          <w:rFonts w:ascii="Times New Roman" w:hAnsi="Times New Roman"/>
          <w:sz w:val="24"/>
          <w:szCs w:val="24"/>
        </w:rPr>
      </w:pPr>
      <w:r w:rsidRPr="00A36D53">
        <w:rPr>
          <w:rFonts w:ascii="Times New Roman" w:hAnsi="Times New Roman"/>
          <w:sz w:val="24"/>
          <w:szCs w:val="24"/>
        </w:rPr>
        <w:t xml:space="preserve">Таможенно-тарифная политика Евразийского экономического союза в 2018-2020 годах будет проводиться при вероятных условиях восстановления роста мировой и российской экономики и сохранения </w:t>
      </w:r>
      <w:proofErr w:type="spellStart"/>
      <w:r w:rsidRPr="00A36D53">
        <w:rPr>
          <w:rFonts w:ascii="Times New Roman" w:hAnsi="Times New Roman"/>
          <w:sz w:val="24"/>
          <w:szCs w:val="24"/>
        </w:rPr>
        <w:t>санкционной</w:t>
      </w:r>
      <w:proofErr w:type="spellEnd"/>
      <w:r w:rsidRPr="00A36D53">
        <w:rPr>
          <w:rFonts w:ascii="Times New Roman" w:hAnsi="Times New Roman"/>
          <w:sz w:val="24"/>
          <w:szCs w:val="24"/>
        </w:rPr>
        <w:t xml:space="preserve"> политики в отношении Российской Федерации.</w:t>
      </w:r>
    </w:p>
    <w:p w:rsidR="00090F12" w:rsidRPr="00A36D53" w:rsidRDefault="00090F12" w:rsidP="00090F12">
      <w:pPr>
        <w:spacing w:before="120" w:after="120"/>
        <w:jc w:val="both"/>
        <w:rPr>
          <w:rFonts w:ascii="Times New Roman" w:hAnsi="Times New Roman"/>
          <w:sz w:val="24"/>
          <w:szCs w:val="24"/>
        </w:rPr>
      </w:pPr>
      <w:proofErr w:type="gramStart"/>
      <w:r w:rsidRPr="00A36D53">
        <w:rPr>
          <w:rFonts w:ascii="Times New Roman" w:hAnsi="Times New Roman"/>
          <w:sz w:val="24"/>
          <w:szCs w:val="24"/>
        </w:rPr>
        <w:t>В этих условиях таможенно-тарифная политика должна быть направлена на поддержание рационального соотношения ввоза и вывоза товаров, повышение конкурентоспособности производителей, улучшение товарной структуры внешней торговли, стимулирование инвестиционных процессов в экономике, в том числе привлечение прямых иностранных инвестиций, способствовать сдерживанию роста внутренних цен, обеспечивать фискальную функцию бюджета, сокращать прямые и косвенные издержки операторов внешнеэкономической деятельности.</w:t>
      </w:r>
      <w:proofErr w:type="gramEnd"/>
    </w:p>
    <w:p w:rsidR="00090F12" w:rsidRPr="00A36D53" w:rsidRDefault="00090F12" w:rsidP="00090F12">
      <w:pPr>
        <w:spacing w:before="120" w:after="120"/>
        <w:jc w:val="both"/>
        <w:rPr>
          <w:rFonts w:ascii="Times New Roman" w:hAnsi="Times New Roman"/>
          <w:sz w:val="24"/>
          <w:szCs w:val="24"/>
        </w:rPr>
      </w:pPr>
      <w:r w:rsidRPr="00A36D53">
        <w:rPr>
          <w:rFonts w:ascii="Times New Roman" w:hAnsi="Times New Roman"/>
          <w:sz w:val="24"/>
          <w:szCs w:val="24"/>
        </w:rPr>
        <w:t>В практическом плане за единым таможенным тарифом ЕАЭС сохраняется важная регулятивная функция стимулирования экономической активности и создания условий для привлечения прямых иностранных инвестиций. В предстоящий период необходимо продолжить реализацию принципа эскалации тарифа с учетом необходимости обеспечения отраслей экономики сырьем, материалами и инвестиционными товарами по конкурентным ценам.</w:t>
      </w:r>
    </w:p>
    <w:p w:rsidR="00090F12" w:rsidRPr="00A36D53" w:rsidRDefault="00090F12" w:rsidP="00090F12">
      <w:pPr>
        <w:spacing w:before="120" w:after="120"/>
        <w:jc w:val="both"/>
        <w:rPr>
          <w:rFonts w:ascii="Times New Roman" w:hAnsi="Times New Roman"/>
          <w:sz w:val="24"/>
          <w:szCs w:val="24"/>
        </w:rPr>
      </w:pPr>
      <w:proofErr w:type="gramStart"/>
      <w:r w:rsidRPr="00A36D53">
        <w:rPr>
          <w:rFonts w:ascii="Times New Roman" w:hAnsi="Times New Roman"/>
          <w:sz w:val="24"/>
          <w:szCs w:val="24"/>
        </w:rPr>
        <w:t xml:space="preserve">С учетом сохраняющейся значительной </w:t>
      </w:r>
      <w:proofErr w:type="spellStart"/>
      <w:r w:rsidRPr="00A36D53">
        <w:rPr>
          <w:rFonts w:ascii="Times New Roman" w:hAnsi="Times New Roman"/>
          <w:sz w:val="24"/>
          <w:szCs w:val="24"/>
        </w:rPr>
        <w:t>импортозависимости</w:t>
      </w:r>
      <w:proofErr w:type="spellEnd"/>
      <w:r w:rsidRPr="00A36D53">
        <w:rPr>
          <w:rFonts w:ascii="Times New Roman" w:hAnsi="Times New Roman"/>
          <w:sz w:val="24"/>
          <w:szCs w:val="24"/>
        </w:rPr>
        <w:t xml:space="preserve"> в сегменте средств производства, компонентной базы и потребительской продукции решение указанных задач возможно путем принятия мер по дальнейшей оптимизации уровня и структуры ввозных таможенных пошлин в отношении товаров инвестиционного спроса (машин, технологического оборудования), компонентов для производимой на территории Российской Федерации продукции, в первую очередь в отношении товаров, аналоги которых не производятся в Российской Федерации или</w:t>
      </w:r>
      <w:proofErr w:type="gramEnd"/>
      <w:r w:rsidRPr="00A36D53">
        <w:rPr>
          <w:rFonts w:ascii="Times New Roman" w:hAnsi="Times New Roman"/>
          <w:sz w:val="24"/>
          <w:szCs w:val="24"/>
        </w:rPr>
        <w:t xml:space="preserve"> производятся в недостаточном для удовлетворения потребностей рынка количестве.</w:t>
      </w:r>
    </w:p>
    <w:p w:rsidR="00090F12" w:rsidRPr="00A36D53" w:rsidRDefault="00090F12" w:rsidP="00090F12">
      <w:pPr>
        <w:spacing w:before="120" w:after="120"/>
        <w:jc w:val="both"/>
        <w:rPr>
          <w:rFonts w:ascii="Times New Roman" w:hAnsi="Times New Roman"/>
          <w:sz w:val="24"/>
          <w:szCs w:val="24"/>
        </w:rPr>
      </w:pPr>
      <w:r w:rsidRPr="00A36D53">
        <w:rPr>
          <w:rFonts w:ascii="Times New Roman" w:hAnsi="Times New Roman"/>
          <w:sz w:val="24"/>
          <w:szCs w:val="24"/>
        </w:rPr>
        <w:t xml:space="preserve">Вместе с тем, несмотря на единые условия и порядок применения льгот по уплате ввозных таможенных пошлин в рамках ЕАЭС, различные подходы государств-членов ЕАЭС в части предоставления косвенных налогов провоцируют перераспределение товарных потоков, оказывая влияние на таможенно-тарифную политику государства. </w:t>
      </w:r>
    </w:p>
    <w:p w:rsidR="00090F12" w:rsidRPr="00A36D53" w:rsidRDefault="00090F12" w:rsidP="00090F12">
      <w:pPr>
        <w:spacing w:before="120" w:after="120"/>
        <w:jc w:val="both"/>
        <w:rPr>
          <w:rFonts w:ascii="Times New Roman" w:hAnsi="Times New Roman"/>
          <w:sz w:val="24"/>
          <w:szCs w:val="24"/>
        </w:rPr>
      </w:pPr>
      <w:r w:rsidRPr="00A36D53">
        <w:rPr>
          <w:rFonts w:ascii="Times New Roman" w:hAnsi="Times New Roman"/>
          <w:sz w:val="24"/>
          <w:szCs w:val="24"/>
        </w:rPr>
        <w:t>Аналогичная ситуация действует и в части изменения сроков уплаты таможенных платежей: существующие различия между условиями изменения сроков уплаты налогов, установленных государствами-членами ЕАЭС оказывают влияние на изменение структуры импорта товаров.</w:t>
      </w:r>
    </w:p>
    <w:p w:rsidR="00090F12" w:rsidRPr="00A36D53" w:rsidRDefault="00090F12" w:rsidP="00090F12">
      <w:pPr>
        <w:spacing w:before="120" w:after="120"/>
        <w:jc w:val="both"/>
        <w:rPr>
          <w:rFonts w:ascii="Times New Roman" w:hAnsi="Times New Roman"/>
          <w:sz w:val="24"/>
          <w:szCs w:val="24"/>
        </w:rPr>
      </w:pPr>
      <w:r w:rsidRPr="00A36D53">
        <w:rPr>
          <w:rFonts w:ascii="Times New Roman" w:hAnsi="Times New Roman"/>
          <w:sz w:val="24"/>
          <w:szCs w:val="24"/>
        </w:rPr>
        <w:t>Одним из возможных решений является поэтапная унификация налогообложения ввозимых в государства-члены ЕАЭС товаров и выработка единых условий применения льгот по уплате налогов, а также унификация особенностей и оснований предоставления отсрочек (рассрочек) уплаты налогов в государствах-членах ЕАЭС.</w:t>
      </w:r>
    </w:p>
    <w:p w:rsidR="00090F12" w:rsidRDefault="00090F12" w:rsidP="00090F12">
      <w:pPr>
        <w:spacing w:before="120" w:after="120"/>
        <w:jc w:val="both"/>
        <w:rPr>
          <w:rFonts w:ascii="Times New Roman" w:hAnsi="Times New Roman"/>
          <w:sz w:val="24"/>
          <w:szCs w:val="24"/>
        </w:rPr>
      </w:pPr>
      <w:r w:rsidRPr="00A36D53">
        <w:rPr>
          <w:rFonts w:ascii="Times New Roman" w:hAnsi="Times New Roman"/>
          <w:sz w:val="24"/>
          <w:szCs w:val="24"/>
        </w:rPr>
        <w:t xml:space="preserve">В среднесрочном периоде продолжится работа, связанная с гармонизацией тарифных обязательств Армении и Киргизии с российскими тарифными обязательствами в ВТО, в связи с присоединением указанных стран к ЕАЭС. </w:t>
      </w:r>
    </w:p>
    <w:p w:rsidR="001B08B4" w:rsidRPr="001B08B4" w:rsidRDefault="001B08B4" w:rsidP="001B08B4">
      <w:pPr>
        <w:spacing w:before="120" w:after="120"/>
        <w:jc w:val="both"/>
        <w:rPr>
          <w:rFonts w:ascii="Times New Roman" w:hAnsi="Times New Roman"/>
          <w:sz w:val="24"/>
          <w:szCs w:val="24"/>
        </w:rPr>
      </w:pPr>
      <w:r w:rsidRPr="001B08B4">
        <w:rPr>
          <w:rFonts w:ascii="Times New Roman" w:hAnsi="Times New Roman"/>
          <w:sz w:val="24"/>
          <w:szCs w:val="24"/>
        </w:rPr>
        <w:t xml:space="preserve">В связи с этим актуален вопрос совершенствования таможенного законодательства. </w:t>
      </w:r>
      <w:r>
        <w:rPr>
          <w:rFonts w:ascii="Times New Roman" w:hAnsi="Times New Roman"/>
          <w:sz w:val="24"/>
          <w:szCs w:val="24"/>
        </w:rPr>
        <w:t>Евразийской экономической комиссии с</w:t>
      </w:r>
      <w:r w:rsidRPr="001B08B4">
        <w:rPr>
          <w:rFonts w:ascii="Times New Roman" w:hAnsi="Times New Roman"/>
          <w:sz w:val="24"/>
          <w:szCs w:val="24"/>
        </w:rPr>
        <w:t xml:space="preserve">овместно с правительствами государств-членов </w:t>
      </w:r>
      <w:r>
        <w:rPr>
          <w:rFonts w:ascii="Times New Roman" w:hAnsi="Times New Roman"/>
          <w:sz w:val="24"/>
          <w:szCs w:val="24"/>
        </w:rPr>
        <w:t xml:space="preserve">необходимо </w:t>
      </w:r>
      <w:r w:rsidRPr="001B08B4">
        <w:rPr>
          <w:rFonts w:ascii="Times New Roman" w:hAnsi="Times New Roman"/>
          <w:sz w:val="24"/>
          <w:szCs w:val="24"/>
        </w:rPr>
        <w:t xml:space="preserve">обеспечить принятие 25 решений Комиссии, которые должны вступить в силу </w:t>
      </w:r>
      <w:proofErr w:type="gramStart"/>
      <w:r w:rsidRPr="001B08B4">
        <w:rPr>
          <w:rFonts w:ascii="Times New Roman" w:hAnsi="Times New Roman"/>
          <w:sz w:val="24"/>
          <w:szCs w:val="24"/>
        </w:rPr>
        <w:t>с даты вступления</w:t>
      </w:r>
      <w:proofErr w:type="gramEnd"/>
      <w:r w:rsidRPr="001B08B4">
        <w:rPr>
          <w:rFonts w:ascii="Times New Roman" w:hAnsi="Times New Roman"/>
          <w:sz w:val="24"/>
          <w:szCs w:val="24"/>
        </w:rPr>
        <w:t xml:space="preserve"> в силу Договора о </w:t>
      </w:r>
      <w:r>
        <w:rPr>
          <w:rFonts w:ascii="Times New Roman" w:hAnsi="Times New Roman"/>
          <w:sz w:val="24"/>
          <w:szCs w:val="24"/>
        </w:rPr>
        <w:t>Таможенном кодексе ЕАЭС (далее  - ТК ЕАЭС).</w:t>
      </w:r>
    </w:p>
    <w:p w:rsidR="001B08B4" w:rsidRPr="00A36D53" w:rsidRDefault="001B08B4" w:rsidP="001B08B4">
      <w:pPr>
        <w:spacing w:before="120" w:after="120"/>
        <w:jc w:val="both"/>
        <w:rPr>
          <w:rFonts w:ascii="Times New Roman" w:hAnsi="Times New Roman"/>
          <w:sz w:val="24"/>
          <w:szCs w:val="24"/>
        </w:rPr>
      </w:pPr>
      <w:r w:rsidRPr="001B08B4">
        <w:rPr>
          <w:rFonts w:ascii="Times New Roman" w:hAnsi="Times New Roman"/>
          <w:sz w:val="24"/>
          <w:szCs w:val="24"/>
        </w:rPr>
        <w:t xml:space="preserve">Одновременно с вступлением в силу ТК ЕАЭС планируется вступление в силу новой редакции Федерального закона «О таможенном регулировании в Российской Федерации», поскольку положения ТК ЕАЭС претерпели существенные изменения и дополнения по сравнению с действующими положениями Таможенного кодекса Таможенного союза. </w:t>
      </w:r>
    </w:p>
    <w:p w:rsidR="00090F12" w:rsidRPr="00A36D53" w:rsidRDefault="00090F12" w:rsidP="00090F12">
      <w:pPr>
        <w:spacing w:before="120" w:after="120"/>
        <w:jc w:val="both"/>
        <w:rPr>
          <w:rFonts w:ascii="Times New Roman" w:hAnsi="Times New Roman"/>
          <w:sz w:val="24"/>
          <w:szCs w:val="24"/>
        </w:rPr>
      </w:pPr>
      <w:r w:rsidRPr="00A36D53">
        <w:rPr>
          <w:rFonts w:ascii="Times New Roman" w:hAnsi="Times New Roman"/>
          <w:sz w:val="24"/>
          <w:szCs w:val="24"/>
        </w:rPr>
        <w:t>В конце 2015 года Казахстан стал полноправным членом ВТО. Обязательствами Казахстана в ВТО предусмотрено применение более низких ставок ввозных таможенных пошлин, чем ставки Единого таможенного тарифа Евразийского экономического союза в отношении примерно 3,5 тыс. тарифных линий. При этом на ежегодной основе Казахстаном осуществляется поэтапное снижение применяемых ставок ввозных таможенных пошлин в соответствии с переходным периодом, предусмотренным казахстанскими обязательствами в ВТО и завершающимся в 2020 году.</w:t>
      </w:r>
    </w:p>
    <w:p w:rsidR="00090F12" w:rsidRPr="00A36D53" w:rsidRDefault="00090F12" w:rsidP="00090F12">
      <w:pPr>
        <w:spacing w:before="120" w:after="120"/>
        <w:jc w:val="both"/>
        <w:rPr>
          <w:rFonts w:ascii="Times New Roman" w:hAnsi="Times New Roman"/>
          <w:sz w:val="24"/>
          <w:szCs w:val="24"/>
        </w:rPr>
      </w:pPr>
      <w:r w:rsidRPr="00A36D53">
        <w:rPr>
          <w:rFonts w:ascii="Times New Roman" w:hAnsi="Times New Roman"/>
          <w:sz w:val="24"/>
          <w:szCs w:val="24"/>
        </w:rPr>
        <w:t>Данное обстоятельство создает дополнительные риски, связанные с контролем ввоза таких товаров в Российскую Федерацию. В связи с этим в рамках ЕАЭС подписан Протокол «О некоторых вопросах ввоза и обращения товаров на таможенной территории Евразийского экономического союза», включающий положения по принятию и применению необходимых мер контроля в отношении товаров, декларируемых в Республике Казахстан по пониженным ставкам таможенных пошлин.</w:t>
      </w:r>
    </w:p>
    <w:p w:rsidR="00FB264A" w:rsidRPr="00A36D53" w:rsidRDefault="00FB264A" w:rsidP="00A25DB8">
      <w:pPr>
        <w:autoSpaceDE w:val="0"/>
        <w:autoSpaceDN w:val="0"/>
        <w:spacing w:before="120" w:after="120"/>
        <w:rPr>
          <w:rFonts w:ascii="Times New Roman" w:hAnsi="Times New Roman"/>
          <w:b/>
          <w:bCs/>
          <w:sz w:val="24"/>
          <w:szCs w:val="24"/>
        </w:rPr>
      </w:pPr>
      <w:r w:rsidRPr="00A36D53">
        <w:rPr>
          <w:rFonts w:ascii="Times New Roman" w:hAnsi="Times New Roman"/>
          <w:b/>
          <w:bCs/>
          <w:sz w:val="24"/>
          <w:szCs w:val="24"/>
        </w:rPr>
        <w:t>Приведение системы таможенного обложения в соответствие с задачами развития национальной экономики на основе принципа эскалации таможенного тарифа</w:t>
      </w:r>
    </w:p>
    <w:p w:rsidR="00FB264A" w:rsidRPr="00A36D53" w:rsidRDefault="00FB264A" w:rsidP="00FB264A">
      <w:pPr>
        <w:autoSpaceDE w:val="0"/>
        <w:autoSpaceDN w:val="0"/>
        <w:spacing w:before="120" w:after="120"/>
        <w:jc w:val="both"/>
        <w:rPr>
          <w:rFonts w:ascii="Times New Roman" w:hAnsi="Times New Roman"/>
          <w:sz w:val="24"/>
          <w:szCs w:val="24"/>
        </w:rPr>
      </w:pPr>
      <w:r w:rsidRPr="00A36D53">
        <w:rPr>
          <w:rFonts w:ascii="Times New Roman" w:hAnsi="Times New Roman"/>
          <w:sz w:val="24"/>
          <w:szCs w:val="24"/>
        </w:rPr>
        <w:t>Реализация принципа эскалации Таможенного тарифа (минимальные пошлины на материалы, сырье, комплектующие, максимальные – на готовые изделия) создает более привлекательные условия для изготовления товаров в России по сравнению с их импортом и способствует организации (переносу) производств на территорию России.</w:t>
      </w:r>
    </w:p>
    <w:p w:rsidR="00FB264A" w:rsidRDefault="00FB264A" w:rsidP="00FB264A">
      <w:pPr>
        <w:autoSpaceDE w:val="0"/>
        <w:autoSpaceDN w:val="0"/>
        <w:spacing w:before="120" w:after="120"/>
        <w:jc w:val="both"/>
        <w:rPr>
          <w:rFonts w:ascii="Times New Roman" w:hAnsi="Times New Roman"/>
          <w:sz w:val="24"/>
          <w:szCs w:val="24"/>
        </w:rPr>
      </w:pPr>
      <w:r w:rsidRPr="00A36D53">
        <w:rPr>
          <w:rFonts w:ascii="Times New Roman" w:hAnsi="Times New Roman"/>
          <w:sz w:val="24"/>
          <w:szCs w:val="24"/>
        </w:rPr>
        <w:t xml:space="preserve">Работа по корректировке ставок ввозных таможенных пошлин будет продолжена исходя из актуальных задач социально-экономического развития, в том числе повышения конкурентоспособности отечественной продукции и развития производства и </w:t>
      </w:r>
      <w:proofErr w:type="spellStart"/>
      <w:r w:rsidRPr="00A36D53">
        <w:rPr>
          <w:rFonts w:ascii="Times New Roman" w:hAnsi="Times New Roman"/>
          <w:sz w:val="24"/>
          <w:szCs w:val="24"/>
        </w:rPr>
        <w:t>импортозамещения</w:t>
      </w:r>
      <w:proofErr w:type="spellEnd"/>
      <w:r w:rsidRPr="00A36D53">
        <w:rPr>
          <w:rFonts w:ascii="Times New Roman" w:hAnsi="Times New Roman"/>
          <w:sz w:val="24"/>
          <w:szCs w:val="24"/>
        </w:rPr>
        <w:t xml:space="preserve">, создания дополнительных стимулов для привлечения инвестиций. Одновременно будет </w:t>
      </w:r>
      <w:proofErr w:type="gramStart"/>
      <w:r w:rsidRPr="00A36D53">
        <w:rPr>
          <w:rFonts w:ascii="Times New Roman" w:hAnsi="Times New Roman"/>
          <w:sz w:val="24"/>
          <w:szCs w:val="24"/>
        </w:rPr>
        <w:t>проводится</w:t>
      </w:r>
      <w:proofErr w:type="gramEnd"/>
      <w:r w:rsidRPr="00A36D53">
        <w:rPr>
          <w:rFonts w:ascii="Times New Roman" w:hAnsi="Times New Roman"/>
          <w:sz w:val="24"/>
          <w:szCs w:val="24"/>
        </w:rPr>
        <w:t xml:space="preserve"> оценка целесообразности продления ранее введенных на временной основе мер таможенно-тарифного регулирования.</w:t>
      </w:r>
    </w:p>
    <w:p w:rsidR="00043BCA" w:rsidRPr="00A36D53" w:rsidRDefault="00043BCA" w:rsidP="00FB264A">
      <w:pPr>
        <w:autoSpaceDE w:val="0"/>
        <w:autoSpaceDN w:val="0"/>
        <w:spacing w:before="120" w:after="120"/>
        <w:jc w:val="both"/>
        <w:rPr>
          <w:rFonts w:ascii="Times New Roman" w:hAnsi="Times New Roman"/>
          <w:sz w:val="24"/>
          <w:szCs w:val="24"/>
        </w:rPr>
      </w:pPr>
      <w:r>
        <w:rPr>
          <w:rFonts w:ascii="Times New Roman" w:hAnsi="Times New Roman"/>
          <w:sz w:val="24"/>
          <w:szCs w:val="24"/>
        </w:rPr>
        <w:t>Отдельно усилия таможенных органов будут направлены на контроль таможенной стоимости ввозимых товаров.</w:t>
      </w:r>
    </w:p>
    <w:p w:rsidR="00FB264A" w:rsidRPr="00A36D53" w:rsidRDefault="00FB264A" w:rsidP="00A25DB8">
      <w:pPr>
        <w:autoSpaceDE w:val="0"/>
        <w:autoSpaceDN w:val="0"/>
        <w:spacing w:before="120" w:after="120"/>
        <w:rPr>
          <w:rFonts w:ascii="Times New Roman" w:hAnsi="Times New Roman"/>
          <w:b/>
          <w:bCs/>
          <w:sz w:val="24"/>
          <w:szCs w:val="24"/>
        </w:rPr>
      </w:pPr>
      <w:r w:rsidRPr="00A36D53">
        <w:rPr>
          <w:rFonts w:ascii="Times New Roman" w:hAnsi="Times New Roman"/>
          <w:b/>
          <w:bCs/>
          <w:sz w:val="24"/>
          <w:szCs w:val="24"/>
        </w:rPr>
        <w:t>Учет международных обязательств</w:t>
      </w:r>
      <w:r w:rsidR="00A25DB8" w:rsidRPr="00A36D53">
        <w:rPr>
          <w:rFonts w:ascii="Times New Roman" w:hAnsi="Times New Roman"/>
          <w:b/>
          <w:bCs/>
          <w:sz w:val="24"/>
          <w:szCs w:val="24"/>
        </w:rPr>
        <w:t xml:space="preserve"> и</w:t>
      </w:r>
      <w:r w:rsidR="00A25DB8" w:rsidRPr="00A36D53">
        <w:t xml:space="preserve"> </w:t>
      </w:r>
      <w:r w:rsidR="00A25DB8" w:rsidRPr="00A36D53">
        <w:rPr>
          <w:rFonts w:ascii="Times New Roman" w:hAnsi="Times New Roman"/>
          <w:b/>
          <w:bCs/>
          <w:sz w:val="24"/>
          <w:szCs w:val="24"/>
        </w:rPr>
        <w:t xml:space="preserve">интеграция в международную торговую систему </w:t>
      </w:r>
    </w:p>
    <w:p w:rsidR="00FB264A" w:rsidRPr="00A36D53" w:rsidRDefault="00FB264A" w:rsidP="00FB264A">
      <w:pPr>
        <w:autoSpaceDE w:val="0"/>
        <w:autoSpaceDN w:val="0"/>
        <w:spacing w:before="120" w:after="120"/>
        <w:jc w:val="both"/>
        <w:rPr>
          <w:rFonts w:ascii="Times New Roman" w:hAnsi="Times New Roman"/>
          <w:sz w:val="24"/>
          <w:szCs w:val="24"/>
        </w:rPr>
      </w:pPr>
      <w:r w:rsidRPr="00A36D53">
        <w:rPr>
          <w:rFonts w:ascii="Times New Roman" w:hAnsi="Times New Roman"/>
          <w:sz w:val="24"/>
          <w:szCs w:val="24"/>
        </w:rPr>
        <w:t>В среднесрочном периоде, учитывая международные обязательства России, будет осуществляться и в основном завершится постепенная либерализация импортного тарифа.</w:t>
      </w:r>
    </w:p>
    <w:p w:rsidR="00FB264A" w:rsidRPr="00A36D53" w:rsidRDefault="00FB264A" w:rsidP="00FB264A">
      <w:pPr>
        <w:autoSpaceDE w:val="0"/>
        <w:autoSpaceDN w:val="0"/>
        <w:spacing w:before="120" w:after="120"/>
        <w:jc w:val="both"/>
        <w:rPr>
          <w:rFonts w:ascii="Times New Roman" w:hAnsi="Times New Roman"/>
          <w:sz w:val="24"/>
          <w:szCs w:val="24"/>
        </w:rPr>
      </w:pPr>
      <w:r w:rsidRPr="00A36D53">
        <w:rPr>
          <w:rFonts w:ascii="Times New Roman" w:hAnsi="Times New Roman"/>
          <w:sz w:val="24"/>
          <w:szCs w:val="24"/>
        </w:rPr>
        <w:t>В процессе либерализации торгового режима, связанного с обязательствами Российской Федерации в ВТО и установлением льготных торговых режимов с некоторыми странами, уровень ценовой конкурентоспособности отечественных производителей продовольственной продукции будет снижаться.</w:t>
      </w:r>
    </w:p>
    <w:p w:rsidR="00FB264A" w:rsidRPr="00A36D53" w:rsidRDefault="00FB264A" w:rsidP="00FB264A">
      <w:pPr>
        <w:autoSpaceDE w:val="0"/>
        <w:autoSpaceDN w:val="0"/>
        <w:spacing w:before="120" w:after="120"/>
        <w:jc w:val="both"/>
        <w:rPr>
          <w:rFonts w:ascii="Times New Roman" w:hAnsi="Times New Roman"/>
          <w:sz w:val="24"/>
          <w:szCs w:val="24"/>
        </w:rPr>
      </w:pPr>
      <w:r w:rsidRPr="00A36D53">
        <w:rPr>
          <w:rFonts w:ascii="Times New Roman" w:hAnsi="Times New Roman"/>
          <w:sz w:val="24"/>
          <w:szCs w:val="24"/>
        </w:rPr>
        <w:t>Для особо чувствительных позиций необходимо проводить активный мониторинг внутреннего рынка для обеспечения своевременного рассмотрения на наднациональном уровне (в Евразийской экономической комиссии) возможности применения специальных защитных, антидемпинговых и компенсационных мер.</w:t>
      </w:r>
    </w:p>
    <w:p w:rsidR="00A25DB8" w:rsidRPr="00A36D53" w:rsidRDefault="00FB264A" w:rsidP="00FB264A">
      <w:pPr>
        <w:autoSpaceDE w:val="0"/>
        <w:autoSpaceDN w:val="0"/>
        <w:spacing w:before="120" w:after="120"/>
        <w:jc w:val="both"/>
        <w:rPr>
          <w:rFonts w:ascii="Times New Roman" w:hAnsi="Times New Roman"/>
          <w:sz w:val="24"/>
          <w:szCs w:val="24"/>
        </w:rPr>
      </w:pPr>
      <w:proofErr w:type="gramStart"/>
      <w:r w:rsidRPr="00A36D53">
        <w:rPr>
          <w:rFonts w:ascii="Times New Roman" w:hAnsi="Times New Roman"/>
          <w:sz w:val="24"/>
          <w:szCs w:val="24"/>
        </w:rPr>
        <w:t xml:space="preserve">В предстоящий период необходимо обеспечить формирование активной российской позиции по вопросам деятельности ВТО, в том числе в рамках подготовки к XI Министерской конференции ВТО, а также имплементации уже принятых на предыдущих конференциях решений, в том числе по облегчению доступа товаров из наименее развитых стран (беспошлинный и </w:t>
      </w:r>
      <w:proofErr w:type="spellStart"/>
      <w:r w:rsidRPr="00A36D53">
        <w:rPr>
          <w:rFonts w:ascii="Times New Roman" w:hAnsi="Times New Roman"/>
          <w:sz w:val="24"/>
          <w:szCs w:val="24"/>
        </w:rPr>
        <w:t>бесквотный</w:t>
      </w:r>
      <w:proofErr w:type="spellEnd"/>
      <w:r w:rsidRPr="00A36D53">
        <w:rPr>
          <w:rFonts w:ascii="Times New Roman" w:hAnsi="Times New Roman"/>
          <w:sz w:val="24"/>
          <w:szCs w:val="24"/>
        </w:rPr>
        <w:t xml:space="preserve"> ввоз товаров, упрощение преференциальных правил происхождения). </w:t>
      </w:r>
      <w:proofErr w:type="gramEnd"/>
    </w:p>
    <w:p w:rsidR="00FB264A" w:rsidRPr="00A36D53" w:rsidRDefault="00A25DB8" w:rsidP="00FB264A">
      <w:pPr>
        <w:autoSpaceDE w:val="0"/>
        <w:autoSpaceDN w:val="0"/>
        <w:spacing w:before="120" w:after="120"/>
        <w:jc w:val="both"/>
        <w:rPr>
          <w:rFonts w:ascii="Times New Roman" w:hAnsi="Times New Roman"/>
          <w:sz w:val="24"/>
          <w:szCs w:val="24"/>
        </w:rPr>
      </w:pPr>
      <w:r w:rsidRPr="00A36D53">
        <w:rPr>
          <w:rFonts w:ascii="Times New Roman" w:hAnsi="Times New Roman"/>
          <w:sz w:val="24"/>
          <w:szCs w:val="24"/>
        </w:rPr>
        <w:t xml:space="preserve">Планируется продолжение активного </w:t>
      </w:r>
      <w:r w:rsidR="00FB264A" w:rsidRPr="00A36D53">
        <w:rPr>
          <w:rFonts w:ascii="Times New Roman" w:hAnsi="Times New Roman"/>
          <w:sz w:val="24"/>
          <w:szCs w:val="24"/>
        </w:rPr>
        <w:t>переговорн</w:t>
      </w:r>
      <w:r w:rsidRPr="00A36D53">
        <w:rPr>
          <w:rFonts w:ascii="Times New Roman" w:hAnsi="Times New Roman"/>
          <w:sz w:val="24"/>
          <w:szCs w:val="24"/>
        </w:rPr>
        <w:t>ого</w:t>
      </w:r>
      <w:r w:rsidR="00FB264A" w:rsidRPr="00A36D53">
        <w:rPr>
          <w:rFonts w:ascii="Times New Roman" w:hAnsi="Times New Roman"/>
          <w:sz w:val="24"/>
          <w:szCs w:val="24"/>
        </w:rPr>
        <w:t xml:space="preserve"> процесс</w:t>
      </w:r>
      <w:r w:rsidRPr="00A36D53">
        <w:rPr>
          <w:rFonts w:ascii="Times New Roman" w:hAnsi="Times New Roman"/>
          <w:sz w:val="24"/>
          <w:szCs w:val="24"/>
        </w:rPr>
        <w:t>а</w:t>
      </w:r>
      <w:r w:rsidR="00FB264A" w:rsidRPr="00A36D53">
        <w:rPr>
          <w:rFonts w:ascii="Times New Roman" w:hAnsi="Times New Roman"/>
          <w:sz w:val="24"/>
          <w:szCs w:val="24"/>
        </w:rPr>
        <w:t xml:space="preserve"> и формирование зон свободной торговли с такими странами как Социалистическая Республика Вьетнам, Израиль, Сербия, Индия, Египет, Сингапур. При проведении переговоров с указанными странами необходимо добиваться учета российских интересов и сбалансированности будущих договоренностей.</w:t>
      </w:r>
    </w:p>
    <w:p w:rsidR="00FB264A" w:rsidRPr="00A36D53" w:rsidRDefault="00FB264A" w:rsidP="00A25DB8">
      <w:pPr>
        <w:autoSpaceDE w:val="0"/>
        <w:autoSpaceDN w:val="0"/>
        <w:spacing w:before="120" w:after="120"/>
        <w:rPr>
          <w:rFonts w:ascii="Times New Roman" w:hAnsi="Times New Roman"/>
          <w:b/>
          <w:bCs/>
          <w:sz w:val="24"/>
          <w:szCs w:val="24"/>
        </w:rPr>
      </w:pPr>
      <w:r w:rsidRPr="00A36D53">
        <w:rPr>
          <w:rFonts w:ascii="Times New Roman" w:hAnsi="Times New Roman"/>
          <w:b/>
          <w:bCs/>
          <w:sz w:val="24"/>
          <w:szCs w:val="24"/>
        </w:rPr>
        <w:t>Таможенно-тарифное регулирование в отношении экспорта</w:t>
      </w:r>
    </w:p>
    <w:p w:rsidR="00FB264A" w:rsidRPr="00A36D53" w:rsidRDefault="00FB264A" w:rsidP="00FB264A">
      <w:pPr>
        <w:autoSpaceDE w:val="0"/>
        <w:autoSpaceDN w:val="0"/>
        <w:spacing w:before="120" w:after="120"/>
        <w:jc w:val="both"/>
        <w:rPr>
          <w:rFonts w:ascii="Times New Roman" w:hAnsi="Times New Roman"/>
          <w:sz w:val="24"/>
          <w:szCs w:val="24"/>
        </w:rPr>
      </w:pPr>
      <w:r w:rsidRPr="00A36D53">
        <w:rPr>
          <w:rFonts w:ascii="Times New Roman" w:hAnsi="Times New Roman"/>
          <w:sz w:val="24"/>
          <w:szCs w:val="24"/>
        </w:rPr>
        <w:t>На текущем этапе функционирования Евразийского экономического союза вопросы установления вывозных пошлин отнесены к компетенции национальных правительств. При этом в предстоящие годы планируется принять механизмы проведения согласованной экспортной таможенно-тарифной политики.</w:t>
      </w:r>
    </w:p>
    <w:p w:rsidR="00FB264A" w:rsidRPr="00A36D53" w:rsidRDefault="00FB264A" w:rsidP="00FB264A">
      <w:pPr>
        <w:autoSpaceDE w:val="0"/>
        <w:autoSpaceDN w:val="0"/>
        <w:spacing w:before="120" w:after="120"/>
        <w:jc w:val="both"/>
        <w:rPr>
          <w:rFonts w:ascii="Times New Roman" w:hAnsi="Times New Roman"/>
          <w:sz w:val="24"/>
          <w:szCs w:val="24"/>
        </w:rPr>
      </w:pPr>
      <w:r w:rsidRPr="00A36D53">
        <w:rPr>
          <w:rFonts w:ascii="Times New Roman" w:hAnsi="Times New Roman"/>
          <w:sz w:val="24"/>
          <w:szCs w:val="24"/>
        </w:rPr>
        <w:t>Основным направлением в этой области с учетом обязательств Российской Федерации в рамках ВТО станет постепенное уменьшение вплоть до полной отмены ставок вывозных таможенных пошлин на ряд товаров. В 2017 году предполагается снижение ставок вывозных таможенных пошлин в отношении 38 тарифных линий промышленных товаров.</w:t>
      </w:r>
    </w:p>
    <w:p w:rsidR="00FB264A" w:rsidRPr="00A36D53" w:rsidRDefault="00FB264A" w:rsidP="00FB264A">
      <w:pPr>
        <w:autoSpaceDE w:val="0"/>
        <w:autoSpaceDN w:val="0"/>
        <w:spacing w:before="120" w:after="120"/>
        <w:jc w:val="both"/>
        <w:rPr>
          <w:rFonts w:ascii="Times New Roman" w:hAnsi="Times New Roman"/>
          <w:sz w:val="24"/>
          <w:szCs w:val="24"/>
        </w:rPr>
      </w:pPr>
      <w:r w:rsidRPr="00A36D53">
        <w:rPr>
          <w:rFonts w:ascii="Times New Roman" w:hAnsi="Times New Roman"/>
          <w:sz w:val="24"/>
          <w:szCs w:val="24"/>
        </w:rPr>
        <w:t xml:space="preserve">В отношении экспорта нефти и нефтепродуктов обязательствами в рамках ВТО предусмотрено применение особой формулы расчета ставок (на данный момент уровень тарифных обязательств на 8-9 % выше по сравнению с действующими вывозными таможенными пошлинами). </w:t>
      </w:r>
    </w:p>
    <w:p w:rsidR="00FB264A" w:rsidRPr="00A36D53" w:rsidRDefault="00FB264A" w:rsidP="00FB264A">
      <w:pPr>
        <w:autoSpaceDE w:val="0"/>
        <w:autoSpaceDN w:val="0"/>
        <w:spacing w:before="120" w:after="120"/>
        <w:jc w:val="both"/>
        <w:rPr>
          <w:rFonts w:ascii="Times New Roman" w:hAnsi="Times New Roman"/>
          <w:sz w:val="24"/>
          <w:szCs w:val="24"/>
        </w:rPr>
      </w:pPr>
      <w:r w:rsidRPr="00A36D53">
        <w:rPr>
          <w:rFonts w:ascii="Times New Roman" w:hAnsi="Times New Roman"/>
          <w:sz w:val="24"/>
          <w:szCs w:val="24"/>
        </w:rPr>
        <w:t>В среднесрочной перспективе основой таможенно-тарифного регулирования экспорта продукции топливно-энергетического комплекса будут оставаться параметры так называемого «большого налогового маневра», предусматривающие перенос фискальной нагрузки с экспорта на добычу нефти.</w:t>
      </w:r>
    </w:p>
    <w:p w:rsidR="00ED46C9" w:rsidRPr="00ED46C9" w:rsidRDefault="00FB264A" w:rsidP="00FF4120">
      <w:pPr>
        <w:pStyle w:val="ConsPlusTitle"/>
        <w:widowControl/>
        <w:tabs>
          <w:tab w:val="left" w:pos="540"/>
        </w:tabs>
        <w:spacing w:after="200" w:line="276" w:lineRule="auto"/>
        <w:jc w:val="both"/>
        <w:rPr>
          <w:b w:val="0"/>
        </w:rPr>
      </w:pPr>
      <w:r w:rsidRPr="00A36D53">
        <w:t xml:space="preserve">Важным направлением таможенно-тарифной политики с учетом формирования Евразийского экономического союза станет работа по расширению сотрудничества с партнерами по </w:t>
      </w:r>
      <w:r w:rsidR="00A25DB8" w:rsidRPr="00A36D53">
        <w:t>ЕАЭС</w:t>
      </w:r>
      <w:r w:rsidRPr="00A36D53">
        <w:t xml:space="preserve"> в области урегулирования вопросов по поставкам нефти и нефтепродуктов. </w:t>
      </w:r>
      <w:r w:rsidRPr="00ED46C9">
        <w:rPr>
          <w:b w:val="0"/>
        </w:rPr>
        <w:t>В том числе при экспорте углеводородов в ряд стран СНГ и ЕАЭС предполагается дальнейшее применение беспошлинного режима вывоза в рамках утвержденных годовых балансов, обеспечивающих потребности внутреннего рынка при гарантиях соблюдения и фактическом обеспечении экономических интересов Российской Федерации, в том числе в отношении реэкспорта.</w:t>
      </w:r>
      <w:r w:rsidR="0022015D" w:rsidRPr="00ED46C9">
        <w:rPr>
          <w:b w:val="0"/>
        </w:rPr>
        <w:t xml:space="preserve"> </w:t>
      </w:r>
    </w:p>
    <w:p w:rsidR="00FF4120" w:rsidRPr="00A36D53" w:rsidRDefault="00FF4120" w:rsidP="00FF4120">
      <w:pPr>
        <w:pStyle w:val="ConsPlusTitle"/>
        <w:widowControl/>
        <w:tabs>
          <w:tab w:val="left" w:pos="540"/>
        </w:tabs>
        <w:spacing w:after="200" w:line="276" w:lineRule="auto"/>
        <w:jc w:val="both"/>
        <w:rPr>
          <w:szCs w:val="28"/>
        </w:rPr>
      </w:pPr>
      <w:r w:rsidRPr="00A36D53">
        <w:rPr>
          <w:szCs w:val="28"/>
        </w:rPr>
        <w:t xml:space="preserve">Стимулирование развития производственно-технологической кооперации </w:t>
      </w:r>
    </w:p>
    <w:p w:rsidR="00FF4120" w:rsidRPr="00A36D53" w:rsidRDefault="00FF4120" w:rsidP="00FF4120">
      <w:pPr>
        <w:pStyle w:val="ConsPlusTitle"/>
        <w:widowControl/>
        <w:tabs>
          <w:tab w:val="left" w:pos="540"/>
        </w:tabs>
        <w:spacing w:after="200" w:line="276" w:lineRule="auto"/>
        <w:jc w:val="both"/>
        <w:rPr>
          <w:b w:val="0"/>
          <w:szCs w:val="28"/>
        </w:rPr>
      </w:pPr>
      <w:r w:rsidRPr="00A36D53">
        <w:rPr>
          <w:b w:val="0"/>
          <w:szCs w:val="28"/>
        </w:rPr>
        <w:t>Таможенная процедура переработки на таможенной территории позволяет использовать в изготовлении продукции, предназначенной для экспорта, сырье, материалы, комплектующие иностранного производства без уплаты таможенных пошлин и налогов. Это позволяет расширять производство за счет импортных компонентов и при этом предлагать продукцию на внешнем рынке по более конкурентоспособным ценам.</w:t>
      </w:r>
    </w:p>
    <w:p w:rsidR="00FF4120" w:rsidRPr="00A36D53" w:rsidRDefault="00FF4120" w:rsidP="00FF4120">
      <w:pPr>
        <w:pStyle w:val="ConsPlusTitle"/>
        <w:widowControl/>
        <w:tabs>
          <w:tab w:val="left" w:pos="540"/>
        </w:tabs>
        <w:spacing w:after="200" w:line="276" w:lineRule="auto"/>
        <w:jc w:val="both"/>
        <w:rPr>
          <w:b w:val="0"/>
          <w:szCs w:val="28"/>
        </w:rPr>
      </w:pPr>
      <w:r w:rsidRPr="00A36D53">
        <w:rPr>
          <w:b w:val="0"/>
          <w:szCs w:val="28"/>
        </w:rPr>
        <w:t xml:space="preserve">Вместе с тем анализ практики применения таможенной процедуры переработки на таможенной территории показывает, что, в основном, преимущества ее используются в алюминиевой промышленности, в атомной промышленности. Между тем данная процедура потенциально востребована в таких отраслях, как автомобилестроение, </w:t>
      </w:r>
      <w:r w:rsidR="005514CF">
        <w:rPr>
          <w:b w:val="0"/>
          <w:szCs w:val="28"/>
        </w:rPr>
        <w:t>железнодорожное</w:t>
      </w:r>
      <w:r w:rsidRPr="00A36D53">
        <w:rPr>
          <w:b w:val="0"/>
          <w:szCs w:val="28"/>
        </w:rPr>
        <w:t xml:space="preserve"> вагоностроение, авиа- и судостроение, легкая промышленность. Кроме того, таможенная процедура переработки на таможенной территории создает привлекательные условия для ремонта ранее экспортированных машинно-технических изделий, что является дополнительным конкурентным преимуществом для их экспорта.</w:t>
      </w:r>
    </w:p>
    <w:p w:rsidR="00FF4120" w:rsidRDefault="00FF4120" w:rsidP="00FF4120">
      <w:pPr>
        <w:pStyle w:val="ConsPlusTitle"/>
        <w:widowControl/>
        <w:tabs>
          <w:tab w:val="left" w:pos="540"/>
        </w:tabs>
        <w:spacing w:after="200" w:line="276" w:lineRule="auto"/>
        <w:jc w:val="both"/>
        <w:rPr>
          <w:b w:val="0"/>
          <w:szCs w:val="28"/>
        </w:rPr>
      </w:pPr>
      <w:r w:rsidRPr="00A36D53">
        <w:rPr>
          <w:b w:val="0"/>
          <w:szCs w:val="28"/>
        </w:rPr>
        <w:t>Таможенная процедура переработки для внутреннего потребления предусматривает возможность уплачивать таможенную пошлину по ставке, применимой к изготовленному на территории России изделию, если ставки таможенных пошлин на сырье, материалы, комплектующие иностранного производства, используемые для такого изготовления выше, чем на готовое изделие.</w:t>
      </w:r>
    </w:p>
    <w:p w:rsidR="001B08B4" w:rsidRPr="001B08B4" w:rsidRDefault="001B08B4" w:rsidP="00795F7C">
      <w:pPr>
        <w:pStyle w:val="ConsPlusTitle"/>
        <w:widowControl/>
        <w:tabs>
          <w:tab w:val="left" w:pos="540"/>
        </w:tabs>
        <w:spacing w:after="200" w:line="276" w:lineRule="auto"/>
        <w:jc w:val="both"/>
        <w:rPr>
          <w:b w:val="0"/>
          <w:szCs w:val="28"/>
        </w:rPr>
      </w:pPr>
      <w:r w:rsidRPr="001B08B4">
        <w:rPr>
          <w:b w:val="0"/>
          <w:szCs w:val="28"/>
        </w:rPr>
        <w:t>В соответствии с Таможенным кодексом лицо вправе выбрать любую таможенную процедуру, предусмотренную Таможенным кодексом. В этой связи стимулирование использования той или иной таможенной процедуры может осуществляться посредством совершенствования таможенного законодательства.</w:t>
      </w:r>
    </w:p>
    <w:p w:rsidR="001B08B4" w:rsidRPr="001B08B4" w:rsidRDefault="001B08B4" w:rsidP="00795F7C">
      <w:pPr>
        <w:pStyle w:val="ConsPlusTitle"/>
        <w:widowControl/>
        <w:tabs>
          <w:tab w:val="left" w:pos="540"/>
        </w:tabs>
        <w:spacing w:after="200" w:line="276" w:lineRule="auto"/>
        <w:jc w:val="both"/>
        <w:rPr>
          <w:b w:val="0"/>
          <w:szCs w:val="28"/>
        </w:rPr>
      </w:pPr>
      <w:r>
        <w:rPr>
          <w:b w:val="0"/>
          <w:szCs w:val="28"/>
        </w:rPr>
        <w:t>Т</w:t>
      </w:r>
      <w:r w:rsidRPr="001B08B4">
        <w:rPr>
          <w:b w:val="0"/>
          <w:szCs w:val="28"/>
        </w:rPr>
        <w:t>аможенн</w:t>
      </w:r>
      <w:r>
        <w:rPr>
          <w:b w:val="0"/>
          <w:szCs w:val="28"/>
        </w:rPr>
        <w:t>ая</w:t>
      </w:r>
      <w:r w:rsidRPr="001B08B4">
        <w:rPr>
          <w:b w:val="0"/>
          <w:szCs w:val="28"/>
        </w:rPr>
        <w:t xml:space="preserve"> процедур</w:t>
      </w:r>
      <w:r>
        <w:rPr>
          <w:b w:val="0"/>
          <w:szCs w:val="28"/>
        </w:rPr>
        <w:t>а</w:t>
      </w:r>
      <w:r w:rsidRPr="001B08B4">
        <w:rPr>
          <w:b w:val="0"/>
          <w:szCs w:val="28"/>
        </w:rPr>
        <w:t xml:space="preserve"> переработки для внутреннего потребления может применяться, когда суммы ввозных таможенных пошлин, исчисленные в отношении продуктов переработки, меньше сумм ввозных таможенных пошлин, исчисленных в отношении товаров, помещаемых под таможенную процедуру переработки для внутреннего потребления.</w:t>
      </w:r>
    </w:p>
    <w:p w:rsidR="001B08B4" w:rsidRPr="001B08B4" w:rsidRDefault="001B08B4" w:rsidP="00795F7C">
      <w:pPr>
        <w:pStyle w:val="ConsPlusTitle"/>
        <w:widowControl/>
        <w:tabs>
          <w:tab w:val="left" w:pos="540"/>
        </w:tabs>
        <w:spacing w:after="200" w:line="276" w:lineRule="auto"/>
        <w:jc w:val="both"/>
        <w:rPr>
          <w:b w:val="0"/>
          <w:szCs w:val="28"/>
        </w:rPr>
      </w:pPr>
      <w:r w:rsidRPr="001B08B4">
        <w:rPr>
          <w:b w:val="0"/>
          <w:szCs w:val="28"/>
        </w:rPr>
        <w:t xml:space="preserve">Применение указанной таможенной процедуры в настоящее время не имеет широкого применения и осуществляется в соответствии с перечнем, который устанавливается законодательством государства-члена. </w:t>
      </w:r>
    </w:p>
    <w:p w:rsidR="001B08B4" w:rsidRPr="00A36D53" w:rsidRDefault="001B08B4" w:rsidP="001B08B4">
      <w:pPr>
        <w:pStyle w:val="ConsPlusTitle"/>
        <w:widowControl/>
        <w:tabs>
          <w:tab w:val="left" w:pos="540"/>
        </w:tabs>
        <w:spacing w:after="200" w:line="276" w:lineRule="auto"/>
        <w:jc w:val="both"/>
        <w:rPr>
          <w:b w:val="0"/>
          <w:szCs w:val="28"/>
        </w:rPr>
      </w:pPr>
      <w:proofErr w:type="gramStart"/>
      <w:r w:rsidRPr="001B08B4">
        <w:rPr>
          <w:b w:val="0"/>
          <w:szCs w:val="28"/>
        </w:rPr>
        <w:t>На заседании подкомиссии по таможенно-тарифному и нетарифному регулированию, защитным мерам во внешней торговле Правительственной комиссии по экономическому развитию и интеграции 25 июля 2017 г. был рассмотрен вопрос о целесообразности расширения перечня товаров, в отношении которых допускается таможенная процедура переработки для внутреннего потребления в отношении пищевых продуктов для детского питания и стеклянных изделий медицинского назначения.</w:t>
      </w:r>
      <w:proofErr w:type="gramEnd"/>
    </w:p>
    <w:p w:rsidR="00FF4120" w:rsidRPr="00A36D53" w:rsidRDefault="00FF4120" w:rsidP="00FF4120">
      <w:pPr>
        <w:pStyle w:val="ConsPlusTitle"/>
        <w:widowControl/>
        <w:tabs>
          <w:tab w:val="left" w:pos="540"/>
        </w:tabs>
        <w:spacing w:after="200" w:line="276" w:lineRule="auto"/>
        <w:jc w:val="both"/>
        <w:rPr>
          <w:b w:val="0"/>
          <w:szCs w:val="28"/>
        </w:rPr>
      </w:pPr>
      <w:r w:rsidRPr="00A36D53">
        <w:rPr>
          <w:b w:val="0"/>
          <w:szCs w:val="28"/>
        </w:rPr>
        <w:t>Таможенная процедура переработки для внутреннего потребления в России только начинает применяться (ж/д вагоностроение (поезда Ласточки), производство оптоволоконных систем), хотя в странах – основных торговых партнерах России он имеет достаточно широкое распространение (страны ЕС).</w:t>
      </w:r>
    </w:p>
    <w:p w:rsidR="00FF4120" w:rsidRPr="00A36D53" w:rsidRDefault="00FF4120" w:rsidP="00FF4120">
      <w:pPr>
        <w:pStyle w:val="ConsPlusTitle"/>
        <w:widowControl/>
        <w:tabs>
          <w:tab w:val="left" w:pos="540"/>
        </w:tabs>
        <w:spacing w:after="200" w:line="276" w:lineRule="auto"/>
        <w:jc w:val="both"/>
        <w:rPr>
          <w:szCs w:val="28"/>
        </w:rPr>
      </w:pPr>
      <w:r w:rsidRPr="00A36D53">
        <w:rPr>
          <w:szCs w:val="28"/>
        </w:rPr>
        <w:t>Совершенствование правил происхождения товаров</w:t>
      </w:r>
    </w:p>
    <w:p w:rsidR="00FF4120" w:rsidRPr="00A36D53" w:rsidRDefault="00FF4120" w:rsidP="00FF4120">
      <w:pPr>
        <w:pStyle w:val="ConsPlusTitle"/>
        <w:widowControl/>
        <w:tabs>
          <w:tab w:val="left" w:pos="540"/>
        </w:tabs>
        <w:spacing w:after="200" w:line="276" w:lineRule="auto"/>
        <w:jc w:val="both"/>
        <w:rPr>
          <w:b w:val="0"/>
          <w:szCs w:val="28"/>
        </w:rPr>
      </w:pPr>
      <w:r w:rsidRPr="00A36D53">
        <w:rPr>
          <w:b w:val="0"/>
          <w:szCs w:val="28"/>
        </w:rPr>
        <w:t xml:space="preserve">В целях реализации Договора о Евразийском экономическом союзе от 29 мая 2014 года, планируется утвердить единые </w:t>
      </w:r>
      <w:proofErr w:type="spellStart"/>
      <w:r w:rsidRPr="00A36D53">
        <w:rPr>
          <w:b w:val="0"/>
          <w:szCs w:val="28"/>
        </w:rPr>
        <w:t>непреференциальные</w:t>
      </w:r>
      <w:proofErr w:type="spellEnd"/>
      <w:r w:rsidRPr="00A36D53">
        <w:rPr>
          <w:b w:val="0"/>
          <w:szCs w:val="28"/>
        </w:rPr>
        <w:t xml:space="preserve"> правила определения происхождения товаров (пункт 2 статьи 37 Договора о Союзе) и правила определения происхождения товаров из развивающихся и наименее развитых стран (пункт 3 статьи 37 Договора о Союзе). Разработка соответствующих правил направлена на повышение эффективности </w:t>
      </w:r>
      <w:proofErr w:type="gramStart"/>
      <w:r w:rsidRPr="00A36D53">
        <w:rPr>
          <w:b w:val="0"/>
          <w:szCs w:val="28"/>
        </w:rPr>
        <w:t>контроля за</w:t>
      </w:r>
      <w:proofErr w:type="gramEnd"/>
      <w:r w:rsidRPr="00A36D53">
        <w:rPr>
          <w:b w:val="0"/>
          <w:szCs w:val="28"/>
        </w:rPr>
        <w:t xml:space="preserve"> страной происхождения товаров и создание действенного механизма его реализации. </w:t>
      </w:r>
    </w:p>
    <w:p w:rsidR="00FF4120" w:rsidRPr="00A36D53" w:rsidRDefault="003B1481" w:rsidP="00FF4120">
      <w:pPr>
        <w:pStyle w:val="ConsPlusTitle"/>
        <w:widowControl/>
        <w:tabs>
          <w:tab w:val="left" w:pos="540"/>
        </w:tabs>
        <w:spacing w:after="200" w:line="276" w:lineRule="auto"/>
        <w:jc w:val="both"/>
        <w:rPr>
          <w:b w:val="0"/>
          <w:szCs w:val="28"/>
        </w:rPr>
      </w:pPr>
      <w:r w:rsidRPr="003B1481">
        <w:rPr>
          <w:b w:val="0"/>
          <w:szCs w:val="28"/>
        </w:rPr>
        <w:t>Кроме того, планируется формирование гармонизированной системы подтверждения происхождения товаров, вывозимых с таможенной территории Евразийского экономического союза. Данная работа потребует принятия соответствующего Соглашения. Предполагается, что Соглашение будет устанавливать, в том числе компетенцию Совета Евразийской экономической комиссии по утверждению правил определения происхождения товаров, вывозимых с таможенной территории Евразийского экономического союза, для целей применения мер нетарифного регулирования, обусловленных происхождением товаров, и обложения вывозными таможенными пошлинами.</w:t>
      </w:r>
    </w:p>
    <w:p w:rsidR="00FF4120" w:rsidRPr="00A36D53" w:rsidRDefault="00FF4120" w:rsidP="00FF4120">
      <w:pPr>
        <w:pStyle w:val="ConsPlusTitle"/>
        <w:widowControl/>
        <w:tabs>
          <w:tab w:val="left" w:pos="540"/>
        </w:tabs>
        <w:spacing w:after="200" w:line="276" w:lineRule="auto"/>
        <w:jc w:val="both"/>
        <w:rPr>
          <w:b w:val="0"/>
          <w:szCs w:val="28"/>
        </w:rPr>
      </w:pPr>
      <w:r w:rsidRPr="00A36D53">
        <w:rPr>
          <w:b w:val="0"/>
          <w:szCs w:val="28"/>
        </w:rPr>
        <w:t>Одновременно будет продолжена работа по актуализации отдельных положений Соглашения о Правилах определения страны происхождения товаров в Содружестве Независимых Государств от 20 ноября 2009 года.</w:t>
      </w:r>
    </w:p>
    <w:p w:rsidR="00FF4120" w:rsidRPr="00A36D53" w:rsidRDefault="00FF4120" w:rsidP="00FF4120">
      <w:pPr>
        <w:pStyle w:val="ConsPlusTitle"/>
        <w:widowControl/>
        <w:tabs>
          <w:tab w:val="left" w:pos="540"/>
        </w:tabs>
        <w:spacing w:after="200" w:line="276" w:lineRule="auto"/>
        <w:jc w:val="both"/>
        <w:rPr>
          <w:b w:val="0"/>
          <w:szCs w:val="28"/>
        </w:rPr>
      </w:pPr>
      <w:proofErr w:type="gramStart"/>
      <w:r w:rsidRPr="00A36D53">
        <w:rPr>
          <w:b w:val="0"/>
          <w:szCs w:val="28"/>
        </w:rPr>
        <w:t>В ходе заседания Совета глав Правительств СНГ в Душанбе 30 октября 2015 года подписан Протокол о внесении изменений в Соглашение, предусматривающий изменения в части утверждения единой формы декларации о происхождении товара, установления порядка и сроков взаимодействия верифицирующих органов страны вывоза, уполномоченных подтверждать документы о происхождении товаров, и таможенных органов страны ввоза.</w:t>
      </w:r>
      <w:proofErr w:type="gramEnd"/>
    </w:p>
    <w:p w:rsidR="00FF4120" w:rsidRPr="00A36D53" w:rsidRDefault="00FF4120" w:rsidP="00FF4120">
      <w:pPr>
        <w:pStyle w:val="ConsPlusTitle"/>
        <w:widowControl/>
        <w:tabs>
          <w:tab w:val="left" w:pos="540"/>
        </w:tabs>
        <w:spacing w:after="200" w:line="276" w:lineRule="auto"/>
        <w:jc w:val="both"/>
        <w:rPr>
          <w:b w:val="0"/>
          <w:szCs w:val="28"/>
        </w:rPr>
      </w:pPr>
      <w:r w:rsidRPr="00A36D53">
        <w:rPr>
          <w:b w:val="0"/>
          <w:szCs w:val="28"/>
        </w:rPr>
        <w:t xml:space="preserve">В целях реализации положений протокола принято постановление Правительства Российской Федерации от 31 августа 2016 г. № 863, закрепляющее полномочия </w:t>
      </w:r>
      <w:proofErr w:type="spellStart"/>
      <w:r w:rsidRPr="00A36D53">
        <w:rPr>
          <w:b w:val="0"/>
          <w:szCs w:val="28"/>
        </w:rPr>
        <w:t>Минпромторга</w:t>
      </w:r>
      <w:proofErr w:type="spellEnd"/>
      <w:r w:rsidRPr="00A36D53">
        <w:rPr>
          <w:b w:val="0"/>
          <w:szCs w:val="28"/>
        </w:rPr>
        <w:t xml:space="preserve"> России на основании запросов таможенных органов государств – участников Соглашения осуществлять </w:t>
      </w:r>
      <w:proofErr w:type="gramStart"/>
      <w:r w:rsidRPr="00A36D53">
        <w:rPr>
          <w:b w:val="0"/>
          <w:szCs w:val="28"/>
        </w:rPr>
        <w:t>контроль за</w:t>
      </w:r>
      <w:proofErr w:type="gramEnd"/>
      <w:r w:rsidRPr="00A36D53">
        <w:rPr>
          <w:b w:val="0"/>
          <w:szCs w:val="28"/>
        </w:rPr>
        <w:t xml:space="preserve"> обоснованностью выдачи ТПП России документов о происхождении товаров и достоверностью содержащихся в них сведений.</w:t>
      </w:r>
    </w:p>
    <w:p w:rsidR="00FF4120" w:rsidRPr="00A36D53" w:rsidRDefault="00FF4120" w:rsidP="00FF4120">
      <w:pPr>
        <w:pStyle w:val="ConsPlusTitle"/>
        <w:widowControl/>
        <w:tabs>
          <w:tab w:val="left" w:pos="540"/>
        </w:tabs>
        <w:spacing w:after="200" w:line="276" w:lineRule="auto"/>
        <w:jc w:val="both"/>
        <w:rPr>
          <w:b w:val="0"/>
          <w:szCs w:val="28"/>
        </w:rPr>
      </w:pPr>
      <w:r w:rsidRPr="00A36D53">
        <w:rPr>
          <w:b w:val="0"/>
          <w:szCs w:val="28"/>
        </w:rPr>
        <w:t>Работа по согласованию новых изменений в Соглашение будет продолжена исходя из необходимости установления оснований, по которым таможенный орган страны ввоза не предоставляет режим свободной торговли как при выпуске, так и после выпуска товаров, а также закрепления условия, при которых осуществляется восстановление режима свободной торговли.</w:t>
      </w:r>
    </w:p>
    <w:p w:rsidR="005D0607" w:rsidRPr="00204AC9" w:rsidRDefault="005D0607">
      <w:pPr>
        <w:spacing w:after="0" w:line="240" w:lineRule="auto"/>
        <w:rPr>
          <w:rFonts w:ascii="Times New Roman" w:hAnsi="Times New Roman"/>
          <w:b/>
          <w:sz w:val="24"/>
          <w:szCs w:val="24"/>
          <w:highlight w:val="green"/>
        </w:rPr>
      </w:pPr>
      <w:r>
        <w:rPr>
          <w:rFonts w:ascii="Times New Roman" w:hAnsi="Times New Roman"/>
          <w:sz w:val="24"/>
          <w:szCs w:val="24"/>
        </w:rPr>
        <w:br w:type="page"/>
      </w:r>
    </w:p>
    <w:p w:rsidR="004E2069" w:rsidRPr="002425FB" w:rsidRDefault="004E2069" w:rsidP="00E60144">
      <w:pPr>
        <w:pStyle w:val="10"/>
        <w:numPr>
          <w:ilvl w:val="0"/>
          <w:numId w:val="3"/>
        </w:numPr>
        <w:spacing w:after="240"/>
        <w:ind w:right="-284"/>
        <w:rPr>
          <w:szCs w:val="32"/>
        </w:rPr>
      </w:pPr>
      <w:bookmarkStart w:id="26" w:name="_Toc494788040"/>
      <w:r w:rsidRPr="002425FB">
        <w:rPr>
          <w:szCs w:val="32"/>
        </w:rPr>
        <w:t>ОСНОВНЫЕ ПАРАМЕТРЫ БЮДЖЕТНОЙ СИСТЕМЫ</w:t>
      </w:r>
      <w:bookmarkEnd w:id="26"/>
    </w:p>
    <w:p w:rsidR="004E2069" w:rsidRPr="00E070B6" w:rsidRDefault="004E2069" w:rsidP="00E60144">
      <w:pPr>
        <w:pStyle w:val="20"/>
        <w:numPr>
          <w:ilvl w:val="1"/>
          <w:numId w:val="3"/>
        </w:numPr>
        <w:spacing w:before="240" w:after="240"/>
        <w:rPr>
          <w:rFonts w:ascii="Times New Roman" w:hAnsi="Times New Roman"/>
          <w:sz w:val="28"/>
          <w:szCs w:val="28"/>
        </w:rPr>
      </w:pPr>
      <w:bookmarkStart w:id="27" w:name="_Toc494788041"/>
      <w:r w:rsidRPr="00E070B6">
        <w:rPr>
          <w:rFonts w:ascii="Times New Roman" w:hAnsi="Times New Roman"/>
          <w:sz w:val="28"/>
          <w:szCs w:val="28"/>
        </w:rPr>
        <w:t>ФЕДЕРАЛЬНЫЙ БЮДЖЕТ</w:t>
      </w:r>
      <w:bookmarkEnd w:id="27"/>
    </w:p>
    <w:p w:rsidR="00E070B6" w:rsidRPr="00295D89" w:rsidRDefault="00E070B6" w:rsidP="00AA1BFA">
      <w:pPr>
        <w:spacing w:before="120" w:after="120"/>
        <w:jc w:val="both"/>
        <w:rPr>
          <w:rFonts w:ascii="Times New Roman" w:hAnsi="Times New Roman"/>
          <w:sz w:val="24"/>
          <w:szCs w:val="24"/>
        </w:rPr>
      </w:pPr>
      <w:proofErr w:type="gramStart"/>
      <w:r w:rsidRPr="00295D89">
        <w:rPr>
          <w:rFonts w:ascii="Times New Roman" w:hAnsi="Times New Roman"/>
          <w:sz w:val="24"/>
          <w:szCs w:val="24"/>
        </w:rPr>
        <w:t xml:space="preserve">Основные характеристики федерального бюджета на 2018-2020 гг. сформированы с учетом применения основных </w:t>
      </w:r>
      <w:r w:rsidRPr="00295D89">
        <w:rPr>
          <w:rFonts w:ascii="Times New Roman" w:hAnsi="Times New Roman"/>
          <w:b/>
          <w:sz w:val="24"/>
          <w:szCs w:val="24"/>
        </w:rPr>
        <w:t>положений</w:t>
      </w:r>
      <w:r w:rsidRPr="00295D89">
        <w:rPr>
          <w:rFonts w:ascii="Times New Roman" w:hAnsi="Times New Roman"/>
          <w:sz w:val="24"/>
          <w:szCs w:val="24"/>
        </w:rPr>
        <w:t xml:space="preserve"> </w:t>
      </w:r>
      <w:r w:rsidRPr="00295D89">
        <w:rPr>
          <w:rFonts w:ascii="Times New Roman" w:hAnsi="Times New Roman"/>
          <w:b/>
          <w:sz w:val="24"/>
          <w:szCs w:val="24"/>
        </w:rPr>
        <w:t xml:space="preserve">бюджетных правил </w:t>
      </w:r>
      <w:r w:rsidRPr="00295D89">
        <w:rPr>
          <w:rFonts w:ascii="Times New Roman" w:hAnsi="Times New Roman"/>
          <w:sz w:val="24"/>
          <w:szCs w:val="24"/>
        </w:rPr>
        <w:t xml:space="preserve">и предполагают выход на </w:t>
      </w:r>
      <w:r w:rsidR="00A27540">
        <w:rPr>
          <w:rFonts w:ascii="Times New Roman" w:hAnsi="Times New Roman"/>
          <w:sz w:val="24"/>
          <w:szCs w:val="24"/>
        </w:rPr>
        <w:t xml:space="preserve">первичный </w:t>
      </w:r>
      <w:r w:rsidR="00053516">
        <w:rPr>
          <w:rFonts w:ascii="Times New Roman" w:hAnsi="Times New Roman"/>
          <w:sz w:val="24"/>
          <w:szCs w:val="24"/>
        </w:rPr>
        <w:t>структурн</w:t>
      </w:r>
      <w:r w:rsidR="00A27540">
        <w:rPr>
          <w:rFonts w:ascii="Times New Roman" w:hAnsi="Times New Roman"/>
          <w:sz w:val="24"/>
          <w:szCs w:val="24"/>
        </w:rPr>
        <w:t>ый</w:t>
      </w:r>
      <w:r w:rsidR="00053516">
        <w:rPr>
          <w:rFonts w:ascii="Times New Roman" w:hAnsi="Times New Roman"/>
          <w:sz w:val="24"/>
          <w:szCs w:val="24"/>
        </w:rPr>
        <w:t xml:space="preserve"> (т.е. в условиях постоянных в реальном выражении</w:t>
      </w:r>
      <w:r w:rsidR="00A27540">
        <w:rPr>
          <w:rFonts w:ascii="Times New Roman" w:hAnsi="Times New Roman"/>
          <w:sz w:val="24"/>
          <w:szCs w:val="24"/>
        </w:rPr>
        <w:t xml:space="preserve"> </w:t>
      </w:r>
      <w:r w:rsidR="00053516">
        <w:rPr>
          <w:rFonts w:ascii="Times New Roman" w:hAnsi="Times New Roman"/>
          <w:sz w:val="24"/>
          <w:szCs w:val="24"/>
        </w:rPr>
        <w:t xml:space="preserve">цен на нефть на уровне 40 долларов США за баррель марки Юралс) </w:t>
      </w:r>
      <w:r w:rsidR="00A27540">
        <w:rPr>
          <w:rFonts w:ascii="Times New Roman" w:hAnsi="Times New Roman"/>
          <w:sz w:val="24"/>
          <w:szCs w:val="24"/>
        </w:rPr>
        <w:t xml:space="preserve">баланс </w:t>
      </w:r>
      <w:r w:rsidRPr="00295D89">
        <w:rPr>
          <w:rFonts w:ascii="Times New Roman" w:hAnsi="Times New Roman"/>
          <w:sz w:val="24"/>
          <w:szCs w:val="24"/>
        </w:rPr>
        <w:t>в 2019 году.</w:t>
      </w:r>
      <w:proofErr w:type="gramEnd"/>
    </w:p>
    <w:p w:rsidR="00053516" w:rsidRDefault="00053516" w:rsidP="00AA1BFA">
      <w:pPr>
        <w:spacing w:before="120" w:after="120"/>
        <w:jc w:val="both"/>
        <w:rPr>
          <w:rFonts w:ascii="Times New Roman" w:hAnsi="Times New Roman"/>
          <w:sz w:val="24"/>
          <w:szCs w:val="24"/>
        </w:rPr>
      </w:pPr>
      <w:r w:rsidRPr="00295D89">
        <w:rPr>
          <w:rFonts w:ascii="Times New Roman" w:hAnsi="Times New Roman"/>
          <w:sz w:val="24"/>
          <w:szCs w:val="24"/>
        </w:rPr>
        <w:t xml:space="preserve">Такая траектория общего дефицита федерального бюджета будет обеспечивать постепенное сокращение ненефтегазового дефицита федерального бюджета до уровня </w:t>
      </w:r>
      <w:r w:rsidR="00344B3C">
        <w:rPr>
          <w:rFonts w:ascii="Times New Roman" w:hAnsi="Times New Roman"/>
          <w:sz w:val="24"/>
          <w:szCs w:val="24"/>
        </w:rPr>
        <w:t>5,7</w:t>
      </w:r>
      <w:r w:rsidRPr="00295D89">
        <w:rPr>
          <w:rFonts w:ascii="Times New Roman" w:hAnsi="Times New Roman"/>
          <w:sz w:val="24"/>
          <w:szCs w:val="24"/>
        </w:rPr>
        <w:t>% ВВП</w:t>
      </w:r>
      <w:r w:rsidR="003727A8">
        <w:rPr>
          <w:rFonts w:ascii="Times New Roman" w:hAnsi="Times New Roman"/>
          <w:sz w:val="24"/>
          <w:szCs w:val="24"/>
        </w:rPr>
        <w:t xml:space="preserve"> в 2020 году</w:t>
      </w:r>
      <w:r w:rsidRPr="00295D89">
        <w:rPr>
          <w:rFonts w:ascii="Times New Roman" w:hAnsi="Times New Roman"/>
          <w:sz w:val="24"/>
          <w:szCs w:val="24"/>
        </w:rPr>
        <w:t>.</w:t>
      </w:r>
    </w:p>
    <w:p w:rsidR="00A71D96" w:rsidRPr="00295D89" w:rsidRDefault="00A71D96" w:rsidP="00A71D96">
      <w:pPr>
        <w:spacing w:before="120" w:after="120"/>
        <w:jc w:val="both"/>
        <w:rPr>
          <w:rFonts w:ascii="Times New Roman" w:hAnsi="Times New Roman"/>
          <w:sz w:val="24"/>
          <w:szCs w:val="24"/>
        </w:rPr>
      </w:pPr>
      <w:r w:rsidRPr="00295D89">
        <w:rPr>
          <w:rFonts w:ascii="Times New Roman" w:hAnsi="Times New Roman"/>
          <w:b/>
          <w:sz w:val="24"/>
          <w:szCs w:val="24"/>
        </w:rPr>
        <w:t xml:space="preserve">Таблица </w:t>
      </w:r>
      <w:r w:rsidRPr="002B72A8">
        <w:rPr>
          <w:rFonts w:ascii="Times New Roman" w:hAnsi="Times New Roman"/>
          <w:b/>
          <w:sz w:val="24"/>
          <w:szCs w:val="24"/>
        </w:rPr>
        <w:t>4</w:t>
      </w:r>
      <w:r w:rsidRPr="00295D89">
        <w:rPr>
          <w:rFonts w:ascii="Times New Roman" w:hAnsi="Times New Roman"/>
          <w:b/>
          <w:sz w:val="24"/>
          <w:szCs w:val="24"/>
        </w:rPr>
        <w:t>.1.1.</w:t>
      </w:r>
      <w:r w:rsidRPr="00295D89">
        <w:rPr>
          <w:rFonts w:ascii="Times New Roman" w:hAnsi="Times New Roman"/>
          <w:sz w:val="24"/>
          <w:szCs w:val="24"/>
        </w:rPr>
        <w:t xml:space="preserve"> Основные характеристики федерального бюджета в 2017-2020 гг.</w:t>
      </w:r>
    </w:p>
    <w:p w:rsidR="00A71D96" w:rsidRPr="00295D89" w:rsidRDefault="00A71D96" w:rsidP="00A71D96">
      <w:pPr>
        <w:spacing w:after="120"/>
        <w:jc w:val="right"/>
        <w:rPr>
          <w:rFonts w:ascii="Times New Roman" w:hAnsi="Times New Roman"/>
          <w:i/>
          <w:sz w:val="24"/>
          <w:szCs w:val="24"/>
        </w:rPr>
      </w:pPr>
      <w:proofErr w:type="gramStart"/>
      <w:r>
        <w:rPr>
          <w:rFonts w:ascii="Times New Roman" w:hAnsi="Times New Roman"/>
          <w:i/>
          <w:sz w:val="24"/>
          <w:szCs w:val="24"/>
        </w:rPr>
        <w:t>млрд</w:t>
      </w:r>
      <w:proofErr w:type="gramEnd"/>
      <w:r w:rsidRPr="00295D89">
        <w:rPr>
          <w:rFonts w:ascii="Times New Roman" w:hAnsi="Times New Roman"/>
          <w:i/>
          <w:sz w:val="24"/>
          <w:szCs w:val="24"/>
        </w:rPr>
        <w:t xml:space="preserve"> рублей</w:t>
      </w:r>
    </w:p>
    <w:tbl>
      <w:tblPr>
        <w:tblW w:w="9097" w:type="dxa"/>
        <w:tblLayout w:type="fixed"/>
        <w:tblLook w:val="00A0" w:firstRow="1" w:lastRow="0" w:firstColumn="1" w:lastColumn="0" w:noHBand="0" w:noVBand="0"/>
      </w:tblPr>
      <w:tblGrid>
        <w:gridCol w:w="5017"/>
        <w:gridCol w:w="1020"/>
        <w:gridCol w:w="1020"/>
        <w:gridCol w:w="1020"/>
        <w:gridCol w:w="1020"/>
      </w:tblGrid>
      <w:tr w:rsidR="00A71D96" w:rsidRPr="00E7667D" w:rsidTr="00F2417A">
        <w:trPr>
          <w:trHeight w:val="340"/>
        </w:trPr>
        <w:tc>
          <w:tcPr>
            <w:tcW w:w="5017" w:type="dxa"/>
            <w:tcBorders>
              <w:top w:val="single" w:sz="4" w:space="0" w:color="auto"/>
              <w:bottom w:val="single" w:sz="4" w:space="0" w:color="auto"/>
            </w:tcBorders>
          </w:tcPr>
          <w:p w:rsidR="00A71D96" w:rsidRPr="00E7667D" w:rsidRDefault="00A71D96" w:rsidP="00F2417A">
            <w:pPr>
              <w:spacing w:after="0" w:line="240" w:lineRule="auto"/>
              <w:rPr>
                <w:rFonts w:ascii="Century" w:hAnsi="Century"/>
                <w:b/>
                <w:bCs/>
                <w:szCs w:val="24"/>
              </w:rPr>
            </w:pPr>
            <w:r w:rsidRPr="00E7667D">
              <w:rPr>
                <w:rFonts w:ascii="Century" w:hAnsi="Century"/>
                <w:b/>
                <w:bCs/>
                <w:szCs w:val="24"/>
              </w:rPr>
              <w:t>Показатель</w:t>
            </w:r>
          </w:p>
        </w:tc>
        <w:tc>
          <w:tcPr>
            <w:tcW w:w="1020" w:type="dxa"/>
            <w:tcBorders>
              <w:top w:val="single" w:sz="4" w:space="0" w:color="auto"/>
              <w:bottom w:val="single" w:sz="4" w:space="0" w:color="auto"/>
            </w:tcBorders>
          </w:tcPr>
          <w:p w:rsidR="00A71D96" w:rsidRPr="00E7667D" w:rsidRDefault="00A71D96" w:rsidP="00F2417A">
            <w:pPr>
              <w:spacing w:after="0" w:line="240" w:lineRule="auto"/>
              <w:jc w:val="right"/>
              <w:rPr>
                <w:rFonts w:ascii="Century" w:hAnsi="Century"/>
                <w:b/>
                <w:bCs/>
                <w:szCs w:val="24"/>
              </w:rPr>
            </w:pPr>
            <w:r w:rsidRPr="00E7667D">
              <w:rPr>
                <w:rFonts w:ascii="Century" w:hAnsi="Century"/>
                <w:b/>
                <w:bCs/>
                <w:szCs w:val="24"/>
              </w:rPr>
              <w:t>2017</w:t>
            </w:r>
          </w:p>
        </w:tc>
        <w:tc>
          <w:tcPr>
            <w:tcW w:w="1020" w:type="dxa"/>
            <w:tcBorders>
              <w:top w:val="single" w:sz="4" w:space="0" w:color="auto"/>
              <w:bottom w:val="single" w:sz="4" w:space="0" w:color="auto"/>
            </w:tcBorders>
          </w:tcPr>
          <w:p w:rsidR="00A71D96" w:rsidRPr="00E7667D" w:rsidRDefault="00A71D96" w:rsidP="00F2417A">
            <w:pPr>
              <w:spacing w:after="0" w:line="240" w:lineRule="auto"/>
              <w:jc w:val="right"/>
              <w:rPr>
                <w:rFonts w:ascii="Century" w:hAnsi="Century"/>
                <w:b/>
                <w:bCs/>
                <w:szCs w:val="24"/>
              </w:rPr>
            </w:pPr>
            <w:r w:rsidRPr="00E7667D">
              <w:rPr>
                <w:rFonts w:ascii="Century" w:hAnsi="Century"/>
                <w:b/>
                <w:bCs/>
                <w:szCs w:val="24"/>
              </w:rPr>
              <w:t>2018</w:t>
            </w:r>
          </w:p>
        </w:tc>
        <w:tc>
          <w:tcPr>
            <w:tcW w:w="1020" w:type="dxa"/>
            <w:tcBorders>
              <w:top w:val="single" w:sz="4" w:space="0" w:color="auto"/>
              <w:bottom w:val="single" w:sz="4" w:space="0" w:color="auto"/>
            </w:tcBorders>
          </w:tcPr>
          <w:p w:rsidR="00A71D96" w:rsidRPr="00E7667D" w:rsidRDefault="00A71D96" w:rsidP="00F2417A">
            <w:pPr>
              <w:spacing w:after="0" w:line="240" w:lineRule="auto"/>
              <w:jc w:val="right"/>
              <w:rPr>
                <w:rFonts w:ascii="Century" w:hAnsi="Century"/>
                <w:b/>
                <w:bCs/>
                <w:szCs w:val="24"/>
              </w:rPr>
            </w:pPr>
            <w:r w:rsidRPr="00E7667D">
              <w:rPr>
                <w:rFonts w:ascii="Century" w:hAnsi="Century"/>
                <w:b/>
                <w:bCs/>
                <w:szCs w:val="24"/>
              </w:rPr>
              <w:t>2019</w:t>
            </w:r>
          </w:p>
        </w:tc>
        <w:tc>
          <w:tcPr>
            <w:tcW w:w="1020" w:type="dxa"/>
            <w:tcBorders>
              <w:top w:val="single" w:sz="4" w:space="0" w:color="auto"/>
              <w:bottom w:val="single" w:sz="4" w:space="0" w:color="auto"/>
            </w:tcBorders>
          </w:tcPr>
          <w:p w:rsidR="00A71D96" w:rsidRPr="00E7667D" w:rsidRDefault="00A71D96" w:rsidP="00F2417A">
            <w:pPr>
              <w:spacing w:after="0" w:line="240" w:lineRule="auto"/>
              <w:jc w:val="right"/>
              <w:rPr>
                <w:rFonts w:ascii="Century" w:hAnsi="Century"/>
                <w:b/>
                <w:bCs/>
                <w:szCs w:val="24"/>
              </w:rPr>
            </w:pPr>
            <w:r w:rsidRPr="00E7667D">
              <w:rPr>
                <w:rFonts w:ascii="Century" w:hAnsi="Century"/>
                <w:b/>
                <w:bCs/>
                <w:szCs w:val="24"/>
              </w:rPr>
              <w:t>2020</w:t>
            </w:r>
          </w:p>
        </w:tc>
      </w:tr>
      <w:tr w:rsidR="00A71D96" w:rsidRPr="00E7667D" w:rsidTr="003C4A4E">
        <w:trPr>
          <w:trHeight w:val="340"/>
        </w:trPr>
        <w:tc>
          <w:tcPr>
            <w:tcW w:w="5017" w:type="dxa"/>
            <w:tcBorders>
              <w:top w:val="single" w:sz="4" w:space="0" w:color="auto"/>
            </w:tcBorders>
            <w:shd w:val="clear" w:color="auto" w:fill="F2F2F2"/>
            <w:vAlign w:val="center"/>
          </w:tcPr>
          <w:p w:rsidR="00A71D96" w:rsidRPr="00E7667D" w:rsidRDefault="00A71D96" w:rsidP="00F2417A">
            <w:pPr>
              <w:spacing w:after="0" w:line="240" w:lineRule="auto"/>
              <w:rPr>
                <w:rFonts w:ascii="Century" w:hAnsi="Century"/>
                <w:b/>
                <w:bCs/>
                <w:color w:val="000000"/>
                <w:sz w:val="20"/>
                <w:szCs w:val="20"/>
                <w:lang w:eastAsia="ru-RU"/>
              </w:rPr>
            </w:pPr>
            <w:r w:rsidRPr="00E7667D">
              <w:rPr>
                <w:rFonts w:ascii="Century" w:hAnsi="Century"/>
                <w:b/>
                <w:bCs/>
                <w:color w:val="000000"/>
                <w:sz w:val="20"/>
                <w:szCs w:val="20"/>
                <w:lang w:eastAsia="ru-RU"/>
              </w:rPr>
              <w:t>ДОХОДЫ</w:t>
            </w:r>
          </w:p>
        </w:tc>
        <w:tc>
          <w:tcPr>
            <w:tcW w:w="1020" w:type="dxa"/>
            <w:tcBorders>
              <w:top w:val="single" w:sz="4" w:space="0" w:color="auto"/>
            </w:tcBorders>
            <w:shd w:val="clear" w:color="auto" w:fill="F2F2F2"/>
            <w:vAlign w:val="center"/>
          </w:tcPr>
          <w:p w:rsidR="00A71D96" w:rsidRPr="00833A2C" w:rsidRDefault="009A561A" w:rsidP="00F2417A">
            <w:pPr>
              <w:spacing w:after="0" w:line="240" w:lineRule="auto"/>
              <w:jc w:val="right"/>
              <w:rPr>
                <w:rFonts w:ascii="Century" w:hAnsi="Century"/>
                <w:bCs/>
                <w:sz w:val="20"/>
                <w:szCs w:val="20"/>
              </w:rPr>
            </w:pPr>
            <w:r>
              <w:rPr>
                <w:rFonts w:ascii="Century" w:hAnsi="Century"/>
                <w:b/>
                <w:bCs/>
                <w:sz w:val="20"/>
                <w:szCs w:val="20"/>
              </w:rPr>
              <w:t>14 720</w:t>
            </w:r>
          </w:p>
        </w:tc>
        <w:tc>
          <w:tcPr>
            <w:tcW w:w="1020" w:type="dxa"/>
            <w:tcBorders>
              <w:top w:val="single" w:sz="4" w:space="0" w:color="auto"/>
            </w:tcBorders>
            <w:shd w:val="clear" w:color="auto" w:fill="F2F2F2"/>
            <w:vAlign w:val="center"/>
          </w:tcPr>
          <w:p w:rsidR="00A71D96" w:rsidRPr="00833A2C" w:rsidRDefault="00A71D96" w:rsidP="00F2417A">
            <w:pPr>
              <w:spacing w:after="0" w:line="240" w:lineRule="auto"/>
              <w:jc w:val="right"/>
              <w:rPr>
                <w:rFonts w:ascii="Century" w:hAnsi="Century"/>
                <w:b/>
                <w:bCs/>
                <w:sz w:val="20"/>
                <w:szCs w:val="20"/>
              </w:rPr>
            </w:pPr>
            <w:r w:rsidRPr="00833A2C">
              <w:rPr>
                <w:rFonts w:ascii="Century" w:hAnsi="Century"/>
                <w:b/>
                <w:bCs/>
                <w:sz w:val="20"/>
                <w:szCs w:val="20"/>
              </w:rPr>
              <w:t>15 258</w:t>
            </w:r>
          </w:p>
        </w:tc>
        <w:tc>
          <w:tcPr>
            <w:tcW w:w="1020" w:type="dxa"/>
            <w:tcBorders>
              <w:top w:val="single" w:sz="4" w:space="0" w:color="auto"/>
            </w:tcBorders>
            <w:shd w:val="clear" w:color="auto" w:fill="F2F2F2"/>
            <w:vAlign w:val="center"/>
          </w:tcPr>
          <w:p w:rsidR="00A71D96" w:rsidRPr="00833A2C" w:rsidRDefault="00A71D96" w:rsidP="00F2417A">
            <w:pPr>
              <w:spacing w:after="0" w:line="240" w:lineRule="auto"/>
              <w:jc w:val="right"/>
              <w:rPr>
                <w:rFonts w:ascii="Century" w:hAnsi="Century"/>
                <w:b/>
                <w:bCs/>
                <w:sz w:val="20"/>
                <w:szCs w:val="20"/>
              </w:rPr>
            </w:pPr>
            <w:r w:rsidRPr="00833A2C">
              <w:rPr>
                <w:rFonts w:ascii="Century" w:hAnsi="Century"/>
                <w:b/>
                <w:bCs/>
                <w:sz w:val="20"/>
                <w:szCs w:val="20"/>
              </w:rPr>
              <w:t>15 555</w:t>
            </w:r>
          </w:p>
        </w:tc>
        <w:tc>
          <w:tcPr>
            <w:tcW w:w="1020" w:type="dxa"/>
            <w:tcBorders>
              <w:top w:val="single" w:sz="4" w:space="0" w:color="auto"/>
            </w:tcBorders>
            <w:shd w:val="clear" w:color="auto" w:fill="F2F2F2"/>
            <w:vAlign w:val="center"/>
          </w:tcPr>
          <w:p w:rsidR="00A71D96" w:rsidRPr="00833A2C" w:rsidRDefault="00A71D96" w:rsidP="00F2417A">
            <w:pPr>
              <w:spacing w:after="0" w:line="240" w:lineRule="auto"/>
              <w:jc w:val="right"/>
              <w:rPr>
                <w:rFonts w:ascii="Century" w:hAnsi="Century"/>
                <w:b/>
                <w:bCs/>
                <w:sz w:val="20"/>
                <w:szCs w:val="20"/>
              </w:rPr>
            </w:pPr>
            <w:r w:rsidRPr="00833A2C">
              <w:rPr>
                <w:rFonts w:ascii="Century" w:hAnsi="Century"/>
                <w:b/>
                <w:bCs/>
                <w:sz w:val="20"/>
                <w:szCs w:val="20"/>
              </w:rPr>
              <w:t>16 285</w:t>
            </w:r>
          </w:p>
        </w:tc>
      </w:tr>
      <w:tr w:rsidR="00A71D96" w:rsidRPr="00E7667D" w:rsidTr="003C4A4E">
        <w:trPr>
          <w:trHeight w:val="340"/>
        </w:trPr>
        <w:tc>
          <w:tcPr>
            <w:tcW w:w="5017" w:type="dxa"/>
            <w:vAlign w:val="center"/>
          </w:tcPr>
          <w:p w:rsidR="00A71D96" w:rsidRPr="00E7667D" w:rsidRDefault="00A71D96" w:rsidP="00F2417A">
            <w:pPr>
              <w:spacing w:after="0" w:line="240" w:lineRule="auto"/>
              <w:rPr>
                <w:rFonts w:ascii="Century" w:hAnsi="Century"/>
                <w:b/>
                <w:bCs/>
                <w:i/>
                <w:iCs/>
                <w:color w:val="000000"/>
                <w:sz w:val="20"/>
                <w:szCs w:val="20"/>
                <w:lang w:eastAsia="ru-RU"/>
              </w:rPr>
            </w:pPr>
            <w:r w:rsidRPr="00E7667D">
              <w:rPr>
                <w:rFonts w:ascii="Century" w:hAnsi="Century"/>
                <w:bCs/>
                <w:i/>
                <w:iCs/>
                <w:color w:val="000000"/>
                <w:sz w:val="20"/>
                <w:szCs w:val="20"/>
                <w:lang w:eastAsia="ru-RU"/>
              </w:rPr>
              <w:t>%% ВВП</w:t>
            </w:r>
          </w:p>
        </w:tc>
        <w:tc>
          <w:tcPr>
            <w:tcW w:w="1020" w:type="dxa"/>
            <w:vAlign w:val="center"/>
          </w:tcPr>
          <w:p w:rsidR="00A71D96" w:rsidRPr="00833A2C" w:rsidRDefault="00A71D96" w:rsidP="00F2417A">
            <w:pPr>
              <w:spacing w:after="0" w:line="240" w:lineRule="auto"/>
              <w:jc w:val="right"/>
              <w:rPr>
                <w:rFonts w:ascii="Century" w:hAnsi="Century"/>
                <w:i/>
                <w:iCs/>
                <w:sz w:val="20"/>
                <w:szCs w:val="20"/>
              </w:rPr>
            </w:pPr>
            <w:r w:rsidRPr="00833A2C">
              <w:rPr>
                <w:rFonts w:ascii="Century" w:hAnsi="Century"/>
                <w:i/>
                <w:iCs/>
                <w:sz w:val="20"/>
                <w:szCs w:val="20"/>
              </w:rPr>
              <w:t>16,0</w:t>
            </w:r>
          </w:p>
        </w:tc>
        <w:tc>
          <w:tcPr>
            <w:tcW w:w="1020" w:type="dxa"/>
            <w:vAlign w:val="center"/>
          </w:tcPr>
          <w:p w:rsidR="00A71D96" w:rsidRPr="00833A2C" w:rsidRDefault="00A71D96" w:rsidP="00F2417A">
            <w:pPr>
              <w:spacing w:after="0" w:line="240" w:lineRule="auto"/>
              <w:jc w:val="right"/>
              <w:rPr>
                <w:rFonts w:ascii="Century" w:hAnsi="Century"/>
                <w:i/>
                <w:iCs/>
                <w:sz w:val="20"/>
                <w:szCs w:val="20"/>
              </w:rPr>
            </w:pPr>
            <w:r w:rsidRPr="00833A2C">
              <w:rPr>
                <w:rFonts w:ascii="Century" w:hAnsi="Century"/>
                <w:i/>
                <w:iCs/>
                <w:sz w:val="20"/>
                <w:szCs w:val="20"/>
              </w:rPr>
              <w:t>15,7</w:t>
            </w:r>
          </w:p>
        </w:tc>
        <w:tc>
          <w:tcPr>
            <w:tcW w:w="1020" w:type="dxa"/>
            <w:vAlign w:val="center"/>
          </w:tcPr>
          <w:p w:rsidR="00A71D96" w:rsidRPr="00833A2C" w:rsidRDefault="00A71D96" w:rsidP="00F2417A">
            <w:pPr>
              <w:spacing w:after="0" w:line="240" w:lineRule="auto"/>
              <w:jc w:val="right"/>
              <w:rPr>
                <w:rFonts w:ascii="Century" w:hAnsi="Century"/>
                <w:i/>
                <w:iCs/>
                <w:sz w:val="20"/>
                <w:szCs w:val="20"/>
              </w:rPr>
            </w:pPr>
            <w:r w:rsidRPr="00833A2C">
              <w:rPr>
                <w:rFonts w:ascii="Century" w:hAnsi="Century"/>
                <w:i/>
                <w:iCs/>
                <w:sz w:val="20"/>
                <w:szCs w:val="20"/>
              </w:rPr>
              <w:t>15,1</w:t>
            </w:r>
          </w:p>
        </w:tc>
        <w:tc>
          <w:tcPr>
            <w:tcW w:w="1020" w:type="dxa"/>
            <w:vAlign w:val="center"/>
          </w:tcPr>
          <w:p w:rsidR="00A71D96" w:rsidRPr="00833A2C" w:rsidRDefault="00A71D96" w:rsidP="00F2417A">
            <w:pPr>
              <w:spacing w:after="0" w:line="240" w:lineRule="auto"/>
              <w:jc w:val="right"/>
              <w:rPr>
                <w:rFonts w:ascii="Century" w:hAnsi="Century"/>
                <w:i/>
                <w:iCs/>
                <w:sz w:val="20"/>
                <w:szCs w:val="20"/>
              </w:rPr>
            </w:pPr>
            <w:r w:rsidRPr="00833A2C">
              <w:rPr>
                <w:rFonts w:ascii="Century" w:hAnsi="Century"/>
                <w:i/>
                <w:iCs/>
                <w:sz w:val="20"/>
                <w:szCs w:val="20"/>
              </w:rPr>
              <w:t>14,8</w:t>
            </w:r>
          </w:p>
        </w:tc>
      </w:tr>
      <w:tr w:rsidR="00A71D96" w:rsidRPr="00E7667D" w:rsidTr="003C4A4E">
        <w:trPr>
          <w:trHeight w:val="340"/>
        </w:trPr>
        <w:tc>
          <w:tcPr>
            <w:tcW w:w="5017" w:type="dxa"/>
            <w:shd w:val="clear" w:color="auto" w:fill="F2F2F2"/>
            <w:vAlign w:val="center"/>
          </w:tcPr>
          <w:p w:rsidR="00A71D96" w:rsidRPr="00E7667D" w:rsidRDefault="00A71D96" w:rsidP="00F2417A">
            <w:pPr>
              <w:spacing w:after="0" w:line="240" w:lineRule="auto"/>
              <w:rPr>
                <w:rFonts w:ascii="Century" w:hAnsi="Century"/>
                <w:b/>
                <w:bCs/>
                <w:color w:val="000000"/>
                <w:sz w:val="20"/>
                <w:szCs w:val="20"/>
                <w:lang w:eastAsia="ru-RU"/>
              </w:rPr>
            </w:pPr>
            <w:r w:rsidRPr="00E7667D">
              <w:rPr>
                <w:rFonts w:ascii="Century" w:hAnsi="Century"/>
                <w:bCs/>
                <w:color w:val="000000"/>
                <w:sz w:val="20"/>
                <w:szCs w:val="20"/>
                <w:lang w:eastAsia="ru-RU"/>
              </w:rPr>
              <w:t xml:space="preserve">     </w:t>
            </w:r>
            <w:r w:rsidRPr="00A27540">
              <w:rPr>
                <w:rFonts w:ascii="Century" w:hAnsi="Century"/>
                <w:bCs/>
                <w:color w:val="000000"/>
                <w:sz w:val="18"/>
                <w:szCs w:val="20"/>
                <w:lang w:eastAsia="ru-RU"/>
              </w:rPr>
              <w:t>Нефтегазовые доходы</w:t>
            </w:r>
          </w:p>
        </w:tc>
        <w:tc>
          <w:tcPr>
            <w:tcW w:w="1020" w:type="dxa"/>
            <w:shd w:val="clear" w:color="auto" w:fill="F2F2F2"/>
            <w:vAlign w:val="center"/>
          </w:tcPr>
          <w:p w:rsidR="00A71D96" w:rsidRPr="00833A2C" w:rsidRDefault="00A71D96" w:rsidP="00F2417A">
            <w:pPr>
              <w:spacing w:after="0" w:line="240" w:lineRule="auto"/>
              <w:jc w:val="right"/>
              <w:rPr>
                <w:rFonts w:ascii="Century" w:hAnsi="Century"/>
                <w:sz w:val="20"/>
                <w:szCs w:val="20"/>
              </w:rPr>
            </w:pPr>
            <w:r w:rsidRPr="00833A2C">
              <w:rPr>
                <w:rFonts w:ascii="Century" w:hAnsi="Century"/>
                <w:sz w:val="20"/>
                <w:szCs w:val="20"/>
              </w:rPr>
              <w:t>5 795</w:t>
            </w:r>
          </w:p>
        </w:tc>
        <w:tc>
          <w:tcPr>
            <w:tcW w:w="1020" w:type="dxa"/>
            <w:shd w:val="clear" w:color="auto" w:fill="F2F2F2"/>
            <w:vAlign w:val="center"/>
          </w:tcPr>
          <w:p w:rsidR="00A71D96" w:rsidRPr="00833A2C" w:rsidRDefault="00A71D96" w:rsidP="00F2417A">
            <w:pPr>
              <w:spacing w:after="0" w:line="240" w:lineRule="auto"/>
              <w:jc w:val="right"/>
              <w:rPr>
                <w:rFonts w:ascii="Century" w:hAnsi="Century"/>
                <w:sz w:val="20"/>
                <w:szCs w:val="20"/>
              </w:rPr>
            </w:pPr>
            <w:r w:rsidRPr="00833A2C">
              <w:rPr>
                <w:rFonts w:ascii="Century" w:hAnsi="Century"/>
                <w:sz w:val="20"/>
                <w:szCs w:val="20"/>
              </w:rPr>
              <w:t>5 480</w:t>
            </w:r>
          </w:p>
        </w:tc>
        <w:tc>
          <w:tcPr>
            <w:tcW w:w="1020" w:type="dxa"/>
            <w:shd w:val="clear" w:color="auto" w:fill="F2F2F2"/>
            <w:vAlign w:val="center"/>
          </w:tcPr>
          <w:p w:rsidR="00A71D96" w:rsidRPr="00833A2C" w:rsidRDefault="003727A8" w:rsidP="00F2417A">
            <w:pPr>
              <w:spacing w:after="0" w:line="240" w:lineRule="auto"/>
              <w:jc w:val="right"/>
              <w:rPr>
                <w:rFonts w:ascii="Century" w:hAnsi="Century"/>
                <w:sz w:val="20"/>
                <w:szCs w:val="20"/>
              </w:rPr>
            </w:pPr>
            <w:r>
              <w:rPr>
                <w:rFonts w:ascii="Century" w:hAnsi="Century"/>
                <w:sz w:val="20"/>
                <w:szCs w:val="20"/>
              </w:rPr>
              <w:t>5 248</w:t>
            </w:r>
          </w:p>
        </w:tc>
        <w:tc>
          <w:tcPr>
            <w:tcW w:w="1020" w:type="dxa"/>
            <w:shd w:val="clear" w:color="auto" w:fill="F2F2F2"/>
            <w:vAlign w:val="center"/>
          </w:tcPr>
          <w:p w:rsidR="00A71D96" w:rsidRPr="00833A2C" w:rsidRDefault="00A71D96" w:rsidP="00F2417A">
            <w:pPr>
              <w:spacing w:after="0" w:line="240" w:lineRule="auto"/>
              <w:jc w:val="right"/>
              <w:rPr>
                <w:rFonts w:ascii="Century" w:hAnsi="Century"/>
                <w:sz w:val="20"/>
                <w:szCs w:val="20"/>
              </w:rPr>
            </w:pPr>
            <w:r w:rsidRPr="00833A2C">
              <w:rPr>
                <w:rFonts w:ascii="Century" w:hAnsi="Century"/>
                <w:sz w:val="20"/>
                <w:szCs w:val="20"/>
              </w:rPr>
              <w:t>5 440</w:t>
            </w:r>
          </w:p>
        </w:tc>
      </w:tr>
      <w:tr w:rsidR="00A71D96" w:rsidRPr="00E7667D" w:rsidTr="003C4A4E">
        <w:trPr>
          <w:trHeight w:val="340"/>
        </w:trPr>
        <w:tc>
          <w:tcPr>
            <w:tcW w:w="5017" w:type="dxa"/>
            <w:vAlign w:val="center"/>
          </w:tcPr>
          <w:p w:rsidR="00A71D96" w:rsidRPr="00E7667D" w:rsidRDefault="00A71D96" w:rsidP="00F2417A">
            <w:pPr>
              <w:spacing w:after="0" w:line="240" w:lineRule="auto"/>
              <w:rPr>
                <w:rFonts w:ascii="Century" w:hAnsi="Century"/>
                <w:b/>
                <w:bCs/>
                <w:i/>
                <w:iCs/>
                <w:color w:val="000000"/>
                <w:sz w:val="20"/>
                <w:szCs w:val="20"/>
                <w:lang w:eastAsia="ru-RU"/>
              </w:rPr>
            </w:pPr>
            <w:r w:rsidRPr="00E7667D">
              <w:rPr>
                <w:rFonts w:ascii="Century" w:hAnsi="Century"/>
                <w:bCs/>
                <w:i/>
                <w:iCs/>
                <w:color w:val="000000"/>
                <w:sz w:val="20"/>
                <w:szCs w:val="20"/>
                <w:lang w:eastAsia="ru-RU"/>
              </w:rPr>
              <w:t xml:space="preserve">     %% ВВП</w:t>
            </w:r>
          </w:p>
        </w:tc>
        <w:tc>
          <w:tcPr>
            <w:tcW w:w="1020" w:type="dxa"/>
            <w:vAlign w:val="center"/>
          </w:tcPr>
          <w:p w:rsidR="00A71D96" w:rsidRPr="00833A2C" w:rsidRDefault="00A71D96" w:rsidP="00F2417A">
            <w:pPr>
              <w:spacing w:after="0" w:line="240" w:lineRule="auto"/>
              <w:jc w:val="right"/>
              <w:rPr>
                <w:rFonts w:ascii="Century" w:hAnsi="Century"/>
                <w:i/>
                <w:iCs/>
                <w:sz w:val="20"/>
                <w:szCs w:val="20"/>
              </w:rPr>
            </w:pPr>
            <w:r w:rsidRPr="00833A2C">
              <w:rPr>
                <w:rFonts w:ascii="Century" w:hAnsi="Century"/>
                <w:i/>
                <w:iCs/>
                <w:sz w:val="20"/>
                <w:szCs w:val="20"/>
              </w:rPr>
              <w:t>6,3</w:t>
            </w:r>
          </w:p>
        </w:tc>
        <w:tc>
          <w:tcPr>
            <w:tcW w:w="1020" w:type="dxa"/>
            <w:vAlign w:val="center"/>
          </w:tcPr>
          <w:p w:rsidR="00A71D96" w:rsidRPr="00833A2C" w:rsidRDefault="00A71D96" w:rsidP="00F2417A">
            <w:pPr>
              <w:spacing w:after="0" w:line="240" w:lineRule="auto"/>
              <w:jc w:val="right"/>
              <w:rPr>
                <w:rFonts w:ascii="Century" w:hAnsi="Century"/>
                <w:i/>
                <w:iCs/>
                <w:sz w:val="20"/>
                <w:szCs w:val="20"/>
              </w:rPr>
            </w:pPr>
            <w:r w:rsidRPr="00833A2C">
              <w:rPr>
                <w:rFonts w:ascii="Century" w:hAnsi="Century"/>
                <w:i/>
                <w:iCs/>
                <w:sz w:val="20"/>
                <w:szCs w:val="20"/>
              </w:rPr>
              <w:t>5,6</w:t>
            </w:r>
          </w:p>
        </w:tc>
        <w:tc>
          <w:tcPr>
            <w:tcW w:w="1020" w:type="dxa"/>
            <w:vAlign w:val="center"/>
          </w:tcPr>
          <w:p w:rsidR="00A71D96" w:rsidRPr="00833A2C" w:rsidRDefault="00A71D96" w:rsidP="00F2417A">
            <w:pPr>
              <w:spacing w:after="0" w:line="240" w:lineRule="auto"/>
              <w:jc w:val="right"/>
              <w:rPr>
                <w:rFonts w:ascii="Century" w:hAnsi="Century"/>
                <w:i/>
                <w:iCs/>
                <w:sz w:val="20"/>
                <w:szCs w:val="20"/>
              </w:rPr>
            </w:pPr>
            <w:r w:rsidRPr="00833A2C">
              <w:rPr>
                <w:rFonts w:ascii="Century" w:hAnsi="Century"/>
                <w:i/>
                <w:iCs/>
                <w:sz w:val="20"/>
                <w:szCs w:val="20"/>
              </w:rPr>
              <w:t>5,1</w:t>
            </w:r>
          </w:p>
        </w:tc>
        <w:tc>
          <w:tcPr>
            <w:tcW w:w="1020" w:type="dxa"/>
            <w:vAlign w:val="center"/>
          </w:tcPr>
          <w:p w:rsidR="00A71D96" w:rsidRPr="00833A2C" w:rsidRDefault="00A71D96" w:rsidP="00F2417A">
            <w:pPr>
              <w:spacing w:after="0" w:line="240" w:lineRule="auto"/>
              <w:jc w:val="right"/>
              <w:rPr>
                <w:rFonts w:ascii="Century" w:hAnsi="Century"/>
                <w:i/>
                <w:iCs/>
                <w:sz w:val="20"/>
                <w:szCs w:val="20"/>
              </w:rPr>
            </w:pPr>
            <w:r w:rsidRPr="00833A2C">
              <w:rPr>
                <w:rFonts w:ascii="Century" w:hAnsi="Century"/>
                <w:i/>
                <w:iCs/>
                <w:sz w:val="20"/>
                <w:szCs w:val="20"/>
              </w:rPr>
              <w:t>4,9</w:t>
            </w:r>
          </w:p>
        </w:tc>
      </w:tr>
      <w:tr w:rsidR="00A71D96" w:rsidRPr="00E7667D" w:rsidTr="003C4A4E">
        <w:trPr>
          <w:trHeight w:val="340"/>
        </w:trPr>
        <w:tc>
          <w:tcPr>
            <w:tcW w:w="5017" w:type="dxa"/>
            <w:shd w:val="clear" w:color="auto" w:fill="F2F2F2"/>
            <w:vAlign w:val="center"/>
          </w:tcPr>
          <w:p w:rsidR="00A71D96" w:rsidRPr="00E7667D" w:rsidRDefault="00A71D96" w:rsidP="00F2417A">
            <w:pPr>
              <w:spacing w:after="0" w:line="240" w:lineRule="auto"/>
              <w:rPr>
                <w:rFonts w:ascii="Century" w:hAnsi="Century"/>
                <w:b/>
                <w:bCs/>
                <w:i/>
                <w:iCs/>
                <w:color w:val="000000"/>
                <w:sz w:val="20"/>
                <w:szCs w:val="20"/>
                <w:lang w:eastAsia="ru-RU"/>
              </w:rPr>
            </w:pPr>
            <w:r w:rsidRPr="00E7667D">
              <w:rPr>
                <w:rFonts w:ascii="Century" w:hAnsi="Century"/>
                <w:bCs/>
                <w:i/>
                <w:iCs/>
                <w:color w:val="000000"/>
                <w:sz w:val="20"/>
                <w:szCs w:val="20"/>
                <w:lang w:eastAsia="ru-RU"/>
              </w:rPr>
              <w:t xml:space="preserve">     </w:t>
            </w:r>
            <w:proofErr w:type="gramStart"/>
            <w:r w:rsidRPr="00E7667D">
              <w:rPr>
                <w:rFonts w:ascii="Century" w:hAnsi="Century"/>
                <w:bCs/>
                <w:i/>
                <w:iCs/>
                <w:color w:val="000000"/>
                <w:sz w:val="20"/>
                <w:szCs w:val="20"/>
                <w:lang w:eastAsia="ru-RU"/>
              </w:rPr>
              <w:t>в</w:t>
            </w:r>
            <w:proofErr w:type="gramEnd"/>
            <w:r w:rsidRPr="00E7667D">
              <w:rPr>
                <w:rFonts w:ascii="Century" w:hAnsi="Century"/>
                <w:bCs/>
                <w:i/>
                <w:iCs/>
                <w:color w:val="000000"/>
                <w:sz w:val="20"/>
                <w:szCs w:val="20"/>
                <w:lang w:eastAsia="ru-RU"/>
              </w:rPr>
              <w:t xml:space="preserve"> % от общего объема</w:t>
            </w:r>
          </w:p>
        </w:tc>
        <w:tc>
          <w:tcPr>
            <w:tcW w:w="1020" w:type="dxa"/>
            <w:shd w:val="clear" w:color="auto" w:fill="F2F2F2"/>
            <w:vAlign w:val="center"/>
          </w:tcPr>
          <w:p w:rsidR="00A71D96" w:rsidRPr="00833A2C" w:rsidRDefault="00A71D96" w:rsidP="00F2417A">
            <w:pPr>
              <w:spacing w:after="0" w:line="240" w:lineRule="auto"/>
              <w:jc w:val="right"/>
              <w:rPr>
                <w:rFonts w:ascii="Century" w:hAnsi="Century"/>
                <w:i/>
                <w:iCs/>
                <w:sz w:val="20"/>
                <w:szCs w:val="20"/>
              </w:rPr>
            </w:pPr>
            <w:r w:rsidRPr="00833A2C">
              <w:rPr>
                <w:rFonts w:ascii="Century" w:hAnsi="Century"/>
                <w:i/>
                <w:iCs/>
                <w:sz w:val="20"/>
                <w:szCs w:val="20"/>
              </w:rPr>
              <w:t>39,4</w:t>
            </w:r>
          </w:p>
        </w:tc>
        <w:tc>
          <w:tcPr>
            <w:tcW w:w="1020" w:type="dxa"/>
            <w:shd w:val="clear" w:color="auto" w:fill="F2F2F2"/>
            <w:vAlign w:val="center"/>
          </w:tcPr>
          <w:p w:rsidR="00A71D96" w:rsidRPr="00833A2C" w:rsidRDefault="00A71D96" w:rsidP="00F2417A">
            <w:pPr>
              <w:spacing w:after="0" w:line="240" w:lineRule="auto"/>
              <w:jc w:val="right"/>
              <w:rPr>
                <w:rFonts w:ascii="Century" w:hAnsi="Century"/>
                <w:i/>
                <w:iCs/>
                <w:sz w:val="20"/>
                <w:szCs w:val="20"/>
              </w:rPr>
            </w:pPr>
            <w:r w:rsidRPr="00833A2C">
              <w:rPr>
                <w:rFonts w:ascii="Century" w:hAnsi="Century"/>
                <w:i/>
                <w:iCs/>
                <w:sz w:val="20"/>
                <w:szCs w:val="20"/>
              </w:rPr>
              <w:t>35,9</w:t>
            </w:r>
          </w:p>
        </w:tc>
        <w:tc>
          <w:tcPr>
            <w:tcW w:w="1020" w:type="dxa"/>
            <w:shd w:val="clear" w:color="auto" w:fill="F2F2F2"/>
            <w:vAlign w:val="center"/>
          </w:tcPr>
          <w:p w:rsidR="00A71D96" w:rsidRPr="00833A2C" w:rsidRDefault="00A71D96" w:rsidP="00F2417A">
            <w:pPr>
              <w:spacing w:after="0" w:line="240" w:lineRule="auto"/>
              <w:jc w:val="right"/>
              <w:rPr>
                <w:rFonts w:ascii="Century" w:hAnsi="Century"/>
                <w:i/>
                <w:iCs/>
                <w:sz w:val="20"/>
                <w:szCs w:val="20"/>
              </w:rPr>
            </w:pPr>
            <w:r w:rsidRPr="00833A2C">
              <w:rPr>
                <w:rFonts w:ascii="Century" w:hAnsi="Century"/>
                <w:i/>
                <w:iCs/>
                <w:sz w:val="20"/>
                <w:szCs w:val="20"/>
              </w:rPr>
              <w:t>33,7</w:t>
            </w:r>
          </w:p>
        </w:tc>
        <w:tc>
          <w:tcPr>
            <w:tcW w:w="1020" w:type="dxa"/>
            <w:shd w:val="clear" w:color="auto" w:fill="F2F2F2"/>
            <w:vAlign w:val="center"/>
          </w:tcPr>
          <w:p w:rsidR="00A71D96" w:rsidRPr="00833A2C" w:rsidRDefault="00A71D96" w:rsidP="00F2417A">
            <w:pPr>
              <w:spacing w:after="0" w:line="240" w:lineRule="auto"/>
              <w:jc w:val="right"/>
              <w:rPr>
                <w:rFonts w:ascii="Century" w:hAnsi="Century"/>
                <w:i/>
                <w:iCs/>
                <w:sz w:val="20"/>
                <w:szCs w:val="20"/>
              </w:rPr>
            </w:pPr>
            <w:r w:rsidRPr="00833A2C">
              <w:rPr>
                <w:rFonts w:ascii="Century" w:hAnsi="Century"/>
                <w:i/>
                <w:iCs/>
                <w:sz w:val="20"/>
                <w:szCs w:val="20"/>
              </w:rPr>
              <w:t>33,4</w:t>
            </w:r>
          </w:p>
        </w:tc>
      </w:tr>
      <w:tr w:rsidR="00A71D96" w:rsidRPr="00E7667D" w:rsidTr="003C4A4E">
        <w:trPr>
          <w:trHeight w:val="340"/>
        </w:trPr>
        <w:tc>
          <w:tcPr>
            <w:tcW w:w="5017" w:type="dxa"/>
            <w:vAlign w:val="center"/>
          </w:tcPr>
          <w:p w:rsidR="00A71D96" w:rsidRPr="00E7667D" w:rsidRDefault="00A71D96" w:rsidP="00F2417A">
            <w:pPr>
              <w:spacing w:after="0" w:line="240" w:lineRule="auto"/>
              <w:rPr>
                <w:rFonts w:ascii="Century" w:hAnsi="Century"/>
                <w:bCs/>
                <w:color w:val="000000"/>
                <w:sz w:val="20"/>
                <w:szCs w:val="20"/>
                <w:lang w:eastAsia="ru-RU"/>
              </w:rPr>
            </w:pPr>
            <w:r w:rsidRPr="00E7667D">
              <w:rPr>
                <w:rFonts w:ascii="Century" w:hAnsi="Century"/>
                <w:bCs/>
                <w:color w:val="000000"/>
                <w:sz w:val="20"/>
                <w:szCs w:val="20"/>
                <w:lang w:eastAsia="ru-RU"/>
              </w:rPr>
              <w:t xml:space="preserve">     </w:t>
            </w:r>
            <w:r>
              <w:rPr>
                <w:rFonts w:ascii="Century" w:hAnsi="Century"/>
                <w:bCs/>
                <w:color w:val="000000"/>
                <w:sz w:val="20"/>
                <w:szCs w:val="20"/>
                <w:lang w:eastAsia="ru-RU"/>
              </w:rPr>
              <w:t xml:space="preserve">   в </w:t>
            </w:r>
            <w:proofErr w:type="spellStart"/>
            <w:r>
              <w:rPr>
                <w:rFonts w:ascii="Century" w:hAnsi="Century"/>
                <w:bCs/>
                <w:color w:val="000000"/>
                <w:sz w:val="20"/>
                <w:szCs w:val="20"/>
                <w:lang w:eastAsia="ru-RU"/>
              </w:rPr>
              <w:t>т.ч</w:t>
            </w:r>
            <w:proofErr w:type="spellEnd"/>
            <w:r>
              <w:rPr>
                <w:rFonts w:ascii="Century" w:hAnsi="Century"/>
                <w:bCs/>
                <w:color w:val="000000"/>
                <w:sz w:val="20"/>
                <w:szCs w:val="20"/>
                <w:lang w:eastAsia="ru-RU"/>
              </w:rPr>
              <w:t>. базовые нефте</w:t>
            </w:r>
            <w:r w:rsidRPr="00A27540">
              <w:rPr>
                <w:rFonts w:ascii="Century" w:hAnsi="Century"/>
                <w:bCs/>
                <w:color w:val="000000"/>
                <w:sz w:val="18"/>
                <w:szCs w:val="20"/>
                <w:lang w:eastAsia="ru-RU"/>
              </w:rPr>
              <w:t>газовые доходы</w:t>
            </w:r>
          </w:p>
        </w:tc>
        <w:tc>
          <w:tcPr>
            <w:tcW w:w="1020" w:type="dxa"/>
            <w:vAlign w:val="center"/>
          </w:tcPr>
          <w:p w:rsidR="00A71D96" w:rsidRPr="00833A2C" w:rsidRDefault="00A71D96" w:rsidP="00F2417A">
            <w:pPr>
              <w:spacing w:after="0" w:line="240" w:lineRule="auto"/>
              <w:jc w:val="right"/>
              <w:rPr>
                <w:rFonts w:ascii="Century" w:hAnsi="Century"/>
                <w:sz w:val="20"/>
                <w:szCs w:val="20"/>
              </w:rPr>
            </w:pPr>
            <w:r>
              <w:rPr>
                <w:rFonts w:ascii="Century" w:hAnsi="Century"/>
                <w:sz w:val="20"/>
                <w:szCs w:val="20"/>
              </w:rPr>
              <w:t>5 050</w:t>
            </w:r>
          </w:p>
        </w:tc>
        <w:tc>
          <w:tcPr>
            <w:tcW w:w="1020" w:type="dxa"/>
            <w:vAlign w:val="center"/>
          </w:tcPr>
          <w:p w:rsidR="00A71D96" w:rsidRPr="00833A2C" w:rsidRDefault="00A71D96" w:rsidP="00F2417A">
            <w:pPr>
              <w:spacing w:after="0" w:line="240" w:lineRule="auto"/>
              <w:jc w:val="right"/>
              <w:rPr>
                <w:rFonts w:ascii="Century" w:hAnsi="Century"/>
                <w:sz w:val="20"/>
                <w:szCs w:val="20"/>
              </w:rPr>
            </w:pPr>
            <w:r>
              <w:rPr>
                <w:rFonts w:ascii="Century" w:hAnsi="Century"/>
                <w:sz w:val="20"/>
                <w:szCs w:val="20"/>
              </w:rPr>
              <w:t>4 952</w:t>
            </w:r>
          </w:p>
        </w:tc>
        <w:tc>
          <w:tcPr>
            <w:tcW w:w="1020" w:type="dxa"/>
            <w:vAlign w:val="center"/>
          </w:tcPr>
          <w:p w:rsidR="00A71D96" w:rsidRPr="00833A2C" w:rsidRDefault="00A71D96" w:rsidP="00F2417A">
            <w:pPr>
              <w:spacing w:after="0" w:line="240" w:lineRule="auto"/>
              <w:jc w:val="right"/>
              <w:rPr>
                <w:rFonts w:ascii="Century" w:hAnsi="Century"/>
                <w:sz w:val="20"/>
                <w:szCs w:val="20"/>
              </w:rPr>
            </w:pPr>
            <w:r w:rsidRPr="00833A2C">
              <w:rPr>
                <w:rFonts w:ascii="Century" w:hAnsi="Century"/>
                <w:sz w:val="20"/>
                <w:szCs w:val="20"/>
              </w:rPr>
              <w:t>5 247</w:t>
            </w:r>
          </w:p>
        </w:tc>
        <w:tc>
          <w:tcPr>
            <w:tcW w:w="1020" w:type="dxa"/>
            <w:vAlign w:val="center"/>
          </w:tcPr>
          <w:p w:rsidR="00A71D96" w:rsidRPr="00833A2C" w:rsidRDefault="00A71D96" w:rsidP="00F2417A">
            <w:pPr>
              <w:spacing w:after="0" w:line="240" w:lineRule="auto"/>
              <w:jc w:val="right"/>
              <w:rPr>
                <w:rFonts w:ascii="Century" w:hAnsi="Century"/>
                <w:sz w:val="20"/>
                <w:szCs w:val="20"/>
              </w:rPr>
            </w:pPr>
            <w:r w:rsidRPr="00833A2C">
              <w:rPr>
                <w:rFonts w:ascii="Century" w:hAnsi="Century"/>
                <w:sz w:val="20"/>
                <w:szCs w:val="20"/>
              </w:rPr>
              <w:t>5 440</w:t>
            </w:r>
          </w:p>
        </w:tc>
      </w:tr>
      <w:tr w:rsidR="00A71D96" w:rsidRPr="00E7667D" w:rsidTr="003C4A4E">
        <w:trPr>
          <w:trHeight w:val="340"/>
        </w:trPr>
        <w:tc>
          <w:tcPr>
            <w:tcW w:w="5017" w:type="dxa"/>
            <w:shd w:val="clear" w:color="auto" w:fill="F2F2F2" w:themeFill="background1" w:themeFillShade="F2"/>
            <w:vAlign w:val="center"/>
          </w:tcPr>
          <w:p w:rsidR="00A71D96" w:rsidRPr="00E7667D" w:rsidRDefault="00A71D96" w:rsidP="00F2417A">
            <w:pPr>
              <w:spacing w:after="0" w:line="240" w:lineRule="auto"/>
              <w:rPr>
                <w:rFonts w:ascii="Century" w:hAnsi="Century"/>
                <w:b/>
                <w:bCs/>
                <w:color w:val="000000"/>
                <w:sz w:val="20"/>
                <w:szCs w:val="20"/>
                <w:lang w:eastAsia="ru-RU"/>
              </w:rPr>
            </w:pPr>
            <w:r w:rsidRPr="00E7667D">
              <w:rPr>
                <w:rFonts w:ascii="Century" w:hAnsi="Century"/>
                <w:bCs/>
                <w:color w:val="000000"/>
                <w:sz w:val="20"/>
                <w:szCs w:val="20"/>
                <w:lang w:eastAsia="ru-RU"/>
              </w:rPr>
              <w:t xml:space="preserve">     </w:t>
            </w:r>
            <w:proofErr w:type="spellStart"/>
            <w:r w:rsidRPr="00E7667D">
              <w:rPr>
                <w:rFonts w:ascii="Century" w:hAnsi="Century"/>
                <w:bCs/>
                <w:color w:val="000000"/>
                <w:sz w:val="20"/>
                <w:szCs w:val="20"/>
                <w:lang w:eastAsia="ru-RU"/>
              </w:rPr>
              <w:t>Ненефтегазовые</w:t>
            </w:r>
            <w:proofErr w:type="spellEnd"/>
            <w:r w:rsidRPr="00E7667D">
              <w:rPr>
                <w:rFonts w:ascii="Century" w:hAnsi="Century"/>
                <w:bCs/>
                <w:color w:val="000000"/>
                <w:sz w:val="20"/>
                <w:szCs w:val="20"/>
                <w:lang w:eastAsia="ru-RU"/>
              </w:rPr>
              <w:t xml:space="preserve"> доходы</w:t>
            </w:r>
          </w:p>
        </w:tc>
        <w:tc>
          <w:tcPr>
            <w:tcW w:w="1020" w:type="dxa"/>
            <w:shd w:val="clear" w:color="auto" w:fill="F2F2F2" w:themeFill="background1" w:themeFillShade="F2"/>
            <w:vAlign w:val="center"/>
          </w:tcPr>
          <w:p w:rsidR="00A71D96" w:rsidRPr="00833A2C" w:rsidRDefault="00A71D96" w:rsidP="00FE2ED6">
            <w:pPr>
              <w:spacing w:after="0" w:line="240" w:lineRule="auto"/>
              <w:jc w:val="right"/>
              <w:rPr>
                <w:rFonts w:ascii="Century" w:hAnsi="Century"/>
                <w:sz w:val="20"/>
                <w:szCs w:val="20"/>
              </w:rPr>
            </w:pPr>
            <w:r w:rsidRPr="00833A2C">
              <w:rPr>
                <w:rFonts w:ascii="Century" w:hAnsi="Century"/>
                <w:sz w:val="20"/>
                <w:szCs w:val="20"/>
              </w:rPr>
              <w:t>8 9</w:t>
            </w:r>
            <w:r w:rsidR="00FE2ED6">
              <w:rPr>
                <w:rFonts w:ascii="Century" w:hAnsi="Century"/>
                <w:sz w:val="20"/>
                <w:szCs w:val="20"/>
              </w:rPr>
              <w:t>25</w:t>
            </w:r>
          </w:p>
        </w:tc>
        <w:tc>
          <w:tcPr>
            <w:tcW w:w="1020" w:type="dxa"/>
            <w:shd w:val="clear" w:color="auto" w:fill="F2F2F2" w:themeFill="background1" w:themeFillShade="F2"/>
            <w:vAlign w:val="center"/>
          </w:tcPr>
          <w:p w:rsidR="00A71D96" w:rsidRPr="00833A2C" w:rsidRDefault="00A71D96" w:rsidP="00F2417A">
            <w:pPr>
              <w:spacing w:after="0" w:line="240" w:lineRule="auto"/>
              <w:jc w:val="right"/>
              <w:rPr>
                <w:rFonts w:ascii="Century" w:hAnsi="Century"/>
                <w:sz w:val="20"/>
                <w:szCs w:val="20"/>
              </w:rPr>
            </w:pPr>
            <w:r w:rsidRPr="00833A2C">
              <w:rPr>
                <w:rFonts w:ascii="Century" w:hAnsi="Century"/>
                <w:sz w:val="20"/>
                <w:szCs w:val="20"/>
              </w:rPr>
              <w:t>9 778</w:t>
            </w:r>
          </w:p>
        </w:tc>
        <w:tc>
          <w:tcPr>
            <w:tcW w:w="1020" w:type="dxa"/>
            <w:shd w:val="clear" w:color="auto" w:fill="F2F2F2" w:themeFill="background1" w:themeFillShade="F2"/>
            <w:vAlign w:val="center"/>
          </w:tcPr>
          <w:p w:rsidR="00A71D96" w:rsidRPr="00833A2C" w:rsidRDefault="00A71D96" w:rsidP="00F2417A">
            <w:pPr>
              <w:spacing w:after="0" w:line="240" w:lineRule="auto"/>
              <w:jc w:val="right"/>
              <w:rPr>
                <w:rFonts w:ascii="Century" w:hAnsi="Century"/>
                <w:sz w:val="20"/>
                <w:szCs w:val="20"/>
              </w:rPr>
            </w:pPr>
            <w:r w:rsidRPr="00833A2C">
              <w:rPr>
                <w:rFonts w:ascii="Century" w:hAnsi="Century"/>
                <w:sz w:val="20"/>
                <w:szCs w:val="20"/>
              </w:rPr>
              <w:t>10 307</w:t>
            </w:r>
          </w:p>
        </w:tc>
        <w:tc>
          <w:tcPr>
            <w:tcW w:w="1020" w:type="dxa"/>
            <w:shd w:val="clear" w:color="auto" w:fill="F2F2F2" w:themeFill="background1" w:themeFillShade="F2"/>
            <w:vAlign w:val="center"/>
          </w:tcPr>
          <w:p w:rsidR="00A71D96" w:rsidRPr="00833A2C" w:rsidRDefault="00A71D96" w:rsidP="00F2417A">
            <w:pPr>
              <w:spacing w:after="0" w:line="240" w:lineRule="auto"/>
              <w:jc w:val="right"/>
              <w:rPr>
                <w:rFonts w:ascii="Century" w:hAnsi="Century"/>
                <w:sz w:val="20"/>
                <w:szCs w:val="20"/>
              </w:rPr>
            </w:pPr>
            <w:r w:rsidRPr="00833A2C">
              <w:rPr>
                <w:rFonts w:ascii="Century" w:hAnsi="Century"/>
                <w:sz w:val="20"/>
                <w:szCs w:val="20"/>
              </w:rPr>
              <w:t>10 845</w:t>
            </w:r>
          </w:p>
        </w:tc>
      </w:tr>
      <w:tr w:rsidR="00A71D96" w:rsidRPr="00E7667D" w:rsidTr="003C4A4E">
        <w:trPr>
          <w:trHeight w:val="340"/>
        </w:trPr>
        <w:tc>
          <w:tcPr>
            <w:tcW w:w="5017" w:type="dxa"/>
            <w:shd w:val="clear" w:color="auto" w:fill="FFFFFF" w:themeFill="background1"/>
            <w:vAlign w:val="center"/>
          </w:tcPr>
          <w:p w:rsidR="00A71D96" w:rsidRPr="00E7667D" w:rsidRDefault="00A71D96" w:rsidP="00F2417A">
            <w:pPr>
              <w:spacing w:after="0" w:line="240" w:lineRule="auto"/>
              <w:rPr>
                <w:rFonts w:ascii="Century" w:hAnsi="Century"/>
                <w:b/>
                <w:bCs/>
                <w:i/>
                <w:iCs/>
                <w:color w:val="000000"/>
                <w:sz w:val="20"/>
                <w:szCs w:val="20"/>
                <w:lang w:eastAsia="ru-RU"/>
              </w:rPr>
            </w:pPr>
            <w:r w:rsidRPr="00E7667D">
              <w:rPr>
                <w:rFonts w:ascii="Century" w:hAnsi="Century"/>
                <w:bCs/>
                <w:i/>
                <w:iCs/>
                <w:color w:val="000000"/>
                <w:sz w:val="20"/>
                <w:szCs w:val="20"/>
                <w:lang w:eastAsia="ru-RU"/>
              </w:rPr>
              <w:t xml:space="preserve">     %% ВВП</w:t>
            </w:r>
          </w:p>
        </w:tc>
        <w:tc>
          <w:tcPr>
            <w:tcW w:w="1020" w:type="dxa"/>
            <w:shd w:val="clear" w:color="auto" w:fill="FFFFFF" w:themeFill="background1"/>
            <w:vAlign w:val="center"/>
          </w:tcPr>
          <w:p w:rsidR="00A71D96" w:rsidRPr="00833A2C" w:rsidRDefault="00A71D96" w:rsidP="00F2417A">
            <w:pPr>
              <w:spacing w:after="0" w:line="240" w:lineRule="auto"/>
              <w:jc w:val="right"/>
              <w:rPr>
                <w:rFonts w:ascii="Century" w:hAnsi="Century"/>
                <w:i/>
                <w:iCs/>
                <w:sz w:val="20"/>
                <w:szCs w:val="20"/>
              </w:rPr>
            </w:pPr>
            <w:r w:rsidRPr="00833A2C">
              <w:rPr>
                <w:rFonts w:ascii="Century" w:hAnsi="Century"/>
                <w:i/>
                <w:iCs/>
                <w:sz w:val="20"/>
                <w:szCs w:val="20"/>
              </w:rPr>
              <w:t>9,7</w:t>
            </w:r>
          </w:p>
        </w:tc>
        <w:tc>
          <w:tcPr>
            <w:tcW w:w="1020" w:type="dxa"/>
            <w:shd w:val="clear" w:color="auto" w:fill="FFFFFF" w:themeFill="background1"/>
            <w:vAlign w:val="center"/>
          </w:tcPr>
          <w:p w:rsidR="00A71D96" w:rsidRPr="00833A2C" w:rsidRDefault="00A71D96" w:rsidP="00F2417A">
            <w:pPr>
              <w:spacing w:after="0" w:line="240" w:lineRule="auto"/>
              <w:jc w:val="right"/>
              <w:rPr>
                <w:rFonts w:ascii="Century" w:hAnsi="Century"/>
                <w:i/>
                <w:iCs/>
                <w:sz w:val="20"/>
                <w:szCs w:val="20"/>
              </w:rPr>
            </w:pPr>
            <w:r w:rsidRPr="00833A2C">
              <w:rPr>
                <w:rFonts w:ascii="Century" w:hAnsi="Century"/>
                <w:i/>
                <w:iCs/>
                <w:sz w:val="20"/>
                <w:szCs w:val="20"/>
              </w:rPr>
              <w:t>10,0</w:t>
            </w:r>
          </w:p>
        </w:tc>
        <w:tc>
          <w:tcPr>
            <w:tcW w:w="1020" w:type="dxa"/>
            <w:shd w:val="clear" w:color="auto" w:fill="FFFFFF" w:themeFill="background1"/>
            <w:vAlign w:val="center"/>
          </w:tcPr>
          <w:p w:rsidR="00A71D96" w:rsidRPr="00833A2C" w:rsidRDefault="00A71D96" w:rsidP="00F2417A">
            <w:pPr>
              <w:spacing w:after="0" w:line="240" w:lineRule="auto"/>
              <w:jc w:val="right"/>
              <w:rPr>
                <w:rFonts w:ascii="Century" w:hAnsi="Century"/>
                <w:i/>
                <w:iCs/>
                <w:sz w:val="20"/>
                <w:szCs w:val="20"/>
              </w:rPr>
            </w:pPr>
            <w:r w:rsidRPr="00833A2C">
              <w:rPr>
                <w:rFonts w:ascii="Century" w:hAnsi="Century"/>
                <w:i/>
                <w:iCs/>
                <w:sz w:val="20"/>
                <w:szCs w:val="20"/>
              </w:rPr>
              <w:t>10,0</w:t>
            </w:r>
          </w:p>
        </w:tc>
        <w:tc>
          <w:tcPr>
            <w:tcW w:w="1020" w:type="dxa"/>
            <w:shd w:val="clear" w:color="auto" w:fill="FFFFFF" w:themeFill="background1"/>
            <w:vAlign w:val="center"/>
          </w:tcPr>
          <w:p w:rsidR="00A71D96" w:rsidRPr="00833A2C" w:rsidRDefault="00A71D96" w:rsidP="00F2417A">
            <w:pPr>
              <w:spacing w:after="0" w:line="240" w:lineRule="auto"/>
              <w:jc w:val="right"/>
              <w:rPr>
                <w:rFonts w:ascii="Century" w:hAnsi="Century"/>
                <w:i/>
                <w:iCs/>
                <w:sz w:val="20"/>
                <w:szCs w:val="20"/>
              </w:rPr>
            </w:pPr>
            <w:r w:rsidRPr="00833A2C">
              <w:rPr>
                <w:rFonts w:ascii="Century" w:hAnsi="Century"/>
                <w:i/>
                <w:iCs/>
                <w:sz w:val="20"/>
                <w:szCs w:val="20"/>
              </w:rPr>
              <w:t>9,8</w:t>
            </w:r>
          </w:p>
        </w:tc>
      </w:tr>
      <w:tr w:rsidR="00A71D96" w:rsidRPr="00E7667D" w:rsidTr="003C4A4E">
        <w:trPr>
          <w:trHeight w:val="340"/>
        </w:trPr>
        <w:tc>
          <w:tcPr>
            <w:tcW w:w="5017" w:type="dxa"/>
            <w:shd w:val="clear" w:color="auto" w:fill="F2F2F2" w:themeFill="background1" w:themeFillShade="F2"/>
            <w:vAlign w:val="center"/>
          </w:tcPr>
          <w:p w:rsidR="00A71D96" w:rsidRPr="00E7667D" w:rsidRDefault="00A71D96" w:rsidP="00F2417A">
            <w:pPr>
              <w:spacing w:after="0" w:line="240" w:lineRule="auto"/>
              <w:rPr>
                <w:rFonts w:ascii="Century" w:hAnsi="Century"/>
                <w:b/>
                <w:bCs/>
                <w:i/>
                <w:iCs/>
                <w:color w:val="000000"/>
                <w:sz w:val="20"/>
                <w:szCs w:val="20"/>
                <w:lang w:eastAsia="ru-RU"/>
              </w:rPr>
            </w:pPr>
            <w:r w:rsidRPr="00E7667D">
              <w:rPr>
                <w:rFonts w:ascii="Century" w:hAnsi="Century"/>
                <w:bCs/>
                <w:i/>
                <w:iCs/>
                <w:color w:val="000000"/>
                <w:sz w:val="20"/>
                <w:szCs w:val="20"/>
                <w:lang w:eastAsia="ru-RU"/>
              </w:rPr>
              <w:t xml:space="preserve">     </w:t>
            </w:r>
            <w:proofErr w:type="gramStart"/>
            <w:r w:rsidRPr="00E7667D">
              <w:rPr>
                <w:rFonts w:ascii="Century" w:hAnsi="Century"/>
                <w:bCs/>
                <w:i/>
                <w:iCs/>
                <w:color w:val="000000"/>
                <w:sz w:val="20"/>
                <w:szCs w:val="20"/>
                <w:lang w:eastAsia="ru-RU"/>
              </w:rPr>
              <w:t>в</w:t>
            </w:r>
            <w:proofErr w:type="gramEnd"/>
            <w:r w:rsidRPr="00E7667D">
              <w:rPr>
                <w:rFonts w:ascii="Century" w:hAnsi="Century"/>
                <w:bCs/>
                <w:i/>
                <w:iCs/>
                <w:color w:val="000000"/>
                <w:sz w:val="20"/>
                <w:szCs w:val="20"/>
                <w:lang w:eastAsia="ru-RU"/>
              </w:rPr>
              <w:t xml:space="preserve"> % от общего объема</w:t>
            </w:r>
          </w:p>
        </w:tc>
        <w:tc>
          <w:tcPr>
            <w:tcW w:w="1020" w:type="dxa"/>
            <w:shd w:val="clear" w:color="auto" w:fill="F2F2F2" w:themeFill="background1" w:themeFillShade="F2"/>
            <w:vAlign w:val="center"/>
          </w:tcPr>
          <w:p w:rsidR="00A71D96" w:rsidRPr="00833A2C" w:rsidRDefault="00A71D96" w:rsidP="00F2417A">
            <w:pPr>
              <w:spacing w:after="0" w:line="240" w:lineRule="auto"/>
              <w:jc w:val="right"/>
              <w:rPr>
                <w:rFonts w:ascii="Century" w:hAnsi="Century"/>
                <w:i/>
                <w:iCs/>
                <w:sz w:val="20"/>
                <w:szCs w:val="20"/>
              </w:rPr>
            </w:pPr>
            <w:r w:rsidRPr="00833A2C">
              <w:rPr>
                <w:rFonts w:ascii="Century" w:hAnsi="Century"/>
                <w:i/>
                <w:iCs/>
                <w:sz w:val="20"/>
                <w:szCs w:val="20"/>
              </w:rPr>
              <w:t>60,6</w:t>
            </w:r>
          </w:p>
        </w:tc>
        <w:tc>
          <w:tcPr>
            <w:tcW w:w="1020" w:type="dxa"/>
            <w:shd w:val="clear" w:color="auto" w:fill="F2F2F2" w:themeFill="background1" w:themeFillShade="F2"/>
            <w:vAlign w:val="center"/>
          </w:tcPr>
          <w:p w:rsidR="00A71D96" w:rsidRPr="00833A2C" w:rsidRDefault="00A71D96" w:rsidP="00F2417A">
            <w:pPr>
              <w:spacing w:after="0" w:line="240" w:lineRule="auto"/>
              <w:jc w:val="right"/>
              <w:rPr>
                <w:rFonts w:ascii="Century" w:hAnsi="Century"/>
                <w:i/>
                <w:iCs/>
                <w:sz w:val="20"/>
                <w:szCs w:val="20"/>
              </w:rPr>
            </w:pPr>
            <w:r w:rsidRPr="00833A2C">
              <w:rPr>
                <w:rFonts w:ascii="Century" w:hAnsi="Century"/>
                <w:i/>
                <w:iCs/>
                <w:sz w:val="20"/>
                <w:szCs w:val="20"/>
              </w:rPr>
              <w:t>64,1</w:t>
            </w:r>
          </w:p>
        </w:tc>
        <w:tc>
          <w:tcPr>
            <w:tcW w:w="1020" w:type="dxa"/>
            <w:shd w:val="clear" w:color="auto" w:fill="F2F2F2" w:themeFill="background1" w:themeFillShade="F2"/>
            <w:vAlign w:val="center"/>
          </w:tcPr>
          <w:p w:rsidR="00A71D96" w:rsidRPr="00833A2C" w:rsidRDefault="00A71D96" w:rsidP="00F2417A">
            <w:pPr>
              <w:spacing w:after="0" w:line="240" w:lineRule="auto"/>
              <w:jc w:val="right"/>
              <w:rPr>
                <w:rFonts w:ascii="Century" w:hAnsi="Century"/>
                <w:i/>
                <w:iCs/>
                <w:sz w:val="20"/>
                <w:szCs w:val="20"/>
              </w:rPr>
            </w:pPr>
            <w:r w:rsidRPr="00833A2C">
              <w:rPr>
                <w:rFonts w:ascii="Century" w:hAnsi="Century"/>
                <w:i/>
                <w:iCs/>
                <w:sz w:val="20"/>
                <w:szCs w:val="20"/>
              </w:rPr>
              <w:t>66,3</w:t>
            </w:r>
          </w:p>
        </w:tc>
        <w:tc>
          <w:tcPr>
            <w:tcW w:w="1020" w:type="dxa"/>
            <w:shd w:val="clear" w:color="auto" w:fill="F2F2F2" w:themeFill="background1" w:themeFillShade="F2"/>
            <w:vAlign w:val="center"/>
          </w:tcPr>
          <w:p w:rsidR="00A71D96" w:rsidRPr="00833A2C" w:rsidRDefault="00A71D96" w:rsidP="00F2417A">
            <w:pPr>
              <w:spacing w:after="0" w:line="240" w:lineRule="auto"/>
              <w:jc w:val="right"/>
              <w:rPr>
                <w:rFonts w:ascii="Century" w:hAnsi="Century"/>
                <w:i/>
                <w:iCs/>
                <w:sz w:val="20"/>
                <w:szCs w:val="20"/>
              </w:rPr>
            </w:pPr>
            <w:r w:rsidRPr="00833A2C">
              <w:rPr>
                <w:rFonts w:ascii="Century" w:hAnsi="Century"/>
                <w:i/>
                <w:iCs/>
                <w:sz w:val="20"/>
                <w:szCs w:val="20"/>
              </w:rPr>
              <w:t>66,6</w:t>
            </w:r>
          </w:p>
        </w:tc>
      </w:tr>
      <w:tr w:rsidR="00A71D96" w:rsidRPr="00E7667D" w:rsidTr="003C4A4E">
        <w:trPr>
          <w:trHeight w:val="340"/>
        </w:trPr>
        <w:tc>
          <w:tcPr>
            <w:tcW w:w="5017" w:type="dxa"/>
            <w:shd w:val="clear" w:color="auto" w:fill="FFFFFF" w:themeFill="background1"/>
            <w:vAlign w:val="center"/>
          </w:tcPr>
          <w:p w:rsidR="00A71D96" w:rsidRPr="00E7667D" w:rsidRDefault="00A71D96" w:rsidP="00F2417A">
            <w:pPr>
              <w:spacing w:after="0" w:line="240" w:lineRule="auto"/>
              <w:rPr>
                <w:rFonts w:ascii="Century" w:hAnsi="Century"/>
                <w:b/>
                <w:bCs/>
                <w:color w:val="000000"/>
                <w:sz w:val="20"/>
                <w:szCs w:val="20"/>
                <w:lang w:eastAsia="ru-RU"/>
              </w:rPr>
            </w:pPr>
            <w:r w:rsidRPr="00E7667D">
              <w:rPr>
                <w:rFonts w:ascii="Century" w:hAnsi="Century"/>
                <w:b/>
                <w:bCs/>
                <w:color w:val="000000"/>
                <w:sz w:val="20"/>
                <w:szCs w:val="20"/>
                <w:lang w:eastAsia="ru-RU"/>
              </w:rPr>
              <w:t>РАСХОДЫ</w:t>
            </w:r>
          </w:p>
        </w:tc>
        <w:tc>
          <w:tcPr>
            <w:tcW w:w="1020" w:type="dxa"/>
            <w:shd w:val="clear" w:color="auto" w:fill="FFFFFF" w:themeFill="background1"/>
            <w:vAlign w:val="center"/>
          </w:tcPr>
          <w:p w:rsidR="00A71D96" w:rsidRPr="00F31947" w:rsidRDefault="00A71D96" w:rsidP="00FE2ED6">
            <w:pPr>
              <w:spacing w:after="0" w:line="240" w:lineRule="auto"/>
              <w:jc w:val="right"/>
              <w:rPr>
                <w:rFonts w:ascii="Century" w:hAnsi="Century"/>
                <w:b/>
                <w:bCs/>
                <w:sz w:val="20"/>
                <w:szCs w:val="20"/>
              </w:rPr>
            </w:pPr>
            <w:r>
              <w:rPr>
                <w:rFonts w:ascii="Century" w:hAnsi="Century"/>
                <w:b/>
                <w:bCs/>
                <w:sz w:val="20"/>
                <w:szCs w:val="20"/>
              </w:rPr>
              <w:t>16 7</w:t>
            </w:r>
            <w:r w:rsidR="009A561A">
              <w:rPr>
                <w:rFonts w:ascii="Century" w:hAnsi="Century"/>
                <w:b/>
                <w:bCs/>
                <w:sz w:val="20"/>
                <w:szCs w:val="20"/>
              </w:rPr>
              <w:t>2</w:t>
            </w:r>
            <w:r w:rsidR="00FE2ED6">
              <w:rPr>
                <w:rFonts w:ascii="Century" w:hAnsi="Century"/>
                <w:b/>
                <w:bCs/>
                <w:sz w:val="20"/>
                <w:szCs w:val="20"/>
              </w:rPr>
              <w:t>8</w:t>
            </w:r>
          </w:p>
        </w:tc>
        <w:tc>
          <w:tcPr>
            <w:tcW w:w="1020" w:type="dxa"/>
            <w:shd w:val="clear" w:color="auto" w:fill="FFFFFF" w:themeFill="background1"/>
            <w:vAlign w:val="center"/>
          </w:tcPr>
          <w:p w:rsidR="00A71D96" w:rsidRPr="00F31947" w:rsidRDefault="00A71D96" w:rsidP="00F2417A">
            <w:pPr>
              <w:spacing w:after="0" w:line="240" w:lineRule="auto"/>
              <w:jc w:val="right"/>
              <w:rPr>
                <w:rFonts w:ascii="Century" w:hAnsi="Century"/>
                <w:b/>
                <w:bCs/>
                <w:sz w:val="20"/>
                <w:szCs w:val="20"/>
              </w:rPr>
            </w:pPr>
            <w:r w:rsidRPr="00F31947">
              <w:rPr>
                <w:rFonts w:ascii="Century" w:hAnsi="Century"/>
                <w:b/>
                <w:bCs/>
                <w:sz w:val="20"/>
                <w:szCs w:val="20"/>
              </w:rPr>
              <w:t>16 529</w:t>
            </w:r>
          </w:p>
        </w:tc>
        <w:tc>
          <w:tcPr>
            <w:tcW w:w="1020" w:type="dxa"/>
            <w:shd w:val="clear" w:color="auto" w:fill="FFFFFF" w:themeFill="background1"/>
            <w:vAlign w:val="center"/>
          </w:tcPr>
          <w:p w:rsidR="00A71D96" w:rsidRPr="00F31947" w:rsidRDefault="00A71D96" w:rsidP="00F2417A">
            <w:pPr>
              <w:spacing w:after="0" w:line="240" w:lineRule="auto"/>
              <w:jc w:val="right"/>
              <w:rPr>
                <w:rFonts w:ascii="Century" w:hAnsi="Century"/>
                <w:b/>
                <w:bCs/>
                <w:sz w:val="20"/>
                <w:szCs w:val="20"/>
              </w:rPr>
            </w:pPr>
            <w:r w:rsidRPr="00F31947">
              <w:rPr>
                <w:rFonts w:ascii="Century" w:hAnsi="Century"/>
                <w:b/>
                <w:bCs/>
                <w:sz w:val="20"/>
                <w:szCs w:val="20"/>
              </w:rPr>
              <w:t>16 374</w:t>
            </w:r>
          </w:p>
        </w:tc>
        <w:tc>
          <w:tcPr>
            <w:tcW w:w="1020" w:type="dxa"/>
            <w:shd w:val="clear" w:color="auto" w:fill="FFFFFF" w:themeFill="background1"/>
            <w:vAlign w:val="center"/>
          </w:tcPr>
          <w:p w:rsidR="00A71D96" w:rsidRPr="00F31947" w:rsidRDefault="00A71D96" w:rsidP="00F2417A">
            <w:pPr>
              <w:spacing w:after="0" w:line="240" w:lineRule="auto"/>
              <w:jc w:val="right"/>
              <w:rPr>
                <w:rFonts w:ascii="Century" w:hAnsi="Century"/>
                <w:b/>
                <w:bCs/>
                <w:sz w:val="20"/>
                <w:szCs w:val="20"/>
              </w:rPr>
            </w:pPr>
            <w:r w:rsidRPr="00F31947">
              <w:rPr>
                <w:rFonts w:ascii="Century" w:hAnsi="Century"/>
                <w:b/>
                <w:bCs/>
                <w:sz w:val="20"/>
                <w:szCs w:val="20"/>
              </w:rPr>
              <w:t>17 155</w:t>
            </w:r>
          </w:p>
        </w:tc>
      </w:tr>
      <w:tr w:rsidR="00A71D96" w:rsidRPr="00F31947" w:rsidTr="003C4A4E">
        <w:trPr>
          <w:trHeight w:val="340"/>
        </w:trPr>
        <w:tc>
          <w:tcPr>
            <w:tcW w:w="5017" w:type="dxa"/>
            <w:shd w:val="clear" w:color="auto" w:fill="F2F2F2" w:themeFill="background1" w:themeFillShade="F2"/>
            <w:vAlign w:val="center"/>
          </w:tcPr>
          <w:p w:rsidR="00A71D96" w:rsidRPr="00E7667D" w:rsidRDefault="00A71D96" w:rsidP="00F2417A">
            <w:pPr>
              <w:spacing w:after="0" w:line="240" w:lineRule="auto"/>
              <w:rPr>
                <w:rFonts w:ascii="Century" w:hAnsi="Century"/>
                <w:b/>
                <w:bCs/>
                <w:i/>
                <w:iCs/>
                <w:color w:val="000000"/>
                <w:sz w:val="20"/>
                <w:szCs w:val="20"/>
                <w:lang w:eastAsia="ru-RU"/>
              </w:rPr>
            </w:pPr>
            <w:r w:rsidRPr="00E7667D">
              <w:rPr>
                <w:rFonts w:ascii="Century" w:hAnsi="Century"/>
                <w:bCs/>
                <w:i/>
                <w:iCs/>
                <w:color w:val="000000"/>
                <w:sz w:val="20"/>
                <w:szCs w:val="20"/>
                <w:lang w:eastAsia="ru-RU"/>
              </w:rPr>
              <w:t>%% ВВП</w:t>
            </w:r>
          </w:p>
        </w:tc>
        <w:tc>
          <w:tcPr>
            <w:tcW w:w="1020" w:type="dxa"/>
            <w:shd w:val="clear" w:color="auto" w:fill="F2F2F2" w:themeFill="background1" w:themeFillShade="F2"/>
            <w:vAlign w:val="center"/>
          </w:tcPr>
          <w:p w:rsidR="00A71D96" w:rsidRPr="00F31947" w:rsidRDefault="00A71D96" w:rsidP="00F2417A">
            <w:pPr>
              <w:spacing w:after="0" w:line="240" w:lineRule="auto"/>
              <w:jc w:val="right"/>
              <w:rPr>
                <w:rFonts w:ascii="Century" w:hAnsi="Century"/>
                <w:i/>
                <w:iCs/>
                <w:sz w:val="20"/>
                <w:szCs w:val="20"/>
              </w:rPr>
            </w:pPr>
            <w:r>
              <w:rPr>
                <w:rFonts w:ascii="Century" w:hAnsi="Century"/>
                <w:i/>
                <w:iCs/>
                <w:sz w:val="20"/>
                <w:szCs w:val="20"/>
              </w:rPr>
              <w:t>18,1</w:t>
            </w:r>
          </w:p>
        </w:tc>
        <w:tc>
          <w:tcPr>
            <w:tcW w:w="1020" w:type="dxa"/>
            <w:shd w:val="clear" w:color="auto" w:fill="F2F2F2" w:themeFill="background1" w:themeFillShade="F2"/>
            <w:vAlign w:val="center"/>
          </w:tcPr>
          <w:p w:rsidR="00A71D96" w:rsidRPr="00F31947" w:rsidRDefault="00A71D96" w:rsidP="00F2417A">
            <w:pPr>
              <w:spacing w:after="0" w:line="240" w:lineRule="auto"/>
              <w:jc w:val="right"/>
              <w:rPr>
                <w:rFonts w:ascii="Century" w:hAnsi="Century"/>
                <w:i/>
                <w:iCs/>
                <w:sz w:val="20"/>
                <w:szCs w:val="20"/>
              </w:rPr>
            </w:pPr>
            <w:r w:rsidRPr="00F31947">
              <w:rPr>
                <w:rFonts w:ascii="Century" w:hAnsi="Century"/>
                <w:i/>
                <w:iCs/>
                <w:sz w:val="20"/>
                <w:szCs w:val="20"/>
              </w:rPr>
              <w:t>17,0</w:t>
            </w:r>
          </w:p>
        </w:tc>
        <w:tc>
          <w:tcPr>
            <w:tcW w:w="1020" w:type="dxa"/>
            <w:shd w:val="clear" w:color="auto" w:fill="F2F2F2" w:themeFill="background1" w:themeFillShade="F2"/>
            <w:vAlign w:val="center"/>
          </w:tcPr>
          <w:p w:rsidR="00A71D96" w:rsidRPr="00F31947" w:rsidRDefault="00A71D96" w:rsidP="00F2417A">
            <w:pPr>
              <w:spacing w:after="0" w:line="240" w:lineRule="auto"/>
              <w:jc w:val="right"/>
              <w:rPr>
                <w:rFonts w:ascii="Century" w:hAnsi="Century"/>
                <w:i/>
                <w:iCs/>
                <w:sz w:val="20"/>
                <w:szCs w:val="20"/>
              </w:rPr>
            </w:pPr>
            <w:r w:rsidRPr="00F31947">
              <w:rPr>
                <w:rFonts w:ascii="Century" w:hAnsi="Century"/>
                <w:i/>
                <w:iCs/>
                <w:sz w:val="20"/>
                <w:szCs w:val="20"/>
              </w:rPr>
              <w:t>15,9</w:t>
            </w:r>
          </w:p>
        </w:tc>
        <w:tc>
          <w:tcPr>
            <w:tcW w:w="1020" w:type="dxa"/>
            <w:shd w:val="clear" w:color="auto" w:fill="F2F2F2" w:themeFill="background1" w:themeFillShade="F2"/>
            <w:vAlign w:val="center"/>
          </w:tcPr>
          <w:p w:rsidR="00A71D96" w:rsidRPr="00F31947" w:rsidRDefault="00A71D96" w:rsidP="00F2417A">
            <w:pPr>
              <w:spacing w:after="0" w:line="240" w:lineRule="auto"/>
              <w:jc w:val="right"/>
              <w:rPr>
                <w:rFonts w:ascii="Century" w:hAnsi="Century"/>
                <w:i/>
                <w:iCs/>
                <w:sz w:val="20"/>
                <w:szCs w:val="20"/>
              </w:rPr>
            </w:pPr>
            <w:r w:rsidRPr="00F31947">
              <w:rPr>
                <w:rFonts w:ascii="Century" w:hAnsi="Century"/>
                <w:i/>
                <w:iCs/>
                <w:sz w:val="20"/>
                <w:szCs w:val="20"/>
              </w:rPr>
              <w:t>15,6</w:t>
            </w:r>
          </w:p>
        </w:tc>
      </w:tr>
      <w:tr w:rsidR="00A71D96" w:rsidRPr="00E7667D" w:rsidTr="003C4A4E">
        <w:trPr>
          <w:trHeight w:val="340"/>
        </w:trPr>
        <w:tc>
          <w:tcPr>
            <w:tcW w:w="5017" w:type="dxa"/>
            <w:shd w:val="clear" w:color="auto" w:fill="FFFFFF" w:themeFill="background1"/>
            <w:vAlign w:val="center"/>
          </w:tcPr>
          <w:p w:rsidR="00A71D96" w:rsidRPr="00E7667D" w:rsidRDefault="00A71D96" w:rsidP="00F2417A">
            <w:pPr>
              <w:spacing w:after="0" w:line="240" w:lineRule="auto"/>
              <w:rPr>
                <w:rFonts w:ascii="Century" w:hAnsi="Century"/>
                <w:b/>
                <w:bCs/>
                <w:color w:val="000000"/>
                <w:sz w:val="20"/>
                <w:szCs w:val="20"/>
                <w:lang w:eastAsia="ru-RU"/>
              </w:rPr>
            </w:pPr>
            <w:r>
              <w:rPr>
                <w:rFonts w:ascii="Century" w:hAnsi="Century"/>
                <w:b/>
                <w:color w:val="000000"/>
                <w:sz w:val="20"/>
                <w:szCs w:val="20"/>
                <w:lang w:eastAsia="ru-RU"/>
              </w:rPr>
              <w:t>БАЛАНС</w:t>
            </w:r>
          </w:p>
        </w:tc>
        <w:tc>
          <w:tcPr>
            <w:tcW w:w="1020" w:type="dxa"/>
            <w:shd w:val="clear" w:color="auto" w:fill="FFFFFF" w:themeFill="background1"/>
            <w:vAlign w:val="center"/>
          </w:tcPr>
          <w:p w:rsidR="00A71D96" w:rsidRPr="00C2516E" w:rsidRDefault="00A71D96" w:rsidP="00F2417A">
            <w:pPr>
              <w:spacing w:after="0" w:line="240" w:lineRule="auto"/>
              <w:jc w:val="right"/>
              <w:rPr>
                <w:rFonts w:ascii="Century" w:hAnsi="Century"/>
                <w:bCs/>
                <w:color w:val="FF0000"/>
                <w:sz w:val="20"/>
                <w:szCs w:val="20"/>
              </w:rPr>
            </w:pPr>
            <w:r>
              <w:rPr>
                <w:rFonts w:ascii="Century" w:hAnsi="Century"/>
                <w:b/>
                <w:bCs/>
                <w:sz w:val="20"/>
                <w:szCs w:val="20"/>
              </w:rPr>
              <w:t>-2 008</w:t>
            </w:r>
          </w:p>
        </w:tc>
        <w:tc>
          <w:tcPr>
            <w:tcW w:w="1020" w:type="dxa"/>
            <w:shd w:val="clear" w:color="auto" w:fill="FFFFFF" w:themeFill="background1"/>
            <w:vAlign w:val="center"/>
          </w:tcPr>
          <w:p w:rsidR="00A71D96" w:rsidRPr="00833A2C" w:rsidRDefault="00A71D96" w:rsidP="00F2417A">
            <w:pPr>
              <w:spacing w:after="0" w:line="240" w:lineRule="auto"/>
              <w:jc w:val="right"/>
              <w:rPr>
                <w:rFonts w:ascii="Century" w:hAnsi="Century"/>
                <w:b/>
                <w:bCs/>
                <w:sz w:val="20"/>
                <w:szCs w:val="20"/>
              </w:rPr>
            </w:pPr>
            <w:r w:rsidRPr="00833A2C">
              <w:rPr>
                <w:rFonts w:ascii="Century" w:hAnsi="Century"/>
                <w:b/>
                <w:bCs/>
                <w:sz w:val="20"/>
                <w:szCs w:val="20"/>
              </w:rPr>
              <w:t>-1 271</w:t>
            </w:r>
          </w:p>
        </w:tc>
        <w:tc>
          <w:tcPr>
            <w:tcW w:w="1020" w:type="dxa"/>
            <w:shd w:val="clear" w:color="auto" w:fill="FFFFFF" w:themeFill="background1"/>
            <w:vAlign w:val="center"/>
          </w:tcPr>
          <w:p w:rsidR="00A71D96" w:rsidRPr="00833A2C" w:rsidRDefault="00A71D96" w:rsidP="00F2417A">
            <w:pPr>
              <w:spacing w:after="0" w:line="240" w:lineRule="auto"/>
              <w:jc w:val="right"/>
              <w:rPr>
                <w:rFonts w:ascii="Century" w:hAnsi="Century"/>
                <w:b/>
                <w:bCs/>
                <w:sz w:val="20"/>
                <w:szCs w:val="20"/>
              </w:rPr>
            </w:pPr>
            <w:r w:rsidRPr="00833A2C">
              <w:rPr>
                <w:rFonts w:ascii="Century" w:hAnsi="Century"/>
                <w:b/>
                <w:bCs/>
                <w:sz w:val="20"/>
                <w:szCs w:val="20"/>
              </w:rPr>
              <w:t>-819</w:t>
            </w:r>
          </w:p>
        </w:tc>
        <w:tc>
          <w:tcPr>
            <w:tcW w:w="1020" w:type="dxa"/>
            <w:shd w:val="clear" w:color="auto" w:fill="FFFFFF" w:themeFill="background1"/>
            <w:vAlign w:val="center"/>
          </w:tcPr>
          <w:p w:rsidR="00A71D96" w:rsidRPr="00833A2C" w:rsidRDefault="00A71D96" w:rsidP="00F2417A">
            <w:pPr>
              <w:spacing w:after="0" w:line="240" w:lineRule="auto"/>
              <w:jc w:val="right"/>
              <w:rPr>
                <w:rFonts w:ascii="Century" w:hAnsi="Century"/>
                <w:b/>
                <w:bCs/>
                <w:sz w:val="20"/>
                <w:szCs w:val="20"/>
              </w:rPr>
            </w:pPr>
            <w:r w:rsidRPr="00833A2C">
              <w:rPr>
                <w:rFonts w:ascii="Century" w:hAnsi="Century"/>
                <w:b/>
                <w:bCs/>
                <w:sz w:val="20"/>
                <w:szCs w:val="20"/>
              </w:rPr>
              <w:t>-870</w:t>
            </w:r>
          </w:p>
        </w:tc>
      </w:tr>
      <w:tr w:rsidR="00A71D96" w:rsidRPr="00E7667D" w:rsidTr="003C4A4E">
        <w:trPr>
          <w:trHeight w:val="340"/>
        </w:trPr>
        <w:tc>
          <w:tcPr>
            <w:tcW w:w="5017" w:type="dxa"/>
            <w:shd w:val="clear" w:color="auto" w:fill="F2F2F2" w:themeFill="background1" w:themeFillShade="F2"/>
            <w:vAlign w:val="center"/>
          </w:tcPr>
          <w:p w:rsidR="00A71D96" w:rsidRPr="00E7667D" w:rsidRDefault="00A71D96" w:rsidP="00F2417A">
            <w:pPr>
              <w:spacing w:after="0" w:line="240" w:lineRule="auto"/>
              <w:rPr>
                <w:rFonts w:ascii="Century" w:hAnsi="Century"/>
                <w:b/>
                <w:bCs/>
                <w:i/>
                <w:iCs/>
                <w:color w:val="000000"/>
                <w:sz w:val="20"/>
                <w:szCs w:val="20"/>
                <w:lang w:eastAsia="ru-RU"/>
              </w:rPr>
            </w:pPr>
            <w:r w:rsidRPr="00E7667D">
              <w:rPr>
                <w:rFonts w:ascii="Century" w:hAnsi="Century"/>
                <w:bCs/>
                <w:i/>
                <w:iCs/>
                <w:color w:val="000000"/>
                <w:sz w:val="20"/>
                <w:szCs w:val="20"/>
                <w:lang w:eastAsia="ru-RU"/>
              </w:rPr>
              <w:t>%% ВВП</w:t>
            </w:r>
          </w:p>
        </w:tc>
        <w:tc>
          <w:tcPr>
            <w:tcW w:w="1020" w:type="dxa"/>
            <w:shd w:val="clear" w:color="auto" w:fill="F2F2F2" w:themeFill="background1" w:themeFillShade="F2"/>
            <w:vAlign w:val="center"/>
          </w:tcPr>
          <w:p w:rsidR="00A71D96" w:rsidRPr="00F31947" w:rsidRDefault="00A71D96" w:rsidP="00F2417A">
            <w:pPr>
              <w:spacing w:after="0" w:line="240" w:lineRule="auto"/>
              <w:jc w:val="right"/>
              <w:rPr>
                <w:rFonts w:ascii="Century" w:hAnsi="Century"/>
                <w:i/>
                <w:iCs/>
                <w:sz w:val="20"/>
                <w:szCs w:val="20"/>
              </w:rPr>
            </w:pPr>
            <w:r>
              <w:rPr>
                <w:rFonts w:ascii="Century" w:hAnsi="Century"/>
                <w:i/>
                <w:iCs/>
                <w:sz w:val="20"/>
                <w:szCs w:val="20"/>
              </w:rPr>
              <w:t>2,2</w:t>
            </w:r>
          </w:p>
        </w:tc>
        <w:tc>
          <w:tcPr>
            <w:tcW w:w="1020" w:type="dxa"/>
            <w:shd w:val="clear" w:color="auto" w:fill="F2F2F2" w:themeFill="background1" w:themeFillShade="F2"/>
            <w:vAlign w:val="center"/>
          </w:tcPr>
          <w:p w:rsidR="00A71D96" w:rsidRPr="00F31947" w:rsidRDefault="00A71D96" w:rsidP="00F2417A">
            <w:pPr>
              <w:spacing w:after="0" w:line="240" w:lineRule="auto"/>
              <w:jc w:val="right"/>
              <w:rPr>
                <w:rFonts w:ascii="Century" w:hAnsi="Century"/>
                <w:i/>
                <w:iCs/>
                <w:sz w:val="20"/>
                <w:szCs w:val="20"/>
              </w:rPr>
            </w:pPr>
            <w:r w:rsidRPr="00F31947">
              <w:rPr>
                <w:rFonts w:ascii="Century" w:hAnsi="Century"/>
                <w:i/>
                <w:iCs/>
                <w:sz w:val="20"/>
                <w:szCs w:val="20"/>
              </w:rPr>
              <w:t>1,3</w:t>
            </w:r>
          </w:p>
        </w:tc>
        <w:tc>
          <w:tcPr>
            <w:tcW w:w="1020" w:type="dxa"/>
            <w:shd w:val="clear" w:color="auto" w:fill="F2F2F2" w:themeFill="background1" w:themeFillShade="F2"/>
            <w:vAlign w:val="center"/>
          </w:tcPr>
          <w:p w:rsidR="00A71D96" w:rsidRPr="00F31947" w:rsidRDefault="00A71D96" w:rsidP="00F2417A">
            <w:pPr>
              <w:spacing w:after="0" w:line="240" w:lineRule="auto"/>
              <w:jc w:val="right"/>
              <w:rPr>
                <w:rFonts w:ascii="Century" w:hAnsi="Century"/>
                <w:i/>
                <w:iCs/>
                <w:sz w:val="20"/>
                <w:szCs w:val="20"/>
              </w:rPr>
            </w:pPr>
            <w:r w:rsidRPr="00F31947">
              <w:rPr>
                <w:rFonts w:ascii="Century" w:hAnsi="Century"/>
                <w:i/>
                <w:iCs/>
                <w:sz w:val="20"/>
                <w:szCs w:val="20"/>
              </w:rPr>
              <w:t>0,8</w:t>
            </w:r>
          </w:p>
        </w:tc>
        <w:tc>
          <w:tcPr>
            <w:tcW w:w="1020" w:type="dxa"/>
            <w:shd w:val="clear" w:color="auto" w:fill="F2F2F2" w:themeFill="background1" w:themeFillShade="F2"/>
            <w:vAlign w:val="center"/>
          </w:tcPr>
          <w:p w:rsidR="00A71D96" w:rsidRPr="00F31947" w:rsidRDefault="00A71D96" w:rsidP="00F2417A">
            <w:pPr>
              <w:spacing w:after="0" w:line="240" w:lineRule="auto"/>
              <w:jc w:val="right"/>
              <w:rPr>
                <w:rFonts w:ascii="Century" w:hAnsi="Century"/>
                <w:i/>
                <w:iCs/>
                <w:sz w:val="20"/>
                <w:szCs w:val="20"/>
              </w:rPr>
            </w:pPr>
            <w:r w:rsidRPr="00F31947">
              <w:rPr>
                <w:rFonts w:ascii="Century" w:hAnsi="Century"/>
                <w:i/>
                <w:iCs/>
                <w:sz w:val="20"/>
                <w:szCs w:val="20"/>
              </w:rPr>
              <w:t>0,8</w:t>
            </w:r>
          </w:p>
        </w:tc>
      </w:tr>
      <w:tr w:rsidR="00A71D96" w:rsidRPr="00E7667D" w:rsidTr="003C4A4E">
        <w:trPr>
          <w:trHeight w:val="340"/>
        </w:trPr>
        <w:tc>
          <w:tcPr>
            <w:tcW w:w="5017" w:type="dxa"/>
            <w:shd w:val="clear" w:color="auto" w:fill="FFFFFF" w:themeFill="background1"/>
            <w:vAlign w:val="center"/>
          </w:tcPr>
          <w:p w:rsidR="00A71D96" w:rsidRPr="00E7667D" w:rsidRDefault="00A71D96" w:rsidP="00F2417A">
            <w:pPr>
              <w:spacing w:after="0" w:line="240" w:lineRule="auto"/>
              <w:rPr>
                <w:rFonts w:ascii="Century" w:hAnsi="Century"/>
                <w:b/>
                <w:i/>
                <w:color w:val="000000"/>
                <w:sz w:val="20"/>
                <w:szCs w:val="20"/>
                <w:lang w:eastAsia="ru-RU"/>
              </w:rPr>
            </w:pPr>
            <w:r w:rsidRPr="00E7667D">
              <w:rPr>
                <w:rFonts w:ascii="Century" w:hAnsi="Century"/>
                <w:b/>
                <w:i/>
                <w:color w:val="000000"/>
                <w:sz w:val="20"/>
                <w:szCs w:val="20"/>
                <w:lang w:eastAsia="ru-RU"/>
              </w:rPr>
              <w:t xml:space="preserve">Первичный </w:t>
            </w:r>
            <w:r>
              <w:rPr>
                <w:rFonts w:ascii="Century" w:hAnsi="Century"/>
                <w:b/>
                <w:i/>
                <w:color w:val="000000"/>
                <w:sz w:val="20"/>
                <w:szCs w:val="20"/>
                <w:lang w:eastAsia="ru-RU"/>
              </w:rPr>
              <w:t>баланс</w:t>
            </w:r>
          </w:p>
          <w:p w:rsidR="00A71D96" w:rsidRPr="00E7667D" w:rsidRDefault="00A71D96" w:rsidP="00F2417A">
            <w:pPr>
              <w:spacing w:after="0" w:line="240" w:lineRule="auto"/>
              <w:rPr>
                <w:rFonts w:ascii="Century" w:hAnsi="Century"/>
                <w:bCs/>
                <w:i/>
                <w:color w:val="000000"/>
                <w:sz w:val="20"/>
                <w:szCs w:val="20"/>
                <w:lang w:eastAsia="ru-RU"/>
              </w:rPr>
            </w:pPr>
            <w:r w:rsidRPr="00E7667D">
              <w:rPr>
                <w:rFonts w:ascii="Century" w:hAnsi="Century"/>
                <w:i/>
                <w:color w:val="000000"/>
                <w:sz w:val="20"/>
                <w:szCs w:val="20"/>
                <w:lang w:eastAsia="ru-RU"/>
              </w:rPr>
              <w:t xml:space="preserve">(до уплаты расходов на обслуживание </w:t>
            </w:r>
            <w:proofErr w:type="spellStart"/>
            <w:r w:rsidRPr="00E7667D">
              <w:rPr>
                <w:rFonts w:ascii="Century" w:hAnsi="Century"/>
                <w:i/>
                <w:color w:val="000000"/>
                <w:sz w:val="20"/>
                <w:szCs w:val="20"/>
                <w:lang w:eastAsia="ru-RU"/>
              </w:rPr>
              <w:t>гос</w:t>
            </w:r>
            <w:proofErr w:type="gramStart"/>
            <w:r w:rsidRPr="00E7667D">
              <w:rPr>
                <w:rFonts w:ascii="Century" w:hAnsi="Century"/>
                <w:i/>
                <w:color w:val="000000"/>
                <w:sz w:val="20"/>
                <w:szCs w:val="20"/>
                <w:lang w:eastAsia="ru-RU"/>
              </w:rPr>
              <w:t>.д</w:t>
            </w:r>
            <w:proofErr w:type="gramEnd"/>
            <w:r w:rsidRPr="00E7667D">
              <w:rPr>
                <w:rFonts w:ascii="Century" w:hAnsi="Century"/>
                <w:i/>
                <w:color w:val="000000"/>
                <w:sz w:val="20"/>
                <w:szCs w:val="20"/>
                <w:lang w:eastAsia="ru-RU"/>
              </w:rPr>
              <w:t>олга</w:t>
            </w:r>
            <w:proofErr w:type="spellEnd"/>
            <w:r w:rsidRPr="00E7667D">
              <w:rPr>
                <w:rFonts w:ascii="Century" w:hAnsi="Century"/>
                <w:i/>
                <w:color w:val="000000"/>
                <w:sz w:val="20"/>
                <w:szCs w:val="20"/>
                <w:lang w:eastAsia="ru-RU"/>
              </w:rPr>
              <w:t>)</w:t>
            </w:r>
          </w:p>
        </w:tc>
        <w:tc>
          <w:tcPr>
            <w:tcW w:w="1020" w:type="dxa"/>
            <w:shd w:val="clear" w:color="auto" w:fill="FFFFFF" w:themeFill="background1"/>
            <w:vAlign w:val="center"/>
          </w:tcPr>
          <w:p w:rsidR="00A71D96" w:rsidRPr="00F31947" w:rsidRDefault="005C577F" w:rsidP="00F2417A">
            <w:pPr>
              <w:spacing w:after="0" w:line="240" w:lineRule="auto"/>
              <w:jc w:val="right"/>
              <w:rPr>
                <w:rFonts w:ascii="Century" w:hAnsi="Century"/>
                <w:b/>
                <w:i/>
                <w:sz w:val="20"/>
                <w:szCs w:val="20"/>
              </w:rPr>
            </w:pPr>
            <w:r>
              <w:rPr>
                <w:rFonts w:ascii="Century" w:hAnsi="Century"/>
                <w:b/>
                <w:i/>
                <w:sz w:val="20"/>
                <w:szCs w:val="20"/>
              </w:rPr>
              <w:t>-1 278</w:t>
            </w:r>
          </w:p>
        </w:tc>
        <w:tc>
          <w:tcPr>
            <w:tcW w:w="1020" w:type="dxa"/>
            <w:shd w:val="clear" w:color="auto" w:fill="FFFFFF" w:themeFill="background1"/>
            <w:vAlign w:val="center"/>
          </w:tcPr>
          <w:p w:rsidR="00A71D96" w:rsidRPr="00F31947" w:rsidRDefault="00A71D96" w:rsidP="00F2417A">
            <w:pPr>
              <w:spacing w:after="0" w:line="240" w:lineRule="auto"/>
              <w:jc w:val="right"/>
              <w:rPr>
                <w:rFonts w:ascii="Century" w:hAnsi="Century"/>
                <w:b/>
                <w:i/>
                <w:sz w:val="20"/>
                <w:szCs w:val="20"/>
              </w:rPr>
            </w:pPr>
            <w:r w:rsidRPr="00F31947">
              <w:rPr>
                <w:rFonts w:ascii="Century" w:hAnsi="Century"/>
                <w:b/>
                <w:i/>
                <w:sz w:val="20"/>
                <w:szCs w:val="20"/>
              </w:rPr>
              <w:t>-447</w:t>
            </w:r>
          </w:p>
        </w:tc>
        <w:tc>
          <w:tcPr>
            <w:tcW w:w="1020" w:type="dxa"/>
            <w:shd w:val="clear" w:color="auto" w:fill="FFFFFF" w:themeFill="background1"/>
            <w:vAlign w:val="center"/>
          </w:tcPr>
          <w:p w:rsidR="00A71D96" w:rsidRPr="00F31947" w:rsidRDefault="00A71D96" w:rsidP="00F2417A">
            <w:pPr>
              <w:spacing w:after="0" w:line="240" w:lineRule="auto"/>
              <w:jc w:val="right"/>
              <w:rPr>
                <w:rFonts w:ascii="Century" w:hAnsi="Century"/>
                <w:b/>
                <w:i/>
                <w:sz w:val="20"/>
                <w:szCs w:val="20"/>
              </w:rPr>
            </w:pPr>
            <w:r w:rsidRPr="00F31947">
              <w:rPr>
                <w:rFonts w:ascii="Century" w:hAnsi="Century"/>
                <w:b/>
                <w:i/>
                <w:sz w:val="20"/>
                <w:szCs w:val="20"/>
              </w:rPr>
              <w:t>0</w:t>
            </w:r>
          </w:p>
        </w:tc>
        <w:tc>
          <w:tcPr>
            <w:tcW w:w="1020" w:type="dxa"/>
            <w:shd w:val="clear" w:color="auto" w:fill="FFFFFF" w:themeFill="background1"/>
            <w:vAlign w:val="center"/>
          </w:tcPr>
          <w:p w:rsidR="00A71D96" w:rsidRPr="00F31947" w:rsidRDefault="00A71D96" w:rsidP="00F2417A">
            <w:pPr>
              <w:spacing w:after="0" w:line="240" w:lineRule="auto"/>
              <w:jc w:val="right"/>
              <w:rPr>
                <w:rFonts w:ascii="Century" w:hAnsi="Century"/>
                <w:b/>
                <w:i/>
                <w:sz w:val="20"/>
                <w:szCs w:val="20"/>
              </w:rPr>
            </w:pPr>
            <w:r w:rsidRPr="00F31947">
              <w:rPr>
                <w:rFonts w:ascii="Century" w:hAnsi="Century"/>
                <w:b/>
                <w:i/>
                <w:sz w:val="20"/>
                <w:szCs w:val="20"/>
              </w:rPr>
              <w:t>0</w:t>
            </w:r>
          </w:p>
        </w:tc>
      </w:tr>
      <w:tr w:rsidR="00A71D96" w:rsidRPr="00E7667D" w:rsidTr="003C4A4E">
        <w:trPr>
          <w:trHeight w:val="340"/>
        </w:trPr>
        <w:tc>
          <w:tcPr>
            <w:tcW w:w="5017" w:type="dxa"/>
            <w:tcBorders>
              <w:bottom w:val="single" w:sz="4" w:space="0" w:color="auto"/>
            </w:tcBorders>
            <w:shd w:val="clear" w:color="auto" w:fill="F2F2F2" w:themeFill="background1" w:themeFillShade="F2"/>
            <w:vAlign w:val="center"/>
          </w:tcPr>
          <w:p w:rsidR="00A71D96" w:rsidRPr="00BE63EA" w:rsidRDefault="00A71D96" w:rsidP="00F2417A">
            <w:pPr>
              <w:spacing w:after="0" w:line="240" w:lineRule="auto"/>
              <w:rPr>
                <w:rFonts w:ascii="Century" w:hAnsi="Century"/>
                <w:b/>
                <w:bCs/>
                <w:i/>
                <w:iCs/>
                <w:color w:val="000000"/>
                <w:sz w:val="20"/>
                <w:szCs w:val="20"/>
                <w:lang w:eastAsia="ru-RU"/>
              </w:rPr>
            </w:pPr>
            <w:r w:rsidRPr="00BE63EA">
              <w:rPr>
                <w:rFonts w:ascii="Century" w:hAnsi="Century"/>
                <w:b/>
                <w:bCs/>
                <w:i/>
                <w:iCs/>
                <w:color w:val="000000"/>
                <w:sz w:val="20"/>
                <w:szCs w:val="20"/>
                <w:lang w:eastAsia="ru-RU"/>
              </w:rPr>
              <w:t>Ненефтегазовый дефицит в %% ВВП</w:t>
            </w:r>
          </w:p>
        </w:tc>
        <w:tc>
          <w:tcPr>
            <w:tcW w:w="1020" w:type="dxa"/>
            <w:tcBorders>
              <w:bottom w:val="single" w:sz="4" w:space="0" w:color="auto"/>
            </w:tcBorders>
            <w:shd w:val="clear" w:color="auto" w:fill="F2F2F2" w:themeFill="background1" w:themeFillShade="F2"/>
            <w:vAlign w:val="center"/>
          </w:tcPr>
          <w:p w:rsidR="00A71D96" w:rsidRPr="00F31947" w:rsidRDefault="00A71D96" w:rsidP="00F2417A">
            <w:pPr>
              <w:spacing w:after="0" w:line="240" w:lineRule="auto"/>
              <w:jc w:val="right"/>
              <w:rPr>
                <w:rFonts w:ascii="Century" w:hAnsi="Century"/>
                <w:i/>
                <w:iCs/>
                <w:sz w:val="20"/>
                <w:szCs w:val="20"/>
              </w:rPr>
            </w:pPr>
            <w:r>
              <w:rPr>
                <w:rFonts w:ascii="Century" w:hAnsi="Century"/>
                <w:b/>
                <w:i/>
                <w:iCs/>
                <w:sz w:val="20"/>
                <w:szCs w:val="20"/>
              </w:rPr>
              <w:t>8,5</w:t>
            </w:r>
          </w:p>
        </w:tc>
        <w:tc>
          <w:tcPr>
            <w:tcW w:w="1020" w:type="dxa"/>
            <w:tcBorders>
              <w:bottom w:val="single" w:sz="4" w:space="0" w:color="auto"/>
            </w:tcBorders>
            <w:shd w:val="clear" w:color="auto" w:fill="F2F2F2" w:themeFill="background1" w:themeFillShade="F2"/>
            <w:vAlign w:val="center"/>
          </w:tcPr>
          <w:p w:rsidR="00A71D96" w:rsidRPr="00F31947" w:rsidRDefault="00A71D96" w:rsidP="00F2417A">
            <w:pPr>
              <w:spacing w:after="0" w:line="240" w:lineRule="auto"/>
              <w:jc w:val="right"/>
              <w:rPr>
                <w:rFonts w:ascii="Century" w:hAnsi="Century"/>
                <w:b/>
                <w:i/>
                <w:iCs/>
                <w:sz w:val="20"/>
                <w:szCs w:val="20"/>
              </w:rPr>
            </w:pPr>
            <w:r w:rsidRPr="00F31947">
              <w:rPr>
                <w:rFonts w:ascii="Century" w:hAnsi="Century" w:cs="Arial Cyr"/>
                <w:b/>
                <w:i/>
                <w:iCs/>
                <w:sz w:val="20"/>
                <w:szCs w:val="20"/>
              </w:rPr>
              <w:t>6,9</w:t>
            </w:r>
          </w:p>
        </w:tc>
        <w:tc>
          <w:tcPr>
            <w:tcW w:w="1020" w:type="dxa"/>
            <w:tcBorders>
              <w:bottom w:val="single" w:sz="4" w:space="0" w:color="auto"/>
            </w:tcBorders>
            <w:shd w:val="clear" w:color="auto" w:fill="F2F2F2" w:themeFill="background1" w:themeFillShade="F2"/>
            <w:vAlign w:val="center"/>
          </w:tcPr>
          <w:p w:rsidR="00A71D96" w:rsidRPr="00F31947" w:rsidRDefault="00A71D96" w:rsidP="00F2417A">
            <w:pPr>
              <w:spacing w:after="0" w:line="240" w:lineRule="auto"/>
              <w:jc w:val="right"/>
              <w:rPr>
                <w:rFonts w:ascii="Century" w:hAnsi="Century"/>
                <w:b/>
                <w:i/>
                <w:iCs/>
                <w:sz w:val="20"/>
                <w:szCs w:val="20"/>
              </w:rPr>
            </w:pPr>
            <w:r w:rsidRPr="00F31947">
              <w:rPr>
                <w:rFonts w:ascii="Century" w:hAnsi="Century" w:cs="Arial Cyr"/>
                <w:b/>
                <w:i/>
                <w:iCs/>
                <w:sz w:val="20"/>
                <w:szCs w:val="20"/>
              </w:rPr>
              <w:t>5,9</w:t>
            </w:r>
          </w:p>
        </w:tc>
        <w:tc>
          <w:tcPr>
            <w:tcW w:w="1020" w:type="dxa"/>
            <w:tcBorders>
              <w:bottom w:val="single" w:sz="4" w:space="0" w:color="auto"/>
            </w:tcBorders>
            <w:shd w:val="clear" w:color="auto" w:fill="F2F2F2" w:themeFill="background1" w:themeFillShade="F2"/>
            <w:vAlign w:val="center"/>
          </w:tcPr>
          <w:p w:rsidR="00A71D96" w:rsidRPr="00F31947" w:rsidRDefault="00A71D96" w:rsidP="00F2417A">
            <w:pPr>
              <w:spacing w:after="0" w:line="240" w:lineRule="auto"/>
              <w:jc w:val="right"/>
              <w:rPr>
                <w:rFonts w:ascii="Century" w:hAnsi="Century"/>
                <w:b/>
                <w:i/>
                <w:iCs/>
                <w:sz w:val="20"/>
                <w:szCs w:val="20"/>
              </w:rPr>
            </w:pPr>
            <w:r w:rsidRPr="00F31947">
              <w:rPr>
                <w:rFonts w:ascii="Century" w:hAnsi="Century" w:cs="Arial Cyr"/>
                <w:b/>
                <w:i/>
                <w:iCs/>
                <w:sz w:val="20"/>
                <w:szCs w:val="20"/>
              </w:rPr>
              <w:t>5,7</w:t>
            </w:r>
          </w:p>
        </w:tc>
      </w:tr>
    </w:tbl>
    <w:p w:rsidR="00A71D96" w:rsidRPr="002F675B" w:rsidRDefault="00A71D96" w:rsidP="00A71D96">
      <w:pPr>
        <w:spacing w:after="120"/>
        <w:jc w:val="both"/>
        <w:rPr>
          <w:rFonts w:ascii="Times New Roman" w:hAnsi="Times New Roman"/>
          <w:i/>
          <w:sz w:val="20"/>
          <w:szCs w:val="24"/>
        </w:rPr>
      </w:pPr>
    </w:p>
    <w:p w:rsidR="003A62CE" w:rsidRPr="000C253B" w:rsidRDefault="003A62CE" w:rsidP="003A62CE">
      <w:pPr>
        <w:spacing w:before="240" w:after="120"/>
        <w:jc w:val="both"/>
        <w:rPr>
          <w:rFonts w:ascii="Times New Roman" w:hAnsi="Times New Roman"/>
          <w:b/>
          <w:sz w:val="28"/>
          <w:szCs w:val="24"/>
        </w:rPr>
      </w:pPr>
      <w:r w:rsidRPr="000C253B">
        <w:rPr>
          <w:rFonts w:ascii="Times New Roman" w:hAnsi="Times New Roman"/>
          <w:b/>
          <w:sz w:val="28"/>
          <w:szCs w:val="24"/>
        </w:rPr>
        <w:t>Доходы федерального бюджета</w:t>
      </w:r>
    </w:p>
    <w:p w:rsidR="003A62CE" w:rsidRPr="00053516" w:rsidRDefault="003A62CE" w:rsidP="003A62CE">
      <w:pPr>
        <w:spacing w:before="120" w:after="120"/>
        <w:jc w:val="both"/>
        <w:rPr>
          <w:rFonts w:ascii="Times New Roman" w:hAnsi="Times New Roman"/>
          <w:sz w:val="24"/>
          <w:szCs w:val="24"/>
        </w:rPr>
      </w:pPr>
      <w:r>
        <w:rPr>
          <w:rFonts w:ascii="Times New Roman" w:hAnsi="Times New Roman"/>
          <w:sz w:val="24"/>
          <w:szCs w:val="24"/>
        </w:rPr>
        <w:t>В</w:t>
      </w:r>
      <w:r w:rsidRPr="000C253B">
        <w:rPr>
          <w:rFonts w:ascii="Times New Roman" w:hAnsi="Times New Roman"/>
          <w:sz w:val="24"/>
          <w:szCs w:val="24"/>
        </w:rPr>
        <w:t xml:space="preserve"> течение планового периода ожидается сокращение объема </w:t>
      </w:r>
      <w:r w:rsidRPr="00E7667D">
        <w:rPr>
          <w:rFonts w:ascii="Times New Roman" w:hAnsi="Times New Roman"/>
          <w:sz w:val="24"/>
          <w:szCs w:val="24"/>
        </w:rPr>
        <w:t>доходов федерального бюджета</w:t>
      </w:r>
      <w:r w:rsidRPr="000C253B">
        <w:rPr>
          <w:rFonts w:ascii="Times New Roman" w:hAnsi="Times New Roman"/>
          <w:sz w:val="24"/>
          <w:szCs w:val="24"/>
        </w:rPr>
        <w:t xml:space="preserve"> по отношению к ВВП</w:t>
      </w:r>
      <w:r>
        <w:rPr>
          <w:rFonts w:ascii="Times New Roman" w:hAnsi="Times New Roman"/>
          <w:sz w:val="24"/>
          <w:szCs w:val="24"/>
        </w:rPr>
        <w:t xml:space="preserve"> – главным образом в части </w:t>
      </w:r>
      <w:r w:rsidRPr="000C253B">
        <w:rPr>
          <w:rFonts w:ascii="Times New Roman" w:hAnsi="Times New Roman"/>
          <w:b/>
          <w:i/>
          <w:sz w:val="24"/>
          <w:szCs w:val="24"/>
        </w:rPr>
        <w:t>нефтегазовых доходов</w:t>
      </w:r>
      <w:r w:rsidRPr="000C253B">
        <w:rPr>
          <w:rFonts w:ascii="Times New Roman" w:hAnsi="Times New Roman"/>
          <w:sz w:val="24"/>
          <w:szCs w:val="24"/>
        </w:rPr>
        <w:t xml:space="preserve">, </w:t>
      </w:r>
      <w:r w:rsidRPr="00053516">
        <w:rPr>
          <w:rFonts w:ascii="Times New Roman" w:hAnsi="Times New Roman"/>
          <w:sz w:val="24"/>
          <w:szCs w:val="24"/>
        </w:rPr>
        <w:t>что обуславливается тремя основными факторами:</w:t>
      </w:r>
    </w:p>
    <w:p w:rsidR="003A62CE" w:rsidRPr="00FD7EDC" w:rsidRDefault="003A62CE" w:rsidP="003A62CE">
      <w:pPr>
        <w:pStyle w:val="a9"/>
        <w:numPr>
          <w:ilvl w:val="0"/>
          <w:numId w:val="6"/>
        </w:numPr>
        <w:spacing w:before="120" w:after="120"/>
        <w:contextualSpacing w:val="0"/>
        <w:jc w:val="both"/>
        <w:rPr>
          <w:rFonts w:ascii="Times New Roman" w:hAnsi="Times New Roman"/>
          <w:sz w:val="24"/>
          <w:szCs w:val="24"/>
        </w:rPr>
      </w:pPr>
      <w:proofErr w:type="gramStart"/>
      <w:r w:rsidRPr="00FD7EDC">
        <w:rPr>
          <w:rFonts w:ascii="Times New Roman" w:hAnsi="Times New Roman"/>
          <w:i/>
          <w:sz w:val="24"/>
          <w:szCs w:val="24"/>
        </w:rPr>
        <w:t>Во-первых</w:t>
      </w:r>
      <w:r w:rsidRPr="00FD7EDC">
        <w:rPr>
          <w:rFonts w:ascii="Times New Roman" w:hAnsi="Times New Roman"/>
          <w:sz w:val="24"/>
          <w:szCs w:val="24"/>
        </w:rPr>
        <w:t xml:space="preserve">, ожидается, что после кратковременного </w:t>
      </w:r>
      <w:r>
        <w:rPr>
          <w:rFonts w:ascii="Times New Roman" w:hAnsi="Times New Roman"/>
          <w:sz w:val="24"/>
          <w:szCs w:val="24"/>
        </w:rPr>
        <w:t>повышения в 2017 году вследствие действия соглашения по ограничению добычи между странами ОПЕК и Россией,</w:t>
      </w:r>
      <w:r w:rsidRPr="00FD7EDC">
        <w:rPr>
          <w:rFonts w:ascii="Times New Roman" w:hAnsi="Times New Roman"/>
          <w:sz w:val="24"/>
          <w:szCs w:val="24"/>
        </w:rPr>
        <w:t xml:space="preserve"> цены на энергоносители на мировом рынке вернутся к равновесному уровню (Юралс</w:t>
      </w:r>
      <w:r w:rsidRPr="00E7667D">
        <w:rPr>
          <w:rFonts w:ascii="Times New Roman" w:hAnsi="Times New Roman"/>
          <w:sz w:val="24"/>
          <w:szCs w:val="24"/>
        </w:rPr>
        <w:t xml:space="preserve"> – </w:t>
      </w:r>
      <w:r w:rsidRPr="00FD7EDC">
        <w:rPr>
          <w:rFonts w:ascii="Times New Roman" w:hAnsi="Times New Roman"/>
          <w:sz w:val="24"/>
          <w:szCs w:val="24"/>
        </w:rPr>
        <w:t>40 долларов США за баррель в ценах 2017 года), в то время как курс рубля к доллару США будет оставаться стабильным в реальном выражении.</w:t>
      </w:r>
      <w:proofErr w:type="gramEnd"/>
    </w:p>
    <w:p w:rsidR="003A62CE" w:rsidRPr="00FD7EDC" w:rsidRDefault="003A62CE" w:rsidP="003A62CE">
      <w:pPr>
        <w:pStyle w:val="a9"/>
        <w:numPr>
          <w:ilvl w:val="0"/>
          <w:numId w:val="6"/>
        </w:numPr>
        <w:spacing w:before="120" w:after="120"/>
        <w:contextualSpacing w:val="0"/>
        <w:jc w:val="both"/>
        <w:rPr>
          <w:rFonts w:ascii="Times New Roman" w:hAnsi="Times New Roman"/>
          <w:sz w:val="24"/>
          <w:szCs w:val="24"/>
        </w:rPr>
      </w:pPr>
      <w:r w:rsidRPr="00FD7EDC">
        <w:rPr>
          <w:rFonts w:ascii="Times New Roman" w:hAnsi="Times New Roman"/>
          <w:i/>
          <w:sz w:val="24"/>
          <w:szCs w:val="24"/>
        </w:rPr>
        <w:t>Во-вторых</w:t>
      </w:r>
      <w:r w:rsidRPr="00FD7EDC">
        <w:rPr>
          <w:rFonts w:ascii="Times New Roman" w:hAnsi="Times New Roman"/>
          <w:sz w:val="24"/>
          <w:szCs w:val="24"/>
        </w:rPr>
        <w:t>, в течение прогнозного периода доля самого нефтегазового сектора в ст</w:t>
      </w:r>
      <w:r w:rsidR="007915BD">
        <w:rPr>
          <w:rFonts w:ascii="Times New Roman" w:hAnsi="Times New Roman"/>
          <w:sz w:val="24"/>
          <w:szCs w:val="24"/>
        </w:rPr>
        <w:t>руктуре ВВП продолжит снижаться, что связано с отстающими темпами</w:t>
      </w:r>
      <w:r w:rsidRPr="00FD7EDC">
        <w:rPr>
          <w:rFonts w:ascii="Times New Roman" w:hAnsi="Times New Roman"/>
          <w:sz w:val="24"/>
          <w:szCs w:val="24"/>
        </w:rPr>
        <w:t xml:space="preserve"> роста (снижения по отдельным позициям) физических объемов добычи и экспорта данной продукции по отношению к динамике ненефтегазового сектора отечественной экономики.</w:t>
      </w:r>
    </w:p>
    <w:p w:rsidR="003A62CE" w:rsidRPr="00FD7EDC" w:rsidRDefault="003A62CE" w:rsidP="003A62CE">
      <w:pPr>
        <w:pStyle w:val="a9"/>
        <w:numPr>
          <w:ilvl w:val="0"/>
          <w:numId w:val="6"/>
        </w:numPr>
        <w:spacing w:before="120" w:after="120"/>
        <w:contextualSpacing w:val="0"/>
        <w:jc w:val="both"/>
        <w:rPr>
          <w:rFonts w:ascii="Times New Roman" w:hAnsi="Times New Roman"/>
          <w:sz w:val="24"/>
          <w:szCs w:val="24"/>
        </w:rPr>
      </w:pPr>
      <w:r w:rsidRPr="00FD7EDC">
        <w:rPr>
          <w:rFonts w:ascii="Times New Roman" w:hAnsi="Times New Roman"/>
          <w:i/>
          <w:sz w:val="24"/>
          <w:szCs w:val="24"/>
        </w:rPr>
        <w:t>В-третьих</w:t>
      </w:r>
      <w:r w:rsidRPr="00FD7EDC">
        <w:rPr>
          <w:rFonts w:ascii="Times New Roman" w:hAnsi="Times New Roman"/>
          <w:sz w:val="24"/>
          <w:szCs w:val="24"/>
        </w:rPr>
        <w:t xml:space="preserve">, по мере роста истощенности разрабатываемых запасов, а также переноса инвестиций на льготные месторождения </w:t>
      </w:r>
      <w:r>
        <w:rPr>
          <w:rFonts w:ascii="Times New Roman" w:hAnsi="Times New Roman"/>
          <w:sz w:val="24"/>
          <w:szCs w:val="24"/>
        </w:rPr>
        <w:t>эффективная ставка налогообложения нефтегазового сектора продолжит снижаться</w:t>
      </w:r>
      <w:r w:rsidRPr="00FD7EDC">
        <w:rPr>
          <w:rFonts w:ascii="Times New Roman" w:hAnsi="Times New Roman"/>
          <w:sz w:val="24"/>
          <w:szCs w:val="24"/>
        </w:rPr>
        <w:t>.</w:t>
      </w:r>
    </w:p>
    <w:p w:rsidR="003A62CE" w:rsidRDefault="003A62CE" w:rsidP="003A62CE">
      <w:pPr>
        <w:spacing w:before="120" w:after="120"/>
        <w:jc w:val="both"/>
        <w:rPr>
          <w:rFonts w:ascii="Times New Roman" w:hAnsi="Times New Roman"/>
          <w:sz w:val="24"/>
          <w:szCs w:val="24"/>
        </w:rPr>
      </w:pPr>
      <w:proofErr w:type="spellStart"/>
      <w:r w:rsidRPr="009E154E">
        <w:rPr>
          <w:rFonts w:ascii="Times New Roman" w:hAnsi="Times New Roman"/>
          <w:b/>
          <w:i/>
          <w:sz w:val="24"/>
          <w:szCs w:val="24"/>
        </w:rPr>
        <w:t>Ненефтегазовые</w:t>
      </w:r>
      <w:proofErr w:type="spellEnd"/>
      <w:r w:rsidRPr="009E154E">
        <w:rPr>
          <w:rFonts w:ascii="Times New Roman" w:hAnsi="Times New Roman"/>
          <w:b/>
          <w:i/>
          <w:sz w:val="24"/>
          <w:szCs w:val="24"/>
        </w:rPr>
        <w:t xml:space="preserve"> доходы</w:t>
      </w:r>
      <w:r w:rsidRPr="009E154E">
        <w:rPr>
          <w:rFonts w:ascii="Times New Roman" w:hAnsi="Times New Roman"/>
          <w:sz w:val="24"/>
          <w:szCs w:val="24"/>
        </w:rPr>
        <w:t xml:space="preserve"> федерального бюджета будут сохранять стабильность по </w:t>
      </w:r>
      <w:r w:rsidRPr="002F675B">
        <w:rPr>
          <w:rFonts w:ascii="Times New Roman" w:hAnsi="Times New Roman"/>
          <w:sz w:val="24"/>
          <w:szCs w:val="24"/>
        </w:rPr>
        <w:t xml:space="preserve">отношению к ВВП (9,8-10,0%) несмотря </w:t>
      </w:r>
      <w:proofErr w:type="gramStart"/>
      <w:r w:rsidRPr="002F675B">
        <w:rPr>
          <w:rFonts w:ascii="Times New Roman" w:hAnsi="Times New Roman"/>
          <w:sz w:val="24"/>
          <w:szCs w:val="24"/>
        </w:rPr>
        <w:t>на</w:t>
      </w:r>
      <w:proofErr w:type="gramEnd"/>
      <w:r>
        <w:rPr>
          <w:rFonts w:ascii="Times New Roman" w:hAnsi="Times New Roman"/>
          <w:sz w:val="24"/>
          <w:szCs w:val="24"/>
        </w:rPr>
        <w:t>:</w:t>
      </w:r>
    </w:p>
    <w:p w:rsidR="003A62CE" w:rsidRPr="000A1680" w:rsidRDefault="003A62CE" w:rsidP="003A62CE">
      <w:pPr>
        <w:pStyle w:val="a9"/>
        <w:numPr>
          <w:ilvl w:val="0"/>
          <w:numId w:val="26"/>
        </w:numPr>
        <w:spacing w:before="120" w:after="120"/>
        <w:contextualSpacing w:val="0"/>
        <w:jc w:val="both"/>
        <w:rPr>
          <w:rFonts w:ascii="Times New Roman" w:hAnsi="Times New Roman"/>
          <w:sz w:val="24"/>
          <w:szCs w:val="24"/>
        </w:rPr>
      </w:pPr>
      <w:r w:rsidRPr="000A1680">
        <w:rPr>
          <w:rFonts w:ascii="Times New Roman" w:hAnsi="Times New Roman"/>
          <w:i/>
          <w:sz w:val="24"/>
          <w:szCs w:val="24"/>
        </w:rPr>
        <w:t>отсутствие в 2018-2020 годах ряда «разовых» поступлений</w:t>
      </w:r>
      <w:r w:rsidRPr="000A1680">
        <w:rPr>
          <w:rFonts w:ascii="Times New Roman" w:hAnsi="Times New Roman"/>
          <w:sz w:val="24"/>
          <w:szCs w:val="24"/>
        </w:rPr>
        <w:t>, предусмотренных в 2017 год</w:t>
      </w:r>
      <w:proofErr w:type="gramStart"/>
      <w:r w:rsidRPr="000A1680">
        <w:rPr>
          <w:rFonts w:ascii="Times New Roman" w:hAnsi="Times New Roman"/>
          <w:sz w:val="24"/>
          <w:szCs w:val="24"/>
        </w:rPr>
        <w:t>у(</w:t>
      </w:r>
      <w:proofErr w:type="gramEnd"/>
      <w:r w:rsidRPr="000A1680">
        <w:rPr>
          <w:rFonts w:ascii="Times New Roman" w:eastAsia="+mn-ea" w:hAnsi="Times New Roman"/>
          <w:color w:val="000000"/>
          <w:kern w:val="24"/>
          <w:sz w:val="24"/>
          <w:szCs w:val="24"/>
          <w:lang w:eastAsia="ru-RU"/>
        </w:rPr>
        <w:t>возврат ряда поступлений и задолженности предыдущих лет, реализация активов по результатам принятых решений и др.);</w:t>
      </w:r>
    </w:p>
    <w:p w:rsidR="003A62CE" w:rsidRPr="000A1680" w:rsidRDefault="003A62CE" w:rsidP="003A62CE">
      <w:pPr>
        <w:pStyle w:val="a9"/>
        <w:numPr>
          <w:ilvl w:val="0"/>
          <w:numId w:val="26"/>
        </w:numPr>
        <w:spacing w:before="120" w:after="120"/>
        <w:contextualSpacing w:val="0"/>
        <w:jc w:val="both"/>
        <w:rPr>
          <w:rFonts w:ascii="Times New Roman" w:hAnsi="Times New Roman"/>
          <w:sz w:val="24"/>
          <w:szCs w:val="24"/>
        </w:rPr>
      </w:pPr>
      <w:r w:rsidRPr="000A1680">
        <w:rPr>
          <w:rFonts w:ascii="Times New Roman" w:hAnsi="Times New Roman"/>
          <w:i/>
          <w:sz w:val="24"/>
          <w:szCs w:val="24"/>
        </w:rPr>
        <w:t>сокращение поступления импортной пошлины</w:t>
      </w:r>
      <w:r w:rsidRPr="000A1680">
        <w:rPr>
          <w:rFonts w:ascii="Times New Roman" w:hAnsi="Times New Roman"/>
          <w:sz w:val="24"/>
          <w:szCs w:val="24"/>
        </w:rPr>
        <w:t xml:space="preserve"> из-за снижения тарифных ставок в соответствии с </w:t>
      </w:r>
      <w:r>
        <w:rPr>
          <w:rFonts w:ascii="Times New Roman" w:hAnsi="Times New Roman"/>
          <w:sz w:val="24"/>
          <w:szCs w:val="24"/>
        </w:rPr>
        <w:t xml:space="preserve">исполнением </w:t>
      </w:r>
      <w:r w:rsidRPr="000A1680">
        <w:rPr>
          <w:rFonts w:ascii="Times New Roman" w:hAnsi="Times New Roman"/>
          <w:sz w:val="24"/>
          <w:szCs w:val="24"/>
        </w:rPr>
        <w:t>обязательств</w:t>
      </w:r>
      <w:r>
        <w:rPr>
          <w:rFonts w:ascii="Times New Roman" w:hAnsi="Times New Roman"/>
          <w:sz w:val="24"/>
          <w:szCs w:val="24"/>
        </w:rPr>
        <w:t xml:space="preserve"> </w:t>
      </w:r>
      <w:r w:rsidRPr="000A1680">
        <w:rPr>
          <w:rFonts w:ascii="Times New Roman" w:hAnsi="Times New Roman"/>
          <w:sz w:val="24"/>
          <w:szCs w:val="24"/>
        </w:rPr>
        <w:t>перед ВТО.</w:t>
      </w:r>
    </w:p>
    <w:p w:rsidR="003A62CE" w:rsidRPr="009E154E" w:rsidRDefault="007915BD" w:rsidP="003A62CE">
      <w:pPr>
        <w:spacing w:before="120" w:after="120"/>
        <w:jc w:val="both"/>
        <w:rPr>
          <w:rFonts w:ascii="Times New Roman" w:hAnsi="Times New Roman"/>
          <w:sz w:val="24"/>
          <w:szCs w:val="24"/>
        </w:rPr>
      </w:pPr>
      <w:r>
        <w:rPr>
          <w:rFonts w:ascii="Times New Roman" w:hAnsi="Times New Roman"/>
          <w:sz w:val="24"/>
          <w:szCs w:val="24"/>
        </w:rPr>
        <w:t>Р</w:t>
      </w:r>
      <w:r w:rsidR="003A62CE" w:rsidRPr="000A1680">
        <w:rPr>
          <w:rFonts w:ascii="Times New Roman" w:hAnsi="Times New Roman"/>
          <w:sz w:val="24"/>
          <w:szCs w:val="24"/>
        </w:rPr>
        <w:t xml:space="preserve">осту </w:t>
      </w:r>
      <w:proofErr w:type="spellStart"/>
      <w:r w:rsidR="003A62CE" w:rsidRPr="000A1680">
        <w:rPr>
          <w:rFonts w:ascii="Times New Roman" w:hAnsi="Times New Roman"/>
          <w:sz w:val="24"/>
          <w:szCs w:val="24"/>
        </w:rPr>
        <w:t>ненефтегазовых</w:t>
      </w:r>
      <w:proofErr w:type="spellEnd"/>
      <w:r w:rsidR="003A62CE" w:rsidRPr="000A1680">
        <w:rPr>
          <w:rFonts w:ascii="Times New Roman" w:hAnsi="Times New Roman"/>
          <w:sz w:val="24"/>
          <w:szCs w:val="24"/>
        </w:rPr>
        <w:t xml:space="preserve"> доходов</w:t>
      </w:r>
      <w:r w:rsidR="003A62CE" w:rsidRPr="009E154E">
        <w:rPr>
          <w:rFonts w:ascii="Times New Roman" w:hAnsi="Times New Roman"/>
          <w:sz w:val="24"/>
          <w:szCs w:val="24"/>
        </w:rPr>
        <w:t xml:space="preserve"> федерального бюджета в 201</w:t>
      </w:r>
      <w:r w:rsidR="003A62CE">
        <w:rPr>
          <w:rFonts w:ascii="Times New Roman" w:hAnsi="Times New Roman"/>
          <w:sz w:val="24"/>
          <w:szCs w:val="24"/>
        </w:rPr>
        <w:t>8</w:t>
      </w:r>
      <w:r w:rsidR="003A62CE" w:rsidRPr="009E154E">
        <w:rPr>
          <w:rFonts w:ascii="Times New Roman" w:hAnsi="Times New Roman"/>
          <w:sz w:val="24"/>
          <w:szCs w:val="24"/>
        </w:rPr>
        <w:t>-2020 годах будут способствовать принимаемые меры по мобилизации доходов, в частности:</w:t>
      </w:r>
    </w:p>
    <w:p w:rsidR="003A62CE" w:rsidRPr="00AA1BFA" w:rsidRDefault="003A62CE" w:rsidP="003A62CE">
      <w:pPr>
        <w:pStyle w:val="a9"/>
        <w:numPr>
          <w:ilvl w:val="0"/>
          <w:numId w:val="6"/>
        </w:numPr>
        <w:spacing w:before="120" w:after="120"/>
        <w:contextualSpacing w:val="0"/>
        <w:jc w:val="both"/>
        <w:rPr>
          <w:rFonts w:ascii="Times New Roman" w:hAnsi="Times New Roman"/>
          <w:sz w:val="24"/>
          <w:szCs w:val="24"/>
        </w:rPr>
      </w:pPr>
      <w:r>
        <w:rPr>
          <w:rFonts w:ascii="Times New Roman" w:hAnsi="Times New Roman"/>
          <w:i/>
          <w:sz w:val="24"/>
          <w:szCs w:val="24"/>
        </w:rPr>
        <w:t xml:space="preserve">улучшение администрирования доходов </w:t>
      </w:r>
      <w:r w:rsidRPr="00AA1BFA">
        <w:rPr>
          <w:rFonts w:ascii="Times New Roman" w:hAnsi="Times New Roman"/>
          <w:sz w:val="24"/>
          <w:szCs w:val="24"/>
        </w:rPr>
        <w:t>и снижение доли теневого сектора, способствующ</w:t>
      </w:r>
      <w:r>
        <w:rPr>
          <w:rFonts w:ascii="Times New Roman" w:hAnsi="Times New Roman"/>
          <w:sz w:val="24"/>
          <w:szCs w:val="24"/>
        </w:rPr>
        <w:t>и</w:t>
      </w:r>
      <w:r w:rsidRPr="00AA1BFA">
        <w:rPr>
          <w:rFonts w:ascii="Times New Roman" w:hAnsi="Times New Roman"/>
          <w:sz w:val="24"/>
          <w:szCs w:val="24"/>
        </w:rPr>
        <w:t xml:space="preserve">е росту </w:t>
      </w:r>
      <w:r>
        <w:rPr>
          <w:rFonts w:ascii="Times New Roman" w:hAnsi="Times New Roman"/>
          <w:sz w:val="24"/>
          <w:szCs w:val="24"/>
        </w:rPr>
        <w:t xml:space="preserve">налоговых </w:t>
      </w:r>
      <w:r w:rsidRPr="00AA1BFA">
        <w:rPr>
          <w:rFonts w:ascii="Times New Roman" w:hAnsi="Times New Roman"/>
          <w:sz w:val="24"/>
          <w:szCs w:val="24"/>
        </w:rPr>
        <w:t>поступлени</w:t>
      </w:r>
      <w:r>
        <w:rPr>
          <w:rFonts w:ascii="Times New Roman" w:hAnsi="Times New Roman"/>
          <w:sz w:val="24"/>
          <w:szCs w:val="24"/>
        </w:rPr>
        <w:t>й опережающими по отношению к росту экономики темпами;</w:t>
      </w:r>
    </w:p>
    <w:p w:rsidR="003A62CE" w:rsidRDefault="003A62CE" w:rsidP="003A62CE">
      <w:pPr>
        <w:pStyle w:val="a9"/>
        <w:numPr>
          <w:ilvl w:val="0"/>
          <w:numId w:val="6"/>
        </w:numPr>
        <w:spacing w:before="120" w:after="120"/>
        <w:contextualSpacing w:val="0"/>
        <w:jc w:val="both"/>
        <w:rPr>
          <w:rFonts w:ascii="Times New Roman" w:hAnsi="Times New Roman"/>
          <w:sz w:val="24"/>
          <w:szCs w:val="24"/>
        </w:rPr>
      </w:pPr>
      <w:r>
        <w:rPr>
          <w:rFonts w:ascii="Times New Roman" w:hAnsi="Times New Roman"/>
          <w:sz w:val="24"/>
          <w:szCs w:val="24"/>
        </w:rPr>
        <w:t>н</w:t>
      </w:r>
      <w:r w:rsidRPr="000A1680">
        <w:rPr>
          <w:rFonts w:ascii="Times New Roman" w:hAnsi="Times New Roman"/>
          <w:sz w:val="24"/>
          <w:szCs w:val="24"/>
        </w:rPr>
        <w:t xml:space="preserve">аправление на выплату </w:t>
      </w:r>
      <w:r w:rsidRPr="000A1680">
        <w:rPr>
          <w:rFonts w:ascii="Times New Roman" w:hAnsi="Times New Roman"/>
          <w:i/>
          <w:sz w:val="24"/>
          <w:szCs w:val="24"/>
        </w:rPr>
        <w:t>дивидендов компаний с государственным участием не менее 50% прибыли</w:t>
      </w:r>
      <w:r w:rsidRPr="000A1680">
        <w:rPr>
          <w:rFonts w:ascii="Times New Roman" w:hAnsi="Times New Roman"/>
          <w:sz w:val="24"/>
          <w:szCs w:val="24"/>
        </w:rPr>
        <w:t>, включая перечисление Банком России дивидендов по акциям ПАО Сбербанк</w:t>
      </w:r>
      <w:r>
        <w:rPr>
          <w:rFonts w:ascii="Times New Roman" w:hAnsi="Times New Roman"/>
          <w:sz w:val="24"/>
          <w:szCs w:val="24"/>
        </w:rPr>
        <w:t xml:space="preserve"> в соответствующем объеме.</w:t>
      </w:r>
    </w:p>
    <w:p w:rsidR="003A62CE" w:rsidRDefault="003A62CE" w:rsidP="003A62CE">
      <w:pPr>
        <w:spacing w:before="120" w:after="120"/>
        <w:jc w:val="both"/>
        <w:rPr>
          <w:rFonts w:ascii="Times New Roman" w:hAnsi="Times New Roman"/>
          <w:sz w:val="24"/>
          <w:szCs w:val="24"/>
        </w:rPr>
      </w:pPr>
      <w:r>
        <w:rPr>
          <w:rFonts w:ascii="Times New Roman" w:hAnsi="Times New Roman"/>
          <w:sz w:val="24"/>
          <w:szCs w:val="24"/>
        </w:rPr>
        <w:t>В части акцизного налогообложения с</w:t>
      </w:r>
      <w:r w:rsidRPr="00835690">
        <w:rPr>
          <w:rFonts w:ascii="Times New Roman" w:hAnsi="Times New Roman"/>
          <w:sz w:val="24"/>
          <w:szCs w:val="24"/>
        </w:rPr>
        <w:t>тавки на 2018-2019 гг. предполагается сохранить на уровне, установленном действую</w:t>
      </w:r>
      <w:r>
        <w:rPr>
          <w:rFonts w:ascii="Times New Roman" w:hAnsi="Times New Roman"/>
          <w:sz w:val="24"/>
          <w:szCs w:val="24"/>
        </w:rPr>
        <w:t>щим налоговым законодательством, а с</w:t>
      </w:r>
      <w:r w:rsidRPr="00835690">
        <w:rPr>
          <w:rFonts w:ascii="Times New Roman" w:hAnsi="Times New Roman"/>
          <w:sz w:val="24"/>
          <w:szCs w:val="24"/>
        </w:rPr>
        <w:t>тавки акциза на 2020 год проиндексировать в соответствии с прогн</w:t>
      </w:r>
      <w:r>
        <w:rPr>
          <w:rFonts w:ascii="Times New Roman" w:hAnsi="Times New Roman"/>
          <w:sz w:val="24"/>
          <w:szCs w:val="24"/>
        </w:rPr>
        <w:t>озируемым уровнем инфляции (4%) (н</w:t>
      </w:r>
      <w:r w:rsidRPr="00835690">
        <w:rPr>
          <w:rFonts w:ascii="Times New Roman" w:hAnsi="Times New Roman"/>
          <w:sz w:val="24"/>
          <w:szCs w:val="24"/>
        </w:rPr>
        <w:t xml:space="preserve">алогообложение подакцизных товаров с 1 января 2018 года </w:t>
      </w:r>
      <w:r>
        <w:rPr>
          <w:rFonts w:ascii="Times New Roman" w:hAnsi="Times New Roman"/>
          <w:sz w:val="24"/>
          <w:szCs w:val="24"/>
        </w:rPr>
        <w:t xml:space="preserve">будет </w:t>
      </w:r>
      <w:r w:rsidRPr="00835690">
        <w:rPr>
          <w:rFonts w:ascii="Times New Roman" w:hAnsi="Times New Roman"/>
          <w:sz w:val="24"/>
          <w:szCs w:val="24"/>
        </w:rPr>
        <w:t>осуществлят</w:t>
      </w:r>
      <w:r>
        <w:rPr>
          <w:rFonts w:ascii="Times New Roman" w:hAnsi="Times New Roman"/>
          <w:sz w:val="24"/>
          <w:szCs w:val="24"/>
        </w:rPr>
        <w:t>ь</w:t>
      </w:r>
      <w:r w:rsidRPr="00835690">
        <w:rPr>
          <w:rFonts w:ascii="Times New Roman" w:hAnsi="Times New Roman"/>
          <w:sz w:val="24"/>
          <w:szCs w:val="24"/>
        </w:rPr>
        <w:t>ся по налоговым ставкам</w:t>
      </w:r>
      <w:r w:rsidR="007915BD">
        <w:rPr>
          <w:rFonts w:ascii="Times New Roman" w:hAnsi="Times New Roman"/>
          <w:sz w:val="24"/>
          <w:szCs w:val="24"/>
        </w:rPr>
        <w:t>,</w:t>
      </w:r>
      <w:r>
        <w:rPr>
          <w:rFonts w:ascii="Times New Roman" w:hAnsi="Times New Roman"/>
          <w:sz w:val="24"/>
          <w:szCs w:val="24"/>
        </w:rPr>
        <w:t xml:space="preserve"> приведенным в Приложении № 9).</w:t>
      </w:r>
    </w:p>
    <w:p w:rsidR="00AA1BFA" w:rsidRPr="00E070B6" w:rsidRDefault="00AA1BFA" w:rsidP="00AA1BFA">
      <w:pPr>
        <w:spacing w:before="120" w:after="120"/>
        <w:jc w:val="both"/>
        <w:rPr>
          <w:rFonts w:ascii="Times New Roman" w:hAnsi="Times New Roman"/>
          <w:sz w:val="24"/>
          <w:szCs w:val="24"/>
        </w:rPr>
      </w:pPr>
      <w:r w:rsidRPr="00E070B6">
        <w:rPr>
          <w:rFonts w:ascii="Times New Roman" w:hAnsi="Times New Roman"/>
          <w:b/>
          <w:sz w:val="24"/>
          <w:szCs w:val="24"/>
        </w:rPr>
        <w:t xml:space="preserve">Таблица </w:t>
      </w:r>
      <w:r w:rsidR="00810199" w:rsidRPr="002B72A8">
        <w:rPr>
          <w:rFonts w:ascii="Times New Roman" w:hAnsi="Times New Roman"/>
          <w:b/>
          <w:sz w:val="24"/>
          <w:szCs w:val="24"/>
        </w:rPr>
        <w:t>4</w:t>
      </w:r>
      <w:r w:rsidRPr="00E070B6">
        <w:rPr>
          <w:rFonts w:ascii="Times New Roman" w:hAnsi="Times New Roman"/>
          <w:b/>
          <w:sz w:val="24"/>
          <w:szCs w:val="24"/>
        </w:rPr>
        <w:t>.1.2.</w:t>
      </w:r>
      <w:r w:rsidRPr="00E070B6">
        <w:rPr>
          <w:rFonts w:ascii="Times New Roman" w:hAnsi="Times New Roman"/>
          <w:sz w:val="24"/>
          <w:szCs w:val="24"/>
        </w:rPr>
        <w:t xml:space="preserve"> Доходы федерального бюджета в 201</w:t>
      </w:r>
      <w:r w:rsidR="00AB0B73">
        <w:rPr>
          <w:rFonts w:ascii="Times New Roman" w:hAnsi="Times New Roman"/>
          <w:sz w:val="24"/>
          <w:szCs w:val="24"/>
        </w:rPr>
        <w:t>7</w:t>
      </w:r>
      <w:r w:rsidRPr="00E070B6">
        <w:rPr>
          <w:rFonts w:ascii="Times New Roman" w:hAnsi="Times New Roman"/>
          <w:sz w:val="24"/>
          <w:szCs w:val="24"/>
        </w:rPr>
        <w:t>-2020 гг.</w:t>
      </w:r>
    </w:p>
    <w:p w:rsidR="00AA1BFA" w:rsidRDefault="007F725F" w:rsidP="00AA1BFA">
      <w:pPr>
        <w:spacing w:after="0"/>
        <w:contextualSpacing/>
        <w:jc w:val="right"/>
        <w:rPr>
          <w:rFonts w:ascii="Times New Roman" w:hAnsi="Times New Roman"/>
          <w:i/>
          <w:sz w:val="24"/>
          <w:szCs w:val="24"/>
        </w:rPr>
      </w:pPr>
      <w:proofErr w:type="gramStart"/>
      <w:r>
        <w:rPr>
          <w:rFonts w:ascii="Times New Roman" w:hAnsi="Times New Roman"/>
          <w:i/>
          <w:sz w:val="24"/>
          <w:szCs w:val="24"/>
        </w:rPr>
        <w:t>млрд</w:t>
      </w:r>
      <w:proofErr w:type="gramEnd"/>
      <w:r w:rsidR="00AA1BFA" w:rsidRPr="00E070B6">
        <w:rPr>
          <w:rFonts w:ascii="Times New Roman" w:hAnsi="Times New Roman"/>
          <w:i/>
          <w:sz w:val="24"/>
          <w:szCs w:val="24"/>
        </w:rPr>
        <w:t xml:space="preserve"> рублей</w:t>
      </w:r>
    </w:p>
    <w:tbl>
      <w:tblPr>
        <w:tblStyle w:val="aff1"/>
        <w:tblW w:w="9286" w:type="dxa"/>
        <w:tblLayout w:type="fixed"/>
        <w:tblLook w:val="04A0" w:firstRow="1" w:lastRow="0" w:firstColumn="1" w:lastColumn="0" w:noHBand="0" w:noVBand="1"/>
      </w:tblPr>
      <w:tblGrid>
        <w:gridCol w:w="3950"/>
        <w:gridCol w:w="1334"/>
        <w:gridCol w:w="1334"/>
        <w:gridCol w:w="1334"/>
        <w:gridCol w:w="1334"/>
      </w:tblGrid>
      <w:tr w:rsidR="00AB0B73" w:rsidRPr="009418F1" w:rsidTr="00F2417A">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000" w:firstRow="0" w:lastRow="0" w:firstColumn="1" w:lastColumn="0" w:oddVBand="0" w:evenVBand="0" w:oddHBand="0" w:evenHBand="0" w:firstRowFirstColumn="0" w:firstRowLastColumn="0" w:lastRowFirstColumn="0" w:lastRowLastColumn="0"/>
            <w:tcW w:w="3950" w:type="dxa"/>
            <w:shd w:val="clear" w:color="auto" w:fill="auto"/>
            <w:hideMark/>
          </w:tcPr>
          <w:p w:rsidR="00AB0B73" w:rsidRPr="0075248C" w:rsidRDefault="00AB0B73" w:rsidP="00F2417A">
            <w:pPr>
              <w:spacing w:after="0" w:line="240" w:lineRule="auto"/>
              <w:rPr>
                <w:rFonts w:ascii="Century" w:eastAsia="Times New Roman" w:hAnsi="Century"/>
                <w:bCs w:val="0"/>
              </w:rPr>
            </w:pPr>
            <w:r w:rsidRPr="0075248C">
              <w:rPr>
                <w:rFonts w:ascii="Century" w:eastAsia="Times New Roman" w:hAnsi="Century"/>
                <w:bCs w:val="0"/>
              </w:rPr>
              <w:t>Показатель</w:t>
            </w:r>
          </w:p>
        </w:tc>
        <w:tc>
          <w:tcPr>
            <w:tcW w:w="1334" w:type="dxa"/>
            <w:shd w:val="clear" w:color="auto" w:fill="auto"/>
          </w:tcPr>
          <w:p w:rsidR="00AB0B73" w:rsidRPr="0075248C" w:rsidRDefault="00AB0B73" w:rsidP="00F2417A">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entury" w:eastAsia="Times New Roman" w:hAnsi="Century"/>
              </w:rPr>
            </w:pPr>
            <w:r>
              <w:rPr>
                <w:rFonts w:ascii="Century" w:eastAsia="Times New Roman" w:hAnsi="Century"/>
              </w:rPr>
              <w:t>2017</w:t>
            </w:r>
          </w:p>
        </w:tc>
        <w:tc>
          <w:tcPr>
            <w:tcW w:w="1334" w:type="dxa"/>
            <w:shd w:val="clear" w:color="auto" w:fill="auto"/>
            <w:noWrap/>
            <w:hideMark/>
          </w:tcPr>
          <w:p w:rsidR="00AB0B73" w:rsidRPr="0075248C" w:rsidRDefault="00AB0B73" w:rsidP="00F2417A">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entury" w:eastAsia="Times New Roman" w:hAnsi="Century"/>
                <w:bCs w:val="0"/>
              </w:rPr>
            </w:pPr>
            <w:r w:rsidRPr="0075248C">
              <w:rPr>
                <w:rFonts w:ascii="Century" w:eastAsia="Times New Roman" w:hAnsi="Century"/>
              </w:rPr>
              <w:t>2018</w:t>
            </w:r>
          </w:p>
        </w:tc>
        <w:tc>
          <w:tcPr>
            <w:tcW w:w="1334" w:type="dxa"/>
            <w:shd w:val="clear" w:color="auto" w:fill="auto"/>
            <w:noWrap/>
            <w:hideMark/>
          </w:tcPr>
          <w:p w:rsidR="00AB0B73" w:rsidRPr="0075248C" w:rsidRDefault="00AB0B73" w:rsidP="00F2417A">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entury" w:eastAsia="Times New Roman" w:hAnsi="Century"/>
                <w:bCs w:val="0"/>
              </w:rPr>
            </w:pPr>
            <w:r w:rsidRPr="0075248C">
              <w:rPr>
                <w:rFonts w:ascii="Century" w:eastAsia="Times New Roman" w:hAnsi="Century"/>
              </w:rPr>
              <w:t>2019</w:t>
            </w:r>
          </w:p>
        </w:tc>
        <w:tc>
          <w:tcPr>
            <w:tcW w:w="1334" w:type="dxa"/>
            <w:shd w:val="clear" w:color="auto" w:fill="auto"/>
            <w:noWrap/>
            <w:hideMark/>
          </w:tcPr>
          <w:p w:rsidR="00AB0B73" w:rsidRPr="0075248C" w:rsidRDefault="00AB0B73" w:rsidP="00F2417A">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entury" w:eastAsia="Times New Roman" w:hAnsi="Century"/>
                <w:bCs w:val="0"/>
              </w:rPr>
            </w:pPr>
            <w:r w:rsidRPr="0075248C">
              <w:rPr>
                <w:rFonts w:ascii="Century" w:eastAsia="Times New Roman" w:hAnsi="Century"/>
              </w:rPr>
              <w:t>2020</w:t>
            </w:r>
          </w:p>
        </w:tc>
      </w:tr>
      <w:tr w:rsidR="00F31947" w:rsidRPr="009418F1" w:rsidTr="0049376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950" w:type="dxa"/>
            <w:tcBorders>
              <w:top w:val="single" w:sz="8" w:space="0" w:color="000000" w:themeColor="text1"/>
              <w:bottom w:val="nil"/>
            </w:tcBorders>
            <w:shd w:val="clear" w:color="auto" w:fill="F2F2F2" w:themeFill="background1" w:themeFillShade="F2"/>
            <w:noWrap/>
            <w:vAlign w:val="center"/>
            <w:hideMark/>
          </w:tcPr>
          <w:p w:rsidR="00F31947" w:rsidRPr="00F31947" w:rsidRDefault="00F31947" w:rsidP="00F2417A">
            <w:pPr>
              <w:spacing w:after="0" w:line="240" w:lineRule="auto"/>
              <w:rPr>
                <w:rFonts w:ascii="Century" w:eastAsia="Times New Roman" w:hAnsi="Century"/>
                <w:b w:val="0"/>
                <w:bCs w:val="0"/>
                <w:sz w:val="20"/>
              </w:rPr>
            </w:pPr>
            <w:r w:rsidRPr="00F31947">
              <w:rPr>
                <w:rFonts w:ascii="Century" w:eastAsia="Times New Roman" w:hAnsi="Century"/>
                <w:sz w:val="20"/>
              </w:rPr>
              <w:t>ДОХОДЫ, ВСЕГО</w:t>
            </w:r>
          </w:p>
        </w:tc>
        <w:tc>
          <w:tcPr>
            <w:tcW w:w="1334" w:type="dxa"/>
            <w:tcBorders>
              <w:top w:val="single" w:sz="8" w:space="0" w:color="000000" w:themeColor="text1"/>
              <w:bottom w:val="nil"/>
            </w:tcBorders>
            <w:shd w:val="clear" w:color="auto" w:fill="F2F2F2" w:themeFill="background1" w:themeFillShade="F2"/>
            <w:vAlign w:val="center"/>
          </w:tcPr>
          <w:p w:rsidR="00F31947" w:rsidRPr="00F31947" w:rsidRDefault="00F31947" w:rsidP="00F241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entury" w:hAnsi="Century"/>
                <w:b/>
                <w:bCs/>
                <w:color w:val="000000"/>
                <w:sz w:val="20"/>
              </w:rPr>
            </w:pPr>
            <w:r w:rsidRPr="00833A2C">
              <w:rPr>
                <w:rFonts w:ascii="Century" w:hAnsi="Century"/>
                <w:b/>
                <w:bCs/>
                <w:color w:val="auto"/>
                <w:sz w:val="20"/>
                <w:szCs w:val="20"/>
              </w:rPr>
              <w:t>14 72</w:t>
            </w:r>
            <w:r w:rsidR="009A561A">
              <w:rPr>
                <w:rFonts w:ascii="Century" w:hAnsi="Century"/>
                <w:b/>
                <w:bCs/>
                <w:color w:val="auto"/>
                <w:sz w:val="20"/>
                <w:szCs w:val="20"/>
              </w:rPr>
              <w:t>0</w:t>
            </w:r>
          </w:p>
        </w:tc>
        <w:tc>
          <w:tcPr>
            <w:tcW w:w="1334" w:type="dxa"/>
            <w:tcBorders>
              <w:top w:val="single" w:sz="8" w:space="0" w:color="000000" w:themeColor="text1"/>
              <w:bottom w:val="nil"/>
            </w:tcBorders>
            <w:shd w:val="clear" w:color="auto" w:fill="F2F2F2" w:themeFill="background1" w:themeFillShade="F2"/>
            <w:noWrap/>
            <w:vAlign w:val="center"/>
            <w:hideMark/>
          </w:tcPr>
          <w:p w:rsidR="00F31947" w:rsidRPr="00F31947" w:rsidRDefault="00F31947" w:rsidP="00F241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entury" w:hAnsi="Century"/>
                <w:b/>
                <w:sz w:val="20"/>
              </w:rPr>
            </w:pPr>
            <w:r w:rsidRPr="00833A2C">
              <w:rPr>
                <w:rFonts w:ascii="Century" w:hAnsi="Century"/>
                <w:b/>
                <w:bCs/>
                <w:color w:val="auto"/>
                <w:sz w:val="20"/>
                <w:szCs w:val="20"/>
              </w:rPr>
              <w:t>15 258</w:t>
            </w:r>
          </w:p>
        </w:tc>
        <w:tc>
          <w:tcPr>
            <w:tcW w:w="1334" w:type="dxa"/>
            <w:tcBorders>
              <w:top w:val="single" w:sz="8" w:space="0" w:color="000000" w:themeColor="text1"/>
              <w:bottom w:val="nil"/>
            </w:tcBorders>
            <w:shd w:val="clear" w:color="auto" w:fill="F2F2F2" w:themeFill="background1" w:themeFillShade="F2"/>
            <w:noWrap/>
            <w:vAlign w:val="center"/>
            <w:hideMark/>
          </w:tcPr>
          <w:p w:rsidR="00F31947" w:rsidRPr="00F31947" w:rsidRDefault="00F31947" w:rsidP="00F241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entury" w:hAnsi="Century"/>
                <w:b/>
                <w:sz w:val="20"/>
              </w:rPr>
            </w:pPr>
            <w:r w:rsidRPr="00833A2C">
              <w:rPr>
                <w:rFonts w:ascii="Century" w:hAnsi="Century"/>
                <w:b/>
                <w:bCs/>
                <w:color w:val="auto"/>
                <w:sz w:val="20"/>
                <w:szCs w:val="20"/>
              </w:rPr>
              <w:t>15 555</w:t>
            </w:r>
          </w:p>
        </w:tc>
        <w:tc>
          <w:tcPr>
            <w:tcW w:w="1334" w:type="dxa"/>
            <w:tcBorders>
              <w:top w:val="single" w:sz="8" w:space="0" w:color="000000" w:themeColor="text1"/>
              <w:bottom w:val="nil"/>
            </w:tcBorders>
            <w:shd w:val="clear" w:color="auto" w:fill="F2F2F2" w:themeFill="background1" w:themeFillShade="F2"/>
            <w:noWrap/>
            <w:vAlign w:val="center"/>
            <w:hideMark/>
          </w:tcPr>
          <w:p w:rsidR="00F31947" w:rsidRPr="00F31947" w:rsidRDefault="00F31947" w:rsidP="00F241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entury" w:hAnsi="Century"/>
                <w:b/>
                <w:sz w:val="20"/>
              </w:rPr>
            </w:pPr>
            <w:r w:rsidRPr="00833A2C">
              <w:rPr>
                <w:rFonts w:ascii="Century" w:hAnsi="Century"/>
                <w:b/>
                <w:bCs/>
                <w:color w:val="auto"/>
                <w:sz w:val="20"/>
                <w:szCs w:val="20"/>
              </w:rPr>
              <w:t>16 285</w:t>
            </w:r>
          </w:p>
        </w:tc>
      </w:tr>
      <w:tr w:rsidR="00F31947" w:rsidRPr="009418F1" w:rsidTr="00493764">
        <w:trPr>
          <w:trHeight w:val="312"/>
        </w:trPr>
        <w:tc>
          <w:tcPr>
            <w:cnfStyle w:val="001000000000" w:firstRow="0" w:lastRow="0" w:firstColumn="1" w:lastColumn="0" w:oddVBand="0" w:evenVBand="0" w:oddHBand="0" w:evenHBand="0" w:firstRowFirstColumn="0" w:firstRowLastColumn="0" w:lastRowFirstColumn="0" w:lastRowLastColumn="0"/>
            <w:tcW w:w="3950" w:type="dxa"/>
            <w:tcBorders>
              <w:top w:val="nil"/>
              <w:bottom w:val="nil"/>
            </w:tcBorders>
            <w:shd w:val="clear" w:color="auto" w:fill="auto"/>
            <w:noWrap/>
            <w:vAlign w:val="center"/>
          </w:tcPr>
          <w:p w:rsidR="00F31947" w:rsidRPr="00F31947" w:rsidRDefault="00F31947" w:rsidP="00F2417A">
            <w:pPr>
              <w:spacing w:after="0" w:line="240" w:lineRule="auto"/>
              <w:rPr>
                <w:rFonts w:ascii="Century" w:eastAsia="Times New Roman" w:hAnsi="Century"/>
                <w:b w:val="0"/>
                <w:bCs w:val="0"/>
                <w:i/>
                <w:sz w:val="20"/>
              </w:rPr>
            </w:pPr>
            <w:r w:rsidRPr="00F31947">
              <w:rPr>
                <w:rFonts w:ascii="Century" w:eastAsia="Times New Roman" w:hAnsi="Century"/>
                <w:b w:val="0"/>
                <w:i/>
                <w:sz w:val="20"/>
              </w:rPr>
              <w:t>%% ВВП</w:t>
            </w:r>
          </w:p>
        </w:tc>
        <w:tc>
          <w:tcPr>
            <w:tcW w:w="1334" w:type="dxa"/>
            <w:tcBorders>
              <w:top w:val="nil"/>
              <w:bottom w:val="nil"/>
            </w:tcBorders>
            <w:shd w:val="clear" w:color="auto" w:fill="auto"/>
            <w:vAlign w:val="center"/>
          </w:tcPr>
          <w:p w:rsidR="00F31947" w:rsidRPr="00F31947" w:rsidRDefault="00F31947" w:rsidP="00F2417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entury" w:hAnsi="Century"/>
                <w:i/>
                <w:iCs/>
                <w:color w:val="000000"/>
                <w:sz w:val="20"/>
              </w:rPr>
            </w:pPr>
            <w:r w:rsidRPr="00833A2C">
              <w:rPr>
                <w:rFonts w:ascii="Century" w:hAnsi="Century"/>
                <w:i/>
                <w:iCs/>
                <w:color w:val="auto"/>
                <w:sz w:val="20"/>
                <w:szCs w:val="20"/>
              </w:rPr>
              <w:t>16,0</w:t>
            </w:r>
          </w:p>
        </w:tc>
        <w:tc>
          <w:tcPr>
            <w:tcW w:w="1334" w:type="dxa"/>
            <w:tcBorders>
              <w:top w:val="nil"/>
              <w:bottom w:val="nil"/>
            </w:tcBorders>
            <w:shd w:val="clear" w:color="auto" w:fill="auto"/>
            <w:noWrap/>
            <w:vAlign w:val="center"/>
          </w:tcPr>
          <w:p w:rsidR="00F31947" w:rsidRPr="00F31947" w:rsidRDefault="00F31947" w:rsidP="00F2417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entury" w:hAnsi="Century"/>
                <w:i/>
                <w:sz w:val="20"/>
              </w:rPr>
            </w:pPr>
            <w:r w:rsidRPr="00833A2C">
              <w:rPr>
                <w:rFonts w:ascii="Century" w:hAnsi="Century"/>
                <w:i/>
                <w:iCs/>
                <w:color w:val="auto"/>
                <w:sz w:val="20"/>
                <w:szCs w:val="20"/>
              </w:rPr>
              <w:t>15,7</w:t>
            </w:r>
          </w:p>
        </w:tc>
        <w:tc>
          <w:tcPr>
            <w:tcW w:w="1334" w:type="dxa"/>
            <w:tcBorders>
              <w:top w:val="nil"/>
              <w:bottom w:val="nil"/>
            </w:tcBorders>
            <w:shd w:val="clear" w:color="auto" w:fill="auto"/>
            <w:noWrap/>
            <w:vAlign w:val="center"/>
          </w:tcPr>
          <w:p w:rsidR="00F31947" w:rsidRPr="00F31947" w:rsidRDefault="00F31947" w:rsidP="00F2417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entury" w:hAnsi="Century"/>
                <w:i/>
                <w:sz w:val="20"/>
              </w:rPr>
            </w:pPr>
            <w:r w:rsidRPr="00833A2C">
              <w:rPr>
                <w:rFonts w:ascii="Century" w:hAnsi="Century"/>
                <w:i/>
                <w:iCs/>
                <w:color w:val="auto"/>
                <w:sz w:val="20"/>
                <w:szCs w:val="20"/>
              </w:rPr>
              <w:t>15,1</w:t>
            </w:r>
          </w:p>
        </w:tc>
        <w:tc>
          <w:tcPr>
            <w:tcW w:w="1334" w:type="dxa"/>
            <w:tcBorders>
              <w:top w:val="nil"/>
              <w:bottom w:val="nil"/>
            </w:tcBorders>
            <w:shd w:val="clear" w:color="auto" w:fill="auto"/>
            <w:noWrap/>
            <w:vAlign w:val="center"/>
          </w:tcPr>
          <w:p w:rsidR="00F31947" w:rsidRPr="00F31947" w:rsidRDefault="00F31947" w:rsidP="00F2417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entury" w:hAnsi="Century"/>
                <w:i/>
                <w:sz w:val="20"/>
              </w:rPr>
            </w:pPr>
            <w:r w:rsidRPr="00833A2C">
              <w:rPr>
                <w:rFonts w:ascii="Century" w:hAnsi="Century"/>
                <w:i/>
                <w:iCs/>
                <w:color w:val="auto"/>
                <w:sz w:val="20"/>
                <w:szCs w:val="20"/>
              </w:rPr>
              <w:t>14,8</w:t>
            </w:r>
          </w:p>
        </w:tc>
      </w:tr>
      <w:tr w:rsidR="00F31947" w:rsidRPr="009418F1" w:rsidTr="0049376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950" w:type="dxa"/>
            <w:tcBorders>
              <w:top w:val="nil"/>
              <w:bottom w:val="nil"/>
            </w:tcBorders>
            <w:shd w:val="clear" w:color="auto" w:fill="F2F2F2" w:themeFill="background1" w:themeFillShade="F2"/>
            <w:noWrap/>
            <w:vAlign w:val="center"/>
            <w:hideMark/>
          </w:tcPr>
          <w:p w:rsidR="00F31947" w:rsidRPr="00F31947" w:rsidRDefault="00F31947" w:rsidP="00F2417A">
            <w:pPr>
              <w:spacing w:after="0" w:line="240" w:lineRule="auto"/>
              <w:rPr>
                <w:rFonts w:ascii="Century" w:eastAsia="Times New Roman" w:hAnsi="Century"/>
                <w:b w:val="0"/>
                <w:bCs w:val="0"/>
                <w:iCs/>
                <w:sz w:val="20"/>
              </w:rPr>
            </w:pPr>
            <w:r w:rsidRPr="00F31947">
              <w:rPr>
                <w:rFonts w:ascii="Century" w:eastAsia="Times New Roman" w:hAnsi="Century"/>
                <w:iCs/>
                <w:sz w:val="20"/>
              </w:rPr>
              <w:t>НЕФТЕГАЗОВЫЕ ДОХОДЫ</w:t>
            </w:r>
          </w:p>
        </w:tc>
        <w:tc>
          <w:tcPr>
            <w:tcW w:w="1334" w:type="dxa"/>
            <w:tcBorders>
              <w:top w:val="nil"/>
              <w:bottom w:val="nil"/>
            </w:tcBorders>
            <w:shd w:val="clear" w:color="auto" w:fill="F2F2F2" w:themeFill="background1" w:themeFillShade="F2"/>
            <w:vAlign w:val="center"/>
          </w:tcPr>
          <w:p w:rsidR="00F31947" w:rsidRPr="00F31947" w:rsidRDefault="00F31947" w:rsidP="00F241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entury" w:hAnsi="Century"/>
                <w:color w:val="000000"/>
                <w:sz w:val="20"/>
              </w:rPr>
            </w:pPr>
            <w:r w:rsidRPr="00833A2C">
              <w:rPr>
                <w:rFonts w:ascii="Century" w:hAnsi="Century"/>
                <w:color w:val="auto"/>
                <w:sz w:val="20"/>
                <w:szCs w:val="20"/>
              </w:rPr>
              <w:t>5 795</w:t>
            </w:r>
          </w:p>
        </w:tc>
        <w:tc>
          <w:tcPr>
            <w:tcW w:w="1334" w:type="dxa"/>
            <w:tcBorders>
              <w:top w:val="nil"/>
              <w:bottom w:val="nil"/>
            </w:tcBorders>
            <w:shd w:val="clear" w:color="auto" w:fill="F2F2F2" w:themeFill="background1" w:themeFillShade="F2"/>
            <w:noWrap/>
            <w:vAlign w:val="center"/>
            <w:hideMark/>
          </w:tcPr>
          <w:p w:rsidR="00F31947" w:rsidRPr="00F31947" w:rsidRDefault="00F31947" w:rsidP="00F241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entury" w:hAnsi="Century"/>
                <w:b/>
                <w:sz w:val="20"/>
              </w:rPr>
            </w:pPr>
            <w:r w:rsidRPr="00833A2C">
              <w:rPr>
                <w:rFonts w:ascii="Century" w:hAnsi="Century"/>
                <w:color w:val="auto"/>
                <w:sz w:val="20"/>
                <w:szCs w:val="20"/>
              </w:rPr>
              <w:t>5 480</w:t>
            </w:r>
          </w:p>
        </w:tc>
        <w:tc>
          <w:tcPr>
            <w:tcW w:w="1334" w:type="dxa"/>
            <w:tcBorders>
              <w:top w:val="nil"/>
              <w:bottom w:val="nil"/>
            </w:tcBorders>
            <w:shd w:val="clear" w:color="auto" w:fill="F2F2F2" w:themeFill="background1" w:themeFillShade="F2"/>
            <w:noWrap/>
            <w:vAlign w:val="center"/>
            <w:hideMark/>
          </w:tcPr>
          <w:p w:rsidR="00F31947" w:rsidRPr="00F31947" w:rsidRDefault="003727A8" w:rsidP="00F241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entury" w:hAnsi="Century"/>
                <w:b/>
                <w:sz w:val="20"/>
              </w:rPr>
            </w:pPr>
            <w:r>
              <w:rPr>
                <w:rFonts w:ascii="Century" w:hAnsi="Century"/>
                <w:color w:val="auto"/>
                <w:sz w:val="20"/>
                <w:szCs w:val="20"/>
              </w:rPr>
              <w:t>5 248</w:t>
            </w:r>
          </w:p>
        </w:tc>
        <w:tc>
          <w:tcPr>
            <w:tcW w:w="1334" w:type="dxa"/>
            <w:tcBorders>
              <w:top w:val="nil"/>
              <w:bottom w:val="nil"/>
            </w:tcBorders>
            <w:shd w:val="clear" w:color="auto" w:fill="F2F2F2" w:themeFill="background1" w:themeFillShade="F2"/>
            <w:noWrap/>
            <w:vAlign w:val="center"/>
            <w:hideMark/>
          </w:tcPr>
          <w:p w:rsidR="00F31947" w:rsidRPr="00F31947" w:rsidRDefault="00F31947" w:rsidP="00F241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entury" w:hAnsi="Century"/>
                <w:b/>
                <w:sz w:val="20"/>
              </w:rPr>
            </w:pPr>
            <w:r w:rsidRPr="00833A2C">
              <w:rPr>
                <w:rFonts w:ascii="Century" w:hAnsi="Century"/>
                <w:color w:val="auto"/>
                <w:sz w:val="20"/>
                <w:szCs w:val="20"/>
              </w:rPr>
              <w:t>5 440</w:t>
            </w:r>
          </w:p>
        </w:tc>
      </w:tr>
      <w:tr w:rsidR="00F31947" w:rsidRPr="009418F1" w:rsidTr="00493764">
        <w:trPr>
          <w:trHeight w:val="312"/>
        </w:trPr>
        <w:tc>
          <w:tcPr>
            <w:cnfStyle w:val="001000000000" w:firstRow="0" w:lastRow="0" w:firstColumn="1" w:lastColumn="0" w:oddVBand="0" w:evenVBand="0" w:oddHBand="0" w:evenHBand="0" w:firstRowFirstColumn="0" w:firstRowLastColumn="0" w:lastRowFirstColumn="0" w:lastRowLastColumn="0"/>
            <w:tcW w:w="3950" w:type="dxa"/>
            <w:tcBorders>
              <w:top w:val="nil"/>
              <w:bottom w:val="nil"/>
            </w:tcBorders>
            <w:shd w:val="clear" w:color="auto" w:fill="auto"/>
            <w:noWrap/>
            <w:vAlign w:val="center"/>
          </w:tcPr>
          <w:p w:rsidR="00F31947" w:rsidRPr="00F31947" w:rsidRDefault="00F31947" w:rsidP="00F2417A">
            <w:pPr>
              <w:spacing w:after="0" w:line="240" w:lineRule="auto"/>
              <w:rPr>
                <w:rFonts w:ascii="Century" w:eastAsia="Times New Roman" w:hAnsi="Century"/>
                <w:b w:val="0"/>
                <w:bCs w:val="0"/>
                <w:i/>
                <w:iCs/>
                <w:sz w:val="20"/>
              </w:rPr>
            </w:pPr>
            <w:r w:rsidRPr="00F31947">
              <w:rPr>
                <w:rFonts w:ascii="Century" w:eastAsia="Times New Roman" w:hAnsi="Century"/>
                <w:b w:val="0"/>
                <w:i/>
                <w:sz w:val="20"/>
              </w:rPr>
              <w:t>%% ВВП</w:t>
            </w:r>
          </w:p>
        </w:tc>
        <w:tc>
          <w:tcPr>
            <w:tcW w:w="1334" w:type="dxa"/>
            <w:tcBorders>
              <w:top w:val="nil"/>
              <w:bottom w:val="nil"/>
            </w:tcBorders>
            <w:shd w:val="clear" w:color="auto" w:fill="auto"/>
            <w:vAlign w:val="center"/>
          </w:tcPr>
          <w:p w:rsidR="00F31947" w:rsidRPr="00F31947" w:rsidRDefault="00F31947" w:rsidP="00F2417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entury" w:hAnsi="Century"/>
                <w:i/>
                <w:iCs/>
                <w:color w:val="000000"/>
                <w:sz w:val="20"/>
              </w:rPr>
            </w:pPr>
            <w:r w:rsidRPr="00833A2C">
              <w:rPr>
                <w:rFonts w:ascii="Century" w:hAnsi="Century"/>
                <w:i/>
                <w:iCs/>
                <w:color w:val="auto"/>
                <w:sz w:val="20"/>
                <w:szCs w:val="20"/>
              </w:rPr>
              <w:t>6,3</w:t>
            </w:r>
          </w:p>
        </w:tc>
        <w:tc>
          <w:tcPr>
            <w:tcW w:w="1334" w:type="dxa"/>
            <w:tcBorders>
              <w:top w:val="nil"/>
              <w:bottom w:val="nil"/>
            </w:tcBorders>
            <w:shd w:val="clear" w:color="auto" w:fill="auto"/>
            <w:noWrap/>
            <w:vAlign w:val="center"/>
          </w:tcPr>
          <w:p w:rsidR="00F31947" w:rsidRPr="00F31947" w:rsidRDefault="00F31947" w:rsidP="00F2417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entury" w:hAnsi="Century"/>
                <w:i/>
                <w:sz w:val="20"/>
              </w:rPr>
            </w:pPr>
            <w:r w:rsidRPr="00833A2C">
              <w:rPr>
                <w:rFonts w:ascii="Century" w:hAnsi="Century"/>
                <w:i/>
                <w:iCs/>
                <w:color w:val="auto"/>
                <w:sz w:val="20"/>
                <w:szCs w:val="20"/>
              </w:rPr>
              <w:t>5,6</w:t>
            </w:r>
          </w:p>
        </w:tc>
        <w:tc>
          <w:tcPr>
            <w:tcW w:w="1334" w:type="dxa"/>
            <w:tcBorders>
              <w:top w:val="nil"/>
              <w:bottom w:val="nil"/>
            </w:tcBorders>
            <w:shd w:val="clear" w:color="auto" w:fill="auto"/>
            <w:noWrap/>
            <w:vAlign w:val="center"/>
          </w:tcPr>
          <w:p w:rsidR="00F31947" w:rsidRPr="00F31947" w:rsidRDefault="00F31947" w:rsidP="00F2417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entury" w:hAnsi="Century"/>
                <w:i/>
                <w:sz w:val="20"/>
              </w:rPr>
            </w:pPr>
            <w:r w:rsidRPr="00833A2C">
              <w:rPr>
                <w:rFonts w:ascii="Century" w:hAnsi="Century"/>
                <w:i/>
                <w:iCs/>
                <w:color w:val="auto"/>
                <w:sz w:val="20"/>
                <w:szCs w:val="20"/>
              </w:rPr>
              <w:t>5,1</w:t>
            </w:r>
          </w:p>
        </w:tc>
        <w:tc>
          <w:tcPr>
            <w:tcW w:w="1334" w:type="dxa"/>
            <w:tcBorders>
              <w:top w:val="nil"/>
              <w:bottom w:val="nil"/>
            </w:tcBorders>
            <w:shd w:val="clear" w:color="auto" w:fill="auto"/>
            <w:noWrap/>
            <w:vAlign w:val="center"/>
          </w:tcPr>
          <w:p w:rsidR="00F31947" w:rsidRPr="00F31947" w:rsidRDefault="00F31947" w:rsidP="00F2417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entury" w:hAnsi="Century"/>
                <w:i/>
                <w:sz w:val="20"/>
              </w:rPr>
            </w:pPr>
            <w:r w:rsidRPr="00833A2C">
              <w:rPr>
                <w:rFonts w:ascii="Century" w:hAnsi="Century"/>
                <w:i/>
                <w:iCs/>
                <w:color w:val="auto"/>
                <w:sz w:val="20"/>
                <w:szCs w:val="20"/>
              </w:rPr>
              <w:t>4,9</w:t>
            </w:r>
          </w:p>
        </w:tc>
      </w:tr>
      <w:tr w:rsidR="00F31947" w:rsidRPr="009418F1" w:rsidTr="0049376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950" w:type="dxa"/>
            <w:tcBorders>
              <w:top w:val="nil"/>
              <w:bottom w:val="nil"/>
            </w:tcBorders>
            <w:shd w:val="clear" w:color="auto" w:fill="F2F2F2" w:themeFill="background1" w:themeFillShade="F2"/>
            <w:noWrap/>
            <w:vAlign w:val="center"/>
            <w:hideMark/>
          </w:tcPr>
          <w:p w:rsidR="00F31947" w:rsidRPr="00F31947" w:rsidRDefault="00F31947" w:rsidP="00F2417A">
            <w:pPr>
              <w:spacing w:after="0" w:line="240" w:lineRule="auto"/>
              <w:rPr>
                <w:rFonts w:ascii="Century" w:eastAsia="Times New Roman" w:hAnsi="Century"/>
                <w:b w:val="0"/>
                <w:bCs w:val="0"/>
                <w:iCs/>
                <w:sz w:val="20"/>
              </w:rPr>
            </w:pPr>
            <w:r w:rsidRPr="00F31947">
              <w:rPr>
                <w:rFonts w:ascii="Century" w:eastAsia="Times New Roman" w:hAnsi="Century"/>
                <w:iCs/>
                <w:sz w:val="20"/>
              </w:rPr>
              <w:t>НЕНЕФТЕГАЗОВЫЕ ДОХОДЫ</w:t>
            </w:r>
          </w:p>
        </w:tc>
        <w:tc>
          <w:tcPr>
            <w:tcW w:w="1334" w:type="dxa"/>
            <w:tcBorders>
              <w:top w:val="nil"/>
              <w:bottom w:val="nil"/>
            </w:tcBorders>
            <w:shd w:val="clear" w:color="auto" w:fill="F2F2F2" w:themeFill="background1" w:themeFillShade="F2"/>
          </w:tcPr>
          <w:p w:rsidR="00F31947" w:rsidRPr="00F31947" w:rsidRDefault="00F31947" w:rsidP="00F241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entury" w:hAnsi="Century"/>
                <w:color w:val="000000"/>
                <w:sz w:val="20"/>
              </w:rPr>
            </w:pPr>
            <w:r w:rsidRPr="00F31947">
              <w:rPr>
                <w:rFonts w:ascii="Century" w:hAnsi="Century"/>
                <w:sz w:val="20"/>
              </w:rPr>
              <w:t>8 9</w:t>
            </w:r>
            <w:r w:rsidR="009A561A">
              <w:rPr>
                <w:rFonts w:ascii="Century" w:hAnsi="Century"/>
                <w:sz w:val="20"/>
              </w:rPr>
              <w:t>25</w:t>
            </w:r>
          </w:p>
        </w:tc>
        <w:tc>
          <w:tcPr>
            <w:tcW w:w="1334" w:type="dxa"/>
            <w:tcBorders>
              <w:top w:val="nil"/>
              <w:bottom w:val="nil"/>
            </w:tcBorders>
            <w:shd w:val="clear" w:color="auto" w:fill="F2F2F2" w:themeFill="background1" w:themeFillShade="F2"/>
            <w:noWrap/>
            <w:hideMark/>
          </w:tcPr>
          <w:p w:rsidR="00F31947" w:rsidRPr="00F31947" w:rsidRDefault="00F31947" w:rsidP="00F241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entury" w:hAnsi="Century"/>
                <w:b/>
                <w:sz w:val="20"/>
              </w:rPr>
            </w:pPr>
            <w:r w:rsidRPr="00F31947">
              <w:rPr>
                <w:rFonts w:ascii="Century" w:hAnsi="Century"/>
                <w:sz w:val="20"/>
              </w:rPr>
              <w:t>9 778</w:t>
            </w:r>
          </w:p>
        </w:tc>
        <w:tc>
          <w:tcPr>
            <w:tcW w:w="1334" w:type="dxa"/>
            <w:tcBorders>
              <w:top w:val="nil"/>
              <w:bottom w:val="nil"/>
            </w:tcBorders>
            <w:shd w:val="clear" w:color="auto" w:fill="F2F2F2" w:themeFill="background1" w:themeFillShade="F2"/>
            <w:noWrap/>
            <w:hideMark/>
          </w:tcPr>
          <w:p w:rsidR="00F31947" w:rsidRPr="00F31947" w:rsidRDefault="00F31947" w:rsidP="00F241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entury" w:hAnsi="Century"/>
                <w:b/>
                <w:sz w:val="20"/>
              </w:rPr>
            </w:pPr>
            <w:r w:rsidRPr="00F31947">
              <w:rPr>
                <w:rFonts w:ascii="Century" w:hAnsi="Century"/>
                <w:sz w:val="20"/>
              </w:rPr>
              <w:t>10 307</w:t>
            </w:r>
          </w:p>
        </w:tc>
        <w:tc>
          <w:tcPr>
            <w:tcW w:w="1334" w:type="dxa"/>
            <w:tcBorders>
              <w:top w:val="nil"/>
              <w:bottom w:val="nil"/>
            </w:tcBorders>
            <w:shd w:val="clear" w:color="auto" w:fill="F2F2F2" w:themeFill="background1" w:themeFillShade="F2"/>
            <w:noWrap/>
            <w:hideMark/>
          </w:tcPr>
          <w:p w:rsidR="00F31947" w:rsidRPr="00F31947" w:rsidRDefault="00F31947" w:rsidP="00F241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entury" w:hAnsi="Century"/>
                <w:b/>
                <w:sz w:val="20"/>
              </w:rPr>
            </w:pPr>
            <w:r w:rsidRPr="00F31947">
              <w:rPr>
                <w:rFonts w:ascii="Century" w:hAnsi="Century"/>
                <w:sz w:val="20"/>
              </w:rPr>
              <w:t>10 845</w:t>
            </w:r>
          </w:p>
        </w:tc>
      </w:tr>
      <w:tr w:rsidR="00AB0B73" w:rsidRPr="009418F1" w:rsidTr="00AB0B73">
        <w:trPr>
          <w:trHeight w:val="312"/>
        </w:trPr>
        <w:tc>
          <w:tcPr>
            <w:cnfStyle w:val="001000000000" w:firstRow="0" w:lastRow="0" w:firstColumn="1" w:lastColumn="0" w:oddVBand="0" w:evenVBand="0" w:oddHBand="0" w:evenHBand="0" w:firstRowFirstColumn="0" w:firstRowLastColumn="0" w:lastRowFirstColumn="0" w:lastRowLastColumn="0"/>
            <w:tcW w:w="3950" w:type="dxa"/>
            <w:tcBorders>
              <w:top w:val="nil"/>
              <w:bottom w:val="nil"/>
            </w:tcBorders>
            <w:shd w:val="clear" w:color="auto" w:fill="auto"/>
            <w:noWrap/>
            <w:vAlign w:val="center"/>
          </w:tcPr>
          <w:p w:rsidR="00AB0B73" w:rsidRPr="00F31947" w:rsidRDefault="00AB0B73" w:rsidP="00F2417A">
            <w:pPr>
              <w:spacing w:after="0" w:line="240" w:lineRule="auto"/>
              <w:rPr>
                <w:rFonts w:ascii="Century" w:eastAsia="Times New Roman" w:hAnsi="Century"/>
                <w:b w:val="0"/>
                <w:bCs w:val="0"/>
                <w:i/>
                <w:iCs/>
                <w:sz w:val="20"/>
              </w:rPr>
            </w:pPr>
            <w:r w:rsidRPr="00F31947">
              <w:rPr>
                <w:rFonts w:ascii="Century" w:eastAsia="Times New Roman" w:hAnsi="Century"/>
                <w:b w:val="0"/>
                <w:i/>
                <w:iCs/>
                <w:sz w:val="20"/>
              </w:rPr>
              <w:t>%% ВВП</w:t>
            </w:r>
          </w:p>
        </w:tc>
        <w:tc>
          <w:tcPr>
            <w:tcW w:w="1334" w:type="dxa"/>
            <w:tcBorders>
              <w:top w:val="nil"/>
              <w:bottom w:val="nil"/>
            </w:tcBorders>
            <w:shd w:val="clear" w:color="auto" w:fill="auto"/>
          </w:tcPr>
          <w:p w:rsidR="00AB0B73" w:rsidRPr="00F31947" w:rsidRDefault="00182C2A" w:rsidP="00F2417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entury" w:hAnsi="Century"/>
                <w:i/>
                <w:iCs/>
                <w:color w:val="000000"/>
                <w:sz w:val="20"/>
              </w:rPr>
            </w:pPr>
            <w:r w:rsidRPr="00F31947">
              <w:rPr>
                <w:rFonts w:ascii="Century" w:hAnsi="Century"/>
                <w:i/>
                <w:iCs/>
                <w:color w:val="000000"/>
                <w:sz w:val="20"/>
              </w:rPr>
              <w:t>9,7</w:t>
            </w:r>
          </w:p>
        </w:tc>
        <w:tc>
          <w:tcPr>
            <w:tcW w:w="1334" w:type="dxa"/>
            <w:tcBorders>
              <w:top w:val="nil"/>
              <w:bottom w:val="nil"/>
            </w:tcBorders>
            <w:shd w:val="clear" w:color="auto" w:fill="auto"/>
            <w:noWrap/>
            <w:vAlign w:val="center"/>
          </w:tcPr>
          <w:p w:rsidR="00AB0B73" w:rsidRPr="00F31947" w:rsidRDefault="00AB0B73" w:rsidP="00F2417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entury" w:hAnsi="Century"/>
                <w:i/>
                <w:sz w:val="20"/>
              </w:rPr>
            </w:pPr>
            <w:r w:rsidRPr="00F31947">
              <w:rPr>
                <w:rFonts w:ascii="Century" w:hAnsi="Century"/>
                <w:i/>
                <w:iCs/>
                <w:color w:val="000000"/>
                <w:sz w:val="20"/>
              </w:rPr>
              <w:t>10,0</w:t>
            </w:r>
          </w:p>
        </w:tc>
        <w:tc>
          <w:tcPr>
            <w:tcW w:w="1334" w:type="dxa"/>
            <w:tcBorders>
              <w:top w:val="nil"/>
              <w:bottom w:val="nil"/>
            </w:tcBorders>
            <w:shd w:val="clear" w:color="auto" w:fill="auto"/>
            <w:noWrap/>
            <w:vAlign w:val="center"/>
          </w:tcPr>
          <w:p w:rsidR="00AB0B73" w:rsidRPr="00F31947" w:rsidRDefault="00AB0B73" w:rsidP="00F2417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entury" w:hAnsi="Century"/>
                <w:i/>
                <w:sz w:val="20"/>
              </w:rPr>
            </w:pPr>
            <w:r w:rsidRPr="00F31947">
              <w:rPr>
                <w:rFonts w:ascii="Century" w:hAnsi="Century"/>
                <w:i/>
                <w:iCs/>
                <w:color w:val="000000"/>
                <w:sz w:val="20"/>
              </w:rPr>
              <w:t>10,0</w:t>
            </w:r>
          </w:p>
        </w:tc>
        <w:tc>
          <w:tcPr>
            <w:tcW w:w="1334" w:type="dxa"/>
            <w:tcBorders>
              <w:top w:val="nil"/>
              <w:bottom w:val="nil"/>
            </w:tcBorders>
            <w:shd w:val="clear" w:color="auto" w:fill="auto"/>
            <w:noWrap/>
            <w:vAlign w:val="center"/>
          </w:tcPr>
          <w:p w:rsidR="00AB0B73" w:rsidRPr="00F31947" w:rsidRDefault="00AB0B73" w:rsidP="00F2417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entury" w:hAnsi="Century"/>
                <w:i/>
                <w:sz w:val="20"/>
              </w:rPr>
            </w:pPr>
            <w:r w:rsidRPr="00F31947">
              <w:rPr>
                <w:rFonts w:ascii="Century" w:hAnsi="Century"/>
                <w:i/>
                <w:iCs/>
                <w:color w:val="000000"/>
                <w:sz w:val="20"/>
              </w:rPr>
              <w:t>9,8</w:t>
            </w:r>
          </w:p>
        </w:tc>
      </w:tr>
      <w:tr w:rsidR="00AB0B73" w:rsidRPr="009418F1" w:rsidTr="00182C2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950" w:type="dxa"/>
            <w:tcBorders>
              <w:top w:val="nil"/>
              <w:bottom w:val="nil"/>
            </w:tcBorders>
            <w:shd w:val="clear" w:color="auto" w:fill="F2F2F2" w:themeFill="background1" w:themeFillShade="F2"/>
            <w:noWrap/>
            <w:vAlign w:val="center"/>
            <w:hideMark/>
          </w:tcPr>
          <w:p w:rsidR="00AB0B73" w:rsidRPr="00F31947" w:rsidRDefault="00AB0B73" w:rsidP="00F2417A">
            <w:pPr>
              <w:spacing w:after="0" w:line="240" w:lineRule="auto"/>
              <w:rPr>
                <w:rFonts w:ascii="Century" w:eastAsia="Times New Roman" w:hAnsi="Century"/>
                <w:b w:val="0"/>
                <w:bCs w:val="0"/>
                <w:iCs/>
                <w:sz w:val="20"/>
              </w:rPr>
            </w:pPr>
            <w:proofErr w:type="gramStart"/>
            <w:r w:rsidRPr="00F31947">
              <w:rPr>
                <w:rFonts w:ascii="Century" w:eastAsia="Times New Roman" w:hAnsi="Century"/>
                <w:iCs/>
                <w:sz w:val="20"/>
              </w:rPr>
              <w:t>Связанные</w:t>
            </w:r>
            <w:proofErr w:type="gramEnd"/>
            <w:r w:rsidRPr="00F31947">
              <w:rPr>
                <w:rFonts w:ascii="Century" w:eastAsia="Times New Roman" w:hAnsi="Century"/>
                <w:iCs/>
                <w:sz w:val="20"/>
              </w:rPr>
              <w:t xml:space="preserve"> с внутренним производством</w:t>
            </w:r>
          </w:p>
        </w:tc>
        <w:tc>
          <w:tcPr>
            <w:tcW w:w="1334" w:type="dxa"/>
            <w:tcBorders>
              <w:top w:val="nil"/>
              <w:bottom w:val="nil"/>
            </w:tcBorders>
            <w:shd w:val="clear" w:color="auto" w:fill="F2F2F2" w:themeFill="background1" w:themeFillShade="F2"/>
            <w:vAlign w:val="center"/>
          </w:tcPr>
          <w:p w:rsidR="00AB0B73" w:rsidRPr="008E18DB" w:rsidRDefault="003727A8" w:rsidP="00F241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entury" w:hAnsi="Century"/>
                <w:b/>
                <w:bCs/>
                <w:iCs/>
                <w:color w:val="auto"/>
                <w:sz w:val="20"/>
              </w:rPr>
            </w:pPr>
            <w:r>
              <w:rPr>
                <w:rFonts w:ascii="Century" w:hAnsi="Century"/>
                <w:b/>
                <w:bCs/>
                <w:iCs/>
                <w:color w:val="auto"/>
                <w:sz w:val="20"/>
              </w:rPr>
              <w:t>4 678</w:t>
            </w:r>
          </w:p>
        </w:tc>
        <w:tc>
          <w:tcPr>
            <w:tcW w:w="1334" w:type="dxa"/>
            <w:tcBorders>
              <w:top w:val="nil"/>
              <w:bottom w:val="nil"/>
            </w:tcBorders>
            <w:shd w:val="clear" w:color="auto" w:fill="F2F2F2" w:themeFill="background1" w:themeFillShade="F2"/>
            <w:noWrap/>
            <w:vAlign w:val="center"/>
            <w:hideMark/>
          </w:tcPr>
          <w:p w:rsidR="00AB0B73" w:rsidRPr="008E18DB" w:rsidRDefault="008E18DB" w:rsidP="00F241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entury" w:hAnsi="Century"/>
                <w:b/>
                <w:color w:val="auto"/>
                <w:sz w:val="20"/>
              </w:rPr>
            </w:pPr>
            <w:r w:rsidRPr="008E18DB">
              <w:rPr>
                <w:rFonts w:ascii="Century" w:hAnsi="Century"/>
                <w:b/>
                <w:bCs/>
                <w:iCs/>
                <w:color w:val="auto"/>
                <w:sz w:val="20"/>
              </w:rPr>
              <w:t>5 099</w:t>
            </w:r>
          </w:p>
        </w:tc>
        <w:tc>
          <w:tcPr>
            <w:tcW w:w="1334" w:type="dxa"/>
            <w:tcBorders>
              <w:top w:val="nil"/>
              <w:bottom w:val="nil"/>
            </w:tcBorders>
            <w:shd w:val="clear" w:color="auto" w:fill="F2F2F2" w:themeFill="background1" w:themeFillShade="F2"/>
            <w:noWrap/>
            <w:vAlign w:val="center"/>
            <w:hideMark/>
          </w:tcPr>
          <w:p w:rsidR="00AB0B73" w:rsidRPr="008E18DB" w:rsidRDefault="003727A8" w:rsidP="00F241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entury" w:hAnsi="Century"/>
                <w:b/>
                <w:color w:val="auto"/>
                <w:sz w:val="20"/>
              </w:rPr>
            </w:pPr>
            <w:r>
              <w:rPr>
                <w:rFonts w:ascii="Century" w:hAnsi="Century"/>
                <w:b/>
                <w:bCs/>
                <w:iCs/>
                <w:color w:val="auto"/>
                <w:sz w:val="20"/>
              </w:rPr>
              <w:t>5 413</w:t>
            </w:r>
          </w:p>
        </w:tc>
        <w:tc>
          <w:tcPr>
            <w:tcW w:w="1334" w:type="dxa"/>
            <w:tcBorders>
              <w:top w:val="nil"/>
              <w:bottom w:val="nil"/>
            </w:tcBorders>
            <w:shd w:val="clear" w:color="auto" w:fill="F2F2F2" w:themeFill="background1" w:themeFillShade="F2"/>
            <w:noWrap/>
            <w:vAlign w:val="center"/>
            <w:hideMark/>
          </w:tcPr>
          <w:p w:rsidR="00AB0B73" w:rsidRPr="008E18DB" w:rsidRDefault="008E18DB" w:rsidP="00F241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entury" w:hAnsi="Century"/>
                <w:b/>
                <w:color w:val="auto"/>
                <w:sz w:val="20"/>
              </w:rPr>
            </w:pPr>
            <w:r w:rsidRPr="008E18DB">
              <w:rPr>
                <w:rFonts w:ascii="Century" w:hAnsi="Century"/>
                <w:b/>
                <w:bCs/>
                <w:iCs/>
                <w:color w:val="auto"/>
                <w:sz w:val="20"/>
              </w:rPr>
              <w:t>5 818</w:t>
            </w:r>
          </w:p>
        </w:tc>
      </w:tr>
      <w:tr w:rsidR="00AB0B73" w:rsidRPr="009418F1" w:rsidTr="00182C2A">
        <w:trPr>
          <w:trHeight w:val="312"/>
        </w:trPr>
        <w:tc>
          <w:tcPr>
            <w:cnfStyle w:val="001000000000" w:firstRow="0" w:lastRow="0" w:firstColumn="1" w:lastColumn="0" w:oddVBand="0" w:evenVBand="0" w:oddHBand="0" w:evenHBand="0" w:firstRowFirstColumn="0" w:firstRowLastColumn="0" w:lastRowFirstColumn="0" w:lastRowLastColumn="0"/>
            <w:tcW w:w="3950" w:type="dxa"/>
            <w:tcBorders>
              <w:top w:val="nil"/>
              <w:bottom w:val="nil"/>
            </w:tcBorders>
            <w:shd w:val="clear" w:color="auto" w:fill="auto"/>
            <w:noWrap/>
            <w:vAlign w:val="center"/>
            <w:hideMark/>
          </w:tcPr>
          <w:p w:rsidR="00AB0B73" w:rsidRPr="00F31947" w:rsidRDefault="00AB0B73" w:rsidP="00F2417A">
            <w:pPr>
              <w:spacing w:after="0" w:line="240" w:lineRule="auto"/>
              <w:ind w:firstLine="191"/>
              <w:rPr>
                <w:rFonts w:ascii="Century" w:eastAsia="Times New Roman" w:hAnsi="Century"/>
                <w:b w:val="0"/>
                <w:sz w:val="20"/>
              </w:rPr>
            </w:pPr>
            <w:r w:rsidRPr="00F31947">
              <w:rPr>
                <w:rFonts w:ascii="Century" w:eastAsia="Times New Roman" w:hAnsi="Century"/>
                <w:b w:val="0"/>
                <w:sz w:val="20"/>
              </w:rPr>
              <w:t>НДС (</w:t>
            </w:r>
            <w:proofErr w:type="spellStart"/>
            <w:r w:rsidRPr="00F31947">
              <w:rPr>
                <w:rFonts w:ascii="Century" w:eastAsia="Times New Roman" w:hAnsi="Century"/>
                <w:b w:val="0"/>
                <w:sz w:val="20"/>
              </w:rPr>
              <w:t>внутрений</w:t>
            </w:r>
            <w:proofErr w:type="spellEnd"/>
            <w:r w:rsidRPr="00F31947">
              <w:rPr>
                <w:rFonts w:ascii="Century" w:eastAsia="Times New Roman" w:hAnsi="Century"/>
                <w:b w:val="0"/>
                <w:sz w:val="20"/>
              </w:rPr>
              <w:t>)</w:t>
            </w:r>
          </w:p>
        </w:tc>
        <w:tc>
          <w:tcPr>
            <w:tcW w:w="1334" w:type="dxa"/>
            <w:tcBorders>
              <w:top w:val="nil"/>
              <w:bottom w:val="nil"/>
            </w:tcBorders>
            <w:shd w:val="clear" w:color="auto" w:fill="auto"/>
            <w:vAlign w:val="center"/>
          </w:tcPr>
          <w:p w:rsidR="00AB0B73" w:rsidRPr="008E18DB" w:rsidRDefault="003727A8" w:rsidP="00F2417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entury" w:hAnsi="Century"/>
                <w:color w:val="auto"/>
                <w:sz w:val="20"/>
              </w:rPr>
            </w:pPr>
            <w:r>
              <w:rPr>
                <w:rFonts w:ascii="Century" w:hAnsi="Century"/>
                <w:color w:val="auto"/>
                <w:sz w:val="20"/>
              </w:rPr>
              <w:t>3 051</w:t>
            </w:r>
          </w:p>
        </w:tc>
        <w:tc>
          <w:tcPr>
            <w:tcW w:w="1334" w:type="dxa"/>
            <w:tcBorders>
              <w:top w:val="nil"/>
              <w:bottom w:val="nil"/>
            </w:tcBorders>
            <w:shd w:val="clear" w:color="auto" w:fill="auto"/>
            <w:noWrap/>
            <w:vAlign w:val="center"/>
            <w:hideMark/>
          </w:tcPr>
          <w:p w:rsidR="00AB0B73" w:rsidRPr="008E18DB" w:rsidRDefault="008E18DB" w:rsidP="00F2417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entury" w:hAnsi="Century"/>
                <w:color w:val="auto"/>
                <w:sz w:val="20"/>
              </w:rPr>
            </w:pPr>
            <w:r w:rsidRPr="008E18DB">
              <w:rPr>
                <w:rFonts w:ascii="Century" w:hAnsi="Century"/>
                <w:color w:val="auto"/>
                <w:sz w:val="20"/>
              </w:rPr>
              <w:t>3 331</w:t>
            </w:r>
          </w:p>
        </w:tc>
        <w:tc>
          <w:tcPr>
            <w:tcW w:w="1334" w:type="dxa"/>
            <w:tcBorders>
              <w:top w:val="nil"/>
              <w:bottom w:val="nil"/>
            </w:tcBorders>
            <w:shd w:val="clear" w:color="auto" w:fill="auto"/>
            <w:noWrap/>
            <w:vAlign w:val="center"/>
            <w:hideMark/>
          </w:tcPr>
          <w:p w:rsidR="00AB0B73" w:rsidRPr="008E18DB" w:rsidRDefault="008E18DB" w:rsidP="00F2417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entury" w:hAnsi="Century"/>
                <w:color w:val="auto"/>
                <w:sz w:val="20"/>
              </w:rPr>
            </w:pPr>
            <w:r w:rsidRPr="008E18DB">
              <w:rPr>
                <w:rFonts w:ascii="Century" w:hAnsi="Century"/>
                <w:color w:val="auto"/>
                <w:sz w:val="20"/>
              </w:rPr>
              <w:t>3 559</w:t>
            </w:r>
          </w:p>
        </w:tc>
        <w:tc>
          <w:tcPr>
            <w:tcW w:w="1334" w:type="dxa"/>
            <w:tcBorders>
              <w:top w:val="nil"/>
              <w:bottom w:val="nil"/>
            </w:tcBorders>
            <w:shd w:val="clear" w:color="auto" w:fill="auto"/>
            <w:noWrap/>
            <w:vAlign w:val="center"/>
            <w:hideMark/>
          </w:tcPr>
          <w:p w:rsidR="00AB0B73" w:rsidRPr="008E18DB" w:rsidRDefault="008E18DB" w:rsidP="00F2417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entury" w:hAnsi="Century"/>
                <w:color w:val="auto"/>
                <w:sz w:val="20"/>
              </w:rPr>
            </w:pPr>
            <w:r w:rsidRPr="008E18DB">
              <w:rPr>
                <w:rFonts w:ascii="Century" w:hAnsi="Century"/>
                <w:color w:val="auto"/>
                <w:sz w:val="20"/>
              </w:rPr>
              <w:t>3 880</w:t>
            </w:r>
          </w:p>
        </w:tc>
      </w:tr>
      <w:tr w:rsidR="00AB0B73" w:rsidRPr="009418F1" w:rsidTr="00182C2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950" w:type="dxa"/>
            <w:tcBorders>
              <w:top w:val="nil"/>
              <w:bottom w:val="nil"/>
            </w:tcBorders>
            <w:shd w:val="clear" w:color="auto" w:fill="F2F2F2" w:themeFill="background1" w:themeFillShade="F2"/>
            <w:noWrap/>
            <w:vAlign w:val="center"/>
            <w:hideMark/>
          </w:tcPr>
          <w:p w:rsidR="00AB0B73" w:rsidRPr="00F31947" w:rsidRDefault="00AB0B73" w:rsidP="00F2417A">
            <w:pPr>
              <w:spacing w:after="0" w:line="240" w:lineRule="auto"/>
              <w:ind w:firstLine="191"/>
              <w:rPr>
                <w:rFonts w:ascii="Century" w:eastAsia="Times New Roman" w:hAnsi="Century"/>
                <w:b w:val="0"/>
                <w:sz w:val="20"/>
              </w:rPr>
            </w:pPr>
            <w:r w:rsidRPr="00F31947">
              <w:rPr>
                <w:rFonts w:ascii="Century" w:eastAsia="Times New Roman" w:hAnsi="Century"/>
                <w:b w:val="0"/>
                <w:sz w:val="20"/>
              </w:rPr>
              <w:t>Акцизы</w:t>
            </w:r>
          </w:p>
        </w:tc>
        <w:tc>
          <w:tcPr>
            <w:tcW w:w="1334" w:type="dxa"/>
            <w:tcBorders>
              <w:top w:val="nil"/>
              <w:bottom w:val="nil"/>
            </w:tcBorders>
            <w:shd w:val="clear" w:color="auto" w:fill="F2F2F2" w:themeFill="background1" w:themeFillShade="F2"/>
            <w:vAlign w:val="center"/>
          </w:tcPr>
          <w:p w:rsidR="00AB0B73" w:rsidRPr="00F31947" w:rsidRDefault="003727A8" w:rsidP="00F241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entury" w:hAnsi="Century"/>
                <w:sz w:val="20"/>
              </w:rPr>
            </w:pPr>
            <w:r>
              <w:rPr>
                <w:rFonts w:ascii="Century" w:hAnsi="Century"/>
                <w:sz w:val="20"/>
              </w:rPr>
              <w:t>902</w:t>
            </w:r>
          </w:p>
        </w:tc>
        <w:tc>
          <w:tcPr>
            <w:tcW w:w="1334" w:type="dxa"/>
            <w:tcBorders>
              <w:top w:val="nil"/>
              <w:bottom w:val="nil"/>
            </w:tcBorders>
            <w:shd w:val="clear" w:color="auto" w:fill="F2F2F2" w:themeFill="background1" w:themeFillShade="F2"/>
            <w:noWrap/>
            <w:vAlign w:val="center"/>
            <w:hideMark/>
          </w:tcPr>
          <w:p w:rsidR="00AB0B73" w:rsidRPr="00F31947" w:rsidRDefault="00C34BC7" w:rsidP="00F241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entury" w:hAnsi="Century"/>
                <w:sz w:val="20"/>
              </w:rPr>
            </w:pPr>
            <w:r>
              <w:rPr>
                <w:rFonts w:ascii="Century" w:hAnsi="Century"/>
                <w:sz w:val="20"/>
              </w:rPr>
              <w:t>962</w:t>
            </w:r>
          </w:p>
        </w:tc>
        <w:tc>
          <w:tcPr>
            <w:tcW w:w="1334" w:type="dxa"/>
            <w:tcBorders>
              <w:top w:val="nil"/>
              <w:bottom w:val="nil"/>
            </w:tcBorders>
            <w:shd w:val="clear" w:color="auto" w:fill="F2F2F2" w:themeFill="background1" w:themeFillShade="F2"/>
            <w:noWrap/>
            <w:vAlign w:val="center"/>
            <w:hideMark/>
          </w:tcPr>
          <w:p w:rsidR="00AB0B73" w:rsidRPr="00F31947" w:rsidRDefault="00C34BC7" w:rsidP="00F241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entury" w:hAnsi="Century"/>
                <w:sz w:val="20"/>
              </w:rPr>
            </w:pPr>
            <w:r>
              <w:rPr>
                <w:rFonts w:ascii="Century" w:hAnsi="Century"/>
                <w:sz w:val="20"/>
              </w:rPr>
              <w:t>1 029</w:t>
            </w:r>
          </w:p>
        </w:tc>
        <w:tc>
          <w:tcPr>
            <w:tcW w:w="1334" w:type="dxa"/>
            <w:tcBorders>
              <w:top w:val="nil"/>
              <w:bottom w:val="nil"/>
            </w:tcBorders>
            <w:shd w:val="clear" w:color="auto" w:fill="F2F2F2" w:themeFill="background1" w:themeFillShade="F2"/>
            <w:noWrap/>
            <w:vAlign w:val="center"/>
            <w:hideMark/>
          </w:tcPr>
          <w:p w:rsidR="00AB0B73" w:rsidRPr="00F31947" w:rsidRDefault="00C34BC7" w:rsidP="00F241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entury" w:hAnsi="Century"/>
                <w:sz w:val="20"/>
              </w:rPr>
            </w:pPr>
            <w:r>
              <w:rPr>
                <w:rFonts w:ascii="Century" w:hAnsi="Century"/>
                <w:sz w:val="20"/>
              </w:rPr>
              <w:t>1 053</w:t>
            </w:r>
          </w:p>
        </w:tc>
      </w:tr>
      <w:tr w:rsidR="00AB0B73" w:rsidRPr="009418F1" w:rsidTr="00182C2A">
        <w:trPr>
          <w:trHeight w:val="312"/>
        </w:trPr>
        <w:tc>
          <w:tcPr>
            <w:cnfStyle w:val="001000000000" w:firstRow="0" w:lastRow="0" w:firstColumn="1" w:lastColumn="0" w:oddVBand="0" w:evenVBand="0" w:oddHBand="0" w:evenHBand="0" w:firstRowFirstColumn="0" w:firstRowLastColumn="0" w:lastRowFirstColumn="0" w:lastRowLastColumn="0"/>
            <w:tcW w:w="3950" w:type="dxa"/>
            <w:tcBorders>
              <w:top w:val="nil"/>
              <w:bottom w:val="nil"/>
            </w:tcBorders>
            <w:shd w:val="clear" w:color="auto" w:fill="auto"/>
            <w:noWrap/>
            <w:vAlign w:val="center"/>
            <w:hideMark/>
          </w:tcPr>
          <w:p w:rsidR="00AB0B73" w:rsidRPr="00F31947" w:rsidRDefault="00AB0B73" w:rsidP="00F2417A">
            <w:pPr>
              <w:spacing w:after="0" w:line="240" w:lineRule="auto"/>
              <w:ind w:firstLine="191"/>
              <w:rPr>
                <w:rFonts w:ascii="Century" w:eastAsia="Times New Roman" w:hAnsi="Century"/>
                <w:b w:val="0"/>
                <w:sz w:val="20"/>
              </w:rPr>
            </w:pPr>
            <w:r w:rsidRPr="00F31947">
              <w:rPr>
                <w:rFonts w:ascii="Century" w:eastAsia="Times New Roman" w:hAnsi="Century"/>
                <w:b w:val="0"/>
                <w:sz w:val="20"/>
              </w:rPr>
              <w:t>Налог на прибыль</w:t>
            </w:r>
          </w:p>
        </w:tc>
        <w:tc>
          <w:tcPr>
            <w:tcW w:w="1334" w:type="dxa"/>
            <w:tcBorders>
              <w:top w:val="nil"/>
              <w:bottom w:val="nil"/>
            </w:tcBorders>
            <w:shd w:val="clear" w:color="auto" w:fill="auto"/>
            <w:vAlign w:val="center"/>
          </w:tcPr>
          <w:p w:rsidR="00AB0B73" w:rsidRPr="008E18DB" w:rsidRDefault="00C34BC7" w:rsidP="00F2417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entury" w:hAnsi="Century"/>
                <w:color w:val="auto"/>
                <w:sz w:val="20"/>
              </w:rPr>
            </w:pPr>
            <w:r w:rsidRPr="008E18DB">
              <w:rPr>
                <w:rFonts w:ascii="Century" w:hAnsi="Century"/>
                <w:color w:val="auto"/>
                <w:sz w:val="20"/>
              </w:rPr>
              <w:t>725</w:t>
            </w:r>
          </w:p>
        </w:tc>
        <w:tc>
          <w:tcPr>
            <w:tcW w:w="1334" w:type="dxa"/>
            <w:tcBorders>
              <w:top w:val="nil"/>
              <w:bottom w:val="nil"/>
            </w:tcBorders>
            <w:shd w:val="clear" w:color="auto" w:fill="auto"/>
            <w:noWrap/>
            <w:vAlign w:val="center"/>
            <w:hideMark/>
          </w:tcPr>
          <w:p w:rsidR="00AB0B73" w:rsidRPr="008E18DB" w:rsidRDefault="00C34BC7" w:rsidP="00F2417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entury" w:hAnsi="Century"/>
                <w:color w:val="auto"/>
                <w:sz w:val="20"/>
              </w:rPr>
            </w:pPr>
            <w:r w:rsidRPr="008E18DB">
              <w:rPr>
                <w:rFonts w:ascii="Century" w:hAnsi="Century"/>
                <w:color w:val="auto"/>
                <w:sz w:val="20"/>
              </w:rPr>
              <w:t>806</w:t>
            </w:r>
          </w:p>
        </w:tc>
        <w:tc>
          <w:tcPr>
            <w:tcW w:w="1334" w:type="dxa"/>
            <w:tcBorders>
              <w:top w:val="nil"/>
              <w:bottom w:val="nil"/>
            </w:tcBorders>
            <w:shd w:val="clear" w:color="auto" w:fill="auto"/>
            <w:noWrap/>
            <w:vAlign w:val="center"/>
            <w:hideMark/>
          </w:tcPr>
          <w:p w:rsidR="00AB0B73" w:rsidRPr="008E18DB" w:rsidRDefault="00C34BC7" w:rsidP="00F2417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entury" w:hAnsi="Century"/>
                <w:color w:val="auto"/>
                <w:sz w:val="20"/>
              </w:rPr>
            </w:pPr>
            <w:r w:rsidRPr="008E18DB">
              <w:rPr>
                <w:rFonts w:ascii="Century" w:hAnsi="Century"/>
                <w:color w:val="auto"/>
                <w:sz w:val="20"/>
              </w:rPr>
              <w:t>825</w:t>
            </w:r>
          </w:p>
        </w:tc>
        <w:tc>
          <w:tcPr>
            <w:tcW w:w="1334" w:type="dxa"/>
            <w:tcBorders>
              <w:top w:val="nil"/>
              <w:bottom w:val="nil"/>
            </w:tcBorders>
            <w:shd w:val="clear" w:color="auto" w:fill="auto"/>
            <w:noWrap/>
            <w:vAlign w:val="center"/>
            <w:hideMark/>
          </w:tcPr>
          <w:p w:rsidR="00AB0B73" w:rsidRPr="008E18DB" w:rsidRDefault="00C34BC7" w:rsidP="00F2417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entury" w:hAnsi="Century"/>
                <w:color w:val="auto"/>
                <w:sz w:val="20"/>
              </w:rPr>
            </w:pPr>
            <w:r w:rsidRPr="008E18DB">
              <w:rPr>
                <w:rFonts w:ascii="Century" w:hAnsi="Century"/>
                <w:color w:val="auto"/>
                <w:sz w:val="20"/>
              </w:rPr>
              <w:t>885</w:t>
            </w:r>
          </w:p>
        </w:tc>
      </w:tr>
      <w:tr w:rsidR="00AB0B73" w:rsidRPr="009418F1" w:rsidTr="00182C2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950" w:type="dxa"/>
            <w:tcBorders>
              <w:top w:val="nil"/>
              <w:bottom w:val="nil"/>
            </w:tcBorders>
            <w:shd w:val="clear" w:color="auto" w:fill="F2F2F2" w:themeFill="background1" w:themeFillShade="F2"/>
            <w:noWrap/>
            <w:vAlign w:val="center"/>
            <w:hideMark/>
          </w:tcPr>
          <w:p w:rsidR="00AB0B73" w:rsidRPr="00F31947" w:rsidRDefault="00AB0B73" w:rsidP="00F2417A">
            <w:pPr>
              <w:spacing w:after="0" w:line="240" w:lineRule="auto"/>
              <w:rPr>
                <w:rFonts w:ascii="Century" w:eastAsia="Times New Roman" w:hAnsi="Century"/>
                <w:b w:val="0"/>
                <w:bCs w:val="0"/>
                <w:iCs/>
                <w:sz w:val="20"/>
              </w:rPr>
            </w:pPr>
            <w:proofErr w:type="gramStart"/>
            <w:r w:rsidRPr="00F31947">
              <w:rPr>
                <w:rFonts w:ascii="Century" w:eastAsia="Times New Roman" w:hAnsi="Century"/>
                <w:iCs/>
                <w:sz w:val="20"/>
              </w:rPr>
              <w:t>Связанные</w:t>
            </w:r>
            <w:proofErr w:type="gramEnd"/>
            <w:r w:rsidRPr="00F31947">
              <w:rPr>
                <w:rFonts w:ascii="Century" w:eastAsia="Times New Roman" w:hAnsi="Century"/>
                <w:iCs/>
                <w:sz w:val="20"/>
              </w:rPr>
              <w:t xml:space="preserve"> с импортом</w:t>
            </w:r>
          </w:p>
        </w:tc>
        <w:tc>
          <w:tcPr>
            <w:tcW w:w="1334" w:type="dxa"/>
            <w:tcBorders>
              <w:top w:val="nil"/>
              <w:bottom w:val="nil"/>
            </w:tcBorders>
            <w:shd w:val="clear" w:color="auto" w:fill="F2F2F2" w:themeFill="background1" w:themeFillShade="F2"/>
            <w:vAlign w:val="center"/>
          </w:tcPr>
          <w:p w:rsidR="00AB0B73" w:rsidRPr="008E18DB" w:rsidRDefault="003727A8" w:rsidP="00F241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entury" w:hAnsi="Century"/>
                <w:b/>
                <w:bCs/>
                <w:iCs/>
                <w:color w:val="auto"/>
                <w:sz w:val="20"/>
              </w:rPr>
            </w:pPr>
            <w:r>
              <w:rPr>
                <w:rFonts w:ascii="Century" w:hAnsi="Century"/>
                <w:b/>
                <w:bCs/>
                <w:iCs/>
                <w:color w:val="auto"/>
                <w:sz w:val="20"/>
              </w:rPr>
              <w:t>2 671</w:t>
            </w:r>
          </w:p>
        </w:tc>
        <w:tc>
          <w:tcPr>
            <w:tcW w:w="1334" w:type="dxa"/>
            <w:tcBorders>
              <w:top w:val="nil"/>
              <w:bottom w:val="nil"/>
            </w:tcBorders>
            <w:shd w:val="clear" w:color="auto" w:fill="F2F2F2" w:themeFill="background1" w:themeFillShade="F2"/>
            <w:noWrap/>
            <w:vAlign w:val="center"/>
            <w:hideMark/>
          </w:tcPr>
          <w:p w:rsidR="00AB0B73" w:rsidRPr="008E18DB" w:rsidRDefault="003727A8" w:rsidP="00F241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entury" w:hAnsi="Century"/>
                <w:b/>
                <w:color w:val="auto"/>
                <w:sz w:val="20"/>
              </w:rPr>
            </w:pPr>
            <w:r>
              <w:rPr>
                <w:rFonts w:ascii="Century" w:hAnsi="Century"/>
                <w:b/>
                <w:bCs/>
                <w:iCs/>
                <w:color w:val="auto"/>
                <w:sz w:val="20"/>
              </w:rPr>
              <w:t>2 959</w:t>
            </w:r>
          </w:p>
        </w:tc>
        <w:tc>
          <w:tcPr>
            <w:tcW w:w="1334" w:type="dxa"/>
            <w:tcBorders>
              <w:top w:val="nil"/>
              <w:bottom w:val="nil"/>
            </w:tcBorders>
            <w:shd w:val="clear" w:color="auto" w:fill="F2F2F2" w:themeFill="background1" w:themeFillShade="F2"/>
            <w:noWrap/>
            <w:vAlign w:val="center"/>
            <w:hideMark/>
          </w:tcPr>
          <w:p w:rsidR="00AB0B73" w:rsidRPr="008E18DB" w:rsidRDefault="003727A8" w:rsidP="00F241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entury" w:hAnsi="Century"/>
                <w:b/>
                <w:color w:val="auto"/>
                <w:sz w:val="20"/>
              </w:rPr>
            </w:pPr>
            <w:r>
              <w:rPr>
                <w:rFonts w:ascii="Century" w:hAnsi="Century"/>
                <w:b/>
                <w:bCs/>
                <w:iCs/>
                <w:color w:val="auto"/>
                <w:sz w:val="20"/>
              </w:rPr>
              <w:t>3 071</w:t>
            </w:r>
          </w:p>
        </w:tc>
        <w:tc>
          <w:tcPr>
            <w:tcW w:w="1334" w:type="dxa"/>
            <w:tcBorders>
              <w:top w:val="nil"/>
              <w:bottom w:val="nil"/>
            </w:tcBorders>
            <w:shd w:val="clear" w:color="auto" w:fill="F2F2F2" w:themeFill="background1" w:themeFillShade="F2"/>
            <w:noWrap/>
            <w:vAlign w:val="center"/>
            <w:hideMark/>
          </w:tcPr>
          <w:p w:rsidR="00AB0B73" w:rsidRPr="008E18DB" w:rsidRDefault="003727A8" w:rsidP="00F241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entury" w:hAnsi="Century"/>
                <w:b/>
                <w:color w:val="auto"/>
                <w:sz w:val="20"/>
              </w:rPr>
            </w:pPr>
            <w:r>
              <w:rPr>
                <w:rFonts w:ascii="Century" w:hAnsi="Century"/>
                <w:b/>
                <w:bCs/>
                <w:iCs/>
                <w:color w:val="auto"/>
                <w:sz w:val="20"/>
              </w:rPr>
              <w:t>3 143</w:t>
            </w:r>
          </w:p>
        </w:tc>
      </w:tr>
      <w:tr w:rsidR="00AB0B73" w:rsidRPr="009418F1" w:rsidTr="00182C2A">
        <w:trPr>
          <w:trHeight w:val="312"/>
        </w:trPr>
        <w:tc>
          <w:tcPr>
            <w:cnfStyle w:val="001000000000" w:firstRow="0" w:lastRow="0" w:firstColumn="1" w:lastColumn="0" w:oddVBand="0" w:evenVBand="0" w:oddHBand="0" w:evenHBand="0" w:firstRowFirstColumn="0" w:firstRowLastColumn="0" w:lastRowFirstColumn="0" w:lastRowLastColumn="0"/>
            <w:tcW w:w="3950" w:type="dxa"/>
            <w:tcBorders>
              <w:top w:val="nil"/>
              <w:bottom w:val="nil"/>
            </w:tcBorders>
            <w:shd w:val="clear" w:color="auto" w:fill="auto"/>
            <w:noWrap/>
            <w:vAlign w:val="center"/>
            <w:hideMark/>
          </w:tcPr>
          <w:p w:rsidR="00AB0B73" w:rsidRPr="00F31947" w:rsidRDefault="00AB0B73" w:rsidP="00F2417A">
            <w:pPr>
              <w:spacing w:after="0" w:line="240" w:lineRule="auto"/>
              <w:ind w:firstLine="191"/>
              <w:rPr>
                <w:rFonts w:ascii="Century" w:eastAsia="Times New Roman" w:hAnsi="Century"/>
                <w:b w:val="0"/>
                <w:sz w:val="20"/>
              </w:rPr>
            </w:pPr>
            <w:r w:rsidRPr="00F31947">
              <w:rPr>
                <w:rFonts w:ascii="Century" w:eastAsia="Times New Roman" w:hAnsi="Century"/>
                <w:b w:val="0"/>
                <w:sz w:val="20"/>
              </w:rPr>
              <w:t>НДС на ввозимые товары</w:t>
            </w:r>
          </w:p>
        </w:tc>
        <w:tc>
          <w:tcPr>
            <w:tcW w:w="1334" w:type="dxa"/>
            <w:tcBorders>
              <w:top w:val="nil"/>
              <w:bottom w:val="nil"/>
            </w:tcBorders>
            <w:shd w:val="clear" w:color="auto" w:fill="auto"/>
            <w:vAlign w:val="center"/>
          </w:tcPr>
          <w:p w:rsidR="00AB0B73" w:rsidRPr="008E18DB" w:rsidRDefault="003727A8" w:rsidP="00F2417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entury" w:hAnsi="Century"/>
                <w:iCs/>
                <w:color w:val="auto"/>
                <w:sz w:val="20"/>
              </w:rPr>
            </w:pPr>
            <w:r>
              <w:rPr>
                <w:rFonts w:ascii="Century" w:hAnsi="Century"/>
                <w:iCs/>
                <w:color w:val="auto"/>
                <w:sz w:val="20"/>
              </w:rPr>
              <w:t>2 039</w:t>
            </w:r>
          </w:p>
        </w:tc>
        <w:tc>
          <w:tcPr>
            <w:tcW w:w="1334" w:type="dxa"/>
            <w:tcBorders>
              <w:top w:val="nil"/>
              <w:bottom w:val="nil"/>
            </w:tcBorders>
            <w:shd w:val="clear" w:color="auto" w:fill="auto"/>
            <w:noWrap/>
            <w:vAlign w:val="center"/>
            <w:hideMark/>
          </w:tcPr>
          <w:p w:rsidR="00AB0B73" w:rsidRPr="008E18DB" w:rsidRDefault="008E18DB" w:rsidP="00F2417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entury" w:hAnsi="Century"/>
                <w:color w:val="auto"/>
                <w:sz w:val="20"/>
              </w:rPr>
            </w:pPr>
            <w:r w:rsidRPr="008E18DB">
              <w:rPr>
                <w:rFonts w:ascii="Century" w:hAnsi="Century"/>
                <w:iCs/>
                <w:color w:val="auto"/>
                <w:sz w:val="20"/>
              </w:rPr>
              <w:t>2 294</w:t>
            </w:r>
          </w:p>
        </w:tc>
        <w:tc>
          <w:tcPr>
            <w:tcW w:w="1334" w:type="dxa"/>
            <w:tcBorders>
              <w:top w:val="nil"/>
              <w:bottom w:val="nil"/>
            </w:tcBorders>
            <w:shd w:val="clear" w:color="auto" w:fill="auto"/>
            <w:noWrap/>
            <w:vAlign w:val="center"/>
            <w:hideMark/>
          </w:tcPr>
          <w:p w:rsidR="00AB0B73" w:rsidRPr="008E18DB" w:rsidRDefault="008E18DB" w:rsidP="00F2417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entury" w:hAnsi="Century"/>
                <w:color w:val="auto"/>
                <w:sz w:val="20"/>
              </w:rPr>
            </w:pPr>
            <w:r w:rsidRPr="008E18DB">
              <w:rPr>
                <w:rFonts w:ascii="Century" w:hAnsi="Century"/>
                <w:iCs/>
                <w:color w:val="auto"/>
                <w:sz w:val="20"/>
              </w:rPr>
              <w:t>2 402</w:t>
            </w:r>
          </w:p>
        </w:tc>
        <w:tc>
          <w:tcPr>
            <w:tcW w:w="1334" w:type="dxa"/>
            <w:tcBorders>
              <w:top w:val="nil"/>
              <w:bottom w:val="nil"/>
            </w:tcBorders>
            <w:shd w:val="clear" w:color="auto" w:fill="auto"/>
            <w:noWrap/>
            <w:vAlign w:val="center"/>
            <w:hideMark/>
          </w:tcPr>
          <w:p w:rsidR="00AB0B73" w:rsidRPr="008E18DB" w:rsidRDefault="008E18DB" w:rsidP="00F2417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entury" w:hAnsi="Century"/>
                <w:color w:val="auto"/>
                <w:sz w:val="20"/>
              </w:rPr>
            </w:pPr>
            <w:r w:rsidRPr="008E18DB">
              <w:rPr>
                <w:rFonts w:ascii="Century" w:hAnsi="Century"/>
                <w:iCs/>
                <w:color w:val="auto"/>
                <w:sz w:val="20"/>
              </w:rPr>
              <w:t>2 474</w:t>
            </w:r>
          </w:p>
        </w:tc>
      </w:tr>
      <w:tr w:rsidR="00AB0B73" w:rsidRPr="009418F1" w:rsidTr="00182C2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950" w:type="dxa"/>
            <w:tcBorders>
              <w:top w:val="nil"/>
              <w:bottom w:val="nil"/>
            </w:tcBorders>
            <w:shd w:val="clear" w:color="auto" w:fill="F2F2F2" w:themeFill="background1" w:themeFillShade="F2"/>
            <w:noWrap/>
            <w:vAlign w:val="center"/>
            <w:hideMark/>
          </w:tcPr>
          <w:p w:rsidR="00AB0B73" w:rsidRPr="00F31947" w:rsidRDefault="00AB0B73" w:rsidP="00F2417A">
            <w:pPr>
              <w:spacing w:after="0" w:line="240" w:lineRule="auto"/>
              <w:ind w:firstLine="191"/>
              <w:rPr>
                <w:rFonts w:ascii="Century" w:eastAsia="Times New Roman" w:hAnsi="Century"/>
                <w:b w:val="0"/>
                <w:sz w:val="20"/>
              </w:rPr>
            </w:pPr>
            <w:r w:rsidRPr="00F31947">
              <w:rPr>
                <w:rFonts w:ascii="Century" w:eastAsia="Times New Roman" w:hAnsi="Century"/>
                <w:b w:val="0"/>
                <w:sz w:val="20"/>
              </w:rPr>
              <w:t>Акцизы на ввозимые товары</w:t>
            </w:r>
          </w:p>
        </w:tc>
        <w:tc>
          <w:tcPr>
            <w:tcW w:w="1334" w:type="dxa"/>
            <w:tcBorders>
              <w:top w:val="nil"/>
              <w:bottom w:val="nil"/>
            </w:tcBorders>
            <w:shd w:val="clear" w:color="auto" w:fill="F2F2F2" w:themeFill="background1" w:themeFillShade="F2"/>
            <w:vAlign w:val="center"/>
          </w:tcPr>
          <w:p w:rsidR="00AB0B73" w:rsidRPr="008E18DB" w:rsidRDefault="00C34BC7" w:rsidP="00F241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entury" w:hAnsi="Century"/>
                <w:iCs/>
                <w:color w:val="auto"/>
                <w:sz w:val="20"/>
              </w:rPr>
            </w:pPr>
            <w:r w:rsidRPr="008E18DB">
              <w:rPr>
                <w:rFonts w:ascii="Century" w:hAnsi="Century"/>
                <w:iCs/>
                <w:color w:val="auto"/>
                <w:sz w:val="20"/>
              </w:rPr>
              <w:t>77</w:t>
            </w:r>
          </w:p>
        </w:tc>
        <w:tc>
          <w:tcPr>
            <w:tcW w:w="1334" w:type="dxa"/>
            <w:tcBorders>
              <w:top w:val="nil"/>
              <w:bottom w:val="nil"/>
            </w:tcBorders>
            <w:shd w:val="clear" w:color="auto" w:fill="F2F2F2" w:themeFill="background1" w:themeFillShade="F2"/>
            <w:noWrap/>
            <w:vAlign w:val="center"/>
            <w:hideMark/>
          </w:tcPr>
          <w:p w:rsidR="00AB0B73" w:rsidRPr="008E18DB" w:rsidRDefault="00AB0B73" w:rsidP="00F241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entury" w:hAnsi="Century"/>
                <w:color w:val="auto"/>
                <w:sz w:val="20"/>
              </w:rPr>
            </w:pPr>
            <w:r w:rsidRPr="008E18DB">
              <w:rPr>
                <w:rFonts w:ascii="Century" w:hAnsi="Century"/>
                <w:iCs/>
                <w:color w:val="auto"/>
                <w:sz w:val="20"/>
              </w:rPr>
              <w:t>92</w:t>
            </w:r>
          </w:p>
        </w:tc>
        <w:tc>
          <w:tcPr>
            <w:tcW w:w="1334" w:type="dxa"/>
            <w:tcBorders>
              <w:top w:val="nil"/>
              <w:bottom w:val="nil"/>
            </w:tcBorders>
            <w:shd w:val="clear" w:color="auto" w:fill="F2F2F2" w:themeFill="background1" w:themeFillShade="F2"/>
            <w:noWrap/>
            <w:vAlign w:val="center"/>
            <w:hideMark/>
          </w:tcPr>
          <w:p w:rsidR="00AB0B73" w:rsidRPr="008E18DB" w:rsidRDefault="00AB0B73" w:rsidP="00F241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entury" w:hAnsi="Century"/>
                <w:color w:val="auto"/>
                <w:sz w:val="20"/>
              </w:rPr>
            </w:pPr>
            <w:r w:rsidRPr="008E18DB">
              <w:rPr>
                <w:rFonts w:ascii="Century" w:hAnsi="Century"/>
                <w:iCs/>
                <w:color w:val="auto"/>
                <w:sz w:val="20"/>
              </w:rPr>
              <w:t>98</w:t>
            </w:r>
          </w:p>
        </w:tc>
        <w:tc>
          <w:tcPr>
            <w:tcW w:w="1334" w:type="dxa"/>
            <w:tcBorders>
              <w:top w:val="nil"/>
              <w:bottom w:val="nil"/>
            </w:tcBorders>
            <w:shd w:val="clear" w:color="auto" w:fill="F2F2F2" w:themeFill="background1" w:themeFillShade="F2"/>
            <w:noWrap/>
            <w:vAlign w:val="center"/>
            <w:hideMark/>
          </w:tcPr>
          <w:p w:rsidR="00AB0B73" w:rsidRPr="008E18DB" w:rsidRDefault="00AB0B73" w:rsidP="00F241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entury" w:hAnsi="Century"/>
                <w:color w:val="auto"/>
                <w:sz w:val="20"/>
              </w:rPr>
            </w:pPr>
            <w:r w:rsidRPr="008E18DB">
              <w:rPr>
                <w:rFonts w:ascii="Century" w:hAnsi="Century"/>
                <w:iCs/>
                <w:color w:val="auto"/>
                <w:sz w:val="20"/>
              </w:rPr>
              <w:t>102</w:t>
            </w:r>
          </w:p>
        </w:tc>
      </w:tr>
      <w:tr w:rsidR="00AB0B73" w:rsidRPr="009418F1" w:rsidTr="00C34BC7">
        <w:trPr>
          <w:trHeight w:val="312"/>
        </w:trPr>
        <w:tc>
          <w:tcPr>
            <w:cnfStyle w:val="001000000000" w:firstRow="0" w:lastRow="0" w:firstColumn="1" w:lastColumn="0" w:oddVBand="0" w:evenVBand="0" w:oddHBand="0" w:evenHBand="0" w:firstRowFirstColumn="0" w:firstRowLastColumn="0" w:lastRowFirstColumn="0" w:lastRowLastColumn="0"/>
            <w:tcW w:w="3950" w:type="dxa"/>
            <w:tcBorders>
              <w:top w:val="nil"/>
              <w:bottom w:val="nil"/>
            </w:tcBorders>
            <w:shd w:val="clear" w:color="auto" w:fill="auto"/>
            <w:noWrap/>
            <w:vAlign w:val="center"/>
            <w:hideMark/>
          </w:tcPr>
          <w:p w:rsidR="00AB0B73" w:rsidRPr="00F31947" w:rsidRDefault="00AB0B73" w:rsidP="00F2417A">
            <w:pPr>
              <w:spacing w:after="0" w:line="240" w:lineRule="auto"/>
              <w:ind w:firstLine="191"/>
              <w:rPr>
                <w:rFonts w:ascii="Century" w:eastAsia="Times New Roman" w:hAnsi="Century"/>
                <w:b w:val="0"/>
                <w:sz w:val="20"/>
              </w:rPr>
            </w:pPr>
            <w:r w:rsidRPr="00F31947">
              <w:rPr>
                <w:rFonts w:ascii="Century" w:eastAsia="Times New Roman" w:hAnsi="Century"/>
                <w:b w:val="0"/>
                <w:sz w:val="20"/>
              </w:rPr>
              <w:t>Ввозные пошлины</w:t>
            </w:r>
          </w:p>
        </w:tc>
        <w:tc>
          <w:tcPr>
            <w:tcW w:w="1334" w:type="dxa"/>
            <w:tcBorders>
              <w:top w:val="nil"/>
              <w:bottom w:val="nil"/>
            </w:tcBorders>
            <w:shd w:val="clear" w:color="auto" w:fill="auto"/>
            <w:vAlign w:val="center"/>
          </w:tcPr>
          <w:p w:rsidR="00AB0B73" w:rsidRPr="008E18DB" w:rsidRDefault="00C34BC7" w:rsidP="00F2417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entury" w:hAnsi="Century"/>
                <w:iCs/>
                <w:color w:val="auto"/>
                <w:sz w:val="20"/>
              </w:rPr>
            </w:pPr>
            <w:r w:rsidRPr="008E18DB">
              <w:rPr>
                <w:rFonts w:ascii="Century" w:hAnsi="Century"/>
                <w:iCs/>
                <w:color w:val="auto"/>
                <w:sz w:val="20"/>
              </w:rPr>
              <w:t>555</w:t>
            </w:r>
          </w:p>
        </w:tc>
        <w:tc>
          <w:tcPr>
            <w:tcW w:w="1334" w:type="dxa"/>
            <w:tcBorders>
              <w:top w:val="nil"/>
              <w:bottom w:val="nil"/>
            </w:tcBorders>
            <w:shd w:val="clear" w:color="auto" w:fill="auto"/>
            <w:noWrap/>
            <w:vAlign w:val="center"/>
            <w:hideMark/>
          </w:tcPr>
          <w:p w:rsidR="00AB0B73" w:rsidRPr="008E18DB" w:rsidRDefault="00C34BC7" w:rsidP="00F2417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entury" w:hAnsi="Century"/>
                <w:color w:val="auto"/>
                <w:sz w:val="20"/>
              </w:rPr>
            </w:pPr>
            <w:r w:rsidRPr="008E18DB">
              <w:rPr>
                <w:rFonts w:ascii="Century" w:hAnsi="Century"/>
                <w:iCs/>
                <w:color w:val="auto"/>
                <w:sz w:val="20"/>
              </w:rPr>
              <w:t>572</w:t>
            </w:r>
          </w:p>
        </w:tc>
        <w:tc>
          <w:tcPr>
            <w:tcW w:w="1334" w:type="dxa"/>
            <w:tcBorders>
              <w:top w:val="nil"/>
              <w:bottom w:val="nil"/>
            </w:tcBorders>
            <w:shd w:val="clear" w:color="auto" w:fill="auto"/>
            <w:noWrap/>
            <w:vAlign w:val="center"/>
            <w:hideMark/>
          </w:tcPr>
          <w:p w:rsidR="00AB0B73" w:rsidRPr="008E18DB" w:rsidRDefault="00C34BC7" w:rsidP="00F2417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entury" w:hAnsi="Century"/>
                <w:color w:val="auto"/>
                <w:sz w:val="20"/>
              </w:rPr>
            </w:pPr>
            <w:r w:rsidRPr="008E18DB">
              <w:rPr>
                <w:rFonts w:ascii="Century" w:hAnsi="Century"/>
                <w:iCs/>
                <w:color w:val="auto"/>
                <w:sz w:val="20"/>
              </w:rPr>
              <w:t>571</w:t>
            </w:r>
          </w:p>
        </w:tc>
        <w:tc>
          <w:tcPr>
            <w:tcW w:w="1334" w:type="dxa"/>
            <w:tcBorders>
              <w:top w:val="nil"/>
              <w:bottom w:val="nil"/>
            </w:tcBorders>
            <w:shd w:val="clear" w:color="auto" w:fill="auto"/>
            <w:noWrap/>
            <w:vAlign w:val="center"/>
            <w:hideMark/>
          </w:tcPr>
          <w:p w:rsidR="00AB0B73" w:rsidRPr="008E18DB" w:rsidRDefault="00C34BC7" w:rsidP="00F2417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entury" w:hAnsi="Century"/>
                <w:color w:val="auto"/>
                <w:sz w:val="20"/>
              </w:rPr>
            </w:pPr>
            <w:r w:rsidRPr="008E18DB">
              <w:rPr>
                <w:rFonts w:ascii="Century" w:hAnsi="Century"/>
                <w:iCs/>
                <w:color w:val="auto"/>
                <w:sz w:val="20"/>
              </w:rPr>
              <w:t>568</w:t>
            </w:r>
          </w:p>
        </w:tc>
      </w:tr>
      <w:tr w:rsidR="00AB0B73" w:rsidRPr="009418F1" w:rsidTr="00C34BC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950" w:type="dxa"/>
            <w:tcBorders>
              <w:top w:val="nil"/>
              <w:bottom w:val="single" w:sz="4" w:space="0" w:color="auto"/>
            </w:tcBorders>
            <w:shd w:val="clear" w:color="auto" w:fill="F2F2F2" w:themeFill="background1" w:themeFillShade="F2"/>
            <w:noWrap/>
            <w:vAlign w:val="center"/>
          </w:tcPr>
          <w:p w:rsidR="00AB0B73" w:rsidRPr="00F31947" w:rsidRDefault="00AB0B73" w:rsidP="00F2417A">
            <w:pPr>
              <w:spacing w:after="0" w:line="240" w:lineRule="auto"/>
              <w:rPr>
                <w:rFonts w:ascii="Century" w:eastAsia="Times New Roman" w:hAnsi="Century"/>
                <w:b w:val="0"/>
                <w:bCs w:val="0"/>
                <w:iCs/>
                <w:sz w:val="20"/>
              </w:rPr>
            </w:pPr>
            <w:r w:rsidRPr="00F31947">
              <w:rPr>
                <w:rFonts w:ascii="Century" w:eastAsia="Times New Roman" w:hAnsi="Century"/>
                <w:iCs/>
                <w:sz w:val="20"/>
              </w:rPr>
              <w:t>Прочие</w:t>
            </w:r>
          </w:p>
        </w:tc>
        <w:tc>
          <w:tcPr>
            <w:tcW w:w="1334" w:type="dxa"/>
            <w:tcBorders>
              <w:top w:val="nil"/>
              <w:bottom w:val="single" w:sz="4" w:space="0" w:color="auto"/>
            </w:tcBorders>
            <w:shd w:val="clear" w:color="auto" w:fill="F2F2F2" w:themeFill="background1" w:themeFillShade="F2"/>
            <w:vAlign w:val="center"/>
          </w:tcPr>
          <w:p w:rsidR="00AB0B73" w:rsidRPr="00F31947" w:rsidRDefault="003727A8" w:rsidP="00F241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entury" w:hAnsi="Century"/>
                <w:b/>
                <w:bCs/>
                <w:i/>
                <w:iCs/>
                <w:sz w:val="20"/>
              </w:rPr>
            </w:pPr>
            <w:r>
              <w:rPr>
                <w:rFonts w:ascii="Century" w:hAnsi="Century"/>
                <w:b/>
                <w:bCs/>
                <w:i/>
                <w:iCs/>
                <w:sz w:val="20"/>
              </w:rPr>
              <w:t>1 576</w:t>
            </w:r>
          </w:p>
        </w:tc>
        <w:tc>
          <w:tcPr>
            <w:tcW w:w="1334" w:type="dxa"/>
            <w:tcBorders>
              <w:top w:val="nil"/>
              <w:bottom w:val="single" w:sz="4" w:space="0" w:color="auto"/>
            </w:tcBorders>
            <w:shd w:val="clear" w:color="auto" w:fill="F2F2F2" w:themeFill="background1" w:themeFillShade="F2"/>
            <w:noWrap/>
            <w:vAlign w:val="center"/>
          </w:tcPr>
          <w:p w:rsidR="00AB0B73" w:rsidRPr="00F31947" w:rsidRDefault="008E18DB" w:rsidP="00F241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entury" w:hAnsi="Century"/>
                <w:b/>
                <w:sz w:val="20"/>
              </w:rPr>
            </w:pPr>
            <w:r>
              <w:rPr>
                <w:rFonts w:ascii="Century" w:hAnsi="Century"/>
                <w:b/>
                <w:bCs/>
                <w:i/>
                <w:iCs/>
                <w:sz w:val="20"/>
              </w:rPr>
              <w:t>1 721</w:t>
            </w:r>
          </w:p>
        </w:tc>
        <w:tc>
          <w:tcPr>
            <w:tcW w:w="1334" w:type="dxa"/>
            <w:tcBorders>
              <w:top w:val="nil"/>
              <w:bottom w:val="single" w:sz="4" w:space="0" w:color="auto"/>
            </w:tcBorders>
            <w:shd w:val="clear" w:color="auto" w:fill="F2F2F2" w:themeFill="background1" w:themeFillShade="F2"/>
            <w:noWrap/>
            <w:vAlign w:val="center"/>
          </w:tcPr>
          <w:p w:rsidR="00AB0B73" w:rsidRPr="00F31947" w:rsidRDefault="008E18DB" w:rsidP="00F241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entury" w:hAnsi="Century"/>
                <w:b/>
                <w:sz w:val="20"/>
              </w:rPr>
            </w:pPr>
            <w:r>
              <w:rPr>
                <w:rFonts w:ascii="Century" w:hAnsi="Century"/>
                <w:b/>
                <w:bCs/>
                <w:i/>
                <w:iCs/>
                <w:sz w:val="20"/>
              </w:rPr>
              <w:t>1 823</w:t>
            </w:r>
          </w:p>
        </w:tc>
        <w:tc>
          <w:tcPr>
            <w:tcW w:w="1334" w:type="dxa"/>
            <w:tcBorders>
              <w:top w:val="nil"/>
              <w:bottom w:val="single" w:sz="4" w:space="0" w:color="auto"/>
            </w:tcBorders>
            <w:shd w:val="clear" w:color="auto" w:fill="F2F2F2" w:themeFill="background1" w:themeFillShade="F2"/>
            <w:noWrap/>
            <w:vAlign w:val="center"/>
          </w:tcPr>
          <w:p w:rsidR="00AB0B73" w:rsidRPr="00F31947" w:rsidRDefault="008E18DB" w:rsidP="00F241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entury" w:hAnsi="Century"/>
                <w:b/>
                <w:sz w:val="20"/>
              </w:rPr>
            </w:pPr>
            <w:r>
              <w:rPr>
                <w:rFonts w:ascii="Century" w:hAnsi="Century"/>
                <w:b/>
                <w:bCs/>
                <w:i/>
                <w:iCs/>
                <w:sz w:val="20"/>
              </w:rPr>
              <w:t>1 883</w:t>
            </w:r>
          </w:p>
        </w:tc>
      </w:tr>
    </w:tbl>
    <w:p w:rsidR="00A71D96" w:rsidRPr="00C22F45" w:rsidRDefault="00A71D96" w:rsidP="00A71D96">
      <w:pPr>
        <w:spacing w:before="240" w:after="120"/>
        <w:jc w:val="both"/>
        <w:rPr>
          <w:rFonts w:ascii="Times New Roman" w:hAnsi="Times New Roman"/>
          <w:b/>
          <w:sz w:val="28"/>
          <w:szCs w:val="24"/>
        </w:rPr>
      </w:pPr>
      <w:r w:rsidRPr="00C22F45">
        <w:rPr>
          <w:rFonts w:ascii="Times New Roman" w:hAnsi="Times New Roman"/>
          <w:b/>
          <w:sz w:val="28"/>
          <w:szCs w:val="24"/>
        </w:rPr>
        <w:t>Расходы федерального бюджета</w:t>
      </w:r>
    </w:p>
    <w:p w:rsidR="00A71D96" w:rsidRDefault="00A71D96" w:rsidP="00A71D96">
      <w:pPr>
        <w:spacing w:before="120" w:after="120"/>
        <w:jc w:val="both"/>
        <w:rPr>
          <w:rFonts w:ascii="Times New Roman" w:hAnsi="Times New Roman"/>
          <w:sz w:val="24"/>
          <w:szCs w:val="24"/>
        </w:rPr>
      </w:pPr>
      <w:proofErr w:type="gramStart"/>
      <w:r w:rsidRPr="00E070B6">
        <w:rPr>
          <w:rFonts w:ascii="Times New Roman" w:hAnsi="Times New Roman"/>
          <w:sz w:val="24"/>
          <w:szCs w:val="24"/>
        </w:rPr>
        <w:t xml:space="preserve">Общий объем </w:t>
      </w:r>
      <w:r w:rsidRPr="00E070B6">
        <w:rPr>
          <w:rFonts w:ascii="Times New Roman" w:hAnsi="Times New Roman"/>
          <w:i/>
          <w:sz w:val="24"/>
          <w:szCs w:val="24"/>
        </w:rPr>
        <w:t>предельных расходов федерального бюджета</w:t>
      </w:r>
      <w:r w:rsidRPr="00E070B6">
        <w:rPr>
          <w:rFonts w:ascii="Times New Roman" w:hAnsi="Times New Roman"/>
          <w:sz w:val="24"/>
          <w:szCs w:val="24"/>
        </w:rPr>
        <w:t xml:space="preserve"> на 2019-2020 гг. сформирован с учетом </w:t>
      </w:r>
      <w:r w:rsidRPr="00BC6D56">
        <w:rPr>
          <w:rFonts w:ascii="Times New Roman" w:hAnsi="Times New Roman"/>
          <w:sz w:val="24"/>
          <w:szCs w:val="24"/>
        </w:rPr>
        <w:t xml:space="preserve">новых бюджетных правил, и не может превышать суммы: (1) нефтегазовых доходов, рассчитанных исходя из базовой цены на нефть, базовой экспортной цены на газ природный и прогнозируемого обменного курса доллара США к рублю, (2) прогнозного объема </w:t>
      </w:r>
      <w:proofErr w:type="spellStart"/>
      <w:r w:rsidRPr="00BC6D56">
        <w:rPr>
          <w:rFonts w:ascii="Times New Roman" w:hAnsi="Times New Roman"/>
          <w:sz w:val="24"/>
          <w:szCs w:val="24"/>
        </w:rPr>
        <w:t>ненефтегазовых</w:t>
      </w:r>
      <w:proofErr w:type="spellEnd"/>
      <w:r w:rsidRPr="00BC6D56">
        <w:rPr>
          <w:rFonts w:ascii="Times New Roman" w:hAnsi="Times New Roman"/>
          <w:sz w:val="24"/>
          <w:szCs w:val="24"/>
        </w:rPr>
        <w:t xml:space="preserve"> доходов и (3) прогнозного объема расходов на обслуживание государственного долга.</w:t>
      </w:r>
      <w:proofErr w:type="gramEnd"/>
      <w:r w:rsidRPr="00BC6D56">
        <w:rPr>
          <w:rFonts w:ascii="Times New Roman" w:hAnsi="Times New Roman"/>
          <w:sz w:val="24"/>
          <w:szCs w:val="24"/>
        </w:rPr>
        <w:t xml:space="preserve"> В отношении </w:t>
      </w:r>
      <w:r w:rsidRPr="00190C26">
        <w:rPr>
          <w:rFonts w:ascii="Times New Roman" w:hAnsi="Times New Roman"/>
          <w:sz w:val="24"/>
          <w:szCs w:val="24"/>
        </w:rPr>
        <w:t>переходного периода в 2018 году объем расходов сформирован с учетом переходных положений бюджетных правил, исходя из ограничений на объем первичного структурного (при нефти Юралс 40 в ценах 2017 года) дефицита в пределах 1% ВВП.</w:t>
      </w:r>
    </w:p>
    <w:p w:rsidR="00A71D96" w:rsidRPr="00C22F45" w:rsidRDefault="00A71D96" w:rsidP="00A71D96">
      <w:pPr>
        <w:spacing w:before="120" w:after="120"/>
        <w:jc w:val="both"/>
        <w:rPr>
          <w:rFonts w:ascii="Times New Roman" w:hAnsi="Times New Roman"/>
          <w:sz w:val="24"/>
          <w:szCs w:val="24"/>
        </w:rPr>
      </w:pPr>
      <w:r w:rsidRPr="00C22F45">
        <w:rPr>
          <w:rFonts w:ascii="Times New Roman" w:hAnsi="Times New Roman"/>
          <w:sz w:val="24"/>
          <w:szCs w:val="24"/>
        </w:rPr>
        <w:t>Предельные объемы бюджетных ассигнований федерального бюджета по государственным программам и направлениям деятельности, не входящим в государственные программы на 2018-2020 гг., сформированы на основе следующих основных подходов:</w:t>
      </w:r>
    </w:p>
    <w:p w:rsidR="00A71D96" w:rsidRPr="00E42893" w:rsidRDefault="00A71D96" w:rsidP="00A71D96">
      <w:pPr>
        <w:pStyle w:val="a9"/>
        <w:numPr>
          <w:ilvl w:val="0"/>
          <w:numId w:val="5"/>
        </w:numPr>
        <w:spacing w:before="120" w:after="120"/>
        <w:ind w:hanging="357"/>
        <w:contextualSpacing w:val="0"/>
        <w:jc w:val="both"/>
        <w:rPr>
          <w:rFonts w:ascii="Times New Roman" w:hAnsi="Times New Roman"/>
          <w:sz w:val="24"/>
          <w:szCs w:val="24"/>
        </w:rPr>
      </w:pPr>
      <w:r w:rsidRPr="00E42893">
        <w:rPr>
          <w:rFonts w:ascii="Times New Roman" w:hAnsi="Times New Roman"/>
          <w:sz w:val="24"/>
          <w:szCs w:val="24"/>
        </w:rPr>
        <w:t>в качестве «базовых» объемов бюджетных ассигнований федерального бюджета на 2018 - 2020 годы приняты бюджетные ассигнования, утвержденные на 2017-2019 годы Федеральным законом от 19 декабря 2016 г. № 415-ФЗ «О федеральном бюджете на 2017 год и плановый период 2018 и 2019 годов»;</w:t>
      </w:r>
    </w:p>
    <w:p w:rsidR="00A71D96" w:rsidRPr="00E42893" w:rsidRDefault="00A71D96" w:rsidP="00A71D96">
      <w:pPr>
        <w:pStyle w:val="a9"/>
        <w:numPr>
          <w:ilvl w:val="0"/>
          <w:numId w:val="5"/>
        </w:numPr>
        <w:spacing w:before="120" w:after="120"/>
        <w:ind w:hanging="357"/>
        <w:contextualSpacing w:val="0"/>
        <w:jc w:val="both"/>
        <w:rPr>
          <w:rFonts w:ascii="Times New Roman" w:hAnsi="Times New Roman"/>
          <w:sz w:val="24"/>
          <w:szCs w:val="24"/>
        </w:rPr>
      </w:pPr>
      <w:r w:rsidRPr="00E42893">
        <w:rPr>
          <w:rFonts w:ascii="Times New Roman" w:hAnsi="Times New Roman"/>
          <w:sz w:val="24"/>
          <w:szCs w:val="24"/>
        </w:rPr>
        <w:t>«базовые» объемы бюджетных ассигнований 2018 – 2020 годов уточнены с учетом:</w:t>
      </w:r>
    </w:p>
    <w:p w:rsidR="00A71D96" w:rsidRPr="00674676" w:rsidRDefault="00A71D96" w:rsidP="00A71D96">
      <w:pPr>
        <w:pStyle w:val="a9"/>
        <w:numPr>
          <w:ilvl w:val="1"/>
          <w:numId w:val="5"/>
        </w:numPr>
        <w:spacing w:before="120" w:after="120"/>
        <w:ind w:hanging="357"/>
        <w:contextualSpacing w:val="0"/>
        <w:jc w:val="both"/>
        <w:rPr>
          <w:rFonts w:ascii="Times New Roman" w:hAnsi="Times New Roman"/>
          <w:sz w:val="24"/>
          <w:szCs w:val="24"/>
        </w:rPr>
      </w:pPr>
      <w:r w:rsidRPr="00674676">
        <w:rPr>
          <w:rFonts w:ascii="Times New Roman" w:hAnsi="Times New Roman"/>
          <w:sz w:val="24"/>
          <w:szCs w:val="24"/>
        </w:rPr>
        <w:t xml:space="preserve">уменьшения объемов бюджетных ассигнований по расходным обязательствам ограниченного срока действия, а также в связи с </w:t>
      </w:r>
      <w:r>
        <w:rPr>
          <w:rFonts w:ascii="Times New Roman" w:hAnsi="Times New Roman"/>
          <w:sz w:val="24"/>
          <w:szCs w:val="24"/>
        </w:rPr>
        <w:t>уточнением</w:t>
      </w:r>
      <w:r w:rsidRPr="00674676">
        <w:rPr>
          <w:rFonts w:ascii="Times New Roman" w:hAnsi="Times New Roman"/>
          <w:sz w:val="24"/>
          <w:szCs w:val="24"/>
        </w:rPr>
        <w:t xml:space="preserve"> контингента получателей;</w:t>
      </w:r>
    </w:p>
    <w:p w:rsidR="00A71D96" w:rsidRPr="000442F8" w:rsidRDefault="00A71D96" w:rsidP="00A71D96">
      <w:pPr>
        <w:pStyle w:val="a9"/>
        <w:numPr>
          <w:ilvl w:val="1"/>
          <w:numId w:val="5"/>
        </w:numPr>
        <w:spacing w:before="120" w:after="120"/>
        <w:ind w:hanging="357"/>
        <w:contextualSpacing w:val="0"/>
        <w:jc w:val="both"/>
        <w:rPr>
          <w:rFonts w:ascii="Times New Roman" w:hAnsi="Times New Roman"/>
          <w:sz w:val="24"/>
          <w:szCs w:val="24"/>
        </w:rPr>
      </w:pPr>
      <w:r w:rsidRPr="00674676">
        <w:rPr>
          <w:rFonts w:ascii="Times New Roman" w:hAnsi="Times New Roman"/>
          <w:sz w:val="24"/>
          <w:szCs w:val="24"/>
        </w:rPr>
        <w:t xml:space="preserve">увеличения бюджетных ассигнований по мероприятиям «длящегося» характера, </w:t>
      </w:r>
      <w:r w:rsidRPr="000442F8">
        <w:rPr>
          <w:rFonts w:ascii="Times New Roman" w:hAnsi="Times New Roman"/>
          <w:sz w:val="24"/>
          <w:szCs w:val="24"/>
        </w:rPr>
        <w:t>возникшим в ходе исполнения федерального бюджета в 2017 году;</w:t>
      </w:r>
    </w:p>
    <w:p w:rsidR="00A71D96" w:rsidRPr="000442F8" w:rsidRDefault="00A71D96" w:rsidP="00A71D96">
      <w:pPr>
        <w:pStyle w:val="a9"/>
        <w:numPr>
          <w:ilvl w:val="1"/>
          <w:numId w:val="5"/>
        </w:numPr>
        <w:spacing w:before="120" w:after="120"/>
        <w:contextualSpacing w:val="0"/>
        <w:jc w:val="both"/>
        <w:rPr>
          <w:rFonts w:ascii="Times New Roman" w:hAnsi="Times New Roman"/>
          <w:sz w:val="24"/>
          <w:szCs w:val="24"/>
        </w:rPr>
      </w:pPr>
      <w:r w:rsidRPr="000442F8">
        <w:rPr>
          <w:rFonts w:ascii="Times New Roman" w:hAnsi="Times New Roman"/>
          <w:sz w:val="24"/>
          <w:szCs w:val="24"/>
        </w:rPr>
        <w:t xml:space="preserve">увеличения бюджетных ассигнований в связи с ежегодной индексацией с 1 </w:t>
      </w:r>
      <w:r>
        <w:rPr>
          <w:rFonts w:ascii="Times New Roman" w:hAnsi="Times New Roman"/>
          <w:sz w:val="24"/>
          <w:szCs w:val="24"/>
        </w:rPr>
        <w:t>февраля</w:t>
      </w:r>
      <w:r w:rsidRPr="000442F8">
        <w:rPr>
          <w:rFonts w:ascii="Times New Roman" w:hAnsi="Times New Roman"/>
          <w:sz w:val="24"/>
          <w:szCs w:val="24"/>
        </w:rPr>
        <w:t xml:space="preserve"> публичных нормативных обязательств </w:t>
      </w:r>
      <w:r w:rsidRPr="00A218B2">
        <w:rPr>
          <w:rFonts w:ascii="Times New Roman" w:hAnsi="Times New Roman"/>
          <w:sz w:val="24"/>
          <w:szCs w:val="24"/>
        </w:rPr>
        <w:t>на уровень инфляции предшествующего года</w:t>
      </w:r>
      <w:r w:rsidRPr="000442F8">
        <w:rPr>
          <w:rFonts w:ascii="Times New Roman" w:hAnsi="Times New Roman"/>
          <w:sz w:val="24"/>
          <w:szCs w:val="24"/>
        </w:rPr>
        <w:t>;</w:t>
      </w:r>
    </w:p>
    <w:p w:rsidR="00A71D96" w:rsidRDefault="00A71D96" w:rsidP="00A71D96">
      <w:pPr>
        <w:pStyle w:val="a9"/>
        <w:numPr>
          <w:ilvl w:val="1"/>
          <w:numId w:val="5"/>
        </w:numPr>
        <w:spacing w:before="120" w:after="120"/>
        <w:contextualSpacing w:val="0"/>
        <w:jc w:val="both"/>
        <w:rPr>
          <w:rFonts w:ascii="Times New Roman" w:hAnsi="Times New Roman"/>
          <w:sz w:val="24"/>
          <w:szCs w:val="24"/>
        </w:rPr>
      </w:pPr>
      <w:r w:rsidRPr="000442F8">
        <w:rPr>
          <w:rFonts w:ascii="Times New Roman" w:hAnsi="Times New Roman"/>
          <w:sz w:val="24"/>
          <w:szCs w:val="24"/>
        </w:rPr>
        <w:t>увеличения бюджетных ассигнований на ежегодное повышение оплаты труда на прогнозный уровень инфляции;</w:t>
      </w:r>
    </w:p>
    <w:p w:rsidR="00A71D96" w:rsidRPr="000442F8" w:rsidRDefault="00A71D96" w:rsidP="00A71D96">
      <w:pPr>
        <w:pStyle w:val="a9"/>
        <w:numPr>
          <w:ilvl w:val="1"/>
          <w:numId w:val="5"/>
        </w:numPr>
        <w:spacing w:before="120" w:after="120"/>
        <w:contextualSpacing w:val="0"/>
        <w:jc w:val="both"/>
        <w:rPr>
          <w:rFonts w:ascii="Times New Roman" w:hAnsi="Times New Roman"/>
          <w:sz w:val="24"/>
          <w:szCs w:val="24"/>
        </w:rPr>
      </w:pPr>
      <w:proofErr w:type="gramStart"/>
      <w:r w:rsidRPr="005F56AB">
        <w:rPr>
          <w:rFonts w:ascii="Times New Roman" w:hAnsi="Times New Roman"/>
          <w:sz w:val="24"/>
          <w:szCs w:val="24"/>
        </w:rPr>
        <w:t>установлени</w:t>
      </w:r>
      <w:r>
        <w:rPr>
          <w:rFonts w:ascii="Times New Roman" w:hAnsi="Times New Roman"/>
          <w:sz w:val="24"/>
          <w:szCs w:val="24"/>
        </w:rPr>
        <w:t>я</w:t>
      </w:r>
      <w:r w:rsidRPr="005F56AB">
        <w:rPr>
          <w:rFonts w:ascii="Times New Roman" w:hAnsi="Times New Roman"/>
          <w:sz w:val="24"/>
          <w:szCs w:val="24"/>
        </w:rPr>
        <w:t xml:space="preserve"> МРОТ с 1 января 2018 года в сумме 9</w:t>
      </w:r>
      <w:r>
        <w:rPr>
          <w:rFonts w:ascii="Times New Roman" w:hAnsi="Times New Roman"/>
          <w:sz w:val="24"/>
          <w:szCs w:val="24"/>
        </w:rPr>
        <w:t> </w:t>
      </w:r>
      <w:r w:rsidRPr="005F56AB">
        <w:rPr>
          <w:rFonts w:ascii="Times New Roman" w:hAnsi="Times New Roman"/>
          <w:sz w:val="24"/>
          <w:szCs w:val="24"/>
        </w:rPr>
        <w:t>489 руб. в месяц, что соответствует повышению МРОТ до уровня 85% от величины прожиточного минимума трудоспособного  населения в целом по Российской Федерации за II квартал 2017</w:t>
      </w:r>
      <w:r>
        <w:rPr>
          <w:rFonts w:ascii="Times New Roman" w:hAnsi="Times New Roman"/>
          <w:sz w:val="24"/>
          <w:szCs w:val="24"/>
        </w:rPr>
        <w:t xml:space="preserve"> г., а</w:t>
      </w:r>
      <w:r w:rsidRPr="005F56AB">
        <w:rPr>
          <w:rFonts w:ascii="Times New Roman" w:hAnsi="Times New Roman"/>
          <w:sz w:val="24"/>
          <w:szCs w:val="24"/>
        </w:rPr>
        <w:t xml:space="preserve"> с 1 января 2019 года </w:t>
      </w:r>
      <w:r>
        <w:rPr>
          <w:rFonts w:ascii="Times New Roman" w:hAnsi="Times New Roman"/>
          <w:sz w:val="24"/>
          <w:szCs w:val="24"/>
        </w:rPr>
        <w:t>-</w:t>
      </w:r>
      <w:r w:rsidRPr="005F56AB">
        <w:rPr>
          <w:rFonts w:ascii="Times New Roman" w:hAnsi="Times New Roman"/>
          <w:sz w:val="24"/>
          <w:szCs w:val="24"/>
        </w:rPr>
        <w:t xml:space="preserve"> в размере 100% от величины прожиточного минимума трудоспособного населения в целом по Российской Федерации за II квартал</w:t>
      </w:r>
      <w:proofErr w:type="gramEnd"/>
      <w:r w:rsidRPr="005F56AB">
        <w:rPr>
          <w:rFonts w:ascii="Times New Roman" w:hAnsi="Times New Roman"/>
          <w:sz w:val="24"/>
          <w:szCs w:val="24"/>
        </w:rPr>
        <w:t xml:space="preserve"> предыдущего года</w:t>
      </w:r>
      <w:proofErr w:type="gramStart"/>
      <w:r w:rsidRPr="005F56AB">
        <w:rPr>
          <w:rFonts w:ascii="Times New Roman" w:hAnsi="Times New Roman"/>
          <w:sz w:val="24"/>
          <w:szCs w:val="24"/>
        </w:rPr>
        <w:t>.</w:t>
      </w:r>
      <w:r>
        <w:rPr>
          <w:rFonts w:ascii="Times New Roman" w:hAnsi="Times New Roman"/>
          <w:sz w:val="24"/>
          <w:szCs w:val="24"/>
        </w:rPr>
        <w:t>;</w:t>
      </w:r>
      <w:proofErr w:type="gramEnd"/>
    </w:p>
    <w:p w:rsidR="00A71D96" w:rsidRPr="000442F8" w:rsidRDefault="00A71D96" w:rsidP="00A71D96">
      <w:pPr>
        <w:pStyle w:val="a9"/>
        <w:numPr>
          <w:ilvl w:val="1"/>
          <w:numId w:val="5"/>
        </w:numPr>
        <w:spacing w:before="120" w:after="120"/>
        <w:contextualSpacing w:val="0"/>
        <w:jc w:val="both"/>
        <w:rPr>
          <w:rFonts w:ascii="Times New Roman" w:hAnsi="Times New Roman"/>
          <w:sz w:val="24"/>
          <w:szCs w:val="24"/>
        </w:rPr>
      </w:pPr>
      <w:r w:rsidRPr="000442F8">
        <w:rPr>
          <w:rFonts w:ascii="Times New Roman" w:hAnsi="Times New Roman"/>
          <w:sz w:val="24"/>
          <w:szCs w:val="24"/>
        </w:rPr>
        <w:t>увеличения бюджетных ассигнований на повышение пенсий лицам, уволенным с военной и приравненной к ней службы, на прогнозный уровень инфляции (ежегодная индексация в 2018 и 2019 годах с 1 февраля на 4,0 % учтена в Федеральном законе № 415-ФЗ);</w:t>
      </w:r>
    </w:p>
    <w:p w:rsidR="00A71D96" w:rsidRPr="000442F8" w:rsidRDefault="00A71D96" w:rsidP="00A71D96">
      <w:pPr>
        <w:pStyle w:val="a9"/>
        <w:numPr>
          <w:ilvl w:val="1"/>
          <w:numId w:val="5"/>
        </w:numPr>
        <w:spacing w:before="120" w:after="120"/>
        <w:contextualSpacing w:val="0"/>
        <w:jc w:val="both"/>
        <w:rPr>
          <w:rFonts w:ascii="Times New Roman" w:hAnsi="Times New Roman"/>
          <w:sz w:val="24"/>
          <w:szCs w:val="24"/>
        </w:rPr>
      </w:pPr>
      <w:r w:rsidRPr="000442F8">
        <w:rPr>
          <w:rFonts w:ascii="Times New Roman" w:hAnsi="Times New Roman"/>
          <w:sz w:val="24"/>
          <w:szCs w:val="24"/>
        </w:rPr>
        <w:t>увеличения бюджетных ассигнований в связи с индексацией в 2020 году с 1 сентября стипендиального фонда для студентов федеральных образовательных учреждений профессионального образования, аспирантов, докторантов, интернов и ординаторов на прогнозный уровень инфляции (ежегодная индексация в 2018 и 2019 годах с 1 сент</w:t>
      </w:r>
      <w:r>
        <w:rPr>
          <w:rFonts w:ascii="Times New Roman" w:hAnsi="Times New Roman"/>
          <w:sz w:val="24"/>
          <w:szCs w:val="24"/>
        </w:rPr>
        <w:t>ября на 4,0</w:t>
      </w:r>
      <w:r w:rsidRPr="000442F8">
        <w:rPr>
          <w:rFonts w:ascii="Times New Roman" w:hAnsi="Times New Roman"/>
          <w:sz w:val="24"/>
          <w:szCs w:val="24"/>
        </w:rPr>
        <w:t>% учтена в Федеральном законе № 415-ФЗ);</w:t>
      </w:r>
    </w:p>
    <w:p w:rsidR="00A71D96" w:rsidRPr="000442F8" w:rsidRDefault="00A71D96" w:rsidP="00A71D96">
      <w:pPr>
        <w:pStyle w:val="a9"/>
        <w:numPr>
          <w:ilvl w:val="1"/>
          <w:numId w:val="5"/>
        </w:numPr>
        <w:spacing w:before="120" w:after="120"/>
        <w:contextualSpacing w:val="0"/>
        <w:jc w:val="both"/>
        <w:rPr>
          <w:rFonts w:ascii="Times New Roman" w:hAnsi="Times New Roman"/>
          <w:sz w:val="24"/>
          <w:szCs w:val="24"/>
        </w:rPr>
      </w:pPr>
      <w:proofErr w:type="gramStart"/>
      <w:r>
        <w:rPr>
          <w:rFonts w:ascii="Times New Roman" w:hAnsi="Times New Roman"/>
          <w:sz w:val="24"/>
          <w:szCs w:val="24"/>
        </w:rPr>
        <w:t>уточнением</w:t>
      </w:r>
      <w:r w:rsidRPr="000442F8">
        <w:rPr>
          <w:rFonts w:ascii="Times New Roman" w:hAnsi="Times New Roman"/>
          <w:sz w:val="24"/>
          <w:szCs w:val="24"/>
        </w:rPr>
        <w:t xml:space="preserve"> межбюджетных трансфертов, передаваемых из федерального бюджета бюджету Пенсионного фонда Российской Федерации на обязательное пенсионное страхование, валоризацию величины расчетного пенсионного капитала и ежемесячные денежные выплата в 2018 и 2019 годах в связи с уточнением уровня инфляции предшествующего года (по сравнению с учтенным в Федеральном законе № 415-ФЗ) в 2018 году с 4,0% до 3,</w:t>
      </w:r>
      <w:r>
        <w:rPr>
          <w:rFonts w:ascii="Times New Roman" w:hAnsi="Times New Roman"/>
          <w:sz w:val="24"/>
          <w:szCs w:val="24"/>
        </w:rPr>
        <w:t>2</w:t>
      </w:r>
      <w:r w:rsidRPr="000442F8">
        <w:rPr>
          <w:rFonts w:ascii="Times New Roman" w:hAnsi="Times New Roman"/>
          <w:sz w:val="24"/>
          <w:szCs w:val="24"/>
        </w:rPr>
        <w:t>% и увеличением в 2020 году в связи</w:t>
      </w:r>
      <w:proofErr w:type="gramEnd"/>
      <w:r w:rsidRPr="000442F8">
        <w:rPr>
          <w:rFonts w:ascii="Times New Roman" w:hAnsi="Times New Roman"/>
          <w:sz w:val="24"/>
          <w:szCs w:val="24"/>
        </w:rPr>
        <w:t xml:space="preserve"> с индексацией с 1 февраля на 4,0%;</w:t>
      </w:r>
    </w:p>
    <w:p w:rsidR="00A71D96" w:rsidRPr="000442F8" w:rsidRDefault="00A71D96" w:rsidP="00A71D96">
      <w:pPr>
        <w:pStyle w:val="a9"/>
        <w:numPr>
          <w:ilvl w:val="1"/>
          <w:numId w:val="5"/>
        </w:numPr>
        <w:spacing w:before="120" w:after="120"/>
        <w:contextualSpacing w:val="0"/>
        <w:jc w:val="both"/>
        <w:rPr>
          <w:rFonts w:ascii="Times New Roman" w:hAnsi="Times New Roman"/>
          <w:sz w:val="24"/>
          <w:szCs w:val="24"/>
        </w:rPr>
      </w:pPr>
      <w:proofErr w:type="gramStart"/>
      <w:r>
        <w:rPr>
          <w:rFonts w:ascii="Times New Roman" w:hAnsi="Times New Roman"/>
          <w:sz w:val="24"/>
          <w:szCs w:val="24"/>
        </w:rPr>
        <w:t>уточнения</w:t>
      </w:r>
      <w:r w:rsidRPr="000442F8">
        <w:rPr>
          <w:rFonts w:ascii="Times New Roman" w:hAnsi="Times New Roman"/>
          <w:sz w:val="24"/>
          <w:szCs w:val="24"/>
        </w:rPr>
        <w:t xml:space="preserve"> межбюджетного трансферта, передаваемого из федерального бюджета бюджету Пенсионного фонда Российской Федерации, на предоставление социальных пенсий в 2018 и 2019 годах в связи с уточнением темпа роста прожиточного минимума пенсионера (по сравнению с учтенным в Федеральном законе № 415-ФЗ) в 2018 году с 4,5% до </w:t>
      </w:r>
      <w:r>
        <w:rPr>
          <w:rFonts w:ascii="Times New Roman" w:hAnsi="Times New Roman"/>
          <w:sz w:val="24"/>
          <w:szCs w:val="24"/>
        </w:rPr>
        <w:t>4,1</w:t>
      </w:r>
      <w:r w:rsidRPr="000442F8">
        <w:rPr>
          <w:rFonts w:ascii="Times New Roman" w:hAnsi="Times New Roman"/>
          <w:sz w:val="24"/>
          <w:szCs w:val="24"/>
        </w:rPr>
        <w:t>%, в 2019 году с 9,6% до 3,</w:t>
      </w:r>
      <w:r>
        <w:rPr>
          <w:rFonts w:ascii="Times New Roman" w:hAnsi="Times New Roman"/>
          <w:sz w:val="24"/>
          <w:szCs w:val="24"/>
        </w:rPr>
        <w:t>4</w:t>
      </w:r>
      <w:r w:rsidRPr="000442F8">
        <w:rPr>
          <w:rFonts w:ascii="Times New Roman" w:hAnsi="Times New Roman"/>
          <w:sz w:val="24"/>
          <w:szCs w:val="24"/>
        </w:rPr>
        <w:t>% и увеличением в 2020 году с 1 апреля</w:t>
      </w:r>
      <w:proofErr w:type="gramEnd"/>
      <w:r w:rsidRPr="000442F8">
        <w:rPr>
          <w:rFonts w:ascii="Times New Roman" w:hAnsi="Times New Roman"/>
          <w:sz w:val="24"/>
          <w:szCs w:val="24"/>
        </w:rPr>
        <w:t xml:space="preserve"> на темп роста прожиточного минимума пенсионера на </w:t>
      </w:r>
      <w:r>
        <w:rPr>
          <w:rFonts w:ascii="Times New Roman" w:hAnsi="Times New Roman"/>
          <w:sz w:val="24"/>
          <w:szCs w:val="24"/>
        </w:rPr>
        <w:t>2,8</w:t>
      </w:r>
      <w:r w:rsidRPr="000442F8">
        <w:rPr>
          <w:rFonts w:ascii="Times New Roman" w:hAnsi="Times New Roman"/>
          <w:sz w:val="24"/>
          <w:szCs w:val="24"/>
        </w:rPr>
        <w:t>%;</w:t>
      </w:r>
    </w:p>
    <w:p w:rsidR="00A71D96" w:rsidRPr="000442F8" w:rsidRDefault="00A71D96" w:rsidP="00A71D96">
      <w:pPr>
        <w:pStyle w:val="a9"/>
        <w:numPr>
          <w:ilvl w:val="1"/>
          <w:numId w:val="5"/>
        </w:numPr>
        <w:spacing w:before="120" w:after="120"/>
        <w:ind w:hanging="357"/>
        <w:contextualSpacing w:val="0"/>
        <w:jc w:val="both"/>
        <w:rPr>
          <w:rFonts w:ascii="Times New Roman" w:hAnsi="Times New Roman"/>
          <w:sz w:val="24"/>
          <w:szCs w:val="24"/>
        </w:rPr>
      </w:pPr>
      <w:r w:rsidRPr="000442F8">
        <w:rPr>
          <w:rFonts w:ascii="Times New Roman" w:hAnsi="Times New Roman"/>
          <w:sz w:val="24"/>
          <w:szCs w:val="24"/>
        </w:rPr>
        <w:t>изменения бюджетных ассигнований в связи с прогнозируемым среднегодовым курсом доллара США по отношению к рублю;</w:t>
      </w:r>
    </w:p>
    <w:p w:rsidR="00A71D96" w:rsidRPr="000442F8" w:rsidRDefault="00A71D96" w:rsidP="00A71D96">
      <w:pPr>
        <w:pStyle w:val="a9"/>
        <w:numPr>
          <w:ilvl w:val="1"/>
          <w:numId w:val="5"/>
        </w:numPr>
        <w:spacing w:before="120" w:after="120"/>
        <w:ind w:hanging="357"/>
        <w:contextualSpacing w:val="0"/>
        <w:jc w:val="both"/>
        <w:rPr>
          <w:rFonts w:ascii="Times New Roman" w:hAnsi="Times New Roman"/>
          <w:sz w:val="24"/>
          <w:szCs w:val="24"/>
        </w:rPr>
      </w:pPr>
      <w:proofErr w:type="gramStart"/>
      <w:r w:rsidRPr="000442F8">
        <w:rPr>
          <w:rFonts w:ascii="Times New Roman" w:hAnsi="Times New Roman"/>
          <w:sz w:val="24"/>
          <w:szCs w:val="24"/>
        </w:rPr>
        <w:t>увеличения бюджетных ассигнований на уплату налога на имущество организаций и земельного налога с учетом объемов бюджетных ассигнований, выделенных в 2017 году в связи с отменой льгот по уплате налогов, увеличением кадастровой стоимости земельных участков и остаточной стоимости основных средств, а также на уплату земельного налога в отношении земельных участков, ограниченных в обороте в соответствии с законодательством, предоставленных для обеспечения обороны</w:t>
      </w:r>
      <w:proofErr w:type="gramEnd"/>
      <w:r w:rsidRPr="000442F8">
        <w:rPr>
          <w:rFonts w:ascii="Times New Roman" w:hAnsi="Times New Roman"/>
          <w:sz w:val="24"/>
          <w:szCs w:val="24"/>
        </w:rPr>
        <w:t>, безопасности и таможенных нужд;</w:t>
      </w:r>
    </w:p>
    <w:p w:rsidR="00A71D96" w:rsidRPr="000442F8" w:rsidRDefault="00A71D96" w:rsidP="00A71D96">
      <w:pPr>
        <w:pStyle w:val="a9"/>
        <w:numPr>
          <w:ilvl w:val="1"/>
          <w:numId w:val="5"/>
        </w:numPr>
        <w:spacing w:before="120" w:after="120"/>
        <w:contextualSpacing w:val="0"/>
        <w:jc w:val="both"/>
        <w:rPr>
          <w:rFonts w:ascii="Times New Roman" w:hAnsi="Times New Roman"/>
          <w:sz w:val="24"/>
          <w:szCs w:val="24"/>
        </w:rPr>
      </w:pPr>
      <w:proofErr w:type="gramStart"/>
      <w:r w:rsidRPr="000017F3">
        <w:rPr>
          <w:rFonts w:ascii="Times New Roman" w:hAnsi="Times New Roman"/>
          <w:i/>
          <w:sz w:val="24"/>
          <w:szCs w:val="24"/>
        </w:rPr>
        <w:t>сокращение бюджетных ассигнований в 2018 году на 2%</w:t>
      </w:r>
      <w:r w:rsidRPr="000442F8">
        <w:rPr>
          <w:rFonts w:ascii="Times New Roman" w:hAnsi="Times New Roman"/>
          <w:sz w:val="24"/>
          <w:szCs w:val="24"/>
        </w:rPr>
        <w:t>, за исключением бюджетных ассигнований, предусмотренных на исполнение публичных нормативных обязательств и международных обязательств, оплату труда и начисления на выплаты по оплате труда, денежное довольствие военнослужащих и приравненных к ним лиц, межбюджетные трансферты государственным внебюджетным фондам, содержание судебной системы, дотации на выравнивание бюджетной обеспеченности субъектов Российской Федерации, обслуживание государственного долга Российской Федерации.</w:t>
      </w:r>
      <w:proofErr w:type="gramEnd"/>
    </w:p>
    <w:p w:rsidR="00A71D96" w:rsidRPr="00C22F45" w:rsidRDefault="00A71D96" w:rsidP="00A71D96">
      <w:pPr>
        <w:spacing w:before="120" w:after="120"/>
        <w:jc w:val="both"/>
        <w:rPr>
          <w:rFonts w:ascii="Times New Roman" w:hAnsi="Times New Roman"/>
          <w:sz w:val="24"/>
          <w:szCs w:val="24"/>
        </w:rPr>
      </w:pPr>
      <w:r w:rsidRPr="00C22F45">
        <w:rPr>
          <w:rFonts w:ascii="Times New Roman" w:hAnsi="Times New Roman"/>
          <w:sz w:val="24"/>
          <w:szCs w:val="24"/>
        </w:rPr>
        <w:t>Такие подходы к определению предельных лимитов бюджетных ассигнований обуславливают следующую структуру расходов в разрезе функциональной классификации расходов.</w:t>
      </w:r>
    </w:p>
    <w:p w:rsidR="00A71D96" w:rsidRPr="00C22F45" w:rsidRDefault="00A71D96" w:rsidP="00A71D96">
      <w:pPr>
        <w:spacing w:before="120" w:after="0"/>
        <w:jc w:val="both"/>
        <w:rPr>
          <w:rFonts w:ascii="Times New Roman" w:hAnsi="Times New Roman"/>
          <w:sz w:val="24"/>
          <w:szCs w:val="24"/>
        </w:rPr>
      </w:pPr>
      <w:r w:rsidRPr="00C22F45">
        <w:rPr>
          <w:rFonts w:ascii="Times New Roman" w:hAnsi="Times New Roman"/>
          <w:b/>
          <w:sz w:val="24"/>
          <w:szCs w:val="24"/>
        </w:rPr>
        <w:t xml:space="preserve">Таблица </w:t>
      </w:r>
      <w:r w:rsidRPr="002B72A8">
        <w:rPr>
          <w:rFonts w:ascii="Times New Roman" w:hAnsi="Times New Roman"/>
          <w:b/>
          <w:sz w:val="24"/>
          <w:szCs w:val="24"/>
        </w:rPr>
        <w:t>4</w:t>
      </w:r>
      <w:r w:rsidRPr="00C22F45">
        <w:rPr>
          <w:rFonts w:ascii="Times New Roman" w:hAnsi="Times New Roman"/>
          <w:b/>
          <w:sz w:val="24"/>
          <w:szCs w:val="24"/>
        </w:rPr>
        <w:t>.1.3.</w:t>
      </w:r>
      <w:r w:rsidRPr="00C22F45">
        <w:rPr>
          <w:rFonts w:ascii="Times New Roman" w:hAnsi="Times New Roman"/>
          <w:sz w:val="24"/>
          <w:szCs w:val="24"/>
        </w:rPr>
        <w:t xml:space="preserve"> Расходы федерального бюджета по разделам функциональной классификации в 2017-2020 гг.</w:t>
      </w:r>
    </w:p>
    <w:p w:rsidR="00A71D96" w:rsidRPr="00C22F45" w:rsidRDefault="00A71D96" w:rsidP="00A71D96">
      <w:pPr>
        <w:spacing w:after="120"/>
        <w:jc w:val="right"/>
        <w:rPr>
          <w:rFonts w:ascii="Times New Roman" w:hAnsi="Times New Roman"/>
          <w:i/>
          <w:sz w:val="24"/>
          <w:szCs w:val="24"/>
        </w:rPr>
      </w:pPr>
      <w:proofErr w:type="gramStart"/>
      <w:r w:rsidRPr="00C22F45">
        <w:rPr>
          <w:rFonts w:ascii="Times New Roman" w:hAnsi="Times New Roman"/>
          <w:i/>
          <w:sz w:val="24"/>
          <w:szCs w:val="24"/>
        </w:rPr>
        <w:t>млрд</w:t>
      </w:r>
      <w:proofErr w:type="gramEnd"/>
      <w:r w:rsidRPr="00C22F45">
        <w:rPr>
          <w:rFonts w:ascii="Times New Roman" w:hAnsi="Times New Roman"/>
          <w:i/>
          <w:sz w:val="24"/>
          <w:szCs w:val="24"/>
        </w:rPr>
        <w:t xml:space="preserve"> рублей</w:t>
      </w:r>
    </w:p>
    <w:tbl>
      <w:tblPr>
        <w:tblW w:w="9297" w:type="dxa"/>
        <w:tblLayout w:type="fixed"/>
        <w:tblLook w:val="00A0" w:firstRow="1" w:lastRow="0" w:firstColumn="1" w:lastColumn="0" w:noHBand="0" w:noVBand="0"/>
      </w:tblPr>
      <w:tblGrid>
        <w:gridCol w:w="5329"/>
        <w:gridCol w:w="992"/>
        <w:gridCol w:w="992"/>
        <w:gridCol w:w="992"/>
        <w:gridCol w:w="992"/>
      </w:tblGrid>
      <w:tr w:rsidR="00A71D96" w:rsidRPr="00E11E0D" w:rsidTr="00F2417A">
        <w:trPr>
          <w:trHeight w:val="337"/>
        </w:trPr>
        <w:tc>
          <w:tcPr>
            <w:tcW w:w="5329" w:type="dxa"/>
            <w:tcBorders>
              <w:top w:val="single" w:sz="4" w:space="0" w:color="auto"/>
              <w:bottom w:val="single" w:sz="4" w:space="0" w:color="auto"/>
            </w:tcBorders>
          </w:tcPr>
          <w:p w:rsidR="00A71D96" w:rsidRPr="00F2417A" w:rsidRDefault="00A71D96" w:rsidP="00F2417A">
            <w:pPr>
              <w:spacing w:after="0" w:line="240" w:lineRule="auto"/>
              <w:rPr>
                <w:rFonts w:ascii="Century" w:hAnsi="Century"/>
                <w:b/>
                <w:bCs/>
                <w:szCs w:val="24"/>
              </w:rPr>
            </w:pPr>
            <w:r w:rsidRPr="00F2417A">
              <w:rPr>
                <w:rFonts w:ascii="Century" w:hAnsi="Century"/>
                <w:b/>
                <w:bCs/>
                <w:szCs w:val="24"/>
              </w:rPr>
              <w:t>Показатель</w:t>
            </w:r>
          </w:p>
        </w:tc>
        <w:tc>
          <w:tcPr>
            <w:tcW w:w="992" w:type="dxa"/>
            <w:tcBorders>
              <w:top w:val="single" w:sz="4" w:space="0" w:color="auto"/>
              <w:bottom w:val="single" w:sz="4" w:space="0" w:color="auto"/>
            </w:tcBorders>
          </w:tcPr>
          <w:p w:rsidR="00A71D96" w:rsidRPr="00F2417A" w:rsidRDefault="00A71D96" w:rsidP="00F2417A">
            <w:pPr>
              <w:spacing w:after="0" w:line="240" w:lineRule="auto"/>
              <w:jc w:val="right"/>
              <w:rPr>
                <w:rFonts w:ascii="Century" w:hAnsi="Century"/>
                <w:b/>
                <w:bCs/>
                <w:szCs w:val="24"/>
              </w:rPr>
            </w:pPr>
            <w:r w:rsidRPr="00F2417A">
              <w:rPr>
                <w:rFonts w:ascii="Century" w:hAnsi="Century"/>
                <w:b/>
                <w:bCs/>
                <w:szCs w:val="24"/>
              </w:rPr>
              <w:t>2017</w:t>
            </w:r>
          </w:p>
        </w:tc>
        <w:tc>
          <w:tcPr>
            <w:tcW w:w="992" w:type="dxa"/>
            <w:tcBorders>
              <w:top w:val="single" w:sz="4" w:space="0" w:color="auto"/>
              <w:bottom w:val="single" w:sz="4" w:space="0" w:color="auto"/>
            </w:tcBorders>
          </w:tcPr>
          <w:p w:rsidR="00A71D96" w:rsidRPr="00F2417A" w:rsidRDefault="00A71D96" w:rsidP="00F2417A">
            <w:pPr>
              <w:spacing w:after="0" w:line="240" w:lineRule="auto"/>
              <w:jc w:val="right"/>
              <w:rPr>
                <w:rFonts w:ascii="Century" w:hAnsi="Century"/>
                <w:b/>
                <w:bCs/>
                <w:szCs w:val="24"/>
              </w:rPr>
            </w:pPr>
            <w:r w:rsidRPr="00F2417A">
              <w:rPr>
                <w:rFonts w:ascii="Century" w:hAnsi="Century"/>
                <w:b/>
                <w:bCs/>
                <w:szCs w:val="24"/>
              </w:rPr>
              <w:t>2018</w:t>
            </w:r>
          </w:p>
        </w:tc>
        <w:tc>
          <w:tcPr>
            <w:tcW w:w="992" w:type="dxa"/>
            <w:tcBorders>
              <w:top w:val="single" w:sz="4" w:space="0" w:color="auto"/>
              <w:bottom w:val="single" w:sz="4" w:space="0" w:color="auto"/>
            </w:tcBorders>
          </w:tcPr>
          <w:p w:rsidR="00A71D96" w:rsidRPr="00F2417A" w:rsidRDefault="00A71D96" w:rsidP="00F2417A">
            <w:pPr>
              <w:spacing w:after="0" w:line="240" w:lineRule="auto"/>
              <w:jc w:val="right"/>
              <w:rPr>
                <w:rFonts w:ascii="Century" w:hAnsi="Century"/>
                <w:b/>
                <w:bCs/>
                <w:szCs w:val="24"/>
              </w:rPr>
            </w:pPr>
            <w:r w:rsidRPr="00F2417A">
              <w:rPr>
                <w:rFonts w:ascii="Century" w:hAnsi="Century"/>
                <w:b/>
                <w:bCs/>
                <w:szCs w:val="24"/>
              </w:rPr>
              <w:t>2019</w:t>
            </w:r>
          </w:p>
        </w:tc>
        <w:tc>
          <w:tcPr>
            <w:tcW w:w="992" w:type="dxa"/>
            <w:tcBorders>
              <w:top w:val="single" w:sz="4" w:space="0" w:color="auto"/>
              <w:bottom w:val="single" w:sz="4" w:space="0" w:color="auto"/>
            </w:tcBorders>
          </w:tcPr>
          <w:p w:rsidR="00A71D96" w:rsidRPr="00F2417A" w:rsidRDefault="00A71D96" w:rsidP="00F2417A">
            <w:pPr>
              <w:spacing w:after="0" w:line="240" w:lineRule="auto"/>
              <w:jc w:val="right"/>
              <w:rPr>
                <w:rFonts w:ascii="Century" w:hAnsi="Century"/>
                <w:b/>
                <w:bCs/>
                <w:szCs w:val="24"/>
              </w:rPr>
            </w:pPr>
            <w:r w:rsidRPr="00F2417A">
              <w:rPr>
                <w:rFonts w:ascii="Century" w:hAnsi="Century"/>
                <w:b/>
                <w:bCs/>
                <w:szCs w:val="24"/>
              </w:rPr>
              <w:t>2020</w:t>
            </w:r>
          </w:p>
        </w:tc>
      </w:tr>
      <w:tr w:rsidR="00A71D96" w:rsidRPr="00A736A8" w:rsidTr="003C4A4E">
        <w:trPr>
          <w:trHeight w:val="441"/>
        </w:trPr>
        <w:tc>
          <w:tcPr>
            <w:tcW w:w="5329" w:type="dxa"/>
            <w:tcBorders>
              <w:top w:val="single" w:sz="4" w:space="0" w:color="auto"/>
            </w:tcBorders>
            <w:shd w:val="clear" w:color="auto" w:fill="F2F2F2"/>
            <w:vAlign w:val="center"/>
          </w:tcPr>
          <w:p w:rsidR="00A71D96" w:rsidRPr="003A5E48" w:rsidRDefault="00A71D96" w:rsidP="00F2417A">
            <w:pPr>
              <w:spacing w:after="0" w:line="240" w:lineRule="auto"/>
              <w:jc w:val="both"/>
              <w:rPr>
                <w:rFonts w:ascii="Century" w:hAnsi="Century"/>
                <w:b/>
                <w:bCs/>
              </w:rPr>
            </w:pPr>
            <w:r w:rsidRPr="003A5E48">
              <w:rPr>
                <w:rFonts w:ascii="Century" w:hAnsi="Century"/>
                <w:b/>
                <w:bCs/>
                <w:color w:val="000000"/>
              </w:rPr>
              <w:t>Всего*</w:t>
            </w:r>
          </w:p>
        </w:tc>
        <w:tc>
          <w:tcPr>
            <w:tcW w:w="992" w:type="dxa"/>
            <w:tcBorders>
              <w:top w:val="single" w:sz="4" w:space="0" w:color="auto"/>
            </w:tcBorders>
            <w:shd w:val="clear" w:color="auto" w:fill="F2F2F2"/>
            <w:vAlign w:val="center"/>
          </w:tcPr>
          <w:p w:rsidR="00A71D96" w:rsidRPr="007F3176" w:rsidRDefault="00A71D96" w:rsidP="00F2417A">
            <w:pPr>
              <w:spacing w:after="0" w:line="240" w:lineRule="auto"/>
              <w:jc w:val="right"/>
              <w:rPr>
                <w:rFonts w:ascii="Century" w:hAnsi="Century"/>
                <w:b/>
                <w:bCs/>
                <w:color w:val="FF0000"/>
                <w:sz w:val="20"/>
                <w:szCs w:val="20"/>
              </w:rPr>
            </w:pPr>
            <w:r>
              <w:rPr>
                <w:rFonts w:ascii="Century" w:hAnsi="Century"/>
                <w:b/>
                <w:bCs/>
                <w:sz w:val="20"/>
                <w:szCs w:val="20"/>
              </w:rPr>
              <w:t>16 7</w:t>
            </w:r>
            <w:r w:rsidR="009A561A">
              <w:rPr>
                <w:rFonts w:ascii="Century" w:hAnsi="Century"/>
                <w:b/>
                <w:bCs/>
                <w:sz w:val="20"/>
                <w:szCs w:val="20"/>
              </w:rPr>
              <w:t>28</w:t>
            </w:r>
          </w:p>
        </w:tc>
        <w:tc>
          <w:tcPr>
            <w:tcW w:w="992" w:type="dxa"/>
            <w:tcBorders>
              <w:top w:val="single" w:sz="4" w:space="0" w:color="auto"/>
            </w:tcBorders>
            <w:shd w:val="clear" w:color="auto" w:fill="F2F2F2"/>
            <w:vAlign w:val="center"/>
          </w:tcPr>
          <w:p w:rsidR="00A71D96" w:rsidRPr="00573243" w:rsidRDefault="00A71D96" w:rsidP="00F2417A">
            <w:pPr>
              <w:spacing w:after="0" w:line="240" w:lineRule="auto"/>
              <w:jc w:val="right"/>
              <w:rPr>
                <w:rFonts w:ascii="Century" w:hAnsi="Century"/>
                <w:b/>
                <w:bCs/>
                <w:color w:val="000000"/>
                <w:sz w:val="20"/>
                <w:szCs w:val="20"/>
              </w:rPr>
            </w:pPr>
            <w:r w:rsidRPr="00F31947">
              <w:rPr>
                <w:rFonts w:ascii="Century" w:hAnsi="Century"/>
                <w:b/>
                <w:bCs/>
                <w:sz w:val="20"/>
                <w:szCs w:val="20"/>
              </w:rPr>
              <w:t>16 529</w:t>
            </w:r>
          </w:p>
        </w:tc>
        <w:tc>
          <w:tcPr>
            <w:tcW w:w="992" w:type="dxa"/>
            <w:tcBorders>
              <w:top w:val="single" w:sz="4" w:space="0" w:color="auto"/>
            </w:tcBorders>
            <w:shd w:val="clear" w:color="auto" w:fill="F2F2F2"/>
            <w:vAlign w:val="center"/>
          </w:tcPr>
          <w:p w:rsidR="00A71D96" w:rsidRPr="00573243" w:rsidRDefault="00A71D96" w:rsidP="00F2417A">
            <w:pPr>
              <w:spacing w:after="0" w:line="240" w:lineRule="auto"/>
              <w:jc w:val="right"/>
              <w:rPr>
                <w:rFonts w:ascii="Century" w:hAnsi="Century"/>
                <w:b/>
                <w:bCs/>
                <w:color w:val="000000"/>
                <w:sz w:val="20"/>
                <w:szCs w:val="20"/>
              </w:rPr>
            </w:pPr>
            <w:r w:rsidRPr="00F31947">
              <w:rPr>
                <w:rFonts w:ascii="Century" w:hAnsi="Century"/>
                <w:b/>
                <w:bCs/>
                <w:sz w:val="20"/>
                <w:szCs w:val="20"/>
              </w:rPr>
              <w:t>16 374</w:t>
            </w:r>
          </w:p>
        </w:tc>
        <w:tc>
          <w:tcPr>
            <w:tcW w:w="992" w:type="dxa"/>
            <w:tcBorders>
              <w:top w:val="single" w:sz="4" w:space="0" w:color="auto"/>
            </w:tcBorders>
            <w:shd w:val="clear" w:color="auto" w:fill="F2F2F2"/>
            <w:vAlign w:val="center"/>
          </w:tcPr>
          <w:p w:rsidR="00A71D96" w:rsidRPr="00573243" w:rsidRDefault="00A71D96" w:rsidP="00F2417A">
            <w:pPr>
              <w:spacing w:after="0" w:line="240" w:lineRule="auto"/>
              <w:jc w:val="right"/>
              <w:rPr>
                <w:rFonts w:ascii="Century" w:hAnsi="Century"/>
                <w:b/>
                <w:bCs/>
                <w:color w:val="000000"/>
                <w:sz w:val="20"/>
                <w:szCs w:val="20"/>
              </w:rPr>
            </w:pPr>
            <w:r w:rsidRPr="00F31947">
              <w:rPr>
                <w:rFonts w:ascii="Century" w:hAnsi="Century"/>
                <w:b/>
                <w:bCs/>
                <w:sz w:val="20"/>
                <w:szCs w:val="20"/>
              </w:rPr>
              <w:t>17 155</w:t>
            </w:r>
          </w:p>
        </w:tc>
      </w:tr>
      <w:tr w:rsidR="00887C8E" w:rsidRPr="00A736A8" w:rsidTr="003C4A4E">
        <w:trPr>
          <w:trHeight w:val="429"/>
        </w:trPr>
        <w:tc>
          <w:tcPr>
            <w:tcW w:w="5329" w:type="dxa"/>
            <w:vAlign w:val="center"/>
          </w:tcPr>
          <w:p w:rsidR="00887C8E" w:rsidRPr="00F2417A" w:rsidRDefault="00887C8E" w:rsidP="00F2417A">
            <w:pPr>
              <w:spacing w:after="0" w:line="240" w:lineRule="auto"/>
              <w:rPr>
                <w:rFonts w:ascii="Century" w:hAnsi="Century"/>
                <w:b/>
                <w:bCs/>
                <w:i/>
                <w:iCs/>
                <w:color w:val="000000"/>
                <w:sz w:val="20"/>
                <w:szCs w:val="20"/>
                <w:lang w:eastAsia="ru-RU"/>
              </w:rPr>
            </w:pPr>
            <w:r w:rsidRPr="00F2417A">
              <w:rPr>
                <w:rFonts w:ascii="Century" w:hAnsi="Century"/>
                <w:bCs/>
                <w:color w:val="000000"/>
                <w:sz w:val="20"/>
                <w:szCs w:val="20"/>
              </w:rPr>
              <w:t>Общегосударственные вопросы</w:t>
            </w:r>
          </w:p>
        </w:tc>
        <w:tc>
          <w:tcPr>
            <w:tcW w:w="992" w:type="dxa"/>
            <w:vAlign w:val="center"/>
          </w:tcPr>
          <w:p w:rsidR="00887C8E" w:rsidRDefault="00887C8E" w:rsidP="00887C8E">
            <w:pPr>
              <w:spacing w:after="0" w:line="240" w:lineRule="auto"/>
              <w:jc w:val="right"/>
              <w:rPr>
                <w:rFonts w:ascii="Century" w:hAnsi="Century"/>
                <w:sz w:val="20"/>
                <w:szCs w:val="20"/>
              </w:rPr>
            </w:pPr>
            <w:r>
              <w:rPr>
                <w:rFonts w:ascii="Century" w:hAnsi="Century"/>
                <w:sz w:val="20"/>
                <w:szCs w:val="20"/>
              </w:rPr>
              <w:t>1 249</w:t>
            </w:r>
          </w:p>
        </w:tc>
        <w:tc>
          <w:tcPr>
            <w:tcW w:w="992" w:type="dxa"/>
            <w:vAlign w:val="center"/>
          </w:tcPr>
          <w:p w:rsidR="00887C8E" w:rsidRPr="00680B23" w:rsidRDefault="00887C8E" w:rsidP="00F2417A">
            <w:pPr>
              <w:spacing w:after="0" w:line="240" w:lineRule="auto"/>
              <w:jc w:val="right"/>
              <w:rPr>
                <w:rFonts w:ascii="Century" w:hAnsi="Century"/>
                <w:color w:val="000000"/>
                <w:sz w:val="20"/>
                <w:szCs w:val="20"/>
              </w:rPr>
            </w:pPr>
            <w:r w:rsidRPr="00680B23">
              <w:rPr>
                <w:rFonts w:ascii="Century" w:hAnsi="Century"/>
                <w:color w:val="000000"/>
                <w:sz w:val="20"/>
                <w:szCs w:val="20"/>
              </w:rPr>
              <w:t>1 306</w:t>
            </w:r>
          </w:p>
        </w:tc>
        <w:tc>
          <w:tcPr>
            <w:tcW w:w="992" w:type="dxa"/>
            <w:vAlign w:val="center"/>
          </w:tcPr>
          <w:p w:rsidR="00887C8E" w:rsidRPr="00680B23" w:rsidRDefault="00887C8E" w:rsidP="00F2417A">
            <w:pPr>
              <w:spacing w:after="0" w:line="240" w:lineRule="auto"/>
              <w:jc w:val="right"/>
              <w:rPr>
                <w:rFonts w:ascii="Century" w:hAnsi="Century"/>
                <w:color w:val="000000"/>
                <w:sz w:val="20"/>
                <w:szCs w:val="20"/>
              </w:rPr>
            </w:pPr>
            <w:r w:rsidRPr="00680B23">
              <w:rPr>
                <w:rFonts w:ascii="Century" w:hAnsi="Century"/>
                <w:color w:val="000000"/>
                <w:sz w:val="20"/>
                <w:szCs w:val="20"/>
              </w:rPr>
              <w:t>1 243</w:t>
            </w:r>
          </w:p>
        </w:tc>
        <w:tc>
          <w:tcPr>
            <w:tcW w:w="992" w:type="dxa"/>
            <w:vAlign w:val="center"/>
          </w:tcPr>
          <w:p w:rsidR="00887C8E" w:rsidRPr="00680B23" w:rsidRDefault="00887C8E" w:rsidP="00F2417A">
            <w:pPr>
              <w:spacing w:after="0" w:line="240" w:lineRule="auto"/>
              <w:jc w:val="right"/>
              <w:rPr>
                <w:rFonts w:ascii="Century" w:hAnsi="Century"/>
                <w:color w:val="000000"/>
                <w:sz w:val="20"/>
                <w:szCs w:val="20"/>
              </w:rPr>
            </w:pPr>
            <w:r w:rsidRPr="00680B23">
              <w:rPr>
                <w:rFonts w:ascii="Century" w:hAnsi="Century"/>
                <w:color w:val="000000"/>
                <w:sz w:val="20"/>
                <w:szCs w:val="20"/>
              </w:rPr>
              <w:t>1 239</w:t>
            </w:r>
          </w:p>
        </w:tc>
      </w:tr>
      <w:tr w:rsidR="00887C8E" w:rsidRPr="00A736A8" w:rsidTr="003C4A4E">
        <w:trPr>
          <w:trHeight w:val="422"/>
        </w:trPr>
        <w:tc>
          <w:tcPr>
            <w:tcW w:w="5329" w:type="dxa"/>
            <w:shd w:val="clear" w:color="auto" w:fill="F2F2F2"/>
            <w:vAlign w:val="center"/>
          </w:tcPr>
          <w:p w:rsidR="00887C8E" w:rsidRPr="00F2417A" w:rsidRDefault="00887C8E" w:rsidP="00F2417A">
            <w:pPr>
              <w:spacing w:after="0" w:line="240" w:lineRule="auto"/>
              <w:jc w:val="both"/>
              <w:rPr>
                <w:rFonts w:ascii="Century" w:hAnsi="Century"/>
                <w:b/>
                <w:bCs/>
                <w:sz w:val="20"/>
                <w:szCs w:val="20"/>
                <w:u w:val="single"/>
              </w:rPr>
            </w:pPr>
            <w:r w:rsidRPr="00F2417A">
              <w:rPr>
                <w:rFonts w:ascii="Century" w:hAnsi="Century"/>
                <w:bCs/>
                <w:color w:val="000000"/>
                <w:sz w:val="20"/>
                <w:szCs w:val="20"/>
              </w:rPr>
              <w:t>Национальная оборона</w:t>
            </w:r>
          </w:p>
        </w:tc>
        <w:tc>
          <w:tcPr>
            <w:tcW w:w="992" w:type="dxa"/>
            <w:shd w:val="clear" w:color="auto" w:fill="F2F2F2"/>
            <w:vAlign w:val="center"/>
          </w:tcPr>
          <w:p w:rsidR="00887C8E" w:rsidRDefault="00887C8E" w:rsidP="00887C8E">
            <w:pPr>
              <w:spacing w:after="0" w:line="240" w:lineRule="auto"/>
              <w:jc w:val="right"/>
              <w:rPr>
                <w:rFonts w:ascii="Century" w:hAnsi="Century"/>
                <w:sz w:val="20"/>
                <w:szCs w:val="20"/>
              </w:rPr>
            </w:pPr>
            <w:r>
              <w:rPr>
                <w:rFonts w:ascii="Century" w:hAnsi="Century"/>
                <w:sz w:val="20"/>
                <w:szCs w:val="20"/>
              </w:rPr>
              <w:t>3 054</w:t>
            </w:r>
          </w:p>
        </w:tc>
        <w:tc>
          <w:tcPr>
            <w:tcW w:w="992" w:type="dxa"/>
            <w:shd w:val="clear" w:color="auto" w:fill="F2F2F2"/>
            <w:vAlign w:val="center"/>
          </w:tcPr>
          <w:p w:rsidR="00887C8E" w:rsidRPr="00680B23" w:rsidRDefault="00887C8E" w:rsidP="00F2417A">
            <w:pPr>
              <w:spacing w:after="0" w:line="240" w:lineRule="auto"/>
              <w:jc w:val="right"/>
              <w:rPr>
                <w:rFonts w:ascii="Century" w:hAnsi="Century"/>
                <w:color w:val="000000"/>
                <w:sz w:val="20"/>
                <w:szCs w:val="20"/>
              </w:rPr>
            </w:pPr>
            <w:r w:rsidRPr="00680B23">
              <w:rPr>
                <w:rFonts w:ascii="Century" w:hAnsi="Century"/>
                <w:color w:val="000000"/>
                <w:sz w:val="20"/>
                <w:szCs w:val="20"/>
              </w:rPr>
              <w:t>2 772</w:t>
            </w:r>
          </w:p>
        </w:tc>
        <w:tc>
          <w:tcPr>
            <w:tcW w:w="992" w:type="dxa"/>
            <w:shd w:val="clear" w:color="auto" w:fill="F2F2F2"/>
            <w:vAlign w:val="center"/>
          </w:tcPr>
          <w:p w:rsidR="00887C8E" w:rsidRPr="00680B23" w:rsidRDefault="00887C8E" w:rsidP="00F2417A">
            <w:pPr>
              <w:spacing w:after="0" w:line="240" w:lineRule="auto"/>
              <w:jc w:val="right"/>
              <w:rPr>
                <w:rFonts w:ascii="Century" w:hAnsi="Century"/>
                <w:color w:val="000000"/>
                <w:sz w:val="20"/>
                <w:szCs w:val="20"/>
              </w:rPr>
            </w:pPr>
            <w:r w:rsidRPr="00680B23">
              <w:rPr>
                <w:rFonts w:ascii="Century" w:hAnsi="Century"/>
                <w:color w:val="000000"/>
                <w:sz w:val="20"/>
                <w:szCs w:val="20"/>
              </w:rPr>
              <w:t>2 798</w:t>
            </w:r>
          </w:p>
        </w:tc>
        <w:tc>
          <w:tcPr>
            <w:tcW w:w="992" w:type="dxa"/>
            <w:shd w:val="clear" w:color="auto" w:fill="F2F2F2"/>
            <w:vAlign w:val="center"/>
          </w:tcPr>
          <w:p w:rsidR="00887C8E" w:rsidRPr="00680B23" w:rsidRDefault="00887C8E" w:rsidP="00F2417A">
            <w:pPr>
              <w:spacing w:after="0" w:line="240" w:lineRule="auto"/>
              <w:jc w:val="right"/>
              <w:rPr>
                <w:rFonts w:ascii="Century" w:hAnsi="Century"/>
                <w:color w:val="000000"/>
                <w:sz w:val="20"/>
                <w:szCs w:val="20"/>
              </w:rPr>
            </w:pPr>
            <w:r w:rsidRPr="00680B23">
              <w:rPr>
                <w:rFonts w:ascii="Century" w:hAnsi="Century"/>
                <w:color w:val="000000"/>
                <w:sz w:val="20"/>
                <w:szCs w:val="20"/>
              </w:rPr>
              <w:t>2 808</w:t>
            </w:r>
          </w:p>
        </w:tc>
      </w:tr>
      <w:tr w:rsidR="00887C8E" w:rsidRPr="00A736A8" w:rsidTr="003C4A4E">
        <w:trPr>
          <w:trHeight w:val="567"/>
        </w:trPr>
        <w:tc>
          <w:tcPr>
            <w:tcW w:w="5329" w:type="dxa"/>
            <w:vAlign w:val="center"/>
          </w:tcPr>
          <w:p w:rsidR="00887C8E" w:rsidRPr="00F2417A" w:rsidRDefault="00887C8E" w:rsidP="00F2417A">
            <w:pPr>
              <w:spacing w:after="0" w:line="240" w:lineRule="auto"/>
              <w:rPr>
                <w:rFonts w:ascii="Century" w:hAnsi="Century"/>
                <w:b/>
                <w:bCs/>
                <w:i/>
                <w:sz w:val="20"/>
                <w:szCs w:val="20"/>
              </w:rPr>
            </w:pPr>
            <w:r w:rsidRPr="00F2417A">
              <w:rPr>
                <w:rFonts w:ascii="Century" w:hAnsi="Century"/>
                <w:bCs/>
                <w:color w:val="000000"/>
                <w:sz w:val="20"/>
                <w:szCs w:val="20"/>
              </w:rPr>
              <w:t>Национальная безопасность и правоохранительная деятельность</w:t>
            </w:r>
          </w:p>
        </w:tc>
        <w:tc>
          <w:tcPr>
            <w:tcW w:w="992" w:type="dxa"/>
            <w:vAlign w:val="center"/>
          </w:tcPr>
          <w:p w:rsidR="00887C8E" w:rsidRDefault="00887C8E" w:rsidP="00887C8E">
            <w:pPr>
              <w:spacing w:after="0" w:line="240" w:lineRule="auto"/>
              <w:jc w:val="right"/>
              <w:rPr>
                <w:rFonts w:ascii="Century" w:hAnsi="Century"/>
                <w:sz w:val="20"/>
                <w:szCs w:val="20"/>
              </w:rPr>
            </w:pPr>
            <w:r>
              <w:rPr>
                <w:rFonts w:ascii="Century" w:hAnsi="Century"/>
                <w:sz w:val="20"/>
                <w:szCs w:val="20"/>
              </w:rPr>
              <w:t>2 029</w:t>
            </w:r>
          </w:p>
        </w:tc>
        <w:tc>
          <w:tcPr>
            <w:tcW w:w="992" w:type="dxa"/>
            <w:vAlign w:val="center"/>
          </w:tcPr>
          <w:p w:rsidR="00887C8E" w:rsidRPr="00680B23" w:rsidRDefault="00887C8E" w:rsidP="00F2417A">
            <w:pPr>
              <w:spacing w:after="0" w:line="240" w:lineRule="auto"/>
              <w:jc w:val="right"/>
              <w:rPr>
                <w:rFonts w:ascii="Century" w:hAnsi="Century"/>
                <w:color w:val="000000"/>
                <w:sz w:val="20"/>
                <w:szCs w:val="20"/>
              </w:rPr>
            </w:pPr>
            <w:r w:rsidRPr="00680B23">
              <w:rPr>
                <w:rFonts w:ascii="Century" w:hAnsi="Century"/>
                <w:color w:val="000000"/>
                <w:sz w:val="20"/>
                <w:szCs w:val="20"/>
              </w:rPr>
              <w:t>2 108</w:t>
            </w:r>
          </w:p>
        </w:tc>
        <w:tc>
          <w:tcPr>
            <w:tcW w:w="992" w:type="dxa"/>
            <w:vAlign w:val="center"/>
          </w:tcPr>
          <w:p w:rsidR="00887C8E" w:rsidRPr="00680B23" w:rsidRDefault="00887C8E" w:rsidP="00F2417A">
            <w:pPr>
              <w:spacing w:after="0" w:line="240" w:lineRule="auto"/>
              <w:jc w:val="right"/>
              <w:rPr>
                <w:rFonts w:ascii="Century" w:hAnsi="Century"/>
                <w:color w:val="000000"/>
                <w:sz w:val="20"/>
                <w:szCs w:val="20"/>
              </w:rPr>
            </w:pPr>
            <w:r w:rsidRPr="00680B23">
              <w:rPr>
                <w:rFonts w:ascii="Century" w:hAnsi="Century"/>
                <w:color w:val="000000"/>
                <w:sz w:val="20"/>
                <w:szCs w:val="20"/>
              </w:rPr>
              <w:t>2 131</w:t>
            </w:r>
          </w:p>
        </w:tc>
        <w:tc>
          <w:tcPr>
            <w:tcW w:w="992" w:type="dxa"/>
            <w:vAlign w:val="center"/>
          </w:tcPr>
          <w:p w:rsidR="00887C8E" w:rsidRPr="00680B23" w:rsidRDefault="00887C8E" w:rsidP="00F2417A">
            <w:pPr>
              <w:spacing w:after="0" w:line="240" w:lineRule="auto"/>
              <w:jc w:val="right"/>
              <w:rPr>
                <w:rFonts w:ascii="Century" w:hAnsi="Century"/>
                <w:color w:val="000000"/>
                <w:sz w:val="20"/>
                <w:szCs w:val="20"/>
              </w:rPr>
            </w:pPr>
            <w:r w:rsidRPr="00680B23">
              <w:rPr>
                <w:rFonts w:ascii="Century" w:hAnsi="Century"/>
                <w:color w:val="000000"/>
                <w:sz w:val="20"/>
                <w:szCs w:val="20"/>
              </w:rPr>
              <w:t>2 141</w:t>
            </w:r>
          </w:p>
        </w:tc>
      </w:tr>
      <w:tr w:rsidR="00887C8E" w:rsidRPr="00A736A8" w:rsidTr="003C4A4E">
        <w:trPr>
          <w:trHeight w:val="432"/>
        </w:trPr>
        <w:tc>
          <w:tcPr>
            <w:tcW w:w="5329" w:type="dxa"/>
            <w:shd w:val="clear" w:color="auto" w:fill="F2F2F2"/>
            <w:vAlign w:val="center"/>
          </w:tcPr>
          <w:p w:rsidR="00887C8E" w:rsidRPr="00F2417A" w:rsidRDefault="00887C8E" w:rsidP="00F2417A">
            <w:pPr>
              <w:spacing w:after="0" w:line="240" w:lineRule="auto"/>
              <w:jc w:val="both"/>
              <w:rPr>
                <w:rFonts w:ascii="Century" w:hAnsi="Century"/>
                <w:b/>
                <w:bCs/>
                <w:sz w:val="20"/>
                <w:szCs w:val="20"/>
              </w:rPr>
            </w:pPr>
            <w:r w:rsidRPr="00F2417A">
              <w:rPr>
                <w:rFonts w:ascii="Century" w:hAnsi="Century"/>
                <w:bCs/>
                <w:color w:val="000000"/>
                <w:sz w:val="20"/>
                <w:szCs w:val="20"/>
              </w:rPr>
              <w:t>Национальная экономика</w:t>
            </w:r>
          </w:p>
        </w:tc>
        <w:tc>
          <w:tcPr>
            <w:tcW w:w="992" w:type="dxa"/>
            <w:shd w:val="clear" w:color="auto" w:fill="F2F2F2"/>
            <w:vAlign w:val="center"/>
          </w:tcPr>
          <w:p w:rsidR="00887C8E" w:rsidRDefault="00887C8E" w:rsidP="00887C8E">
            <w:pPr>
              <w:spacing w:after="0" w:line="240" w:lineRule="auto"/>
              <w:jc w:val="right"/>
              <w:rPr>
                <w:rFonts w:ascii="Century" w:hAnsi="Century"/>
                <w:sz w:val="20"/>
                <w:szCs w:val="20"/>
              </w:rPr>
            </w:pPr>
            <w:r>
              <w:rPr>
                <w:rFonts w:ascii="Century" w:hAnsi="Century"/>
                <w:sz w:val="20"/>
                <w:szCs w:val="20"/>
              </w:rPr>
              <w:t>2 370</w:t>
            </w:r>
          </w:p>
        </w:tc>
        <w:tc>
          <w:tcPr>
            <w:tcW w:w="992" w:type="dxa"/>
            <w:shd w:val="clear" w:color="auto" w:fill="F2F2F2"/>
            <w:vAlign w:val="center"/>
          </w:tcPr>
          <w:p w:rsidR="00887C8E" w:rsidRPr="00680B23" w:rsidRDefault="00887C8E" w:rsidP="00F2417A">
            <w:pPr>
              <w:spacing w:after="0" w:line="240" w:lineRule="auto"/>
              <w:jc w:val="right"/>
              <w:rPr>
                <w:rFonts w:ascii="Century" w:hAnsi="Century"/>
                <w:color w:val="000000"/>
                <w:sz w:val="20"/>
                <w:szCs w:val="20"/>
              </w:rPr>
            </w:pPr>
            <w:r w:rsidRPr="00680B23">
              <w:rPr>
                <w:rFonts w:ascii="Century" w:hAnsi="Century"/>
                <w:color w:val="000000"/>
                <w:sz w:val="20"/>
                <w:szCs w:val="20"/>
              </w:rPr>
              <w:t>2 404</w:t>
            </w:r>
          </w:p>
        </w:tc>
        <w:tc>
          <w:tcPr>
            <w:tcW w:w="992" w:type="dxa"/>
            <w:shd w:val="clear" w:color="auto" w:fill="F2F2F2"/>
            <w:vAlign w:val="center"/>
          </w:tcPr>
          <w:p w:rsidR="00887C8E" w:rsidRPr="00680B23" w:rsidRDefault="00887C8E" w:rsidP="00F2417A">
            <w:pPr>
              <w:spacing w:after="0" w:line="240" w:lineRule="auto"/>
              <w:jc w:val="right"/>
              <w:rPr>
                <w:rFonts w:ascii="Century" w:hAnsi="Century"/>
                <w:color w:val="000000"/>
                <w:sz w:val="20"/>
                <w:szCs w:val="20"/>
              </w:rPr>
            </w:pPr>
            <w:r w:rsidRPr="00680B23">
              <w:rPr>
                <w:rFonts w:ascii="Century" w:hAnsi="Century"/>
                <w:color w:val="000000"/>
                <w:sz w:val="20"/>
                <w:szCs w:val="20"/>
              </w:rPr>
              <w:t>2 377</w:t>
            </w:r>
          </w:p>
        </w:tc>
        <w:tc>
          <w:tcPr>
            <w:tcW w:w="992" w:type="dxa"/>
            <w:shd w:val="clear" w:color="auto" w:fill="F2F2F2"/>
            <w:vAlign w:val="center"/>
          </w:tcPr>
          <w:p w:rsidR="00887C8E" w:rsidRPr="00680B23" w:rsidRDefault="00887C8E" w:rsidP="00F2417A">
            <w:pPr>
              <w:spacing w:after="0" w:line="240" w:lineRule="auto"/>
              <w:jc w:val="right"/>
              <w:rPr>
                <w:rFonts w:ascii="Century" w:hAnsi="Century"/>
                <w:color w:val="000000"/>
                <w:sz w:val="20"/>
                <w:szCs w:val="20"/>
              </w:rPr>
            </w:pPr>
            <w:r w:rsidRPr="00680B23">
              <w:rPr>
                <w:rFonts w:ascii="Century" w:hAnsi="Century"/>
                <w:color w:val="000000"/>
                <w:sz w:val="20"/>
                <w:szCs w:val="20"/>
              </w:rPr>
              <w:t>2 439</w:t>
            </w:r>
          </w:p>
        </w:tc>
      </w:tr>
      <w:tr w:rsidR="00887C8E" w:rsidRPr="00A736A8" w:rsidTr="003C4A4E">
        <w:trPr>
          <w:trHeight w:val="424"/>
        </w:trPr>
        <w:tc>
          <w:tcPr>
            <w:tcW w:w="5329" w:type="dxa"/>
            <w:vAlign w:val="center"/>
          </w:tcPr>
          <w:p w:rsidR="00887C8E" w:rsidRPr="00F2417A" w:rsidRDefault="00887C8E" w:rsidP="00F2417A">
            <w:pPr>
              <w:spacing w:after="0" w:line="240" w:lineRule="auto"/>
              <w:rPr>
                <w:rFonts w:ascii="Century" w:hAnsi="Century"/>
                <w:b/>
                <w:bCs/>
                <w:i/>
                <w:sz w:val="20"/>
                <w:szCs w:val="20"/>
              </w:rPr>
            </w:pPr>
            <w:r w:rsidRPr="00F2417A">
              <w:rPr>
                <w:rFonts w:ascii="Century" w:hAnsi="Century"/>
                <w:bCs/>
                <w:color w:val="000000"/>
                <w:sz w:val="20"/>
                <w:szCs w:val="20"/>
              </w:rPr>
              <w:t>Жилищно-коммунальное хозяйство</w:t>
            </w:r>
          </w:p>
        </w:tc>
        <w:tc>
          <w:tcPr>
            <w:tcW w:w="992" w:type="dxa"/>
            <w:vAlign w:val="center"/>
          </w:tcPr>
          <w:p w:rsidR="00887C8E" w:rsidRDefault="00887C8E" w:rsidP="00887C8E">
            <w:pPr>
              <w:spacing w:after="0" w:line="240" w:lineRule="auto"/>
              <w:jc w:val="right"/>
              <w:rPr>
                <w:rFonts w:ascii="Century" w:hAnsi="Century"/>
                <w:sz w:val="20"/>
                <w:szCs w:val="20"/>
              </w:rPr>
            </w:pPr>
            <w:r>
              <w:rPr>
                <w:rFonts w:ascii="Century" w:hAnsi="Century"/>
                <w:sz w:val="20"/>
                <w:szCs w:val="20"/>
              </w:rPr>
              <w:t>72</w:t>
            </w:r>
          </w:p>
        </w:tc>
        <w:tc>
          <w:tcPr>
            <w:tcW w:w="992" w:type="dxa"/>
            <w:vAlign w:val="center"/>
          </w:tcPr>
          <w:p w:rsidR="00887C8E" w:rsidRPr="00680B23" w:rsidRDefault="00887C8E" w:rsidP="00F2417A">
            <w:pPr>
              <w:spacing w:after="0" w:line="240" w:lineRule="auto"/>
              <w:jc w:val="right"/>
              <w:rPr>
                <w:rFonts w:ascii="Century" w:hAnsi="Century"/>
                <w:color w:val="000000"/>
                <w:sz w:val="20"/>
                <w:szCs w:val="20"/>
              </w:rPr>
            </w:pPr>
            <w:r w:rsidRPr="00680B23">
              <w:rPr>
                <w:rFonts w:ascii="Century" w:hAnsi="Century"/>
                <w:color w:val="000000"/>
                <w:sz w:val="20"/>
                <w:szCs w:val="20"/>
              </w:rPr>
              <w:t>126</w:t>
            </w:r>
          </w:p>
        </w:tc>
        <w:tc>
          <w:tcPr>
            <w:tcW w:w="992" w:type="dxa"/>
            <w:vAlign w:val="center"/>
          </w:tcPr>
          <w:p w:rsidR="00887C8E" w:rsidRPr="00680B23" w:rsidRDefault="00887C8E" w:rsidP="00F2417A">
            <w:pPr>
              <w:spacing w:after="0" w:line="240" w:lineRule="auto"/>
              <w:jc w:val="right"/>
              <w:rPr>
                <w:rFonts w:ascii="Century" w:hAnsi="Century"/>
                <w:color w:val="000000"/>
                <w:sz w:val="20"/>
                <w:szCs w:val="20"/>
              </w:rPr>
            </w:pPr>
            <w:r w:rsidRPr="00680B23">
              <w:rPr>
                <w:rFonts w:ascii="Century" w:hAnsi="Century"/>
                <w:color w:val="000000"/>
                <w:sz w:val="20"/>
                <w:szCs w:val="20"/>
              </w:rPr>
              <w:t>98</w:t>
            </w:r>
          </w:p>
        </w:tc>
        <w:tc>
          <w:tcPr>
            <w:tcW w:w="992" w:type="dxa"/>
            <w:vAlign w:val="center"/>
          </w:tcPr>
          <w:p w:rsidR="00887C8E" w:rsidRPr="00680B23" w:rsidRDefault="00887C8E" w:rsidP="00F2417A">
            <w:pPr>
              <w:spacing w:after="0" w:line="240" w:lineRule="auto"/>
              <w:jc w:val="right"/>
              <w:rPr>
                <w:rFonts w:ascii="Century" w:hAnsi="Century"/>
                <w:color w:val="000000"/>
                <w:sz w:val="20"/>
                <w:szCs w:val="20"/>
              </w:rPr>
            </w:pPr>
            <w:r w:rsidRPr="00680B23">
              <w:rPr>
                <w:rFonts w:ascii="Century" w:hAnsi="Century"/>
                <w:color w:val="000000"/>
                <w:sz w:val="20"/>
                <w:szCs w:val="20"/>
              </w:rPr>
              <w:t>91</w:t>
            </w:r>
          </w:p>
        </w:tc>
      </w:tr>
      <w:tr w:rsidR="00887C8E" w:rsidRPr="00A736A8" w:rsidTr="003C4A4E">
        <w:trPr>
          <w:trHeight w:val="429"/>
        </w:trPr>
        <w:tc>
          <w:tcPr>
            <w:tcW w:w="5329" w:type="dxa"/>
            <w:shd w:val="clear" w:color="auto" w:fill="F2F2F2"/>
            <w:vAlign w:val="center"/>
          </w:tcPr>
          <w:p w:rsidR="00887C8E" w:rsidRPr="00F2417A" w:rsidRDefault="00887C8E" w:rsidP="00F2417A">
            <w:pPr>
              <w:spacing w:after="0" w:line="240" w:lineRule="auto"/>
              <w:rPr>
                <w:rFonts w:ascii="Century" w:hAnsi="Century"/>
                <w:b/>
                <w:bCs/>
                <w:sz w:val="20"/>
                <w:szCs w:val="20"/>
              </w:rPr>
            </w:pPr>
            <w:r w:rsidRPr="00F2417A">
              <w:rPr>
                <w:rFonts w:ascii="Century" w:hAnsi="Century"/>
                <w:bCs/>
                <w:color w:val="000000"/>
                <w:sz w:val="20"/>
                <w:szCs w:val="20"/>
              </w:rPr>
              <w:t>Охрана окружающей среды</w:t>
            </w:r>
          </w:p>
        </w:tc>
        <w:tc>
          <w:tcPr>
            <w:tcW w:w="992" w:type="dxa"/>
            <w:shd w:val="clear" w:color="auto" w:fill="F2F2F2"/>
            <w:vAlign w:val="center"/>
          </w:tcPr>
          <w:p w:rsidR="00887C8E" w:rsidRDefault="00887C8E" w:rsidP="00887C8E">
            <w:pPr>
              <w:spacing w:after="0" w:line="240" w:lineRule="auto"/>
              <w:jc w:val="right"/>
              <w:rPr>
                <w:rFonts w:ascii="Century" w:hAnsi="Century"/>
                <w:sz w:val="20"/>
                <w:szCs w:val="20"/>
              </w:rPr>
            </w:pPr>
            <w:r>
              <w:rPr>
                <w:rFonts w:ascii="Century" w:hAnsi="Century"/>
                <w:sz w:val="20"/>
                <w:szCs w:val="20"/>
              </w:rPr>
              <w:t>92</w:t>
            </w:r>
          </w:p>
        </w:tc>
        <w:tc>
          <w:tcPr>
            <w:tcW w:w="992" w:type="dxa"/>
            <w:shd w:val="clear" w:color="auto" w:fill="F2F2F2"/>
            <w:vAlign w:val="center"/>
          </w:tcPr>
          <w:p w:rsidR="00887C8E" w:rsidRPr="00680B23" w:rsidRDefault="00887C8E" w:rsidP="00F2417A">
            <w:pPr>
              <w:spacing w:after="0" w:line="240" w:lineRule="auto"/>
              <w:jc w:val="right"/>
              <w:rPr>
                <w:rFonts w:ascii="Century" w:hAnsi="Century"/>
                <w:color w:val="000000"/>
                <w:sz w:val="20"/>
                <w:szCs w:val="20"/>
              </w:rPr>
            </w:pPr>
            <w:r w:rsidRPr="00680B23">
              <w:rPr>
                <w:rFonts w:ascii="Century" w:hAnsi="Century"/>
                <w:color w:val="000000"/>
                <w:sz w:val="20"/>
                <w:szCs w:val="20"/>
              </w:rPr>
              <w:t>89</w:t>
            </w:r>
          </w:p>
        </w:tc>
        <w:tc>
          <w:tcPr>
            <w:tcW w:w="992" w:type="dxa"/>
            <w:shd w:val="clear" w:color="auto" w:fill="F2F2F2"/>
            <w:vAlign w:val="center"/>
          </w:tcPr>
          <w:p w:rsidR="00887C8E" w:rsidRPr="00680B23" w:rsidRDefault="00887C8E" w:rsidP="00F2417A">
            <w:pPr>
              <w:spacing w:after="0" w:line="240" w:lineRule="auto"/>
              <w:jc w:val="right"/>
              <w:rPr>
                <w:rFonts w:ascii="Century" w:hAnsi="Century"/>
                <w:color w:val="000000"/>
                <w:sz w:val="20"/>
                <w:szCs w:val="20"/>
              </w:rPr>
            </w:pPr>
            <w:r w:rsidRPr="00680B23">
              <w:rPr>
                <w:rFonts w:ascii="Century" w:hAnsi="Century"/>
                <w:color w:val="000000"/>
                <w:sz w:val="20"/>
                <w:szCs w:val="20"/>
              </w:rPr>
              <w:t>93</w:t>
            </w:r>
          </w:p>
        </w:tc>
        <w:tc>
          <w:tcPr>
            <w:tcW w:w="992" w:type="dxa"/>
            <w:shd w:val="clear" w:color="auto" w:fill="F2F2F2"/>
            <w:vAlign w:val="center"/>
          </w:tcPr>
          <w:p w:rsidR="00887C8E" w:rsidRPr="00680B23" w:rsidRDefault="00887C8E" w:rsidP="00F2417A">
            <w:pPr>
              <w:spacing w:after="0" w:line="240" w:lineRule="auto"/>
              <w:jc w:val="right"/>
              <w:rPr>
                <w:rFonts w:ascii="Century" w:hAnsi="Century"/>
                <w:color w:val="000000"/>
                <w:sz w:val="20"/>
                <w:szCs w:val="20"/>
              </w:rPr>
            </w:pPr>
            <w:r w:rsidRPr="00680B23">
              <w:rPr>
                <w:rFonts w:ascii="Century" w:hAnsi="Century"/>
                <w:color w:val="000000"/>
                <w:sz w:val="20"/>
                <w:szCs w:val="20"/>
              </w:rPr>
              <w:t>98</w:t>
            </w:r>
          </w:p>
        </w:tc>
      </w:tr>
      <w:tr w:rsidR="00887C8E" w:rsidRPr="00A736A8" w:rsidTr="003C4A4E">
        <w:trPr>
          <w:trHeight w:val="407"/>
        </w:trPr>
        <w:tc>
          <w:tcPr>
            <w:tcW w:w="5329" w:type="dxa"/>
            <w:vAlign w:val="center"/>
          </w:tcPr>
          <w:p w:rsidR="00887C8E" w:rsidRPr="00F2417A" w:rsidRDefault="00887C8E" w:rsidP="00F2417A">
            <w:pPr>
              <w:spacing w:after="0" w:line="240" w:lineRule="auto"/>
              <w:jc w:val="both"/>
              <w:rPr>
                <w:rFonts w:ascii="Century" w:hAnsi="Century"/>
                <w:b/>
                <w:bCs/>
                <w:i/>
                <w:sz w:val="20"/>
                <w:szCs w:val="20"/>
              </w:rPr>
            </w:pPr>
            <w:r w:rsidRPr="00F2417A">
              <w:rPr>
                <w:rFonts w:ascii="Century" w:hAnsi="Century"/>
                <w:bCs/>
                <w:color w:val="000000"/>
                <w:sz w:val="20"/>
                <w:szCs w:val="20"/>
              </w:rPr>
              <w:t>Образование</w:t>
            </w:r>
          </w:p>
        </w:tc>
        <w:tc>
          <w:tcPr>
            <w:tcW w:w="992" w:type="dxa"/>
            <w:vAlign w:val="center"/>
          </w:tcPr>
          <w:p w:rsidR="00887C8E" w:rsidRDefault="00887C8E" w:rsidP="00887C8E">
            <w:pPr>
              <w:spacing w:after="0" w:line="240" w:lineRule="auto"/>
              <w:jc w:val="right"/>
              <w:rPr>
                <w:rFonts w:ascii="Century" w:hAnsi="Century"/>
                <w:sz w:val="20"/>
                <w:szCs w:val="20"/>
              </w:rPr>
            </w:pPr>
            <w:r>
              <w:rPr>
                <w:rFonts w:ascii="Century" w:hAnsi="Century"/>
                <w:sz w:val="20"/>
                <w:szCs w:val="20"/>
              </w:rPr>
              <w:t>608</w:t>
            </w:r>
          </w:p>
        </w:tc>
        <w:tc>
          <w:tcPr>
            <w:tcW w:w="992" w:type="dxa"/>
            <w:vAlign w:val="center"/>
          </w:tcPr>
          <w:p w:rsidR="00887C8E" w:rsidRPr="00680B23" w:rsidRDefault="00887C8E" w:rsidP="00F2417A">
            <w:pPr>
              <w:spacing w:after="0" w:line="240" w:lineRule="auto"/>
              <w:jc w:val="right"/>
              <w:rPr>
                <w:rFonts w:ascii="Century" w:hAnsi="Century"/>
                <w:color w:val="000000"/>
                <w:sz w:val="20"/>
                <w:szCs w:val="20"/>
              </w:rPr>
            </w:pPr>
            <w:r w:rsidRPr="00680B23">
              <w:rPr>
                <w:rFonts w:ascii="Century" w:hAnsi="Century"/>
                <w:color w:val="000000"/>
                <w:sz w:val="20"/>
                <w:szCs w:val="20"/>
              </w:rPr>
              <w:t>663</w:t>
            </w:r>
          </w:p>
        </w:tc>
        <w:tc>
          <w:tcPr>
            <w:tcW w:w="992" w:type="dxa"/>
            <w:vAlign w:val="center"/>
          </w:tcPr>
          <w:p w:rsidR="00887C8E" w:rsidRPr="00680B23" w:rsidRDefault="00887C8E" w:rsidP="00F2417A">
            <w:pPr>
              <w:spacing w:after="0" w:line="240" w:lineRule="auto"/>
              <w:jc w:val="right"/>
              <w:rPr>
                <w:rFonts w:ascii="Century" w:hAnsi="Century"/>
                <w:color w:val="000000"/>
                <w:sz w:val="20"/>
                <w:szCs w:val="20"/>
              </w:rPr>
            </w:pPr>
            <w:r w:rsidRPr="00680B23">
              <w:rPr>
                <w:rFonts w:ascii="Century" w:hAnsi="Century"/>
                <w:color w:val="000000"/>
                <w:sz w:val="20"/>
                <w:szCs w:val="20"/>
              </w:rPr>
              <w:t>653</w:t>
            </w:r>
          </w:p>
        </w:tc>
        <w:tc>
          <w:tcPr>
            <w:tcW w:w="992" w:type="dxa"/>
            <w:vAlign w:val="center"/>
          </w:tcPr>
          <w:p w:rsidR="00887C8E" w:rsidRPr="00680B23" w:rsidRDefault="00887C8E" w:rsidP="00F2417A">
            <w:pPr>
              <w:spacing w:after="0" w:line="240" w:lineRule="auto"/>
              <w:jc w:val="right"/>
              <w:rPr>
                <w:rFonts w:ascii="Century" w:hAnsi="Century"/>
                <w:color w:val="000000"/>
                <w:sz w:val="20"/>
                <w:szCs w:val="20"/>
              </w:rPr>
            </w:pPr>
            <w:r w:rsidRPr="00680B23">
              <w:rPr>
                <w:rFonts w:ascii="Century" w:hAnsi="Century"/>
                <w:color w:val="000000"/>
                <w:sz w:val="20"/>
                <w:szCs w:val="20"/>
              </w:rPr>
              <w:t>669</w:t>
            </w:r>
          </w:p>
        </w:tc>
      </w:tr>
      <w:tr w:rsidR="00887C8E" w:rsidRPr="00A736A8" w:rsidTr="003C4A4E">
        <w:trPr>
          <w:trHeight w:val="427"/>
        </w:trPr>
        <w:tc>
          <w:tcPr>
            <w:tcW w:w="5329" w:type="dxa"/>
            <w:shd w:val="clear" w:color="auto" w:fill="F2F2F2"/>
            <w:vAlign w:val="center"/>
          </w:tcPr>
          <w:p w:rsidR="00887C8E" w:rsidRPr="00F2417A" w:rsidRDefault="00887C8E" w:rsidP="00F2417A">
            <w:pPr>
              <w:spacing w:after="0" w:line="240" w:lineRule="auto"/>
              <w:jc w:val="both"/>
              <w:rPr>
                <w:rFonts w:ascii="Century" w:hAnsi="Century"/>
                <w:b/>
                <w:bCs/>
                <w:sz w:val="20"/>
                <w:szCs w:val="20"/>
              </w:rPr>
            </w:pPr>
            <w:r w:rsidRPr="00F2417A">
              <w:rPr>
                <w:rFonts w:ascii="Century" w:hAnsi="Century"/>
                <w:bCs/>
                <w:color w:val="000000"/>
                <w:sz w:val="20"/>
                <w:szCs w:val="20"/>
              </w:rPr>
              <w:t>Культура, кинематография</w:t>
            </w:r>
          </w:p>
        </w:tc>
        <w:tc>
          <w:tcPr>
            <w:tcW w:w="992" w:type="dxa"/>
            <w:shd w:val="clear" w:color="auto" w:fill="F2F2F2"/>
            <w:vAlign w:val="center"/>
          </w:tcPr>
          <w:p w:rsidR="00887C8E" w:rsidRDefault="00887C8E" w:rsidP="00887C8E">
            <w:pPr>
              <w:spacing w:after="0" w:line="240" w:lineRule="auto"/>
              <w:jc w:val="right"/>
              <w:rPr>
                <w:rFonts w:ascii="Century" w:hAnsi="Century"/>
                <w:sz w:val="20"/>
                <w:szCs w:val="20"/>
              </w:rPr>
            </w:pPr>
            <w:r>
              <w:rPr>
                <w:rFonts w:ascii="Century" w:hAnsi="Century"/>
                <w:sz w:val="20"/>
                <w:szCs w:val="20"/>
              </w:rPr>
              <w:t>96</w:t>
            </w:r>
          </w:p>
        </w:tc>
        <w:tc>
          <w:tcPr>
            <w:tcW w:w="992" w:type="dxa"/>
            <w:shd w:val="clear" w:color="auto" w:fill="F2F2F2"/>
            <w:vAlign w:val="center"/>
          </w:tcPr>
          <w:p w:rsidR="00887C8E" w:rsidRPr="00680B23" w:rsidRDefault="00887C8E" w:rsidP="00F2417A">
            <w:pPr>
              <w:spacing w:after="0" w:line="240" w:lineRule="auto"/>
              <w:jc w:val="right"/>
              <w:rPr>
                <w:rFonts w:ascii="Century" w:hAnsi="Century"/>
                <w:color w:val="000000"/>
                <w:sz w:val="20"/>
                <w:szCs w:val="20"/>
              </w:rPr>
            </w:pPr>
            <w:r w:rsidRPr="00680B23">
              <w:rPr>
                <w:rFonts w:ascii="Century" w:hAnsi="Century"/>
                <w:color w:val="000000"/>
                <w:sz w:val="20"/>
                <w:szCs w:val="20"/>
              </w:rPr>
              <w:t>94</w:t>
            </w:r>
          </w:p>
        </w:tc>
        <w:tc>
          <w:tcPr>
            <w:tcW w:w="992" w:type="dxa"/>
            <w:shd w:val="clear" w:color="auto" w:fill="F2F2F2"/>
            <w:vAlign w:val="center"/>
          </w:tcPr>
          <w:p w:rsidR="00887C8E" w:rsidRPr="00680B23" w:rsidRDefault="00887C8E" w:rsidP="00F2417A">
            <w:pPr>
              <w:spacing w:after="0" w:line="240" w:lineRule="auto"/>
              <w:jc w:val="right"/>
              <w:rPr>
                <w:rFonts w:ascii="Century" w:hAnsi="Century"/>
                <w:color w:val="000000"/>
                <w:sz w:val="20"/>
                <w:szCs w:val="20"/>
              </w:rPr>
            </w:pPr>
            <w:r w:rsidRPr="00680B23">
              <w:rPr>
                <w:rFonts w:ascii="Century" w:hAnsi="Century"/>
                <w:color w:val="000000"/>
                <w:sz w:val="20"/>
                <w:szCs w:val="20"/>
              </w:rPr>
              <w:t>89</w:t>
            </w:r>
          </w:p>
        </w:tc>
        <w:tc>
          <w:tcPr>
            <w:tcW w:w="992" w:type="dxa"/>
            <w:shd w:val="clear" w:color="auto" w:fill="F2F2F2"/>
            <w:vAlign w:val="center"/>
          </w:tcPr>
          <w:p w:rsidR="00887C8E" w:rsidRPr="00680B23" w:rsidRDefault="00887C8E" w:rsidP="00F2417A">
            <w:pPr>
              <w:spacing w:after="0" w:line="240" w:lineRule="auto"/>
              <w:jc w:val="right"/>
              <w:rPr>
                <w:rFonts w:ascii="Century" w:hAnsi="Century"/>
                <w:color w:val="000000"/>
                <w:sz w:val="20"/>
                <w:szCs w:val="20"/>
              </w:rPr>
            </w:pPr>
            <w:r w:rsidRPr="00680B23">
              <w:rPr>
                <w:rFonts w:ascii="Century" w:hAnsi="Century"/>
                <w:color w:val="000000"/>
                <w:sz w:val="20"/>
                <w:szCs w:val="20"/>
              </w:rPr>
              <w:t>85</w:t>
            </w:r>
          </w:p>
        </w:tc>
      </w:tr>
      <w:tr w:rsidR="00887C8E" w:rsidRPr="00A736A8" w:rsidTr="003C4A4E">
        <w:trPr>
          <w:trHeight w:val="433"/>
        </w:trPr>
        <w:tc>
          <w:tcPr>
            <w:tcW w:w="5329" w:type="dxa"/>
            <w:vAlign w:val="center"/>
          </w:tcPr>
          <w:p w:rsidR="00887C8E" w:rsidRPr="00F2417A" w:rsidRDefault="00887C8E" w:rsidP="00F2417A">
            <w:pPr>
              <w:spacing w:after="0" w:line="240" w:lineRule="auto"/>
              <w:rPr>
                <w:rFonts w:ascii="Century" w:hAnsi="Century"/>
                <w:b/>
                <w:bCs/>
                <w:sz w:val="20"/>
                <w:szCs w:val="20"/>
              </w:rPr>
            </w:pPr>
            <w:r w:rsidRPr="00F2417A">
              <w:rPr>
                <w:rFonts w:ascii="Century" w:hAnsi="Century"/>
                <w:bCs/>
                <w:color w:val="000000"/>
                <w:sz w:val="20"/>
                <w:szCs w:val="20"/>
              </w:rPr>
              <w:t>Здравоохранение</w:t>
            </w:r>
          </w:p>
        </w:tc>
        <w:tc>
          <w:tcPr>
            <w:tcW w:w="992" w:type="dxa"/>
            <w:vAlign w:val="center"/>
          </w:tcPr>
          <w:p w:rsidR="00887C8E" w:rsidRDefault="00887C8E" w:rsidP="00887C8E">
            <w:pPr>
              <w:spacing w:after="0" w:line="240" w:lineRule="auto"/>
              <w:jc w:val="right"/>
              <w:rPr>
                <w:rFonts w:ascii="Century" w:hAnsi="Century"/>
                <w:sz w:val="20"/>
                <w:szCs w:val="20"/>
              </w:rPr>
            </w:pPr>
            <w:r>
              <w:rPr>
                <w:rFonts w:ascii="Century" w:hAnsi="Century"/>
                <w:sz w:val="20"/>
                <w:szCs w:val="20"/>
              </w:rPr>
              <w:t>389</w:t>
            </w:r>
          </w:p>
        </w:tc>
        <w:tc>
          <w:tcPr>
            <w:tcW w:w="992" w:type="dxa"/>
            <w:vAlign w:val="center"/>
          </w:tcPr>
          <w:p w:rsidR="00887C8E" w:rsidRPr="00680B23" w:rsidRDefault="00887C8E" w:rsidP="00F2417A">
            <w:pPr>
              <w:spacing w:after="0" w:line="240" w:lineRule="auto"/>
              <w:jc w:val="right"/>
              <w:rPr>
                <w:rFonts w:ascii="Century" w:hAnsi="Century"/>
                <w:color w:val="000000"/>
                <w:sz w:val="20"/>
                <w:szCs w:val="20"/>
              </w:rPr>
            </w:pPr>
            <w:r w:rsidRPr="00680B23">
              <w:rPr>
                <w:rFonts w:ascii="Century" w:hAnsi="Century"/>
                <w:color w:val="000000"/>
                <w:sz w:val="20"/>
                <w:szCs w:val="20"/>
              </w:rPr>
              <w:t>460</w:t>
            </w:r>
          </w:p>
        </w:tc>
        <w:tc>
          <w:tcPr>
            <w:tcW w:w="992" w:type="dxa"/>
            <w:vAlign w:val="center"/>
          </w:tcPr>
          <w:p w:rsidR="00887C8E" w:rsidRPr="00680B23" w:rsidRDefault="00887C8E" w:rsidP="00F2417A">
            <w:pPr>
              <w:spacing w:after="0" w:line="240" w:lineRule="auto"/>
              <w:jc w:val="right"/>
              <w:rPr>
                <w:rFonts w:ascii="Century" w:hAnsi="Century"/>
                <w:color w:val="000000"/>
                <w:sz w:val="20"/>
                <w:szCs w:val="20"/>
              </w:rPr>
            </w:pPr>
            <w:r w:rsidRPr="00680B23">
              <w:rPr>
                <w:rFonts w:ascii="Century" w:hAnsi="Century"/>
                <w:color w:val="000000"/>
                <w:sz w:val="20"/>
                <w:szCs w:val="20"/>
              </w:rPr>
              <w:t>428</w:t>
            </w:r>
          </w:p>
        </w:tc>
        <w:tc>
          <w:tcPr>
            <w:tcW w:w="992" w:type="dxa"/>
            <w:vAlign w:val="center"/>
          </w:tcPr>
          <w:p w:rsidR="00887C8E" w:rsidRPr="00680B23" w:rsidRDefault="00887C8E" w:rsidP="00F2417A">
            <w:pPr>
              <w:spacing w:after="0" w:line="240" w:lineRule="auto"/>
              <w:jc w:val="right"/>
              <w:rPr>
                <w:rFonts w:ascii="Century" w:hAnsi="Century"/>
                <w:color w:val="000000"/>
                <w:sz w:val="20"/>
                <w:szCs w:val="20"/>
              </w:rPr>
            </w:pPr>
            <w:r w:rsidRPr="00680B23">
              <w:rPr>
                <w:rFonts w:ascii="Century" w:hAnsi="Century"/>
                <w:color w:val="000000"/>
                <w:sz w:val="20"/>
                <w:szCs w:val="20"/>
              </w:rPr>
              <w:t>499</w:t>
            </w:r>
          </w:p>
        </w:tc>
      </w:tr>
      <w:tr w:rsidR="00887C8E" w:rsidRPr="00A736A8" w:rsidTr="003C4A4E">
        <w:trPr>
          <w:trHeight w:val="425"/>
        </w:trPr>
        <w:tc>
          <w:tcPr>
            <w:tcW w:w="5329" w:type="dxa"/>
            <w:shd w:val="clear" w:color="auto" w:fill="F2F2F2"/>
            <w:vAlign w:val="center"/>
          </w:tcPr>
          <w:p w:rsidR="00887C8E" w:rsidRPr="00F2417A" w:rsidRDefault="00887C8E" w:rsidP="00F2417A">
            <w:pPr>
              <w:spacing w:after="0" w:line="240" w:lineRule="auto"/>
              <w:rPr>
                <w:rFonts w:ascii="Century" w:hAnsi="Century"/>
                <w:b/>
                <w:bCs/>
                <w:sz w:val="20"/>
                <w:szCs w:val="20"/>
              </w:rPr>
            </w:pPr>
            <w:r w:rsidRPr="00F2417A">
              <w:rPr>
                <w:rFonts w:ascii="Century" w:hAnsi="Century"/>
                <w:bCs/>
                <w:color w:val="000000"/>
                <w:sz w:val="20"/>
                <w:szCs w:val="20"/>
              </w:rPr>
              <w:t>Социальная политика</w:t>
            </w:r>
          </w:p>
        </w:tc>
        <w:tc>
          <w:tcPr>
            <w:tcW w:w="992" w:type="dxa"/>
            <w:shd w:val="clear" w:color="auto" w:fill="F2F2F2"/>
            <w:vAlign w:val="center"/>
          </w:tcPr>
          <w:p w:rsidR="00887C8E" w:rsidRDefault="00887C8E" w:rsidP="00887C8E">
            <w:pPr>
              <w:spacing w:after="0" w:line="240" w:lineRule="auto"/>
              <w:jc w:val="right"/>
              <w:rPr>
                <w:rFonts w:ascii="Century" w:hAnsi="Century"/>
                <w:sz w:val="20"/>
                <w:szCs w:val="20"/>
              </w:rPr>
            </w:pPr>
            <w:r>
              <w:rPr>
                <w:rFonts w:ascii="Century" w:hAnsi="Century"/>
                <w:sz w:val="20"/>
                <w:szCs w:val="20"/>
              </w:rPr>
              <w:t>5 054</w:t>
            </w:r>
          </w:p>
        </w:tc>
        <w:tc>
          <w:tcPr>
            <w:tcW w:w="992" w:type="dxa"/>
            <w:shd w:val="clear" w:color="auto" w:fill="F2F2F2"/>
            <w:vAlign w:val="center"/>
          </w:tcPr>
          <w:p w:rsidR="00887C8E" w:rsidRPr="00680B23" w:rsidRDefault="00887C8E" w:rsidP="00F2417A">
            <w:pPr>
              <w:spacing w:after="0" w:line="240" w:lineRule="auto"/>
              <w:jc w:val="right"/>
              <w:rPr>
                <w:rFonts w:ascii="Century" w:hAnsi="Century"/>
                <w:color w:val="000000"/>
                <w:sz w:val="20"/>
                <w:szCs w:val="20"/>
              </w:rPr>
            </w:pPr>
            <w:r w:rsidRPr="00680B23">
              <w:rPr>
                <w:rFonts w:ascii="Century" w:hAnsi="Century"/>
                <w:color w:val="000000"/>
                <w:sz w:val="20"/>
                <w:szCs w:val="20"/>
              </w:rPr>
              <w:t>4 706</w:t>
            </w:r>
          </w:p>
        </w:tc>
        <w:tc>
          <w:tcPr>
            <w:tcW w:w="992" w:type="dxa"/>
            <w:shd w:val="clear" w:color="auto" w:fill="F2F2F2"/>
            <w:vAlign w:val="center"/>
          </w:tcPr>
          <w:p w:rsidR="00887C8E" w:rsidRPr="00680B23" w:rsidRDefault="00887C8E" w:rsidP="00F2417A">
            <w:pPr>
              <w:spacing w:after="0" w:line="240" w:lineRule="auto"/>
              <w:jc w:val="right"/>
              <w:rPr>
                <w:rFonts w:ascii="Century" w:hAnsi="Century"/>
                <w:color w:val="000000"/>
                <w:sz w:val="20"/>
                <w:szCs w:val="20"/>
              </w:rPr>
            </w:pPr>
            <w:r w:rsidRPr="00680B23">
              <w:rPr>
                <w:rFonts w:ascii="Century" w:hAnsi="Century"/>
                <w:color w:val="000000"/>
                <w:sz w:val="20"/>
                <w:szCs w:val="20"/>
              </w:rPr>
              <w:t>4 742</w:t>
            </w:r>
          </w:p>
        </w:tc>
        <w:tc>
          <w:tcPr>
            <w:tcW w:w="992" w:type="dxa"/>
            <w:shd w:val="clear" w:color="auto" w:fill="F2F2F2"/>
            <w:vAlign w:val="center"/>
          </w:tcPr>
          <w:p w:rsidR="00887C8E" w:rsidRPr="00680B23" w:rsidRDefault="00887C8E" w:rsidP="00F2417A">
            <w:pPr>
              <w:spacing w:after="0" w:line="240" w:lineRule="auto"/>
              <w:jc w:val="right"/>
              <w:rPr>
                <w:rFonts w:ascii="Century" w:hAnsi="Century"/>
                <w:color w:val="000000"/>
                <w:sz w:val="20"/>
                <w:szCs w:val="20"/>
              </w:rPr>
            </w:pPr>
            <w:r w:rsidRPr="00680B23">
              <w:rPr>
                <w:rFonts w:ascii="Century" w:hAnsi="Century"/>
                <w:color w:val="000000"/>
                <w:sz w:val="20"/>
                <w:szCs w:val="20"/>
              </w:rPr>
              <w:t>4 873</w:t>
            </w:r>
          </w:p>
        </w:tc>
      </w:tr>
      <w:tr w:rsidR="00887C8E" w:rsidRPr="00A736A8" w:rsidTr="003C4A4E">
        <w:trPr>
          <w:trHeight w:val="431"/>
        </w:trPr>
        <w:tc>
          <w:tcPr>
            <w:tcW w:w="5329" w:type="dxa"/>
            <w:vAlign w:val="center"/>
          </w:tcPr>
          <w:p w:rsidR="00887C8E" w:rsidRPr="00F2417A" w:rsidRDefault="00887C8E" w:rsidP="00F2417A">
            <w:pPr>
              <w:spacing w:after="0" w:line="240" w:lineRule="auto"/>
              <w:jc w:val="both"/>
              <w:rPr>
                <w:rFonts w:ascii="Century" w:hAnsi="Century"/>
                <w:b/>
                <w:bCs/>
                <w:sz w:val="20"/>
                <w:szCs w:val="20"/>
              </w:rPr>
            </w:pPr>
            <w:r w:rsidRPr="00F2417A">
              <w:rPr>
                <w:rFonts w:ascii="Century" w:hAnsi="Century"/>
                <w:bCs/>
                <w:color w:val="000000"/>
                <w:sz w:val="20"/>
                <w:szCs w:val="20"/>
              </w:rPr>
              <w:t>Физическая культура и спорт</w:t>
            </w:r>
          </w:p>
        </w:tc>
        <w:tc>
          <w:tcPr>
            <w:tcW w:w="992" w:type="dxa"/>
            <w:vAlign w:val="center"/>
          </w:tcPr>
          <w:p w:rsidR="00887C8E" w:rsidRDefault="00887C8E" w:rsidP="00887C8E">
            <w:pPr>
              <w:spacing w:after="0" w:line="240" w:lineRule="auto"/>
              <w:jc w:val="right"/>
              <w:rPr>
                <w:rFonts w:ascii="Century" w:hAnsi="Century"/>
                <w:sz w:val="20"/>
                <w:szCs w:val="20"/>
              </w:rPr>
            </w:pPr>
            <w:r>
              <w:rPr>
                <w:rFonts w:ascii="Century" w:hAnsi="Century"/>
                <w:sz w:val="20"/>
                <w:szCs w:val="20"/>
              </w:rPr>
              <w:t>94</w:t>
            </w:r>
          </w:p>
        </w:tc>
        <w:tc>
          <w:tcPr>
            <w:tcW w:w="992" w:type="dxa"/>
            <w:vAlign w:val="center"/>
          </w:tcPr>
          <w:p w:rsidR="00887C8E" w:rsidRPr="00680B23" w:rsidRDefault="00887C8E" w:rsidP="00F2417A">
            <w:pPr>
              <w:spacing w:after="0" w:line="240" w:lineRule="auto"/>
              <w:jc w:val="right"/>
              <w:rPr>
                <w:rFonts w:ascii="Century" w:hAnsi="Century"/>
                <w:color w:val="000000"/>
                <w:sz w:val="20"/>
                <w:szCs w:val="20"/>
              </w:rPr>
            </w:pPr>
            <w:r w:rsidRPr="00680B23">
              <w:rPr>
                <w:rFonts w:ascii="Century" w:hAnsi="Century"/>
                <w:color w:val="000000"/>
                <w:sz w:val="20"/>
                <w:szCs w:val="20"/>
              </w:rPr>
              <w:t>59</w:t>
            </w:r>
          </w:p>
        </w:tc>
        <w:tc>
          <w:tcPr>
            <w:tcW w:w="992" w:type="dxa"/>
            <w:vAlign w:val="center"/>
          </w:tcPr>
          <w:p w:rsidR="00887C8E" w:rsidRPr="00680B23" w:rsidRDefault="00887C8E" w:rsidP="00F2417A">
            <w:pPr>
              <w:spacing w:after="0" w:line="240" w:lineRule="auto"/>
              <w:jc w:val="right"/>
              <w:rPr>
                <w:rFonts w:ascii="Century" w:hAnsi="Century"/>
                <w:color w:val="000000"/>
                <w:sz w:val="20"/>
                <w:szCs w:val="20"/>
              </w:rPr>
            </w:pPr>
            <w:r w:rsidRPr="00680B23">
              <w:rPr>
                <w:rFonts w:ascii="Century" w:hAnsi="Century"/>
                <w:color w:val="000000"/>
                <w:sz w:val="20"/>
                <w:szCs w:val="20"/>
              </w:rPr>
              <w:t>37</w:t>
            </w:r>
          </w:p>
        </w:tc>
        <w:tc>
          <w:tcPr>
            <w:tcW w:w="992" w:type="dxa"/>
            <w:vAlign w:val="center"/>
          </w:tcPr>
          <w:p w:rsidR="00887C8E" w:rsidRPr="00680B23" w:rsidRDefault="00887C8E" w:rsidP="00F2417A">
            <w:pPr>
              <w:spacing w:after="0" w:line="240" w:lineRule="auto"/>
              <w:jc w:val="right"/>
              <w:rPr>
                <w:rFonts w:ascii="Century" w:hAnsi="Century"/>
                <w:color w:val="000000"/>
                <w:sz w:val="20"/>
                <w:szCs w:val="20"/>
              </w:rPr>
            </w:pPr>
            <w:r w:rsidRPr="00680B23">
              <w:rPr>
                <w:rFonts w:ascii="Century" w:hAnsi="Century"/>
                <w:color w:val="000000"/>
                <w:sz w:val="20"/>
                <w:szCs w:val="20"/>
              </w:rPr>
              <w:t>39</w:t>
            </w:r>
          </w:p>
        </w:tc>
      </w:tr>
      <w:tr w:rsidR="00887C8E" w:rsidRPr="00A736A8" w:rsidTr="003C4A4E">
        <w:trPr>
          <w:trHeight w:val="424"/>
        </w:trPr>
        <w:tc>
          <w:tcPr>
            <w:tcW w:w="5329" w:type="dxa"/>
            <w:shd w:val="clear" w:color="auto" w:fill="F2F2F2"/>
            <w:vAlign w:val="center"/>
          </w:tcPr>
          <w:p w:rsidR="00887C8E" w:rsidRPr="00F2417A" w:rsidRDefault="00887C8E" w:rsidP="00F2417A">
            <w:pPr>
              <w:spacing w:after="0" w:line="240" w:lineRule="auto"/>
              <w:rPr>
                <w:rFonts w:ascii="Century" w:hAnsi="Century"/>
                <w:b/>
                <w:bCs/>
                <w:sz w:val="20"/>
                <w:szCs w:val="20"/>
              </w:rPr>
            </w:pPr>
            <w:r w:rsidRPr="00F2417A">
              <w:rPr>
                <w:rFonts w:ascii="Century" w:hAnsi="Century"/>
                <w:bCs/>
                <w:color w:val="000000"/>
                <w:sz w:val="20"/>
                <w:szCs w:val="20"/>
              </w:rPr>
              <w:t>Средства массовой информации</w:t>
            </w:r>
          </w:p>
        </w:tc>
        <w:tc>
          <w:tcPr>
            <w:tcW w:w="992" w:type="dxa"/>
            <w:shd w:val="clear" w:color="auto" w:fill="F2F2F2"/>
            <w:vAlign w:val="center"/>
          </w:tcPr>
          <w:p w:rsidR="00887C8E" w:rsidRDefault="00887C8E" w:rsidP="00887C8E">
            <w:pPr>
              <w:spacing w:after="0" w:line="240" w:lineRule="auto"/>
              <w:jc w:val="right"/>
              <w:rPr>
                <w:rFonts w:ascii="Century" w:hAnsi="Century"/>
                <w:sz w:val="20"/>
                <w:szCs w:val="20"/>
              </w:rPr>
            </w:pPr>
            <w:r>
              <w:rPr>
                <w:rFonts w:ascii="Century" w:hAnsi="Century"/>
                <w:sz w:val="20"/>
                <w:szCs w:val="20"/>
              </w:rPr>
              <w:t>83</w:t>
            </w:r>
          </w:p>
        </w:tc>
        <w:tc>
          <w:tcPr>
            <w:tcW w:w="992" w:type="dxa"/>
            <w:shd w:val="clear" w:color="auto" w:fill="F2F2F2"/>
            <w:vAlign w:val="center"/>
          </w:tcPr>
          <w:p w:rsidR="00887C8E" w:rsidRPr="00680B23" w:rsidRDefault="00887C8E" w:rsidP="00F2417A">
            <w:pPr>
              <w:spacing w:after="0" w:line="240" w:lineRule="auto"/>
              <w:jc w:val="right"/>
              <w:rPr>
                <w:rFonts w:ascii="Century" w:hAnsi="Century"/>
                <w:color w:val="000000"/>
                <w:sz w:val="20"/>
                <w:szCs w:val="20"/>
              </w:rPr>
            </w:pPr>
            <w:r w:rsidRPr="00680B23">
              <w:rPr>
                <w:rFonts w:ascii="Century" w:hAnsi="Century"/>
                <w:color w:val="000000"/>
                <w:sz w:val="20"/>
                <w:szCs w:val="20"/>
              </w:rPr>
              <w:t>83</w:t>
            </w:r>
          </w:p>
        </w:tc>
        <w:tc>
          <w:tcPr>
            <w:tcW w:w="992" w:type="dxa"/>
            <w:shd w:val="clear" w:color="auto" w:fill="F2F2F2"/>
            <w:vAlign w:val="center"/>
          </w:tcPr>
          <w:p w:rsidR="00887C8E" w:rsidRPr="00680B23" w:rsidRDefault="00887C8E" w:rsidP="00F2417A">
            <w:pPr>
              <w:spacing w:after="0" w:line="240" w:lineRule="auto"/>
              <w:jc w:val="right"/>
              <w:rPr>
                <w:rFonts w:ascii="Century" w:hAnsi="Century"/>
                <w:color w:val="000000"/>
                <w:sz w:val="20"/>
                <w:szCs w:val="20"/>
              </w:rPr>
            </w:pPr>
            <w:r w:rsidRPr="00680B23">
              <w:rPr>
                <w:rFonts w:ascii="Century" w:hAnsi="Century"/>
                <w:color w:val="000000"/>
                <w:sz w:val="20"/>
                <w:szCs w:val="20"/>
              </w:rPr>
              <w:t>68</w:t>
            </w:r>
          </w:p>
        </w:tc>
        <w:tc>
          <w:tcPr>
            <w:tcW w:w="992" w:type="dxa"/>
            <w:shd w:val="clear" w:color="auto" w:fill="F2F2F2"/>
            <w:vAlign w:val="center"/>
          </w:tcPr>
          <w:p w:rsidR="00887C8E" w:rsidRPr="00680B23" w:rsidRDefault="00887C8E" w:rsidP="00F2417A">
            <w:pPr>
              <w:spacing w:after="0" w:line="240" w:lineRule="auto"/>
              <w:jc w:val="right"/>
              <w:rPr>
                <w:rFonts w:ascii="Century" w:hAnsi="Century"/>
                <w:color w:val="000000"/>
                <w:sz w:val="20"/>
                <w:szCs w:val="20"/>
              </w:rPr>
            </w:pPr>
            <w:r w:rsidRPr="00680B23">
              <w:rPr>
                <w:rFonts w:ascii="Century" w:hAnsi="Century"/>
                <w:color w:val="000000"/>
                <w:sz w:val="20"/>
                <w:szCs w:val="20"/>
              </w:rPr>
              <w:t>68</w:t>
            </w:r>
          </w:p>
        </w:tc>
      </w:tr>
      <w:tr w:rsidR="00887C8E" w:rsidRPr="00A736A8" w:rsidTr="003C4A4E">
        <w:trPr>
          <w:trHeight w:val="429"/>
        </w:trPr>
        <w:tc>
          <w:tcPr>
            <w:tcW w:w="5329" w:type="dxa"/>
            <w:vAlign w:val="center"/>
          </w:tcPr>
          <w:p w:rsidR="00887C8E" w:rsidRPr="00F2417A" w:rsidRDefault="00887C8E" w:rsidP="00F2417A">
            <w:pPr>
              <w:spacing w:after="0" w:line="240" w:lineRule="auto"/>
              <w:rPr>
                <w:rFonts w:ascii="Century" w:hAnsi="Century"/>
                <w:b/>
                <w:bCs/>
                <w:color w:val="000000"/>
                <w:sz w:val="20"/>
                <w:szCs w:val="20"/>
              </w:rPr>
            </w:pPr>
            <w:r w:rsidRPr="00F2417A">
              <w:rPr>
                <w:rFonts w:ascii="Century" w:hAnsi="Century"/>
                <w:bCs/>
                <w:color w:val="000000"/>
                <w:sz w:val="20"/>
                <w:szCs w:val="20"/>
              </w:rPr>
              <w:t xml:space="preserve">Обслуживание государственного и муниципального долга </w:t>
            </w:r>
          </w:p>
        </w:tc>
        <w:tc>
          <w:tcPr>
            <w:tcW w:w="992" w:type="dxa"/>
            <w:vAlign w:val="center"/>
          </w:tcPr>
          <w:p w:rsidR="00887C8E" w:rsidRDefault="00887C8E" w:rsidP="00887C8E">
            <w:pPr>
              <w:spacing w:after="0" w:line="240" w:lineRule="auto"/>
              <w:jc w:val="right"/>
              <w:rPr>
                <w:rFonts w:ascii="Century" w:hAnsi="Century"/>
                <w:sz w:val="20"/>
                <w:szCs w:val="20"/>
              </w:rPr>
            </w:pPr>
            <w:r>
              <w:rPr>
                <w:rFonts w:ascii="Century" w:hAnsi="Century"/>
                <w:sz w:val="20"/>
                <w:szCs w:val="20"/>
              </w:rPr>
              <w:t>730</w:t>
            </w:r>
          </w:p>
        </w:tc>
        <w:tc>
          <w:tcPr>
            <w:tcW w:w="992" w:type="dxa"/>
            <w:vAlign w:val="center"/>
          </w:tcPr>
          <w:p w:rsidR="00887C8E" w:rsidRPr="00680B23" w:rsidRDefault="00887C8E" w:rsidP="00F2417A">
            <w:pPr>
              <w:spacing w:after="0" w:line="240" w:lineRule="auto"/>
              <w:jc w:val="right"/>
              <w:rPr>
                <w:rFonts w:ascii="Century" w:hAnsi="Century"/>
                <w:color w:val="000000"/>
                <w:sz w:val="20"/>
                <w:szCs w:val="20"/>
              </w:rPr>
            </w:pPr>
            <w:r w:rsidRPr="00680B23">
              <w:rPr>
                <w:rFonts w:ascii="Century" w:hAnsi="Century"/>
                <w:color w:val="000000"/>
                <w:sz w:val="20"/>
                <w:szCs w:val="20"/>
              </w:rPr>
              <w:t>824</w:t>
            </w:r>
          </w:p>
        </w:tc>
        <w:tc>
          <w:tcPr>
            <w:tcW w:w="992" w:type="dxa"/>
            <w:vAlign w:val="center"/>
          </w:tcPr>
          <w:p w:rsidR="00887C8E" w:rsidRPr="00680B23" w:rsidRDefault="00887C8E" w:rsidP="00F2417A">
            <w:pPr>
              <w:spacing w:after="0" w:line="240" w:lineRule="auto"/>
              <w:jc w:val="right"/>
              <w:rPr>
                <w:rFonts w:ascii="Century" w:hAnsi="Century"/>
                <w:color w:val="000000"/>
                <w:sz w:val="20"/>
                <w:szCs w:val="20"/>
              </w:rPr>
            </w:pPr>
            <w:r w:rsidRPr="00680B23">
              <w:rPr>
                <w:rFonts w:ascii="Century" w:hAnsi="Century"/>
                <w:color w:val="000000"/>
                <w:sz w:val="20"/>
                <w:szCs w:val="20"/>
              </w:rPr>
              <w:t>819</w:t>
            </w:r>
          </w:p>
        </w:tc>
        <w:tc>
          <w:tcPr>
            <w:tcW w:w="992" w:type="dxa"/>
            <w:vAlign w:val="center"/>
          </w:tcPr>
          <w:p w:rsidR="00887C8E" w:rsidRPr="00680B23" w:rsidRDefault="00887C8E" w:rsidP="00F2417A">
            <w:pPr>
              <w:spacing w:after="0" w:line="240" w:lineRule="auto"/>
              <w:jc w:val="right"/>
              <w:rPr>
                <w:rFonts w:ascii="Century" w:hAnsi="Century"/>
                <w:color w:val="000000"/>
                <w:sz w:val="20"/>
                <w:szCs w:val="20"/>
              </w:rPr>
            </w:pPr>
            <w:r w:rsidRPr="00680B23">
              <w:rPr>
                <w:rFonts w:ascii="Century" w:hAnsi="Century"/>
                <w:color w:val="000000"/>
                <w:sz w:val="20"/>
                <w:szCs w:val="20"/>
              </w:rPr>
              <w:t>870</w:t>
            </w:r>
          </w:p>
        </w:tc>
      </w:tr>
      <w:tr w:rsidR="00A71D96" w:rsidRPr="00A736A8" w:rsidTr="003C4A4E">
        <w:trPr>
          <w:trHeight w:val="421"/>
        </w:trPr>
        <w:tc>
          <w:tcPr>
            <w:tcW w:w="5329" w:type="dxa"/>
            <w:shd w:val="clear" w:color="auto" w:fill="F2F2F2"/>
            <w:vAlign w:val="center"/>
          </w:tcPr>
          <w:p w:rsidR="00A71D96" w:rsidRPr="00F2417A" w:rsidRDefault="00A71D96" w:rsidP="00F2417A">
            <w:pPr>
              <w:spacing w:after="0" w:line="240" w:lineRule="auto"/>
              <w:rPr>
                <w:rFonts w:ascii="Century" w:hAnsi="Century"/>
                <w:b/>
                <w:bCs/>
                <w:sz w:val="20"/>
                <w:szCs w:val="20"/>
              </w:rPr>
            </w:pPr>
            <w:r w:rsidRPr="00F2417A">
              <w:rPr>
                <w:rFonts w:ascii="Century" w:hAnsi="Century"/>
                <w:bCs/>
                <w:color w:val="000000"/>
                <w:sz w:val="20"/>
                <w:szCs w:val="20"/>
              </w:rPr>
              <w:t>Межбюджетные трансферты общего характера</w:t>
            </w:r>
          </w:p>
        </w:tc>
        <w:tc>
          <w:tcPr>
            <w:tcW w:w="992" w:type="dxa"/>
            <w:shd w:val="clear" w:color="auto" w:fill="F2F2F2"/>
            <w:vAlign w:val="center"/>
          </w:tcPr>
          <w:p w:rsidR="00A71D96" w:rsidRPr="007F3176" w:rsidRDefault="00887C8E" w:rsidP="00F2417A">
            <w:pPr>
              <w:spacing w:after="0" w:line="240" w:lineRule="auto"/>
              <w:jc w:val="right"/>
              <w:rPr>
                <w:rFonts w:ascii="Century" w:hAnsi="Century"/>
                <w:color w:val="FF0000"/>
                <w:sz w:val="20"/>
                <w:szCs w:val="20"/>
              </w:rPr>
            </w:pPr>
            <w:r w:rsidRPr="00887C8E">
              <w:rPr>
                <w:rFonts w:ascii="Century" w:hAnsi="Century"/>
                <w:sz w:val="20"/>
                <w:szCs w:val="20"/>
              </w:rPr>
              <w:t>808</w:t>
            </w:r>
          </w:p>
        </w:tc>
        <w:tc>
          <w:tcPr>
            <w:tcW w:w="992" w:type="dxa"/>
            <w:shd w:val="clear" w:color="auto" w:fill="F2F2F2"/>
            <w:vAlign w:val="center"/>
          </w:tcPr>
          <w:p w:rsidR="00A71D96" w:rsidRPr="00680B23" w:rsidRDefault="00A71D96" w:rsidP="00F2417A">
            <w:pPr>
              <w:spacing w:after="0" w:line="240" w:lineRule="auto"/>
              <w:jc w:val="right"/>
              <w:rPr>
                <w:rFonts w:ascii="Century" w:hAnsi="Century"/>
                <w:color w:val="000000"/>
                <w:sz w:val="20"/>
                <w:szCs w:val="20"/>
              </w:rPr>
            </w:pPr>
            <w:r w:rsidRPr="00680B23">
              <w:rPr>
                <w:rFonts w:ascii="Century" w:hAnsi="Century"/>
                <w:color w:val="000000"/>
                <w:sz w:val="20"/>
                <w:szCs w:val="20"/>
              </w:rPr>
              <w:t>835</w:t>
            </w:r>
          </w:p>
        </w:tc>
        <w:tc>
          <w:tcPr>
            <w:tcW w:w="992" w:type="dxa"/>
            <w:shd w:val="clear" w:color="auto" w:fill="F2F2F2"/>
            <w:vAlign w:val="center"/>
          </w:tcPr>
          <w:p w:rsidR="00A71D96" w:rsidRPr="00680B23" w:rsidRDefault="00A71D96" w:rsidP="00F2417A">
            <w:pPr>
              <w:spacing w:after="0" w:line="240" w:lineRule="auto"/>
              <w:jc w:val="right"/>
              <w:rPr>
                <w:rFonts w:ascii="Century" w:hAnsi="Century"/>
                <w:color w:val="000000"/>
                <w:sz w:val="20"/>
                <w:szCs w:val="20"/>
              </w:rPr>
            </w:pPr>
            <w:r w:rsidRPr="00680B23">
              <w:rPr>
                <w:rFonts w:ascii="Century" w:hAnsi="Century"/>
                <w:color w:val="000000"/>
                <w:sz w:val="20"/>
                <w:szCs w:val="20"/>
              </w:rPr>
              <w:t>795</w:t>
            </w:r>
          </w:p>
        </w:tc>
        <w:tc>
          <w:tcPr>
            <w:tcW w:w="992" w:type="dxa"/>
            <w:shd w:val="clear" w:color="auto" w:fill="F2F2F2"/>
            <w:vAlign w:val="center"/>
          </w:tcPr>
          <w:p w:rsidR="00A71D96" w:rsidRPr="00680B23" w:rsidRDefault="00A71D96" w:rsidP="00F2417A">
            <w:pPr>
              <w:spacing w:after="0" w:line="240" w:lineRule="auto"/>
              <w:jc w:val="right"/>
              <w:rPr>
                <w:rFonts w:ascii="Century" w:hAnsi="Century"/>
                <w:color w:val="000000"/>
                <w:sz w:val="20"/>
                <w:szCs w:val="20"/>
              </w:rPr>
            </w:pPr>
            <w:r w:rsidRPr="00680B23">
              <w:rPr>
                <w:rFonts w:ascii="Century" w:hAnsi="Century"/>
                <w:color w:val="000000"/>
                <w:sz w:val="20"/>
                <w:szCs w:val="20"/>
              </w:rPr>
              <w:t>808</w:t>
            </w:r>
          </w:p>
        </w:tc>
      </w:tr>
      <w:tr w:rsidR="00A71D96" w:rsidRPr="00A736A8" w:rsidTr="003C4A4E">
        <w:trPr>
          <w:trHeight w:val="421"/>
        </w:trPr>
        <w:tc>
          <w:tcPr>
            <w:tcW w:w="5329" w:type="dxa"/>
            <w:tcBorders>
              <w:bottom w:val="single" w:sz="4" w:space="0" w:color="auto"/>
            </w:tcBorders>
            <w:shd w:val="clear" w:color="auto" w:fill="FFFFFF" w:themeFill="background1"/>
            <w:vAlign w:val="center"/>
          </w:tcPr>
          <w:p w:rsidR="00A71D96" w:rsidRPr="00F2417A" w:rsidRDefault="00A71D96" w:rsidP="00F2417A">
            <w:pPr>
              <w:spacing w:after="0" w:line="240" w:lineRule="auto"/>
              <w:rPr>
                <w:rFonts w:ascii="Century" w:hAnsi="Century"/>
                <w:bCs/>
                <w:color w:val="000000"/>
                <w:sz w:val="20"/>
                <w:szCs w:val="20"/>
              </w:rPr>
            </w:pPr>
            <w:r w:rsidRPr="00F2417A">
              <w:rPr>
                <w:rFonts w:ascii="Century" w:hAnsi="Century"/>
                <w:bCs/>
                <w:color w:val="000000"/>
                <w:sz w:val="20"/>
                <w:szCs w:val="20"/>
              </w:rPr>
              <w:t>Условно утвержденные расходы</w:t>
            </w:r>
          </w:p>
        </w:tc>
        <w:tc>
          <w:tcPr>
            <w:tcW w:w="992" w:type="dxa"/>
            <w:tcBorders>
              <w:bottom w:val="single" w:sz="4" w:space="0" w:color="auto"/>
            </w:tcBorders>
            <w:shd w:val="clear" w:color="auto" w:fill="FFFFFF" w:themeFill="background1"/>
            <w:vAlign w:val="center"/>
          </w:tcPr>
          <w:p w:rsidR="00A71D96" w:rsidRPr="007F3176" w:rsidRDefault="00A71D96" w:rsidP="00F2417A">
            <w:pPr>
              <w:spacing w:after="0" w:line="240" w:lineRule="auto"/>
              <w:jc w:val="right"/>
              <w:rPr>
                <w:rFonts w:ascii="Century" w:hAnsi="Century"/>
                <w:color w:val="FF0000"/>
                <w:sz w:val="20"/>
                <w:szCs w:val="20"/>
              </w:rPr>
            </w:pPr>
          </w:p>
        </w:tc>
        <w:tc>
          <w:tcPr>
            <w:tcW w:w="992" w:type="dxa"/>
            <w:tcBorders>
              <w:bottom w:val="single" w:sz="4" w:space="0" w:color="auto"/>
            </w:tcBorders>
            <w:shd w:val="clear" w:color="auto" w:fill="FFFFFF" w:themeFill="background1"/>
            <w:vAlign w:val="center"/>
          </w:tcPr>
          <w:p w:rsidR="00A71D96" w:rsidRPr="00680B23" w:rsidRDefault="00A71D96" w:rsidP="00F2417A">
            <w:pPr>
              <w:spacing w:after="0" w:line="240" w:lineRule="auto"/>
              <w:jc w:val="right"/>
              <w:rPr>
                <w:rFonts w:ascii="Century" w:hAnsi="Century"/>
                <w:color w:val="000000"/>
                <w:sz w:val="20"/>
                <w:szCs w:val="20"/>
              </w:rPr>
            </w:pPr>
          </w:p>
        </w:tc>
        <w:tc>
          <w:tcPr>
            <w:tcW w:w="992" w:type="dxa"/>
            <w:tcBorders>
              <w:bottom w:val="single" w:sz="4" w:space="0" w:color="auto"/>
            </w:tcBorders>
            <w:shd w:val="clear" w:color="auto" w:fill="FFFFFF" w:themeFill="background1"/>
            <w:vAlign w:val="center"/>
          </w:tcPr>
          <w:p w:rsidR="00A71D96" w:rsidRPr="00680B23" w:rsidRDefault="00A71D96" w:rsidP="00F2417A">
            <w:pPr>
              <w:spacing w:after="0" w:line="240" w:lineRule="auto"/>
              <w:jc w:val="right"/>
              <w:rPr>
                <w:rFonts w:ascii="Century" w:hAnsi="Century"/>
                <w:color w:val="000000"/>
                <w:sz w:val="20"/>
                <w:szCs w:val="20"/>
              </w:rPr>
            </w:pPr>
          </w:p>
        </w:tc>
        <w:tc>
          <w:tcPr>
            <w:tcW w:w="992" w:type="dxa"/>
            <w:tcBorders>
              <w:bottom w:val="single" w:sz="4" w:space="0" w:color="auto"/>
            </w:tcBorders>
            <w:shd w:val="clear" w:color="auto" w:fill="FFFFFF" w:themeFill="background1"/>
            <w:vAlign w:val="center"/>
          </w:tcPr>
          <w:p w:rsidR="00A71D96" w:rsidRPr="00680B23" w:rsidRDefault="00A71D96" w:rsidP="00F2417A">
            <w:pPr>
              <w:spacing w:after="0" w:line="240" w:lineRule="auto"/>
              <w:jc w:val="right"/>
              <w:rPr>
                <w:rFonts w:ascii="Century" w:hAnsi="Century"/>
                <w:color w:val="000000"/>
                <w:sz w:val="20"/>
                <w:szCs w:val="20"/>
              </w:rPr>
            </w:pPr>
            <w:r>
              <w:rPr>
                <w:rFonts w:ascii="Century" w:hAnsi="Century"/>
                <w:color w:val="000000"/>
                <w:sz w:val="20"/>
                <w:szCs w:val="20"/>
              </w:rPr>
              <w:t>429</w:t>
            </w:r>
          </w:p>
        </w:tc>
      </w:tr>
    </w:tbl>
    <w:p w:rsidR="00A71D96" w:rsidRPr="00ED0F18" w:rsidRDefault="00A71D96" w:rsidP="00A71D96">
      <w:pPr>
        <w:spacing w:after="120"/>
        <w:jc w:val="both"/>
        <w:rPr>
          <w:rFonts w:ascii="Times New Roman" w:hAnsi="Times New Roman"/>
          <w:i/>
          <w:sz w:val="18"/>
          <w:szCs w:val="24"/>
        </w:rPr>
      </w:pPr>
      <w:r w:rsidRPr="00ED0F18">
        <w:rPr>
          <w:rFonts w:ascii="Times New Roman" w:hAnsi="Times New Roman"/>
          <w:i/>
          <w:sz w:val="18"/>
          <w:szCs w:val="24"/>
        </w:rPr>
        <w:t>* с учетом условно утвержденных расходов в 2020 году</w:t>
      </w:r>
    </w:p>
    <w:p w:rsidR="00A71D96" w:rsidRPr="00DA7D59" w:rsidRDefault="00A71D96" w:rsidP="00A71D96">
      <w:pPr>
        <w:spacing w:before="240" w:after="120"/>
        <w:jc w:val="both"/>
        <w:rPr>
          <w:rFonts w:ascii="Times New Roman" w:hAnsi="Times New Roman"/>
          <w:b/>
          <w:sz w:val="28"/>
          <w:szCs w:val="24"/>
        </w:rPr>
      </w:pPr>
      <w:r w:rsidRPr="00DA7D59">
        <w:rPr>
          <w:rFonts w:ascii="Times New Roman" w:hAnsi="Times New Roman"/>
          <w:b/>
          <w:sz w:val="28"/>
          <w:szCs w:val="24"/>
        </w:rPr>
        <w:t>Источники финансирования дефицита</w:t>
      </w:r>
      <w:r>
        <w:rPr>
          <w:rFonts w:ascii="Times New Roman" w:hAnsi="Times New Roman"/>
          <w:b/>
          <w:sz w:val="28"/>
          <w:szCs w:val="24"/>
        </w:rPr>
        <w:t xml:space="preserve"> федерального бюджета</w:t>
      </w:r>
    </w:p>
    <w:p w:rsidR="00A71D96" w:rsidRPr="00DA7D59" w:rsidRDefault="00A71D96" w:rsidP="00A71D96">
      <w:pPr>
        <w:spacing w:before="120" w:after="120"/>
        <w:jc w:val="both"/>
        <w:rPr>
          <w:rFonts w:ascii="Times New Roman" w:hAnsi="Times New Roman"/>
          <w:sz w:val="24"/>
          <w:szCs w:val="24"/>
        </w:rPr>
      </w:pPr>
      <w:r w:rsidRPr="00DA7D59">
        <w:rPr>
          <w:rFonts w:ascii="Times New Roman" w:hAnsi="Times New Roman"/>
          <w:sz w:val="24"/>
          <w:szCs w:val="24"/>
        </w:rPr>
        <w:t xml:space="preserve">В соответствии с </w:t>
      </w:r>
      <w:r>
        <w:rPr>
          <w:rFonts w:ascii="Times New Roman" w:hAnsi="Times New Roman"/>
          <w:sz w:val="24"/>
          <w:szCs w:val="24"/>
        </w:rPr>
        <w:t>новой конструкцией бюджетных правил</w:t>
      </w:r>
      <w:r w:rsidRPr="00DA7D59">
        <w:rPr>
          <w:rFonts w:ascii="Times New Roman" w:hAnsi="Times New Roman"/>
          <w:sz w:val="24"/>
          <w:szCs w:val="24"/>
        </w:rPr>
        <w:t xml:space="preserve"> по мере снижения к 2019 году структурного дефицита федерального бюджета ожидается </w:t>
      </w:r>
      <w:r w:rsidRPr="00DA7D59">
        <w:rPr>
          <w:rFonts w:ascii="Times New Roman" w:hAnsi="Times New Roman"/>
          <w:i/>
          <w:sz w:val="24"/>
          <w:szCs w:val="24"/>
        </w:rPr>
        <w:t>снижение роли средств суверенных фондов</w:t>
      </w:r>
      <w:r w:rsidRPr="00DA7D59">
        <w:rPr>
          <w:rFonts w:ascii="Times New Roman" w:hAnsi="Times New Roman"/>
          <w:sz w:val="24"/>
          <w:szCs w:val="24"/>
        </w:rPr>
        <w:t xml:space="preserve"> с поступательным </w:t>
      </w:r>
      <w:r w:rsidRPr="00DA7D59">
        <w:rPr>
          <w:rFonts w:ascii="Times New Roman" w:hAnsi="Times New Roman"/>
          <w:i/>
          <w:sz w:val="24"/>
          <w:szCs w:val="24"/>
        </w:rPr>
        <w:t>ростом доли внутренних заимствований</w:t>
      </w:r>
      <w:r w:rsidRPr="00DA7D59">
        <w:rPr>
          <w:rFonts w:ascii="Times New Roman" w:hAnsi="Times New Roman"/>
          <w:sz w:val="24"/>
          <w:szCs w:val="24"/>
        </w:rPr>
        <w:t xml:space="preserve"> в структуре источников его финансирования. При этом в условиях стабильной динамики платежного баланса объем заимствований на внешних рынках будет определяться в первую очередь задачей по поддержанию ликвидности рынка суверенных еврооблигаций.</w:t>
      </w:r>
    </w:p>
    <w:p w:rsidR="00A71D96" w:rsidRPr="00DA7D59" w:rsidRDefault="00A71D96" w:rsidP="00A71D96">
      <w:pPr>
        <w:spacing w:before="120" w:after="0"/>
        <w:jc w:val="both"/>
        <w:rPr>
          <w:rFonts w:ascii="Times New Roman" w:hAnsi="Times New Roman"/>
          <w:sz w:val="24"/>
          <w:szCs w:val="24"/>
        </w:rPr>
      </w:pPr>
      <w:r w:rsidRPr="00DA7D59">
        <w:rPr>
          <w:rFonts w:ascii="Times New Roman" w:hAnsi="Times New Roman"/>
          <w:b/>
          <w:sz w:val="24"/>
          <w:szCs w:val="24"/>
        </w:rPr>
        <w:t xml:space="preserve">Таблица </w:t>
      </w:r>
      <w:r w:rsidRPr="002B72A8">
        <w:rPr>
          <w:rFonts w:ascii="Times New Roman" w:hAnsi="Times New Roman"/>
          <w:b/>
          <w:sz w:val="24"/>
          <w:szCs w:val="24"/>
        </w:rPr>
        <w:t>4</w:t>
      </w:r>
      <w:r w:rsidRPr="00DA7D59">
        <w:rPr>
          <w:rFonts w:ascii="Times New Roman" w:hAnsi="Times New Roman"/>
          <w:b/>
          <w:sz w:val="24"/>
          <w:szCs w:val="24"/>
        </w:rPr>
        <w:t>.1.4.</w:t>
      </w:r>
      <w:r w:rsidRPr="00DA7D59">
        <w:rPr>
          <w:rFonts w:ascii="Times New Roman" w:hAnsi="Times New Roman"/>
          <w:sz w:val="24"/>
          <w:szCs w:val="24"/>
        </w:rPr>
        <w:t xml:space="preserve"> Источники финансирования дефицита федерального бюджета в 201</w:t>
      </w:r>
      <w:r>
        <w:rPr>
          <w:rFonts w:ascii="Times New Roman" w:hAnsi="Times New Roman"/>
          <w:sz w:val="24"/>
          <w:szCs w:val="24"/>
        </w:rPr>
        <w:t>8</w:t>
      </w:r>
      <w:r w:rsidRPr="00DA7D59">
        <w:rPr>
          <w:rFonts w:ascii="Times New Roman" w:hAnsi="Times New Roman"/>
          <w:sz w:val="24"/>
          <w:szCs w:val="24"/>
        </w:rPr>
        <w:t>-</w:t>
      </w:r>
      <w:r w:rsidRPr="00DA7D59">
        <w:rPr>
          <w:rFonts w:ascii="Times New Roman" w:hAnsi="Times New Roman"/>
          <w:sz w:val="24"/>
          <w:szCs w:val="24"/>
        </w:rPr>
        <w:br/>
        <w:t>2020 гг.</w:t>
      </w:r>
    </w:p>
    <w:p w:rsidR="00A71D96" w:rsidRPr="00DA7D59" w:rsidRDefault="00A71D96" w:rsidP="00A71D96">
      <w:pPr>
        <w:spacing w:after="120"/>
        <w:jc w:val="right"/>
        <w:rPr>
          <w:rFonts w:ascii="Times New Roman" w:hAnsi="Times New Roman"/>
          <w:i/>
          <w:sz w:val="24"/>
          <w:szCs w:val="24"/>
        </w:rPr>
      </w:pPr>
      <w:proofErr w:type="gramStart"/>
      <w:r w:rsidRPr="00DA7D59">
        <w:rPr>
          <w:rFonts w:ascii="Times New Roman" w:hAnsi="Times New Roman"/>
          <w:i/>
          <w:sz w:val="24"/>
          <w:szCs w:val="24"/>
        </w:rPr>
        <w:t>млрд</w:t>
      </w:r>
      <w:proofErr w:type="gramEnd"/>
      <w:r w:rsidRPr="00DA7D59">
        <w:rPr>
          <w:rFonts w:ascii="Times New Roman" w:hAnsi="Times New Roman"/>
          <w:i/>
          <w:sz w:val="24"/>
          <w:szCs w:val="24"/>
        </w:rPr>
        <w:t xml:space="preserve"> рублей</w:t>
      </w:r>
    </w:p>
    <w:tbl>
      <w:tblPr>
        <w:tblW w:w="8896" w:type="dxa"/>
        <w:tblLayout w:type="fixed"/>
        <w:tblLook w:val="00A0" w:firstRow="1" w:lastRow="0" w:firstColumn="1" w:lastColumn="0" w:noHBand="0" w:noVBand="0"/>
      </w:tblPr>
      <w:tblGrid>
        <w:gridCol w:w="5920"/>
        <w:gridCol w:w="992"/>
        <w:gridCol w:w="992"/>
        <w:gridCol w:w="992"/>
      </w:tblGrid>
      <w:tr w:rsidR="00A71D96" w:rsidRPr="00F004D8" w:rsidTr="00F2417A">
        <w:trPr>
          <w:trHeight w:val="340"/>
        </w:trPr>
        <w:tc>
          <w:tcPr>
            <w:tcW w:w="5920" w:type="dxa"/>
            <w:tcBorders>
              <w:top w:val="single" w:sz="4" w:space="0" w:color="auto"/>
              <w:bottom w:val="single" w:sz="4" w:space="0" w:color="auto"/>
            </w:tcBorders>
          </w:tcPr>
          <w:p w:rsidR="00A71D96" w:rsidRPr="00F2417A" w:rsidRDefault="00A71D96" w:rsidP="00F2417A">
            <w:pPr>
              <w:spacing w:after="0" w:line="240" w:lineRule="auto"/>
              <w:rPr>
                <w:rFonts w:ascii="Century" w:hAnsi="Century"/>
                <w:b/>
                <w:bCs/>
                <w:szCs w:val="24"/>
              </w:rPr>
            </w:pPr>
            <w:r w:rsidRPr="00F2417A">
              <w:rPr>
                <w:rFonts w:ascii="Century" w:hAnsi="Century"/>
                <w:b/>
                <w:bCs/>
                <w:szCs w:val="24"/>
              </w:rPr>
              <w:t>Показатель</w:t>
            </w:r>
          </w:p>
        </w:tc>
        <w:tc>
          <w:tcPr>
            <w:tcW w:w="992" w:type="dxa"/>
            <w:tcBorders>
              <w:top w:val="single" w:sz="4" w:space="0" w:color="auto"/>
              <w:bottom w:val="single" w:sz="4" w:space="0" w:color="auto"/>
            </w:tcBorders>
          </w:tcPr>
          <w:p w:rsidR="00A71D96" w:rsidRPr="00F2417A" w:rsidRDefault="00A71D96" w:rsidP="00F2417A">
            <w:pPr>
              <w:spacing w:after="0" w:line="240" w:lineRule="auto"/>
              <w:jc w:val="right"/>
              <w:rPr>
                <w:rFonts w:ascii="Century" w:hAnsi="Century"/>
                <w:b/>
                <w:bCs/>
                <w:szCs w:val="24"/>
              </w:rPr>
            </w:pPr>
            <w:r w:rsidRPr="00F2417A">
              <w:rPr>
                <w:rFonts w:ascii="Century" w:hAnsi="Century"/>
                <w:b/>
                <w:bCs/>
                <w:szCs w:val="24"/>
              </w:rPr>
              <w:t>2018</w:t>
            </w:r>
          </w:p>
        </w:tc>
        <w:tc>
          <w:tcPr>
            <w:tcW w:w="992" w:type="dxa"/>
            <w:tcBorders>
              <w:top w:val="single" w:sz="4" w:space="0" w:color="auto"/>
              <w:bottom w:val="single" w:sz="4" w:space="0" w:color="auto"/>
            </w:tcBorders>
          </w:tcPr>
          <w:p w:rsidR="00A71D96" w:rsidRPr="00F2417A" w:rsidRDefault="00A71D96" w:rsidP="00F2417A">
            <w:pPr>
              <w:spacing w:after="0" w:line="240" w:lineRule="auto"/>
              <w:jc w:val="right"/>
              <w:rPr>
                <w:rFonts w:ascii="Century" w:hAnsi="Century"/>
                <w:b/>
                <w:bCs/>
                <w:szCs w:val="24"/>
              </w:rPr>
            </w:pPr>
            <w:r w:rsidRPr="00F2417A">
              <w:rPr>
                <w:rFonts w:ascii="Century" w:hAnsi="Century"/>
                <w:b/>
                <w:bCs/>
                <w:szCs w:val="24"/>
              </w:rPr>
              <w:t>2019</w:t>
            </w:r>
          </w:p>
        </w:tc>
        <w:tc>
          <w:tcPr>
            <w:tcW w:w="992" w:type="dxa"/>
            <w:tcBorders>
              <w:top w:val="single" w:sz="4" w:space="0" w:color="auto"/>
              <w:bottom w:val="single" w:sz="4" w:space="0" w:color="auto"/>
            </w:tcBorders>
          </w:tcPr>
          <w:p w:rsidR="00A71D96" w:rsidRPr="00F2417A" w:rsidRDefault="00A71D96" w:rsidP="00F2417A">
            <w:pPr>
              <w:spacing w:after="0" w:line="240" w:lineRule="auto"/>
              <w:jc w:val="right"/>
              <w:rPr>
                <w:rFonts w:ascii="Century" w:hAnsi="Century"/>
                <w:b/>
                <w:bCs/>
                <w:szCs w:val="24"/>
              </w:rPr>
            </w:pPr>
            <w:r w:rsidRPr="00F2417A">
              <w:rPr>
                <w:rFonts w:ascii="Century" w:hAnsi="Century"/>
                <w:b/>
                <w:bCs/>
                <w:szCs w:val="24"/>
              </w:rPr>
              <w:t>2020</w:t>
            </w:r>
          </w:p>
        </w:tc>
      </w:tr>
      <w:tr w:rsidR="009F0DDF" w:rsidRPr="00F004D8" w:rsidTr="003C4A4E">
        <w:trPr>
          <w:trHeight w:val="340"/>
        </w:trPr>
        <w:tc>
          <w:tcPr>
            <w:tcW w:w="5920" w:type="dxa"/>
            <w:tcBorders>
              <w:top w:val="single" w:sz="4" w:space="0" w:color="auto"/>
            </w:tcBorders>
            <w:shd w:val="clear" w:color="auto" w:fill="F2F2F2"/>
            <w:vAlign w:val="center"/>
          </w:tcPr>
          <w:p w:rsidR="009F0DDF" w:rsidRPr="00F004D8" w:rsidRDefault="009F0DDF" w:rsidP="00F2417A">
            <w:pPr>
              <w:spacing w:after="0" w:line="240" w:lineRule="auto"/>
              <w:jc w:val="both"/>
              <w:rPr>
                <w:rFonts w:ascii="Century" w:hAnsi="Century"/>
                <w:b/>
                <w:bCs/>
                <w:sz w:val="20"/>
                <w:szCs w:val="20"/>
              </w:rPr>
            </w:pPr>
            <w:r w:rsidRPr="00F004D8">
              <w:rPr>
                <w:rFonts w:ascii="Century" w:hAnsi="Century"/>
                <w:b/>
                <w:sz w:val="20"/>
                <w:szCs w:val="20"/>
              </w:rPr>
              <w:t xml:space="preserve">Источники финансирования дефицита </w:t>
            </w:r>
          </w:p>
        </w:tc>
        <w:tc>
          <w:tcPr>
            <w:tcW w:w="992" w:type="dxa"/>
            <w:tcBorders>
              <w:top w:val="single" w:sz="4" w:space="0" w:color="auto"/>
            </w:tcBorders>
            <w:shd w:val="clear" w:color="auto" w:fill="F2F2F2"/>
            <w:vAlign w:val="center"/>
          </w:tcPr>
          <w:p w:rsidR="009F0DDF" w:rsidRDefault="009F0DDF">
            <w:pPr>
              <w:spacing w:after="0" w:line="240" w:lineRule="auto"/>
              <w:jc w:val="right"/>
              <w:rPr>
                <w:rFonts w:ascii="Century" w:hAnsi="Century"/>
                <w:b/>
                <w:bCs/>
                <w:color w:val="FF0000"/>
                <w:sz w:val="20"/>
                <w:szCs w:val="20"/>
              </w:rPr>
            </w:pPr>
            <w:r>
              <w:rPr>
                <w:rFonts w:ascii="Century" w:hAnsi="Century"/>
                <w:b/>
                <w:bCs/>
                <w:color w:val="000000"/>
                <w:sz w:val="20"/>
                <w:szCs w:val="20"/>
              </w:rPr>
              <w:t>1 271</w:t>
            </w:r>
          </w:p>
        </w:tc>
        <w:tc>
          <w:tcPr>
            <w:tcW w:w="992" w:type="dxa"/>
            <w:tcBorders>
              <w:top w:val="single" w:sz="4" w:space="0" w:color="auto"/>
            </w:tcBorders>
            <w:shd w:val="clear" w:color="auto" w:fill="F2F2F2"/>
            <w:vAlign w:val="center"/>
          </w:tcPr>
          <w:p w:rsidR="009F0DDF" w:rsidRPr="00680B23" w:rsidRDefault="009F0DDF" w:rsidP="00F2417A">
            <w:pPr>
              <w:spacing w:after="0" w:line="240" w:lineRule="auto"/>
              <w:jc w:val="right"/>
              <w:rPr>
                <w:rFonts w:ascii="Century" w:hAnsi="Century"/>
                <w:b/>
                <w:bCs/>
                <w:color w:val="FF0000"/>
                <w:sz w:val="20"/>
                <w:szCs w:val="20"/>
              </w:rPr>
            </w:pPr>
            <w:r w:rsidRPr="00680B23">
              <w:rPr>
                <w:rFonts w:ascii="Century" w:hAnsi="Century"/>
                <w:b/>
                <w:bCs/>
                <w:color w:val="000000"/>
                <w:sz w:val="20"/>
                <w:szCs w:val="20"/>
              </w:rPr>
              <w:t>819</w:t>
            </w:r>
          </w:p>
        </w:tc>
        <w:tc>
          <w:tcPr>
            <w:tcW w:w="992" w:type="dxa"/>
            <w:tcBorders>
              <w:top w:val="single" w:sz="4" w:space="0" w:color="auto"/>
            </w:tcBorders>
            <w:shd w:val="clear" w:color="auto" w:fill="F2F2F2"/>
            <w:vAlign w:val="center"/>
          </w:tcPr>
          <w:p w:rsidR="009F0DDF" w:rsidRPr="00680B23" w:rsidRDefault="009F0DDF" w:rsidP="00F2417A">
            <w:pPr>
              <w:spacing w:after="0" w:line="240" w:lineRule="auto"/>
              <w:jc w:val="right"/>
              <w:rPr>
                <w:rFonts w:ascii="Century" w:hAnsi="Century"/>
                <w:b/>
                <w:bCs/>
                <w:color w:val="FF0000"/>
                <w:sz w:val="20"/>
                <w:szCs w:val="20"/>
              </w:rPr>
            </w:pPr>
            <w:r w:rsidRPr="00680B23">
              <w:rPr>
                <w:rFonts w:ascii="Century" w:hAnsi="Century"/>
                <w:b/>
                <w:bCs/>
                <w:color w:val="000000"/>
                <w:sz w:val="20"/>
                <w:szCs w:val="20"/>
              </w:rPr>
              <w:t>870</w:t>
            </w:r>
          </w:p>
        </w:tc>
      </w:tr>
      <w:tr w:rsidR="009F0DDF" w:rsidRPr="00F004D8" w:rsidTr="003C4A4E">
        <w:trPr>
          <w:trHeight w:val="340"/>
        </w:trPr>
        <w:tc>
          <w:tcPr>
            <w:tcW w:w="5920" w:type="dxa"/>
            <w:vAlign w:val="center"/>
          </w:tcPr>
          <w:p w:rsidR="009F0DDF" w:rsidRPr="00F004D8" w:rsidRDefault="009F0DDF" w:rsidP="00F2417A">
            <w:pPr>
              <w:spacing w:after="0" w:line="240" w:lineRule="auto"/>
              <w:jc w:val="both"/>
              <w:rPr>
                <w:rFonts w:ascii="Century" w:hAnsi="Century"/>
                <w:b/>
                <w:bCs/>
                <w:sz w:val="20"/>
                <w:szCs w:val="20"/>
                <w:u w:val="single"/>
              </w:rPr>
            </w:pPr>
            <w:r w:rsidRPr="00F004D8">
              <w:rPr>
                <w:rFonts w:ascii="Century" w:hAnsi="Century"/>
                <w:bCs/>
                <w:sz w:val="20"/>
                <w:szCs w:val="20"/>
                <w:u w:val="single"/>
              </w:rPr>
              <w:t>Использование ФНБ</w:t>
            </w:r>
          </w:p>
        </w:tc>
        <w:tc>
          <w:tcPr>
            <w:tcW w:w="992" w:type="dxa"/>
            <w:vAlign w:val="center"/>
          </w:tcPr>
          <w:p w:rsidR="009F0DDF" w:rsidRDefault="009F0DDF">
            <w:pPr>
              <w:spacing w:after="0" w:line="240" w:lineRule="auto"/>
              <w:jc w:val="right"/>
              <w:rPr>
                <w:rFonts w:ascii="Century" w:hAnsi="Century"/>
                <w:color w:val="FF0000"/>
                <w:sz w:val="20"/>
                <w:szCs w:val="20"/>
                <w:u w:val="single"/>
              </w:rPr>
            </w:pPr>
            <w:r>
              <w:rPr>
                <w:rFonts w:ascii="Century" w:hAnsi="Century"/>
                <w:sz w:val="20"/>
                <w:szCs w:val="20"/>
                <w:u w:val="single"/>
              </w:rPr>
              <w:t>1 114</w:t>
            </w:r>
          </w:p>
        </w:tc>
        <w:tc>
          <w:tcPr>
            <w:tcW w:w="992" w:type="dxa"/>
            <w:vAlign w:val="center"/>
          </w:tcPr>
          <w:p w:rsidR="009F0DDF" w:rsidRPr="00680B23" w:rsidRDefault="009F0DDF" w:rsidP="00F2417A">
            <w:pPr>
              <w:spacing w:after="0" w:line="240" w:lineRule="auto"/>
              <w:jc w:val="right"/>
              <w:rPr>
                <w:rFonts w:ascii="Century" w:hAnsi="Century"/>
                <w:color w:val="FF0000"/>
                <w:sz w:val="20"/>
                <w:szCs w:val="20"/>
                <w:u w:val="single"/>
              </w:rPr>
            </w:pPr>
            <w:r w:rsidRPr="00680B23">
              <w:rPr>
                <w:rFonts w:ascii="Century" w:hAnsi="Century"/>
                <w:sz w:val="20"/>
                <w:szCs w:val="20"/>
                <w:u w:val="single"/>
              </w:rPr>
              <w:t>4</w:t>
            </w:r>
          </w:p>
        </w:tc>
        <w:tc>
          <w:tcPr>
            <w:tcW w:w="992" w:type="dxa"/>
            <w:vAlign w:val="center"/>
          </w:tcPr>
          <w:p w:rsidR="009F0DDF" w:rsidRPr="00680B23" w:rsidRDefault="009F0DDF" w:rsidP="00F2417A">
            <w:pPr>
              <w:spacing w:after="0" w:line="240" w:lineRule="auto"/>
              <w:jc w:val="right"/>
              <w:rPr>
                <w:rFonts w:ascii="Century" w:hAnsi="Century"/>
                <w:color w:val="FF0000"/>
                <w:sz w:val="20"/>
                <w:szCs w:val="20"/>
                <w:u w:val="single"/>
              </w:rPr>
            </w:pPr>
            <w:r w:rsidRPr="00680B23">
              <w:rPr>
                <w:rFonts w:ascii="Century" w:hAnsi="Century"/>
                <w:sz w:val="20"/>
                <w:szCs w:val="20"/>
                <w:u w:val="single"/>
              </w:rPr>
              <w:t>4</w:t>
            </w:r>
          </w:p>
        </w:tc>
      </w:tr>
      <w:tr w:rsidR="009F0DDF" w:rsidRPr="00F004D8" w:rsidTr="003C4A4E">
        <w:trPr>
          <w:trHeight w:val="340"/>
        </w:trPr>
        <w:tc>
          <w:tcPr>
            <w:tcW w:w="5920" w:type="dxa"/>
            <w:shd w:val="clear" w:color="auto" w:fill="F2F2F2"/>
            <w:vAlign w:val="center"/>
          </w:tcPr>
          <w:p w:rsidR="009F0DDF" w:rsidRDefault="009F0DDF" w:rsidP="00F2417A">
            <w:pPr>
              <w:spacing w:after="0" w:line="240" w:lineRule="auto"/>
              <w:jc w:val="both"/>
              <w:rPr>
                <w:rFonts w:ascii="Century" w:hAnsi="Century"/>
                <w:sz w:val="20"/>
                <w:szCs w:val="20"/>
                <w:u w:val="single"/>
              </w:rPr>
            </w:pPr>
            <w:r w:rsidRPr="00F004D8">
              <w:rPr>
                <w:rFonts w:ascii="Century" w:hAnsi="Century"/>
                <w:sz w:val="20"/>
                <w:szCs w:val="20"/>
                <w:u w:val="single"/>
              </w:rPr>
              <w:t xml:space="preserve">Не </w:t>
            </w:r>
            <w:proofErr w:type="gramStart"/>
            <w:r w:rsidRPr="00F004D8">
              <w:rPr>
                <w:rFonts w:ascii="Century" w:hAnsi="Century"/>
                <w:sz w:val="20"/>
                <w:szCs w:val="20"/>
                <w:u w:val="single"/>
              </w:rPr>
              <w:t>связанные</w:t>
            </w:r>
            <w:proofErr w:type="gramEnd"/>
            <w:r w:rsidRPr="00F004D8">
              <w:rPr>
                <w:rFonts w:ascii="Century" w:hAnsi="Century"/>
                <w:sz w:val="20"/>
                <w:szCs w:val="20"/>
                <w:u w:val="single"/>
              </w:rPr>
              <w:t xml:space="preserve"> с использованием</w:t>
            </w:r>
            <w:r>
              <w:rPr>
                <w:rFonts w:ascii="Century" w:hAnsi="Century"/>
                <w:sz w:val="20"/>
                <w:szCs w:val="20"/>
                <w:u w:val="single"/>
              </w:rPr>
              <w:t xml:space="preserve"> </w:t>
            </w:r>
            <w:r w:rsidRPr="00F004D8">
              <w:rPr>
                <w:rFonts w:ascii="Century" w:hAnsi="Century"/>
                <w:sz w:val="20"/>
                <w:szCs w:val="20"/>
                <w:u w:val="single"/>
              </w:rPr>
              <w:t>ФНБ</w:t>
            </w:r>
            <w:r>
              <w:rPr>
                <w:rFonts w:ascii="Century" w:hAnsi="Century"/>
                <w:sz w:val="20"/>
                <w:szCs w:val="20"/>
                <w:u w:val="single"/>
              </w:rPr>
              <w:t xml:space="preserve">, </w:t>
            </w:r>
          </w:p>
          <w:p w:rsidR="009F0DDF" w:rsidRPr="007C3E33" w:rsidRDefault="009F0DDF" w:rsidP="00F2417A">
            <w:pPr>
              <w:spacing w:after="0" w:line="240" w:lineRule="auto"/>
              <w:jc w:val="both"/>
              <w:rPr>
                <w:rFonts w:ascii="Century" w:hAnsi="Century"/>
                <w:b/>
                <w:bCs/>
                <w:i/>
                <w:sz w:val="20"/>
                <w:szCs w:val="20"/>
                <w:u w:val="single"/>
              </w:rPr>
            </w:pPr>
            <w:r w:rsidRPr="007C3E33">
              <w:rPr>
                <w:rFonts w:ascii="Century" w:hAnsi="Century"/>
                <w:i/>
                <w:sz w:val="20"/>
                <w:szCs w:val="20"/>
                <w:u w:val="single"/>
              </w:rPr>
              <w:t>из них:</w:t>
            </w:r>
          </w:p>
        </w:tc>
        <w:tc>
          <w:tcPr>
            <w:tcW w:w="992" w:type="dxa"/>
            <w:shd w:val="clear" w:color="auto" w:fill="F2F2F2"/>
            <w:vAlign w:val="center"/>
          </w:tcPr>
          <w:p w:rsidR="009F0DDF" w:rsidRDefault="009F0DDF">
            <w:pPr>
              <w:spacing w:after="0" w:line="240" w:lineRule="auto"/>
              <w:jc w:val="right"/>
              <w:rPr>
                <w:rFonts w:ascii="Century" w:hAnsi="Century"/>
                <w:bCs/>
                <w:color w:val="FF0000"/>
                <w:sz w:val="20"/>
                <w:szCs w:val="20"/>
                <w:u w:val="single"/>
              </w:rPr>
            </w:pPr>
            <w:r>
              <w:rPr>
                <w:rFonts w:ascii="Century" w:hAnsi="Century"/>
                <w:bCs/>
                <w:sz w:val="20"/>
                <w:szCs w:val="20"/>
                <w:u w:val="single"/>
              </w:rPr>
              <w:t>158</w:t>
            </w:r>
          </w:p>
        </w:tc>
        <w:tc>
          <w:tcPr>
            <w:tcW w:w="992" w:type="dxa"/>
            <w:shd w:val="clear" w:color="auto" w:fill="F2F2F2"/>
            <w:vAlign w:val="center"/>
          </w:tcPr>
          <w:p w:rsidR="009F0DDF" w:rsidRPr="00680B23" w:rsidRDefault="009F0DDF" w:rsidP="00F2417A">
            <w:pPr>
              <w:spacing w:after="0" w:line="240" w:lineRule="auto"/>
              <w:jc w:val="right"/>
              <w:rPr>
                <w:rFonts w:ascii="Century" w:hAnsi="Century"/>
                <w:bCs/>
                <w:color w:val="FF0000"/>
                <w:sz w:val="20"/>
                <w:szCs w:val="20"/>
                <w:u w:val="single"/>
              </w:rPr>
            </w:pPr>
            <w:r w:rsidRPr="00680B23">
              <w:rPr>
                <w:rFonts w:ascii="Century" w:hAnsi="Century"/>
                <w:bCs/>
                <w:sz w:val="20"/>
                <w:szCs w:val="20"/>
                <w:u w:val="single"/>
              </w:rPr>
              <w:t>815</w:t>
            </w:r>
          </w:p>
        </w:tc>
        <w:tc>
          <w:tcPr>
            <w:tcW w:w="992" w:type="dxa"/>
            <w:shd w:val="clear" w:color="auto" w:fill="F2F2F2"/>
            <w:vAlign w:val="center"/>
          </w:tcPr>
          <w:p w:rsidR="009F0DDF" w:rsidRPr="00680B23" w:rsidRDefault="009F0DDF" w:rsidP="00F2417A">
            <w:pPr>
              <w:spacing w:after="0" w:line="240" w:lineRule="auto"/>
              <w:jc w:val="right"/>
              <w:rPr>
                <w:rFonts w:ascii="Century" w:hAnsi="Century"/>
                <w:bCs/>
                <w:color w:val="FF0000"/>
                <w:sz w:val="20"/>
                <w:szCs w:val="20"/>
                <w:u w:val="single"/>
              </w:rPr>
            </w:pPr>
            <w:r w:rsidRPr="00680B23">
              <w:rPr>
                <w:rFonts w:ascii="Century" w:hAnsi="Century"/>
                <w:bCs/>
                <w:sz w:val="20"/>
                <w:szCs w:val="20"/>
                <w:u w:val="single"/>
              </w:rPr>
              <w:t>866</w:t>
            </w:r>
          </w:p>
        </w:tc>
      </w:tr>
      <w:tr w:rsidR="009F0DDF" w:rsidRPr="00F004D8" w:rsidTr="003C4A4E">
        <w:trPr>
          <w:trHeight w:val="340"/>
        </w:trPr>
        <w:tc>
          <w:tcPr>
            <w:tcW w:w="5920" w:type="dxa"/>
            <w:vAlign w:val="center"/>
          </w:tcPr>
          <w:p w:rsidR="009F0DDF" w:rsidRPr="00F004D8" w:rsidRDefault="009F0DDF" w:rsidP="00F2417A">
            <w:pPr>
              <w:spacing w:after="0" w:line="240" w:lineRule="auto"/>
              <w:ind w:left="176"/>
              <w:rPr>
                <w:rFonts w:ascii="Century" w:hAnsi="Century"/>
                <w:b/>
                <w:bCs/>
                <w:sz w:val="20"/>
                <w:szCs w:val="20"/>
              </w:rPr>
            </w:pPr>
            <w:r w:rsidRPr="00F004D8">
              <w:rPr>
                <w:rFonts w:ascii="Century" w:hAnsi="Century"/>
                <w:b/>
                <w:sz w:val="20"/>
                <w:szCs w:val="20"/>
              </w:rPr>
              <w:t>Источники внутреннего</w:t>
            </w:r>
          </w:p>
          <w:p w:rsidR="009F0DDF" w:rsidRPr="00F004D8" w:rsidRDefault="009F0DDF" w:rsidP="00F2417A">
            <w:pPr>
              <w:spacing w:after="0" w:line="240" w:lineRule="auto"/>
              <w:ind w:left="176"/>
              <w:rPr>
                <w:rFonts w:ascii="Century" w:hAnsi="Century"/>
                <w:b/>
                <w:bCs/>
                <w:sz w:val="20"/>
                <w:szCs w:val="20"/>
              </w:rPr>
            </w:pPr>
            <w:r w:rsidRPr="00F004D8">
              <w:rPr>
                <w:rFonts w:ascii="Century" w:hAnsi="Century"/>
                <w:b/>
                <w:sz w:val="20"/>
                <w:szCs w:val="20"/>
              </w:rPr>
              <w:t xml:space="preserve">финансирования дефицита </w:t>
            </w:r>
          </w:p>
        </w:tc>
        <w:tc>
          <w:tcPr>
            <w:tcW w:w="992" w:type="dxa"/>
            <w:vAlign w:val="center"/>
          </w:tcPr>
          <w:p w:rsidR="009F0DDF" w:rsidRDefault="009F0DDF">
            <w:pPr>
              <w:spacing w:after="0" w:line="240" w:lineRule="auto"/>
              <w:jc w:val="right"/>
              <w:rPr>
                <w:rFonts w:ascii="Century" w:hAnsi="Century"/>
                <w:b/>
                <w:bCs/>
                <w:color w:val="FF0000"/>
                <w:sz w:val="20"/>
                <w:szCs w:val="20"/>
              </w:rPr>
            </w:pPr>
            <w:r>
              <w:rPr>
                <w:rFonts w:ascii="Century" w:hAnsi="Century"/>
                <w:b/>
                <w:bCs/>
                <w:sz w:val="20"/>
                <w:szCs w:val="20"/>
              </w:rPr>
              <w:t>308</w:t>
            </w:r>
          </w:p>
        </w:tc>
        <w:tc>
          <w:tcPr>
            <w:tcW w:w="992" w:type="dxa"/>
            <w:vAlign w:val="center"/>
          </w:tcPr>
          <w:p w:rsidR="009F0DDF" w:rsidRPr="00680B23" w:rsidRDefault="009F0DDF" w:rsidP="00F2417A">
            <w:pPr>
              <w:spacing w:after="0" w:line="240" w:lineRule="auto"/>
              <w:jc w:val="right"/>
              <w:rPr>
                <w:rFonts w:ascii="Century" w:hAnsi="Century"/>
                <w:b/>
                <w:bCs/>
                <w:color w:val="FF0000"/>
                <w:sz w:val="20"/>
                <w:szCs w:val="20"/>
              </w:rPr>
            </w:pPr>
            <w:r w:rsidRPr="00680B23">
              <w:rPr>
                <w:rFonts w:ascii="Century" w:hAnsi="Century"/>
                <w:b/>
                <w:bCs/>
                <w:sz w:val="20"/>
                <w:szCs w:val="20"/>
              </w:rPr>
              <w:t>837</w:t>
            </w:r>
          </w:p>
        </w:tc>
        <w:tc>
          <w:tcPr>
            <w:tcW w:w="992" w:type="dxa"/>
            <w:vAlign w:val="center"/>
          </w:tcPr>
          <w:p w:rsidR="009F0DDF" w:rsidRPr="00680B23" w:rsidRDefault="009F0DDF" w:rsidP="00F2417A">
            <w:pPr>
              <w:spacing w:after="0" w:line="240" w:lineRule="auto"/>
              <w:jc w:val="right"/>
              <w:rPr>
                <w:rFonts w:ascii="Century" w:hAnsi="Century"/>
                <w:b/>
                <w:bCs/>
                <w:color w:val="FF0000"/>
                <w:sz w:val="20"/>
                <w:szCs w:val="20"/>
              </w:rPr>
            </w:pPr>
            <w:r w:rsidRPr="00680B23">
              <w:rPr>
                <w:rFonts w:ascii="Century" w:hAnsi="Century"/>
                <w:b/>
                <w:bCs/>
                <w:sz w:val="20"/>
                <w:szCs w:val="20"/>
              </w:rPr>
              <w:t>1 128</w:t>
            </w:r>
          </w:p>
        </w:tc>
      </w:tr>
      <w:tr w:rsidR="009F0DDF" w:rsidRPr="00F004D8" w:rsidTr="003C4A4E">
        <w:trPr>
          <w:trHeight w:val="343"/>
        </w:trPr>
        <w:tc>
          <w:tcPr>
            <w:tcW w:w="5920" w:type="dxa"/>
            <w:shd w:val="clear" w:color="auto" w:fill="F2F2F2"/>
            <w:vAlign w:val="center"/>
          </w:tcPr>
          <w:p w:rsidR="009F0DDF" w:rsidRPr="00F004D8" w:rsidRDefault="009F0DDF" w:rsidP="00F2417A">
            <w:pPr>
              <w:spacing w:after="0" w:line="240" w:lineRule="auto"/>
              <w:ind w:left="176"/>
              <w:jc w:val="both"/>
              <w:rPr>
                <w:rFonts w:ascii="Century" w:hAnsi="Century"/>
                <w:b/>
                <w:bCs/>
                <w:sz w:val="20"/>
                <w:szCs w:val="20"/>
              </w:rPr>
            </w:pPr>
            <w:r w:rsidRPr="00F004D8">
              <w:rPr>
                <w:rFonts w:ascii="Century" w:hAnsi="Century"/>
                <w:bCs/>
                <w:sz w:val="20"/>
                <w:szCs w:val="20"/>
              </w:rPr>
              <w:t>Государственные ценные бумаги</w:t>
            </w:r>
          </w:p>
        </w:tc>
        <w:tc>
          <w:tcPr>
            <w:tcW w:w="992" w:type="dxa"/>
            <w:shd w:val="clear" w:color="auto" w:fill="F2F2F2"/>
            <w:vAlign w:val="center"/>
          </w:tcPr>
          <w:p w:rsidR="009F0DDF" w:rsidRDefault="009F0DDF">
            <w:pPr>
              <w:spacing w:after="0" w:line="240" w:lineRule="auto"/>
              <w:jc w:val="right"/>
              <w:rPr>
                <w:rFonts w:ascii="Century" w:hAnsi="Century"/>
                <w:color w:val="FF0000"/>
                <w:sz w:val="20"/>
                <w:szCs w:val="20"/>
              </w:rPr>
            </w:pPr>
            <w:r>
              <w:rPr>
                <w:rFonts w:ascii="Century" w:hAnsi="Century"/>
                <w:sz w:val="20"/>
                <w:szCs w:val="20"/>
              </w:rPr>
              <w:t>817</w:t>
            </w:r>
          </w:p>
        </w:tc>
        <w:tc>
          <w:tcPr>
            <w:tcW w:w="992" w:type="dxa"/>
            <w:shd w:val="clear" w:color="auto" w:fill="F2F2F2"/>
            <w:vAlign w:val="center"/>
          </w:tcPr>
          <w:p w:rsidR="009F0DDF" w:rsidRPr="00680B23" w:rsidRDefault="009F0DDF" w:rsidP="00F2417A">
            <w:pPr>
              <w:spacing w:after="0" w:line="240" w:lineRule="auto"/>
              <w:jc w:val="right"/>
              <w:rPr>
                <w:rFonts w:ascii="Century" w:hAnsi="Century"/>
                <w:color w:val="FF0000"/>
                <w:sz w:val="20"/>
                <w:szCs w:val="20"/>
              </w:rPr>
            </w:pPr>
            <w:r w:rsidRPr="00680B23">
              <w:rPr>
                <w:rFonts w:ascii="Century" w:hAnsi="Century"/>
                <w:sz w:val="20"/>
                <w:szCs w:val="20"/>
              </w:rPr>
              <w:t>783</w:t>
            </w:r>
          </w:p>
        </w:tc>
        <w:tc>
          <w:tcPr>
            <w:tcW w:w="992" w:type="dxa"/>
            <w:shd w:val="clear" w:color="auto" w:fill="F2F2F2"/>
            <w:vAlign w:val="center"/>
          </w:tcPr>
          <w:p w:rsidR="009F0DDF" w:rsidRPr="00680B23" w:rsidRDefault="009F0DDF" w:rsidP="00F2417A">
            <w:pPr>
              <w:spacing w:after="0" w:line="240" w:lineRule="auto"/>
              <w:jc w:val="right"/>
              <w:rPr>
                <w:rFonts w:ascii="Century" w:hAnsi="Century"/>
                <w:color w:val="FF0000"/>
                <w:sz w:val="20"/>
                <w:szCs w:val="20"/>
              </w:rPr>
            </w:pPr>
            <w:r w:rsidRPr="00680B23">
              <w:rPr>
                <w:rFonts w:ascii="Century" w:hAnsi="Century"/>
                <w:sz w:val="20"/>
                <w:szCs w:val="20"/>
              </w:rPr>
              <w:t>1 212</w:t>
            </w:r>
          </w:p>
        </w:tc>
      </w:tr>
      <w:tr w:rsidR="009F0DDF" w:rsidRPr="00F004D8" w:rsidTr="003C4A4E">
        <w:trPr>
          <w:trHeight w:val="340"/>
        </w:trPr>
        <w:tc>
          <w:tcPr>
            <w:tcW w:w="5920" w:type="dxa"/>
            <w:vAlign w:val="center"/>
          </w:tcPr>
          <w:p w:rsidR="009F0DDF" w:rsidRPr="00F004D8" w:rsidRDefault="009F0DDF" w:rsidP="00F2417A">
            <w:pPr>
              <w:spacing w:after="0" w:line="240" w:lineRule="auto"/>
              <w:ind w:left="176" w:firstLineChars="100" w:firstLine="200"/>
              <w:rPr>
                <w:rFonts w:ascii="Century" w:hAnsi="Century"/>
                <w:b/>
                <w:bCs/>
                <w:sz w:val="20"/>
                <w:szCs w:val="20"/>
              </w:rPr>
            </w:pPr>
            <w:r w:rsidRPr="00F004D8">
              <w:rPr>
                <w:rFonts w:ascii="Century" w:hAnsi="Century"/>
                <w:bCs/>
                <w:sz w:val="20"/>
                <w:szCs w:val="20"/>
              </w:rPr>
              <w:t>Привлечение</w:t>
            </w:r>
          </w:p>
        </w:tc>
        <w:tc>
          <w:tcPr>
            <w:tcW w:w="992" w:type="dxa"/>
            <w:vAlign w:val="center"/>
          </w:tcPr>
          <w:p w:rsidR="009F0DDF" w:rsidRDefault="009F0DDF">
            <w:pPr>
              <w:spacing w:after="0" w:line="240" w:lineRule="auto"/>
              <w:jc w:val="right"/>
              <w:rPr>
                <w:rFonts w:ascii="Century" w:hAnsi="Century"/>
                <w:color w:val="FF0000"/>
                <w:sz w:val="20"/>
                <w:szCs w:val="20"/>
              </w:rPr>
            </w:pPr>
            <w:r>
              <w:rPr>
                <w:rFonts w:ascii="Century" w:hAnsi="Century"/>
                <w:sz w:val="20"/>
                <w:szCs w:val="20"/>
              </w:rPr>
              <w:t>1 448</w:t>
            </w:r>
          </w:p>
        </w:tc>
        <w:tc>
          <w:tcPr>
            <w:tcW w:w="992" w:type="dxa"/>
            <w:vAlign w:val="center"/>
          </w:tcPr>
          <w:p w:rsidR="009F0DDF" w:rsidRPr="00680B23" w:rsidRDefault="009F0DDF" w:rsidP="00F2417A">
            <w:pPr>
              <w:spacing w:after="0" w:line="240" w:lineRule="auto"/>
              <w:jc w:val="right"/>
              <w:rPr>
                <w:rFonts w:ascii="Century" w:hAnsi="Century"/>
                <w:color w:val="FF0000"/>
                <w:sz w:val="20"/>
                <w:szCs w:val="20"/>
              </w:rPr>
            </w:pPr>
            <w:r w:rsidRPr="00680B23">
              <w:rPr>
                <w:rFonts w:ascii="Century" w:hAnsi="Century"/>
                <w:sz w:val="20"/>
                <w:szCs w:val="20"/>
              </w:rPr>
              <w:t>1 545</w:t>
            </w:r>
          </w:p>
        </w:tc>
        <w:tc>
          <w:tcPr>
            <w:tcW w:w="992" w:type="dxa"/>
            <w:vAlign w:val="center"/>
          </w:tcPr>
          <w:p w:rsidR="009F0DDF" w:rsidRPr="00680B23" w:rsidRDefault="009F0DDF" w:rsidP="00F2417A">
            <w:pPr>
              <w:spacing w:after="0" w:line="240" w:lineRule="auto"/>
              <w:jc w:val="right"/>
              <w:rPr>
                <w:rFonts w:ascii="Century" w:hAnsi="Century"/>
                <w:color w:val="FF0000"/>
                <w:sz w:val="20"/>
                <w:szCs w:val="20"/>
              </w:rPr>
            </w:pPr>
            <w:r w:rsidRPr="00680B23">
              <w:rPr>
                <w:rFonts w:ascii="Century" w:hAnsi="Century"/>
                <w:sz w:val="20"/>
                <w:szCs w:val="20"/>
              </w:rPr>
              <w:t>1 818</w:t>
            </w:r>
          </w:p>
        </w:tc>
      </w:tr>
      <w:tr w:rsidR="009F0DDF" w:rsidRPr="00F004D8" w:rsidTr="003C4A4E">
        <w:trPr>
          <w:trHeight w:val="340"/>
        </w:trPr>
        <w:tc>
          <w:tcPr>
            <w:tcW w:w="5920" w:type="dxa"/>
            <w:shd w:val="clear" w:color="auto" w:fill="F2F2F2"/>
            <w:vAlign w:val="center"/>
          </w:tcPr>
          <w:p w:rsidR="009F0DDF" w:rsidRPr="00F004D8" w:rsidRDefault="009F0DDF" w:rsidP="00F2417A">
            <w:pPr>
              <w:spacing w:after="0" w:line="240" w:lineRule="auto"/>
              <w:ind w:left="176" w:firstLineChars="100" w:firstLine="200"/>
              <w:rPr>
                <w:rFonts w:ascii="Century" w:hAnsi="Century"/>
                <w:b/>
                <w:bCs/>
                <w:sz w:val="20"/>
                <w:szCs w:val="20"/>
              </w:rPr>
            </w:pPr>
            <w:r w:rsidRPr="00F004D8">
              <w:rPr>
                <w:rFonts w:ascii="Century" w:hAnsi="Century"/>
                <w:bCs/>
                <w:sz w:val="20"/>
                <w:szCs w:val="20"/>
              </w:rPr>
              <w:t>Погашение</w:t>
            </w:r>
          </w:p>
        </w:tc>
        <w:tc>
          <w:tcPr>
            <w:tcW w:w="992" w:type="dxa"/>
            <w:shd w:val="clear" w:color="auto" w:fill="F2F2F2"/>
            <w:vAlign w:val="center"/>
          </w:tcPr>
          <w:p w:rsidR="009F0DDF" w:rsidRDefault="009F0DDF">
            <w:pPr>
              <w:spacing w:after="0" w:line="240" w:lineRule="auto"/>
              <w:jc w:val="right"/>
              <w:rPr>
                <w:rFonts w:ascii="Century" w:hAnsi="Century"/>
                <w:color w:val="FF0000"/>
                <w:sz w:val="20"/>
                <w:szCs w:val="20"/>
              </w:rPr>
            </w:pPr>
            <w:r>
              <w:rPr>
                <w:rFonts w:ascii="Century" w:hAnsi="Century"/>
                <w:sz w:val="20"/>
                <w:szCs w:val="20"/>
              </w:rPr>
              <w:t>-631</w:t>
            </w:r>
          </w:p>
        </w:tc>
        <w:tc>
          <w:tcPr>
            <w:tcW w:w="992" w:type="dxa"/>
            <w:shd w:val="clear" w:color="auto" w:fill="F2F2F2"/>
            <w:vAlign w:val="center"/>
          </w:tcPr>
          <w:p w:rsidR="009F0DDF" w:rsidRPr="00680B23" w:rsidRDefault="009F0DDF" w:rsidP="00F2417A">
            <w:pPr>
              <w:spacing w:after="0" w:line="240" w:lineRule="auto"/>
              <w:jc w:val="right"/>
              <w:rPr>
                <w:rFonts w:ascii="Century" w:hAnsi="Century"/>
                <w:color w:val="FF0000"/>
                <w:sz w:val="20"/>
                <w:szCs w:val="20"/>
              </w:rPr>
            </w:pPr>
            <w:r w:rsidRPr="00680B23">
              <w:rPr>
                <w:rFonts w:ascii="Century" w:hAnsi="Century"/>
                <w:sz w:val="20"/>
                <w:szCs w:val="20"/>
              </w:rPr>
              <w:t>-762</w:t>
            </w:r>
          </w:p>
        </w:tc>
        <w:tc>
          <w:tcPr>
            <w:tcW w:w="992" w:type="dxa"/>
            <w:shd w:val="clear" w:color="auto" w:fill="F2F2F2"/>
            <w:vAlign w:val="center"/>
          </w:tcPr>
          <w:p w:rsidR="009F0DDF" w:rsidRPr="00680B23" w:rsidRDefault="009F0DDF" w:rsidP="00F2417A">
            <w:pPr>
              <w:spacing w:after="0" w:line="240" w:lineRule="auto"/>
              <w:jc w:val="right"/>
              <w:rPr>
                <w:rFonts w:ascii="Century" w:hAnsi="Century"/>
                <w:color w:val="FF0000"/>
                <w:sz w:val="20"/>
                <w:szCs w:val="20"/>
              </w:rPr>
            </w:pPr>
            <w:r w:rsidRPr="00680B23">
              <w:rPr>
                <w:rFonts w:ascii="Century" w:hAnsi="Century"/>
                <w:sz w:val="20"/>
                <w:szCs w:val="20"/>
              </w:rPr>
              <w:t>-606</w:t>
            </w:r>
          </w:p>
        </w:tc>
      </w:tr>
      <w:tr w:rsidR="009F0DDF" w:rsidRPr="00F004D8" w:rsidTr="003C4A4E">
        <w:trPr>
          <w:trHeight w:val="340"/>
        </w:trPr>
        <w:tc>
          <w:tcPr>
            <w:tcW w:w="5920" w:type="dxa"/>
            <w:vAlign w:val="center"/>
          </w:tcPr>
          <w:p w:rsidR="009F0DDF" w:rsidRPr="00F004D8" w:rsidRDefault="009F0DDF" w:rsidP="00F2417A">
            <w:pPr>
              <w:spacing w:after="0" w:line="240" w:lineRule="auto"/>
              <w:ind w:left="176"/>
              <w:jc w:val="both"/>
              <w:rPr>
                <w:rFonts w:ascii="Century" w:hAnsi="Century"/>
                <w:b/>
                <w:bCs/>
                <w:sz w:val="20"/>
                <w:szCs w:val="20"/>
              </w:rPr>
            </w:pPr>
            <w:r w:rsidRPr="00F004D8">
              <w:rPr>
                <w:rFonts w:ascii="Century" w:hAnsi="Century"/>
                <w:bCs/>
                <w:sz w:val="20"/>
                <w:szCs w:val="20"/>
              </w:rPr>
              <w:t>Приватизация</w:t>
            </w:r>
          </w:p>
        </w:tc>
        <w:tc>
          <w:tcPr>
            <w:tcW w:w="992" w:type="dxa"/>
            <w:vAlign w:val="center"/>
          </w:tcPr>
          <w:p w:rsidR="009F0DDF" w:rsidRDefault="009F0DDF">
            <w:pPr>
              <w:spacing w:after="0" w:line="240" w:lineRule="auto"/>
              <w:jc w:val="right"/>
              <w:rPr>
                <w:rFonts w:ascii="Century" w:hAnsi="Century"/>
                <w:color w:val="FF0000"/>
                <w:sz w:val="20"/>
                <w:szCs w:val="20"/>
              </w:rPr>
            </w:pPr>
            <w:r>
              <w:rPr>
                <w:rFonts w:ascii="Century" w:hAnsi="Century"/>
                <w:sz w:val="20"/>
                <w:szCs w:val="20"/>
              </w:rPr>
              <w:t>13</w:t>
            </w:r>
          </w:p>
        </w:tc>
        <w:tc>
          <w:tcPr>
            <w:tcW w:w="992" w:type="dxa"/>
            <w:vAlign w:val="center"/>
          </w:tcPr>
          <w:p w:rsidR="009F0DDF" w:rsidRPr="00680B23" w:rsidRDefault="009F0DDF" w:rsidP="00F2417A">
            <w:pPr>
              <w:spacing w:after="0" w:line="240" w:lineRule="auto"/>
              <w:jc w:val="right"/>
              <w:rPr>
                <w:rFonts w:ascii="Century" w:hAnsi="Century"/>
                <w:color w:val="FF0000"/>
                <w:sz w:val="20"/>
                <w:szCs w:val="20"/>
              </w:rPr>
            </w:pPr>
            <w:r w:rsidRPr="00680B23">
              <w:rPr>
                <w:rFonts w:ascii="Century" w:hAnsi="Century"/>
                <w:sz w:val="20"/>
                <w:szCs w:val="20"/>
              </w:rPr>
              <w:t>12</w:t>
            </w:r>
          </w:p>
        </w:tc>
        <w:tc>
          <w:tcPr>
            <w:tcW w:w="992" w:type="dxa"/>
            <w:vAlign w:val="center"/>
          </w:tcPr>
          <w:p w:rsidR="009F0DDF" w:rsidRPr="00680B23" w:rsidRDefault="009F0DDF" w:rsidP="00F2417A">
            <w:pPr>
              <w:spacing w:after="0" w:line="240" w:lineRule="auto"/>
              <w:jc w:val="right"/>
              <w:rPr>
                <w:rFonts w:ascii="Century" w:hAnsi="Century"/>
                <w:color w:val="FF0000"/>
                <w:sz w:val="20"/>
                <w:szCs w:val="20"/>
              </w:rPr>
            </w:pPr>
            <w:r w:rsidRPr="00680B23">
              <w:rPr>
                <w:rFonts w:ascii="Century" w:hAnsi="Century"/>
                <w:sz w:val="20"/>
                <w:szCs w:val="20"/>
              </w:rPr>
              <w:t>11</w:t>
            </w:r>
          </w:p>
        </w:tc>
      </w:tr>
      <w:tr w:rsidR="009F0DDF" w:rsidRPr="00F004D8" w:rsidTr="003C4A4E">
        <w:trPr>
          <w:trHeight w:val="340"/>
        </w:trPr>
        <w:tc>
          <w:tcPr>
            <w:tcW w:w="5920" w:type="dxa"/>
            <w:vAlign w:val="center"/>
          </w:tcPr>
          <w:p w:rsidR="009F0DDF" w:rsidRPr="00F004D8" w:rsidRDefault="009F0DDF" w:rsidP="00F2417A">
            <w:pPr>
              <w:spacing w:after="0" w:line="240" w:lineRule="auto"/>
              <w:ind w:left="176"/>
              <w:jc w:val="both"/>
              <w:rPr>
                <w:rFonts w:ascii="Century" w:hAnsi="Century"/>
                <w:b/>
                <w:bCs/>
                <w:sz w:val="20"/>
                <w:szCs w:val="20"/>
              </w:rPr>
            </w:pPr>
            <w:r w:rsidRPr="00F004D8">
              <w:rPr>
                <w:rFonts w:ascii="Century" w:hAnsi="Century"/>
                <w:bCs/>
                <w:sz w:val="20"/>
                <w:szCs w:val="20"/>
              </w:rPr>
              <w:t>Бюджетные кредиты</w:t>
            </w:r>
          </w:p>
        </w:tc>
        <w:tc>
          <w:tcPr>
            <w:tcW w:w="992" w:type="dxa"/>
            <w:vAlign w:val="center"/>
          </w:tcPr>
          <w:p w:rsidR="009F0DDF" w:rsidRDefault="009F0DDF">
            <w:pPr>
              <w:spacing w:after="0" w:line="240" w:lineRule="auto"/>
              <w:jc w:val="right"/>
              <w:rPr>
                <w:rFonts w:ascii="Century" w:hAnsi="Century"/>
                <w:color w:val="FF0000"/>
                <w:sz w:val="20"/>
                <w:szCs w:val="20"/>
              </w:rPr>
            </w:pPr>
            <w:r>
              <w:rPr>
                <w:rFonts w:ascii="Century" w:hAnsi="Century"/>
                <w:sz w:val="20"/>
                <w:szCs w:val="20"/>
              </w:rPr>
              <w:t>38</w:t>
            </w:r>
          </w:p>
        </w:tc>
        <w:tc>
          <w:tcPr>
            <w:tcW w:w="992" w:type="dxa"/>
            <w:vAlign w:val="center"/>
          </w:tcPr>
          <w:p w:rsidR="009F0DDF" w:rsidRPr="00680B23" w:rsidRDefault="009F0DDF" w:rsidP="00F2417A">
            <w:pPr>
              <w:spacing w:after="0" w:line="240" w:lineRule="auto"/>
              <w:jc w:val="right"/>
              <w:rPr>
                <w:rFonts w:ascii="Century" w:hAnsi="Century"/>
                <w:color w:val="FF0000"/>
                <w:sz w:val="20"/>
                <w:szCs w:val="20"/>
              </w:rPr>
            </w:pPr>
            <w:r>
              <w:rPr>
                <w:rFonts w:ascii="Century" w:hAnsi="Century"/>
                <w:sz w:val="20"/>
                <w:szCs w:val="20"/>
              </w:rPr>
              <w:t>38</w:t>
            </w:r>
          </w:p>
        </w:tc>
        <w:tc>
          <w:tcPr>
            <w:tcW w:w="992" w:type="dxa"/>
            <w:vAlign w:val="center"/>
          </w:tcPr>
          <w:p w:rsidR="009F0DDF" w:rsidRPr="00680B23" w:rsidRDefault="009F0DDF" w:rsidP="00F2417A">
            <w:pPr>
              <w:spacing w:after="0" w:line="240" w:lineRule="auto"/>
              <w:jc w:val="right"/>
              <w:rPr>
                <w:rFonts w:ascii="Century" w:hAnsi="Century"/>
                <w:color w:val="FF0000"/>
                <w:sz w:val="20"/>
                <w:szCs w:val="20"/>
              </w:rPr>
            </w:pPr>
            <w:r w:rsidRPr="00680B23">
              <w:rPr>
                <w:rFonts w:ascii="Century" w:hAnsi="Century"/>
                <w:sz w:val="20"/>
                <w:szCs w:val="20"/>
              </w:rPr>
              <w:t>76</w:t>
            </w:r>
          </w:p>
        </w:tc>
      </w:tr>
      <w:tr w:rsidR="009F0DDF" w:rsidRPr="00F004D8" w:rsidTr="003C4A4E">
        <w:trPr>
          <w:trHeight w:val="340"/>
        </w:trPr>
        <w:tc>
          <w:tcPr>
            <w:tcW w:w="5920" w:type="dxa"/>
            <w:shd w:val="clear" w:color="auto" w:fill="F2F2F2"/>
            <w:vAlign w:val="center"/>
          </w:tcPr>
          <w:p w:rsidR="009F0DDF" w:rsidRPr="00F004D8" w:rsidRDefault="009F0DDF" w:rsidP="00F2417A">
            <w:pPr>
              <w:spacing w:after="0" w:line="240" w:lineRule="auto"/>
              <w:ind w:left="176" w:firstLineChars="100" w:firstLine="200"/>
              <w:rPr>
                <w:rFonts w:ascii="Century" w:hAnsi="Century"/>
                <w:b/>
                <w:bCs/>
                <w:sz w:val="20"/>
                <w:szCs w:val="20"/>
              </w:rPr>
            </w:pPr>
            <w:r w:rsidRPr="00F004D8">
              <w:rPr>
                <w:rFonts w:ascii="Century" w:hAnsi="Century"/>
                <w:bCs/>
                <w:sz w:val="20"/>
                <w:szCs w:val="20"/>
              </w:rPr>
              <w:t>Возврат</w:t>
            </w:r>
          </w:p>
        </w:tc>
        <w:tc>
          <w:tcPr>
            <w:tcW w:w="992" w:type="dxa"/>
            <w:shd w:val="clear" w:color="auto" w:fill="F2F2F2"/>
            <w:vAlign w:val="center"/>
          </w:tcPr>
          <w:p w:rsidR="009F0DDF" w:rsidRDefault="009F0DDF">
            <w:pPr>
              <w:spacing w:after="0" w:line="240" w:lineRule="auto"/>
              <w:jc w:val="right"/>
              <w:rPr>
                <w:rFonts w:ascii="Century" w:hAnsi="Century"/>
                <w:color w:val="FF0000"/>
                <w:sz w:val="20"/>
                <w:szCs w:val="20"/>
              </w:rPr>
            </w:pPr>
            <w:r>
              <w:rPr>
                <w:rFonts w:ascii="Century" w:hAnsi="Century"/>
                <w:sz w:val="20"/>
                <w:szCs w:val="20"/>
              </w:rPr>
              <w:t>40</w:t>
            </w:r>
          </w:p>
        </w:tc>
        <w:tc>
          <w:tcPr>
            <w:tcW w:w="992" w:type="dxa"/>
            <w:shd w:val="clear" w:color="auto" w:fill="F2F2F2"/>
            <w:vAlign w:val="center"/>
          </w:tcPr>
          <w:p w:rsidR="009F0DDF" w:rsidRPr="00680B23" w:rsidRDefault="009F0DDF" w:rsidP="00F2417A">
            <w:pPr>
              <w:spacing w:after="0" w:line="240" w:lineRule="auto"/>
              <w:jc w:val="right"/>
              <w:rPr>
                <w:rFonts w:ascii="Century" w:hAnsi="Century"/>
                <w:color w:val="FF0000"/>
                <w:sz w:val="20"/>
                <w:szCs w:val="20"/>
              </w:rPr>
            </w:pPr>
            <w:r>
              <w:rPr>
                <w:rFonts w:ascii="Century" w:hAnsi="Century"/>
                <w:sz w:val="20"/>
                <w:szCs w:val="20"/>
              </w:rPr>
              <w:t>39</w:t>
            </w:r>
          </w:p>
        </w:tc>
        <w:tc>
          <w:tcPr>
            <w:tcW w:w="992" w:type="dxa"/>
            <w:shd w:val="clear" w:color="auto" w:fill="F2F2F2"/>
            <w:vAlign w:val="center"/>
          </w:tcPr>
          <w:p w:rsidR="009F0DDF" w:rsidRPr="00680B23" w:rsidRDefault="009F0DDF" w:rsidP="00F2417A">
            <w:pPr>
              <w:spacing w:after="0" w:line="240" w:lineRule="auto"/>
              <w:jc w:val="right"/>
              <w:rPr>
                <w:rFonts w:ascii="Century" w:hAnsi="Century"/>
                <w:color w:val="FF0000"/>
                <w:sz w:val="20"/>
                <w:szCs w:val="20"/>
              </w:rPr>
            </w:pPr>
            <w:r w:rsidRPr="00680B23">
              <w:rPr>
                <w:rFonts w:ascii="Century" w:hAnsi="Century"/>
                <w:sz w:val="20"/>
                <w:szCs w:val="20"/>
              </w:rPr>
              <w:t>77</w:t>
            </w:r>
          </w:p>
        </w:tc>
      </w:tr>
      <w:tr w:rsidR="009F0DDF" w:rsidRPr="00F004D8" w:rsidTr="003C4A4E">
        <w:trPr>
          <w:trHeight w:val="340"/>
        </w:trPr>
        <w:tc>
          <w:tcPr>
            <w:tcW w:w="5920" w:type="dxa"/>
            <w:vAlign w:val="center"/>
          </w:tcPr>
          <w:p w:rsidR="009F0DDF" w:rsidRPr="00F004D8" w:rsidRDefault="009F0DDF" w:rsidP="00F2417A">
            <w:pPr>
              <w:spacing w:after="0" w:line="240" w:lineRule="auto"/>
              <w:ind w:left="176" w:firstLineChars="100" w:firstLine="200"/>
              <w:rPr>
                <w:rFonts w:ascii="Century" w:hAnsi="Century"/>
                <w:b/>
                <w:bCs/>
                <w:sz w:val="20"/>
                <w:szCs w:val="20"/>
              </w:rPr>
            </w:pPr>
            <w:r w:rsidRPr="00F004D8">
              <w:rPr>
                <w:rFonts w:ascii="Century" w:hAnsi="Century"/>
                <w:bCs/>
                <w:sz w:val="20"/>
                <w:szCs w:val="20"/>
              </w:rPr>
              <w:t>Предоставление</w:t>
            </w:r>
          </w:p>
        </w:tc>
        <w:tc>
          <w:tcPr>
            <w:tcW w:w="992" w:type="dxa"/>
            <w:vAlign w:val="center"/>
          </w:tcPr>
          <w:p w:rsidR="009F0DDF" w:rsidRDefault="009F0DDF">
            <w:pPr>
              <w:spacing w:after="0" w:line="240" w:lineRule="auto"/>
              <w:jc w:val="right"/>
              <w:rPr>
                <w:rFonts w:ascii="Century" w:hAnsi="Century"/>
                <w:color w:val="FF0000"/>
                <w:sz w:val="20"/>
                <w:szCs w:val="20"/>
              </w:rPr>
            </w:pPr>
            <w:r>
              <w:rPr>
                <w:rFonts w:ascii="Century" w:hAnsi="Century"/>
                <w:sz w:val="20"/>
                <w:szCs w:val="20"/>
              </w:rPr>
              <w:t>-2</w:t>
            </w:r>
          </w:p>
        </w:tc>
        <w:tc>
          <w:tcPr>
            <w:tcW w:w="992" w:type="dxa"/>
            <w:vAlign w:val="center"/>
          </w:tcPr>
          <w:p w:rsidR="009F0DDF" w:rsidRPr="00680B23" w:rsidRDefault="009F0DDF" w:rsidP="00F2417A">
            <w:pPr>
              <w:spacing w:after="0" w:line="240" w:lineRule="auto"/>
              <w:jc w:val="right"/>
              <w:rPr>
                <w:rFonts w:ascii="Century" w:hAnsi="Century"/>
                <w:color w:val="FF0000"/>
                <w:sz w:val="20"/>
                <w:szCs w:val="20"/>
              </w:rPr>
            </w:pPr>
            <w:r w:rsidRPr="00680B23">
              <w:rPr>
                <w:rFonts w:ascii="Century" w:hAnsi="Century"/>
                <w:sz w:val="20"/>
                <w:szCs w:val="20"/>
              </w:rPr>
              <w:t>-2</w:t>
            </w:r>
          </w:p>
        </w:tc>
        <w:tc>
          <w:tcPr>
            <w:tcW w:w="992" w:type="dxa"/>
            <w:vAlign w:val="center"/>
          </w:tcPr>
          <w:p w:rsidR="009F0DDF" w:rsidRPr="00680B23" w:rsidRDefault="009F0DDF" w:rsidP="00F2417A">
            <w:pPr>
              <w:spacing w:after="0" w:line="240" w:lineRule="auto"/>
              <w:jc w:val="right"/>
              <w:rPr>
                <w:rFonts w:ascii="Century" w:hAnsi="Century"/>
                <w:color w:val="FF0000"/>
                <w:sz w:val="20"/>
                <w:szCs w:val="20"/>
              </w:rPr>
            </w:pPr>
            <w:r w:rsidRPr="00680B23">
              <w:rPr>
                <w:rFonts w:ascii="Century" w:hAnsi="Century"/>
                <w:sz w:val="20"/>
                <w:szCs w:val="20"/>
              </w:rPr>
              <w:t>-1</w:t>
            </w:r>
          </w:p>
        </w:tc>
      </w:tr>
      <w:tr w:rsidR="009F0DDF" w:rsidRPr="00F004D8" w:rsidTr="003C4A4E">
        <w:trPr>
          <w:trHeight w:val="340"/>
        </w:trPr>
        <w:tc>
          <w:tcPr>
            <w:tcW w:w="5920" w:type="dxa"/>
            <w:shd w:val="clear" w:color="auto" w:fill="F2F2F2"/>
            <w:vAlign w:val="center"/>
          </w:tcPr>
          <w:p w:rsidR="009F0DDF" w:rsidRPr="00F004D8" w:rsidRDefault="009F0DDF" w:rsidP="00F2417A">
            <w:pPr>
              <w:spacing w:after="0" w:line="240" w:lineRule="auto"/>
              <w:ind w:left="176"/>
              <w:jc w:val="both"/>
              <w:rPr>
                <w:rFonts w:ascii="Century" w:hAnsi="Century"/>
                <w:b/>
                <w:bCs/>
                <w:sz w:val="20"/>
                <w:szCs w:val="20"/>
              </w:rPr>
            </w:pPr>
            <w:r w:rsidRPr="00F004D8">
              <w:rPr>
                <w:rFonts w:ascii="Century" w:hAnsi="Century"/>
                <w:bCs/>
                <w:sz w:val="20"/>
                <w:szCs w:val="20"/>
              </w:rPr>
              <w:t>Увеличение остатков на счете по зачислению доп. нефтегазовых доходов в иностранной валюте</w:t>
            </w:r>
          </w:p>
        </w:tc>
        <w:tc>
          <w:tcPr>
            <w:tcW w:w="992" w:type="dxa"/>
            <w:shd w:val="clear" w:color="auto" w:fill="F2F2F2"/>
            <w:vAlign w:val="center"/>
          </w:tcPr>
          <w:p w:rsidR="009F0DDF" w:rsidRDefault="009F0DDF">
            <w:pPr>
              <w:spacing w:after="0" w:line="240" w:lineRule="auto"/>
              <w:jc w:val="right"/>
              <w:rPr>
                <w:rFonts w:ascii="Century" w:hAnsi="Century"/>
                <w:color w:val="FF0000"/>
                <w:sz w:val="20"/>
                <w:szCs w:val="20"/>
              </w:rPr>
            </w:pPr>
            <w:r>
              <w:rPr>
                <w:rFonts w:ascii="Century" w:hAnsi="Century"/>
                <w:sz w:val="20"/>
                <w:szCs w:val="20"/>
              </w:rPr>
              <w:t> -528</w:t>
            </w:r>
          </w:p>
        </w:tc>
        <w:tc>
          <w:tcPr>
            <w:tcW w:w="992" w:type="dxa"/>
            <w:shd w:val="clear" w:color="auto" w:fill="F2F2F2"/>
            <w:vAlign w:val="center"/>
          </w:tcPr>
          <w:p w:rsidR="009F0DDF" w:rsidRPr="00680B23" w:rsidRDefault="009F0DDF" w:rsidP="00F2417A">
            <w:pPr>
              <w:spacing w:after="0" w:line="240" w:lineRule="auto"/>
              <w:jc w:val="right"/>
              <w:rPr>
                <w:rFonts w:ascii="Century" w:hAnsi="Century"/>
                <w:color w:val="FF0000"/>
                <w:sz w:val="20"/>
                <w:szCs w:val="20"/>
              </w:rPr>
            </w:pPr>
            <w:r w:rsidRPr="00680B23">
              <w:rPr>
                <w:rFonts w:ascii="Century" w:hAnsi="Century"/>
                <w:sz w:val="20"/>
                <w:szCs w:val="20"/>
              </w:rPr>
              <w:t> </w:t>
            </w:r>
          </w:p>
        </w:tc>
        <w:tc>
          <w:tcPr>
            <w:tcW w:w="992" w:type="dxa"/>
            <w:shd w:val="clear" w:color="auto" w:fill="F2F2F2"/>
            <w:vAlign w:val="center"/>
          </w:tcPr>
          <w:p w:rsidR="009F0DDF" w:rsidRPr="00680B23" w:rsidRDefault="009F0DDF" w:rsidP="00F2417A">
            <w:pPr>
              <w:spacing w:after="0" w:line="240" w:lineRule="auto"/>
              <w:jc w:val="right"/>
              <w:rPr>
                <w:rFonts w:ascii="Century" w:hAnsi="Century"/>
                <w:color w:val="FF0000"/>
                <w:sz w:val="20"/>
                <w:szCs w:val="20"/>
              </w:rPr>
            </w:pPr>
            <w:r w:rsidRPr="00680B23">
              <w:rPr>
                <w:rFonts w:ascii="Century" w:hAnsi="Century"/>
                <w:sz w:val="20"/>
                <w:szCs w:val="20"/>
              </w:rPr>
              <w:t> </w:t>
            </w:r>
          </w:p>
        </w:tc>
      </w:tr>
      <w:tr w:rsidR="009F0DDF" w:rsidRPr="00F004D8" w:rsidTr="00C627A2">
        <w:trPr>
          <w:trHeight w:val="340"/>
        </w:trPr>
        <w:tc>
          <w:tcPr>
            <w:tcW w:w="5920" w:type="dxa"/>
            <w:vAlign w:val="center"/>
          </w:tcPr>
          <w:p w:rsidR="009F0DDF" w:rsidRPr="00F004D8" w:rsidRDefault="009F0DDF" w:rsidP="00531DDA">
            <w:pPr>
              <w:spacing w:after="0" w:line="240" w:lineRule="auto"/>
              <w:ind w:left="176"/>
              <w:jc w:val="both"/>
              <w:rPr>
                <w:rFonts w:ascii="Century" w:hAnsi="Century"/>
                <w:b/>
                <w:bCs/>
                <w:sz w:val="20"/>
                <w:szCs w:val="20"/>
              </w:rPr>
            </w:pPr>
            <w:r>
              <w:rPr>
                <w:rFonts w:ascii="Century" w:hAnsi="Century"/>
                <w:bCs/>
                <w:sz w:val="20"/>
                <w:szCs w:val="20"/>
              </w:rPr>
              <w:t>Изменение иных остатков средств федерального бюджета</w:t>
            </w:r>
          </w:p>
        </w:tc>
        <w:tc>
          <w:tcPr>
            <w:tcW w:w="992" w:type="dxa"/>
            <w:vAlign w:val="center"/>
          </w:tcPr>
          <w:p w:rsidR="009F0DDF" w:rsidRDefault="009F0DDF">
            <w:pPr>
              <w:spacing w:after="0" w:line="240" w:lineRule="auto"/>
              <w:jc w:val="right"/>
              <w:rPr>
                <w:rFonts w:ascii="Century" w:hAnsi="Century"/>
                <w:color w:val="FF0000"/>
                <w:sz w:val="20"/>
                <w:szCs w:val="20"/>
              </w:rPr>
            </w:pPr>
            <w:r>
              <w:rPr>
                <w:rFonts w:ascii="Century" w:hAnsi="Century"/>
                <w:sz w:val="20"/>
                <w:szCs w:val="20"/>
              </w:rPr>
              <w:t>6 </w:t>
            </w:r>
          </w:p>
        </w:tc>
        <w:tc>
          <w:tcPr>
            <w:tcW w:w="992" w:type="dxa"/>
            <w:vAlign w:val="center"/>
          </w:tcPr>
          <w:p w:rsidR="009F0DDF" w:rsidRPr="00680B23" w:rsidRDefault="009F0DDF" w:rsidP="00531DDA">
            <w:pPr>
              <w:spacing w:after="0" w:line="240" w:lineRule="auto"/>
              <w:jc w:val="right"/>
              <w:rPr>
                <w:rFonts w:ascii="Century" w:hAnsi="Century"/>
                <w:color w:val="FF0000"/>
                <w:sz w:val="20"/>
                <w:szCs w:val="20"/>
              </w:rPr>
            </w:pPr>
            <w:r>
              <w:rPr>
                <w:rFonts w:ascii="Century" w:hAnsi="Century"/>
                <w:sz w:val="20"/>
                <w:szCs w:val="20"/>
              </w:rPr>
              <w:t>37</w:t>
            </w:r>
          </w:p>
        </w:tc>
        <w:tc>
          <w:tcPr>
            <w:tcW w:w="992" w:type="dxa"/>
            <w:vAlign w:val="center"/>
          </w:tcPr>
          <w:p w:rsidR="009F0DDF" w:rsidRPr="00680B23" w:rsidRDefault="009F0DDF" w:rsidP="00531DDA">
            <w:pPr>
              <w:spacing w:after="0" w:line="240" w:lineRule="auto"/>
              <w:jc w:val="right"/>
              <w:rPr>
                <w:rFonts w:ascii="Century" w:hAnsi="Century"/>
                <w:color w:val="FF0000"/>
                <w:sz w:val="20"/>
                <w:szCs w:val="20"/>
              </w:rPr>
            </w:pPr>
            <w:r w:rsidRPr="00680B23">
              <w:rPr>
                <w:rFonts w:ascii="Century" w:hAnsi="Century"/>
                <w:sz w:val="20"/>
                <w:szCs w:val="20"/>
              </w:rPr>
              <w:t> </w:t>
            </w:r>
          </w:p>
        </w:tc>
      </w:tr>
      <w:tr w:rsidR="009F0DDF" w:rsidRPr="00F004D8" w:rsidTr="00C627A2">
        <w:trPr>
          <w:trHeight w:val="340"/>
        </w:trPr>
        <w:tc>
          <w:tcPr>
            <w:tcW w:w="5920" w:type="dxa"/>
            <w:shd w:val="clear" w:color="auto" w:fill="F2F2F2" w:themeFill="background1" w:themeFillShade="F2"/>
            <w:vAlign w:val="center"/>
          </w:tcPr>
          <w:p w:rsidR="009F0DDF" w:rsidRPr="00F004D8" w:rsidRDefault="009F0DDF" w:rsidP="00F2417A">
            <w:pPr>
              <w:spacing w:after="0" w:line="240" w:lineRule="auto"/>
              <w:ind w:left="176"/>
              <w:rPr>
                <w:rFonts w:ascii="Century" w:hAnsi="Century"/>
                <w:b/>
                <w:bCs/>
                <w:sz w:val="20"/>
                <w:szCs w:val="20"/>
              </w:rPr>
            </w:pPr>
            <w:r w:rsidRPr="00F004D8">
              <w:rPr>
                <w:rFonts w:ascii="Century" w:hAnsi="Century"/>
                <w:b/>
                <w:sz w:val="20"/>
                <w:szCs w:val="20"/>
              </w:rPr>
              <w:t>Источники внешнего финансирования дефицита</w:t>
            </w:r>
          </w:p>
        </w:tc>
        <w:tc>
          <w:tcPr>
            <w:tcW w:w="992" w:type="dxa"/>
            <w:shd w:val="clear" w:color="auto" w:fill="F2F2F2" w:themeFill="background1" w:themeFillShade="F2"/>
            <w:vAlign w:val="center"/>
          </w:tcPr>
          <w:p w:rsidR="009F0DDF" w:rsidRDefault="009F0DDF">
            <w:pPr>
              <w:spacing w:after="0" w:line="240" w:lineRule="auto"/>
              <w:jc w:val="right"/>
              <w:rPr>
                <w:rFonts w:ascii="Century" w:hAnsi="Century"/>
                <w:b/>
                <w:bCs/>
                <w:color w:val="FF0000"/>
                <w:sz w:val="20"/>
                <w:szCs w:val="20"/>
              </w:rPr>
            </w:pPr>
            <w:r>
              <w:rPr>
                <w:rFonts w:ascii="Century" w:hAnsi="Century"/>
                <w:b/>
                <w:bCs/>
                <w:sz w:val="20"/>
                <w:szCs w:val="20"/>
              </w:rPr>
              <w:t>-151</w:t>
            </w:r>
          </w:p>
        </w:tc>
        <w:tc>
          <w:tcPr>
            <w:tcW w:w="992" w:type="dxa"/>
            <w:shd w:val="clear" w:color="auto" w:fill="F2F2F2" w:themeFill="background1" w:themeFillShade="F2"/>
            <w:vAlign w:val="center"/>
          </w:tcPr>
          <w:p w:rsidR="009F0DDF" w:rsidRPr="00680B23" w:rsidRDefault="009F0DDF" w:rsidP="00F2417A">
            <w:pPr>
              <w:spacing w:after="0" w:line="240" w:lineRule="auto"/>
              <w:jc w:val="right"/>
              <w:rPr>
                <w:rFonts w:ascii="Century" w:hAnsi="Century"/>
                <w:b/>
                <w:bCs/>
                <w:color w:val="FF0000"/>
                <w:sz w:val="20"/>
                <w:szCs w:val="20"/>
              </w:rPr>
            </w:pPr>
            <w:r w:rsidRPr="00680B23">
              <w:rPr>
                <w:rFonts w:ascii="Century" w:hAnsi="Century"/>
                <w:b/>
                <w:bCs/>
                <w:sz w:val="20"/>
                <w:szCs w:val="20"/>
              </w:rPr>
              <w:t>-22</w:t>
            </w:r>
          </w:p>
        </w:tc>
        <w:tc>
          <w:tcPr>
            <w:tcW w:w="992" w:type="dxa"/>
            <w:shd w:val="clear" w:color="auto" w:fill="F2F2F2" w:themeFill="background1" w:themeFillShade="F2"/>
            <w:vAlign w:val="center"/>
          </w:tcPr>
          <w:p w:rsidR="009F0DDF" w:rsidRPr="00680B23" w:rsidRDefault="009F0DDF" w:rsidP="00F2417A">
            <w:pPr>
              <w:spacing w:after="0" w:line="240" w:lineRule="auto"/>
              <w:jc w:val="right"/>
              <w:rPr>
                <w:rFonts w:ascii="Century" w:hAnsi="Century"/>
                <w:b/>
                <w:bCs/>
                <w:color w:val="FF0000"/>
                <w:sz w:val="20"/>
                <w:szCs w:val="20"/>
              </w:rPr>
            </w:pPr>
            <w:r w:rsidRPr="00680B23">
              <w:rPr>
                <w:rFonts w:ascii="Century" w:hAnsi="Century"/>
                <w:b/>
                <w:bCs/>
                <w:sz w:val="20"/>
                <w:szCs w:val="20"/>
              </w:rPr>
              <w:t>-261</w:t>
            </w:r>
          </w:p>
        </w:tc>
      </w:tr>
      <w:tr w:rsidR="009F0DDF" w:rsidRPr="00F004D8" w:rsidTr="00C627A2">
        <w:trPr>
          <w:trHeight w:val="340"/>
        </w:trPr>
        <w:tc>
          <w:tcPr>
            <w:tcW w:w="5920" w:type="dxa"/>
            <w:shd w:val="clear" w:color="auto" w:fill="FFFFFF" w:themeFill="background1"/>
            <w:vAlign w:val="center"/>
          </w:tcPr>
          <w:p w:rsidR="009F0DDF" w:rsidRPr="00F004D8" w:rsidRDefault="009F0DDF" w:rsidP="00F2417A">
            <w:pPr>
              <w:spacing w:after="0" w:line="240" w:lineRule="auto"/>
              <w:ind w:left="176"/>
              <w:jc w:val="both"/>
              <w:rPr>
                <w:rFonts w:ascii="Century" w:hAnsi="Century"/>
                <w:b/>
                <w:bCs/>
                <w:sz w:val="20"/>
                <w:szCs w:val="20"/>
              </w:rPr>
            </w:pPr>
            <w:r w:rsidRPr="00F004D8">
              <w:rPr>
                <w:rFonts w:ascii="Century" w:hAnsi="Century"/>
                <w:bCs/>
                <w:sz w:val="20"/>
                <w:szCs w:val="20"/>
              </w:rPr>
              <w:t>Заемные источники</w:t>
            </w:r>
          </w:p>
        </w:tc>
        <w:tc>
          <w:tcPr>
            <w:tcW w:w="992" w:type="dxa"/>
            <w:shd w:val="clear" w:color="auto" w:fill="FFFFFF" w:themeFill="background1"/>
            <w:vAlign w:val="center"/>
          </w:tcPr>
          <w:p w:rsidR="009F0DDF" w:rsidRDefault="009F0DDF">
            <w:pPr>
              <w:spacing w:after="0" w:line="240" w:lineRule="auto"/>
              <w:jc w:val="right"/>
              <w:rPr>
                <w:rFonts w:ascii="Century" w:hAnsi="Century"/>
                <w:color w:val="FF0000"/>
                <w:sz w:val="20"/>
                <w:szCs w:val="20"/>
              </w:rPr>
            </w:pPr>
            <w:r>
              <w:rPr>
                <w:rFonts w:ascii="Century" w:hAnsi="Century"/>
                <w:sz w:val="20"/>
                <w:szCs w:val="20"/>
              </w:rPr>
              <w:t>-31</w:t>
            </w:r>
          </w:p>
        </w:tc>
        <w:tc>
          <w:tcPr>
            <w:tcW w:w="992" w:type="dxa"/>
            <w:shd w:val="clear" w:color="auto" w:fill="FFFFFF" w:themeFill="background1"/>
            <w:vAlign w:val="center"/>
          </w:tcPr>
          <w:p w:rsidR="009F0DDF" w:rsidRPr="00680B23" w:rsidRDefault="009F0DDF" w:rsidP="00F2417A">
            <w:pPr>
              <w:spacing w:after="0" w:line="240" w:lineRule="auto"/>
              <w:jc w:val="right"/>
              <w:rPr>
                <w:rFonts w:ascii="Century" w:hAnsi="Century"/>
                <w:color w:val="FF0000"/>
                <w:sz w:val="20"/>
                <w:szCs w:val="20"/>
              </w:rPr>
            </w:pPr>
            <w:r w:rsidRPr="00680B23">
              <w:rPr>
                <w:rFonts w:ascii="Century" w:hAnsi="Century"/>
                <w:sz w:val="20"/>
                <w:szCs w:val="20"/>
              </w:rPr>
              <w:t>23</w:t>
            </w:r>
          </w:p>
        </w:tc>
        <w:tc>
          <w:tcPr>
            <w:tcW w:w="992" w:type="dxa"/>
            <w:shd w:val="clear" w:color="auto" w:fill="FFFFFF" w:themeFill="background1"/>
            <w:vAlign w:val="center"/>
          </w:tcPr>
          <w:p w:rsidR="009F0DDF" w:rsidRPr="00680B23" w:rsidRDefault="009F0DDF" w:rsidP="00F2417A">
            <w:pPr>
              <w:spacing w:after="0" w:line="240" w:lineRule="auto"/>
              <w:jc w:val="right"/>
              <w:rPr>
                <w:rFonts w:ascii="Century" w:hAnsi="Century"/>
                <w:color w:val="FF0000"/>
                <w:sz w:val="20"/>
                <w:szCs w:val="20"/>
              </w:rPr>
            </w:pPr>
            <w:r w:rsidRPr="00680B23">
              <w:rPr>
                <w:rFonts w:ascii="Century" w:hAnsi="Century"/>
                <w:sz w:val="20"/>
                <w:szCs w:val="20"/>
              </w:rPr>
              <w:t>-167</w:t>
            </w:r>
          </w:p>
        </w:tc>
      </w:tr>
      <w:tr w:rsidR="009F0DDF" w:rsidRPr="00F004D8" w:rsidTr="00C627A2">
        <w:trPr>
          <w:trHeight w:val="340"/>
        </w:trPr>
        <w:tc>
          <w:tcPr>
            <w:tcW w:w="5920" w:type="dxa"/>
            <w:shd w:val="clear" w:color="auto" w:fill="F2F2F2" w:themeFill="background1" w:themeFillShade="F2"/>
            <w:vAlign w:val="center"/>
          </w:tcPr>
          <w:p w:rsidR="009F0DDF" w:rsidRPr="00F004D8" w:rsidRDefault="009F0DDF" w:rsidP="00F2417A">
            <w:pPr>
              <w:spacing w:after="0" w:line="240" w:lineRule="auto"/>
              <w:ind w:left="176" w:firstLineChars="100" w:firstLine="200"/>
              <w:rPr>
                <w:rFonts w:ascii="Century" w:hAnsi="Century"/>
                <w:b/>
                <w:bCs/>
                <w:sz w:val="20"/>
                <w:szCs w:val="20"/>
              </w:rPr>
            </w:pPr>
            <w:r w:rsidRPr="00F004D8">
              <w:rPr>
                <w:rFonts w:ascii="Century" w:hAnsi="Century"/>
                <w:bCs/>
                <w:sz w:val="20"/>
                <w:szCs w:val="20"/>
              </w:rPr>
              <w:t>Привлечение</w:t>
            </w:r>
          </w:p>
        </w:tc>
        <w:tc>
          <w:tcPr>
            <w:tcW w:w="992" w:type="dxa"/>
            <w:shd w:val="clear" w:color="auto" w:fill="F2F2F2" w:themeFill="background1" w:themeFillShade="F2"/>
            <w:vAlign w:val="center"/>
          </w:tcPr>
          <w:p w:rsidR="009F0DDF" w:rsidRDefault="009F0DDF">
            <w:pPr>
              <w:spacing w:after="0" w:line="240" w:lineRule="auto"/>
              <w:jc w:val="right"/>
              <w:rPr>
                <w:rFonts w:ascii="Century" w:hAnsi="Century"/>
                <w:color w:val="FF0000"/>
                <w:sz w:val="20"/>
                <w:szCs w:val="20"/>
              </w:rPr>
            </w:pPr>
            <w:r>
              <w:rPr>
                <w:rFonts w:ascii="Century" w:hAnsi="Century"/>
                <w:sz w:val="20"/>
                <w:szCs w:val="20"/>
              </w:rPr>
              <w:t>468</w:t>
            </w:r>
          </w:p>
        </w:tc>
        <w:tc>
          <w:tcPr>
            <w:tcW w:w="992" w:type="dxa"/>
            <w:shd w:val="clear" w:color="auto" w:fill="F2F2F2" w:themeFill="background1" w:themeFillShade="F2"/>
            <w:vAlign w:val="center"/>
          </w:tcPr>
          <w:p w:rsidR="009F0DDF" w:rsidRPr="00680B23" w:rsidRDefault="009F0DDF" w:rsidP="00F2417A">
            <w:pPr>
              <w:spacing w:after="0" w:line="240" w:lineRule="auto"/>
              <w:jc w:val="right"/>
              <w:rPr>
                <w:rFonts w:ascii="Century" w:hAnsi="Century"/>
                <w:color w:val="FF0000"/>
                <w:sz w:val="20"/>
                <w:szCs w:val="20"/>
              </w:rPr>
            </w:pPr>
            <w:r w:rsidRPr="00680B23">
              <w:rPr>
                <w:rFonts w:ascii="Century" w:hAnsi="Century"/>
                <w:sz w:val="20"/>
                <w:szCs w:val="20"/>
              </w:rPr>
              <w:t>484</w:t>
            </w:r>
          </w:p>
        </w:tc>
        <w:tc>
          <w:tcPr>
            <w:tcW w:w="992" w:type="dxa"/>
            <w:shd w:val="clear" w:color="auto" w:fill="F2F2F2" w:themeFill="background1" w:themeFillShade="F2"/>
            <w:vAlign w:val="center"/>
          </w:tcPr>
          <w:p w:rsidR="009F0DDF" w:rsidRPr="00680B23" w:rsidRDefault="009F0DDF" w:rsidP="00F2417A">
            <w:pPr>
              <w:spacing w:after="0" w:line="240" w:lineRule="auto"/>
              <w:jc w:val="right"/>
              <w:rPr>
                <w:rFonts w:ascii="Century" w:hAnsi="Century"/>
                <w:color w:val="FF0000"/>
                <w:sz w:val="20"/>
                <w:szCs w:val="20"/>
              </w:rPr>
            </w:pPr>
            <w:r w:rsidRPr="00680B23">
              <w:rPr>
                <w:rFonts w:ascii="Century" w:hAnsi="Century"/>
                <w:sz w:val="20"/>
                <w:szCs w:val="20"/>
              </w:rPr>
              <w:t>495</w:t>
            </w:r>
          </w:p>
        </w:tc>
      </w:tr>
      <w:tr w:rsidR="009F0DDF" w:rsidRPr="00F004D8" w:rsidTr="00C627A2">
        <w:trPr>
          <w:trHeight w:val="340"/>
        </w:trPr>
        <w:tc>
          <w:tcPr>
            <w:tcW w:w="5920" w:type="dxa"/>
            <w:shd w:val="clear" w:color="auto" w:fill="FFFFFF" w:themeFill="background1"/>
            <w:vAlign w:val="center"/>
          </w:tcPr>
          <w:p w:rsidR="009F0DDF" w:rsidRPr="00F004D8" w:rsidRDefault="009F0DDF" w:rsidP="00F2417A">
            <w:pPr>
              <w:spacing w:after="0" w:line="240" w:lineRule="auto"/>
              <w:ind w:left="176" w:firstLineChars="100" w:firstLine="200"/>
              <w:rPr>
                <w:rFonts w:ascii="Century" w:hAnsi="Century"/>
                <w:b/>
                <w:bCs/>
                <w:sz w:val="20"/>
                <w:szCs w:val="20"/>
              </w:rPr>
            </w:pPr>
            <w:r w:rsidRPr="00F004D8">
              <w:rPr>
                <w:rFonts w:ascii="Century" w:hAnsi="Century"/>
                <w:bCs/>
                <w:sz w:val="20"/>
                <w:szCs w:val="20"/>
              </w:rPr>
              <w:t>Погашение</w:t>
            </w:r>
          </w:p>
        </w:tc>
        <w:tc>
          <w:tcPr>
            <w:tcW w:w="992" w:type="dxa"/>
            <w:shd w:val="clear" w:color="auto" w:fill="FFFFFF" w:themeFill="background1"/>
            <w:vAlign w:val="center"/>
          </w:tcPr>
          <w:p w:rsidR="009F0DDF" w:rsidRDefault="009F0DDF">
            <w:pPr>
              <w:spacing w:after="0" w:line="240" w:lineRule="auto"/>
              <w:jc w:val="right"/>
              <w:rPr>
                <w:rFonts w:ascii="Century" w:hAnsi="Century"/>
                <w:color w:val="FF0000"/>
                <w:sz w:val="20"/>
                <w:szCs w:val="20"/>
              </w:rPr>
            </w:pPr>
            <w:r>
              <w:rPr>
                <w:rFonts w:ascii="Century" w:hAnsi="Century"/>
                <w:sz w:val="20"/>
                <w:szCs w:val="20"/>
              </w:rPr>
              <w:t>-499</w:t>
            </w:r>
          </w:p>
        </w:tc>
        <w:tc>
          <w:tcPr>
            <w:tcW w:w="992" w:type="dxa"/>
            <w:shd w:val="clear" w:color="auto" w:fill="FFFFFF" w:themeFill="background1"/>
            <w:vAlign w:val="center"/>
          </w:tcPr>
          <w:p w:rsidR="009F0DDF" w:rsidRPr="00680B23" w:rsidRDefault="009F0DDF" w:rsidP="00F2417A">
            <w:pPr>
              <w:spacing w:after="0" w:line="240" w:lineRule="auto"/>
              <w:jc w:val="right"/>
              <w:rPr>
                <w:rFonts w:ascii="Century" w:hAnsi="Century"/>
                <w:color w:val="FF0000"/>
                <w:sz w:val="20"/>
                <w:szCs w:val="20"/>
              </w:rPr>
            </w:pPr>
            <w:r w:rsidRPr="00680B23">
              <w:rPr>
                <w:rFonts w:ascii="Century" w:hAnsi="Century"/>
                <w:sz w:val="20"/>
                <w:szCs w:val="20"/>
              </w:rPr>
              <w:t>-461</w:t>
            </w:r>
          </w:p>
        </w:tc>
        <w:tc>
          <w:tcPr>
            <w:tcW w:w="992" w:type="dxa"/>
            <w:shd w:val="clear" w:color="auto" w:fill="FFFFFF" w:themeFill="background1"/>
            <w:vAlign w:val="center"/>
          </w:tcPr>
          <w:p w:rsidR="009F0DDF" w:rsidRPr="00680B23" w:rsidRDefault="009F0DDF" w:rsidP="00F2417A">
            <w:pPr>
              <w:spacing w:after="0" w:line="240" w:lineRule="auto"/>
              <w:jc w:val="right"/>
              <w:rPr>
                <w:rFonts w:ascii="Century" w:hAnsi="Century"/>
                <w:color w:val="FF0000"/>
                <w:sz w:val="20"/>
                <w:szCs w:val="20"/>
              </w:rPr>
            </w:pPr>
            <w:r w:rsidRPr="00680B23">
              <w:rPr>
                <w:rFonts w:ascii="Century" w:hAnsi="Century"/>
                <w:sz w:val="20"/>
                <w:szCs w:val="20"/>
              </w:rPr>
              <w:t>-662</w:t>
            </w:r>
          </w:p>
        </w:tc>
      </w:tr>
      <w:tr w:rsidR="009F0DDF" w:rsidRPr="00F004D8" w:rsidTr="003C4A4E">
        <w:trPr>
          <w:trHeight w:val="340"/>
        </w:trPr>
        <w:tc>
          <w:tcPr>
            <w:tcW w:w="5920" w:type="dxa"/>
            <w:shd w:val="clear" w:color="auto" w:fill="F2F2F2"/>
            <w:vAlign w:val="center"/>
          </w:tcPr>
          <w:p w:rsidR="009F0DDF" w:rsidRPr="00F004D8" w:rsidRDefault="009F0DDF" w:rsidP="00F2417A">
            <w:pPr>
              <w:spacing w:after="0" w:line="240" w:lineRule="auto"/>
              <w:ind w:left="176"/>
              <w:jc w:val="both"/>
              <w:rPr>
                <w:rFonts w:ascii="Century" w:hAnsi="Century"/>
                <w:b/>
                <w:bCs/>
                <w:sz w:val="20"/>
                <w:szCs w:val="20"/>
              </w:rPr>
            </w:pPr>
            <w:r w:rsidRPr="00F004D8">
              <w:rPr>
                <w:rFonts w:ascii="Century" w:hAnsi="Century"/>
                <w:bCs/>
                <w:sz w:val="20"/>
                <w:szCs w:val="20"/>
              </w:rPr>
              <w:t>Государственные кредиты</w:t>
            </w:r>
          </w:p>
        </w:tc>
        <w:tc>
          <w:tcPr>
            <w:tcW w:w="992" w:type="dxa"/>
            <w:shd w:val="clear" w:color="auto" w:fill="F2F2F2"/>
            <w:vAlign w:val="center"/>
          </w:tcPr>
          <w:p w:rsidR="009F0DDF" w:rsidRDefault="009F0DDF">
            <w:pPr>
              <w:spacing w:after="0" w:line="240" w:lineRule="auto"/>
              <w:jc w:val="right"/>
              <w:rPr>
                <w:rFonts w:ascii="Century" w:hAnsi="Century"/>
                <w:color w:val="FF0000"/>
                <w:sz w:val="20"/>
                <w:szCs w:val="20"/>
              </w:rPr>
            </w:pPr>
            <w:r>
              <w:rPr>
                <w:rFonts w:ascii="Century" w:hAnsi="Century"/>
                <w:sz w:val="20"/>
                <w:szCs w:val="20"/>
              </w:rPr>
              <w:t>-116</w:t>
            </w:r>
          </w:p>
        </w:tc>
        <w:tc>
          <w:tcPr>
            <w:tcW w:w="992" w:type="dxa"/>
            <w:shd w:val="clear" w:color="auto" w:fill="F2F2F2"/>
            <w:vAlign w:val="center"/>
          </w:tcPr>
          <w:p w:rsidR="009F0DDF" w:rsidRPr="00680B23" w:rsidRDefault="009F0DDF" w:rsidP="00F2417A">
            <w:pPr>
              <w:spacing w:after="0" w:line="240" w:lineRule="auto"/>
              <w:jc w:val="right"/>
              <w:rPr>
                <w:rFonts w:ascii="Century" w:hAnsi="Century"/>
                <w:color w:val="FF0000"/>
                <w:sz w:val="20"/>
                <w:szCs w:val="20"/>
              </w:rPr>
            </w:pPr>
            <w:r w:rsidRPr="00680B23">
              <w:rPr>
                <w:rFonts w:ascii="Century" w:hAnsi="Century"/>
                <w:sz w:val="20"/>
                <w:szCs w:val="20"/>
              </w:rPr>
              <w:t>-41</w:t>
            </w:r>
          </w:p>
        </w:tc>
        <w:tc>
          <w:tcPr>
            <w:tcW w:w="992" w:type="dxa"/>
            <w:shd w:val="clear" w:color="auto" w:fill="F2F2F2"/>
            <w:vAlign w:val="center"/>
          </w:tcPr>
          <w:p w:rsidR="009F0DDF" w:rsidRPr="00680B23" w:rsidRDefault="009F0DDF" w:rsidP="00F2417A">
            <w:pPr>
              <w:spacing w:after="0" w:line="240" w:lineRule="auto"/>
              <w:jc w:val="right"/>
              <w:rPr>
                <w:rFonts w:ascii="Century" w:hAnsi="Century"/>
                <w:color w:val="FF0000"/>
                <w:sz w:val="20"/>
                <w:szCs w:val="20"/>
              </w:rPr>
            </w:pPr>
            <w:r w:rsidRPr="00680B23">
              <w:rPr>
                <w:rFonts w:ascii="Century" w:hAnsi="Century"/>
                <w:sz w:val="20"/>
                <w:szCs w:val="20"/>
              </w:rPr>
              <w:t>-91</w:t>
            </w:r>
          </w:p>
        </w:tc>
      </w:tr>
      <w:tr w:rsidR="009F0DDF" w:rsidRPr="00F004D8" w:rsidTr="003C4A4E">
        <w:trPr>
          <w:trHeight w:val="340"/>
        </w:trPr>
        <w:tc>
          <w:tcPr>
            <w:tcW w:w="5920" w:type="dxa"/>
            <w:vAlign w:val="center"/>
          </w:tcPr>
          <w:p w:rsidR="009F0DDF" w:rsidRPr="00F004D8" w:rsidRDefault="009F0DDF" w:rsidP="00F2417A">
            <w:pPr>
              <w:spacing w:after="0" w:line="240" w:lineRule="auto"/>
              <w:ind w:left="176" w:firstLineChars="100" w:firstLine="200"/>
              <w:rPr>
                <w:rFonts w:ascii="Century" w:hAnsi="Century"/>
                <w:b/>
                <w:bCs/>
                <w:sz w:val="20"/>
                <w:szCs w:val="20"/>
              </w:rPr>
            </w:pPr>
            <w:r w:rsidRPr="00F004D8">
              <w:rPr>
                <w:rFonts w:ascii="Century" w:hAnsi="Century"/>
                <w:bCs/>
                <w:sz w:val="20"/>
                <w:szCs w:val="20"/>
              </w:rPr>
              <w:t>Возврат</w:t>
            </w:r>
          </w:p>
        </w:tc>
        <w:tc>
          <w:tcPr>
            <w:tcW w:w="992" w:type="dxa"/>
            <w:vAlign w:val="center"/>
          </w:tcPr>
          <w:p w:rsidR="009F0DDF" w:rsidRDefault="009F0DDF">
            <w:pPr>
              <w:spacing w:after="0" w:line="240" w:lineRule="auto"/>
              <w:jc w:val="right"/>
              <w:rPr>
                <w:rFonts w:ascii="Century" w:hAnsi="Century"/>
                <w:color w:val="FF0000"/>
                <w:sz w:val="20"/>
                <w:szCs w:val="20"/>
              </w:rPr>
            </w:pPr>
            <w:r>
              <w:rPr>
                <w:rFonts w:ascii="Century" w:hAnsi="Century"/>
                <w:sz w:val="20"/>
                <w:szCs w:val="20"/>
              </w:rPr>
              <w:t>119</w:t>
            </w:r>
          </w:p>
        </w:tc>
        <w:tc>
          <w:tcPr>
            <w:tcW w:w="992" w:type="dxa"/>
            <w:vAlign w:val="center"/>
          </w:tcPr>
          <w:p w:rsidR="009F0DDF" w:rsidRPr="00680B23" w:rsidRDefault="009F0DDF" w:rsidP="00F2417A">
            <w:pPr>
              <w:spacing w:after="0" w:line="240" w:lineRule="auto"/>
              <w:jc w:val="right"/>
              <w:rPr>
                <w:rFonts w:ascii="Century" w:hAnsi="Century"/>
                <w:color w:val="FF0000"/>
                <w:sz w:val="20"/>
                <w:szCs w:val="20"/>
              </w:rPr>
            </w:pPr>
            <w:r w:rsidRPr="00680B23">
              <w:rPr>
                <w:rFonts w:ascii="Century" w:hAnsi="Century"/>
                <w:sz w:val="20"/>
                <w:szCs w:val="20"/>
              </w:rPr>
              <w:t>140</w:t>
            </w:r>
          </w:p>
        </w:tc>
        <w:tc>
          <w:tcPr>
            <w:tcW w:w="992" w:type="dxa"/>
            <w:vAlign w:val="center"/>
          </w:tcPr>
          <w:p w:rsidR="009F0DDF" w:rsidRPr="00680B23" w:rsidRDefault="009F0DDF" w:rsidP="00F2417A">
            <w:pPr>
              <w:spacing w:after="0" w:line="240" w:lineRule="auto"/>
              <w:jc w:val="right"/>
              <w:rPr>
                <w:rFonts w:ascii="Century" w:hAnsi="Century"/>
                <w:color w:val="FF0000"/>
                <w:sz w:val="20"/>
                <w:szCs w:val="20"/>
              </w:rPr>
            </w:pPr>
            <w:r w:rsidRPr="00680B23">
              <w:rPr>
                <w:rFonts w:ascii="Century" w:hAnsi="Century"/>
                <w:sz w:val="20"/>
                <w:szCs w:val="20"/>
              </w:rPr>
              <w:t>142</w:t>
            </w:r>
          </w:p>
        </w:tc>
      </w:tr>
      <w:tr w:rsidR="009F0DDF" w:rsidRPr="00E11E0D" w:rsidTr="003C4A4E">
        <w:trPr>
          <w:trHeight w:val="340"/>
        </w:trPr>
        <w:tc>
          <w:tcPr>
            <w:tcW w:w="5920" w:type="dxa"/>
            <w:tcBorders>
              <w:bottom w:val="single" w:sz="4" w:space="0" w:color="auto"/>
            </w:tcBorders>
            <w:shd w:val="clear" w:color="auto" w:fill="F2F2F2"/>
            <w:vAlign w:val="center"/>
          </w:tcPr>
          <w:p w:rsidR="009F0DDF" w:rsidRPr="00F004D8" w:rsidRDefault="009F0DDF" w:rsidP="00F2417A">
            <w:pPr>
              <w:spacing w:after="0" w:line="240" w:lineRule="auto"/>
              <w:ind w:left="176" w:firstLineChars="100" w:firstLine="200"/>
              <w:rPr>
                <w:rFonts w:ascii="Century" w:hAnsi="Century"/>
                <w:b/>
                <w:bCs/>
                <w:sz w:val="20"/>
                <w:szCs w:val="20"/>
              </w:rPr>
            </w:pPr>
            <w:r w:rsidRPr="00F004D8">
              <w:rPr>
                <w:rFonts w:ascii="Century" w:hAnsi="Century"/>
                <w:bCs/>
                <w:sz w:val="20"/>
                <w:szCs w:val="20"/>
              </w:rPr>
              <w:t>Предоставление</w:t>
            </w:r>
          </w:p>
        </w:tc>
        <w:tc>
          <w:tcPr>
            <w:tcW w:w="992" w:type="dxa"/>
            <w:tcBorders>
              <w:bottom w:val="single" w:sz="4" w:space="0" w:color="auto"/>
            </w:tcBorders>
            <w:shd w:val="clear" w:color="auto" w:fill="F2F2F2"/>
            <w:vAlign w:val="center"/>
          </w:tcPr>
          <w:p w:rsidR="009F0DDF" w:rsidRDefault="009F0DDF">
            <w:pPr>
              <w:spacing w:after="0" w:line="240" w:lineRule="auto"/>
              <w:jc w:val="right"/>
              <w:rPr>
                <w:rFonts w:ascii="Century" w:hAnsi="Century"/>
                <w:color w:val="FF0000"/>
                <w:sz w:val="20"/>
                <w:szCs w:val="20"/>
              </w:rPr>
            </w:pPr>
            <w:r>
              <w:rPr>
                <w:rFonts w:ascii="Century" w:hAnsi="Century"/>
                <w:sz w:val="20"/>
                <w:szCs w:val="20"/>
              </w:rPr>
              <w:t>-235</w:t>
            </w:r>
          </w:p>
        </w:tc>
        <w:tc>
          <w:tcPr>
            <w:tcW w:w="992" w:type="dxa"/>
            <w:tcBorders>
              <w:bottom w:val="single" w:sz="4" w:space="0" w:color="auto"/>
            </w:tcBorders>
            <w:shd w:val="clear" w:color="auto" w:fill="F2F2F2"/>
            <w:vAlign w:val="center"/>
          </w:tcPr>
          <w:p w:rsidR="009F0DDF" w:rsidRPr="00680B23" w:rsidRDefault="009F0DDF" w:rsidP="00F2417A">
            <w:pPr>
              <w:spacing w:after="0" w:line="240" w:lineRule="auto"/>
              <w:jc w:val="right"/>
              <w:rPr>
                <w:rFonts w:ascii="Century" w:hAnsi="Century"/>
                <w:color w:val="FF0000"/>
                <w:sz w:val="20"/>
                <w:szCs w:val="20"/>
              </w:rPr>
            </w:pPr>
            <w:r w:rsidRPr="00680B23">
              <w:rPr>
                <w:rFonts w:ascii="Century" w:hAnsi="Century"/>
                <w:sz w:val="20"/>
                <w:szCs w:val="20"/>
              </w:rPr>
              <w:t>-181</w:t>
            </w:r>
          </w:p>
        </w:tc>
        <w:tc>
          <w:tcPr>
            <w:tcW w:w="992" w:type="dxa"/>
            <w:tcBorders>
              <w:bottom w:val="single" w:sz="4" w:space="0" w:color="auto"/>
            </w:tcBorders>
            <w:shd w:val="clear" w:color="auto" w:fill="F2F2F2"/>
            <w:vAlign w:val="center"/>
          </w:tcPr>
          <w:p w:rsidR="009F0DDF" w:rsidRPr="00680B23" w:rsidRDefault="009F0DDF" w:rsidP="00F2417A">
            <w:pPr>
              <w:spacing w:after="0" w:line="240" w:lineRule="auto"/>
              <w:jc w:val="right"/>
              <w:rPr>
                <w:rFonts w:ascii="Century" w:hAnsi="Century"/>
                <w:color w:val="FF0000"/>
                <w:sz w:val="20"/>
                <w:szCs w:val="20"/>
              </w:rPr>
            </w:pPr>
            <w:r w:rsidRPr="00680B23">
              <w:rPr>
                <w:rFonts w:ascii="Century" w:hAnsi="Century"/>
                <w:sz w:val="20"/>
                <w:szCs w:val="20"/>
              </w:rPr>
              <w:t>-233</w:t>
            </w:r>
          </w:p>
        </w:tc>
      </w:tr>
    </w:tbl>
    <w:p w:rsidR="00A71D96" w:rsidRPr="00FA5D77" w:rsidRDefault="00A71D96" w:rsidP="00A71D96">
      <w:pPr>
        <w:spacing w:before="120" w:after="0"/>
        <w:jc w:val="both"/>
        <w:rPr>
          <w:rFonts w:ascii="Times New Roman" w:hAnsi="Times New Roman"/>
          <w:sz w:val="24"/>
          <w:szCs w:val="24"/>
        </w:rPr>
      </w:pPr>
      <w:r w:rsidRPr="00FA5D77">
        <w:rPr>
          <w:rFonts w:ascii="Times New Roman" w:hAnsi="Times New Roman"/>
          <w:sz w:val="24"/>
          <w:szCs w:val="24"/>
        </w:rPr>
        <w:t xml:space="preserve">Реализация данной стратегии финансирования дефицита позволит с 2019 года отказаться от использования средств ФНБ на финансирование дефицита бюджета и продолжить использовать средства Фонда исключительно в целях софинансирования добровольных пенсионных накоплений граждан Российской Федерации. </w:t>
      </w:r>
      <w:r>
        <w:rPr>
          <w:rFonts w:ascii="Times New Roman" w:hAnsi="Times New Roman"/>
          <w:sz w:val="24"/>
          <w:szCs w:val="24"/>
        </w:rPr>
        <w:t>Это</w:t>
      </w:r>
      <w:r w:rsidRPr="00FA5D77">
        <w:rPr>
          <w:rFonts w:ascii="Times New Roman" w:hAnsi="Times New Roman"/>
          <w:sz w:val="24"/>
          <w:szCs w:val="24"/>
        </w:rPr>
        <w:t xml:space="preserve"> позволит стабилизировать соотношение государственного долга к ВВП, </w:t>
      </w:r>
      <w:r>
        <w:rPr>
          <w:rFonts w:ascii="Times New Roman" w:hAnsi="Times New Roman"/>
          <w:sz w:val="24"/>
          <w:szCs w:val="24"/>
        </w:rPr>
        <w:t>что</w:t>
      </w:r>
      <w:r w:rsidRPr="00FA5D77">
        <w:rPr>
          <w:rFonts w:ascii="Times New Roman" w:hAnsi="Times New Roman"/>
          <w:sz w:val="24"/>
          <w:szCs w:val="24"/>
        </w:rPr>
        <w:t xml:space="preserve"> будет способствовать решению двух задач: (1) минимизации влияния объема государственных заимствований на стоимость заимствований частного сектора; (2) обеспечению ликвидности рынка государственных ценных бумаг.</w:t>
      </w:r>
    </w:p>
    <w:p w:rsidR="00A71D96" w:rsidRDefault="00A71D96" w:rsidP="00A71D96">
      <w:pPr>
        <w:spacing w:before="120" w:after="120"/>
        <w:jc w:val="both"/>
        <w:rPr>
          <w:rFonts w:ascii="Times New Roman" w:hAnsi="Times New Roman"/>
          <w:sz w:val="24"/>
          <w:szCs w:val="24"/>
        </w:rPr>
      </w:pPr>
      <w:r w:rsidRPr="00FA5D77">
        <w:rPr>
          <w:rFonts w:ascii="Times New Roman" w:hAnsi="Times New Roman"/>
          <w:sz w:val="24"/>
          <w:szCs w:val="24"/>
        </w:rPr>
        <w:t>Таким образом, главной задачей на предстоящий период 2018-2020 гг. является обеспечение плавного перехода к полностью рыночному финансированию дефицита бюджета.</w:t>
      </w:r>
      <w:r w:rsidRPr="005D1C9C">
        <w:rPr>
          <w:rFonts w:ascii="Times New Roman" w:hAnsi="Times New Roman"/>
          <w:sz w:val="24"/>
          <w:szCs w:val="24"/>
        </w:rPr>
        <w:t xml:space="preserve"> </w:t>
      </w:r>
    </w:p>
    <w:p w:rsidR="00A71D96" w:rsidRDefault="00A71D96" w:rsidP="00A71D96">
      <w:pPr>
        <w:spacing w:before="120" w:after="120"/>
        <w:jc w:val="both"/>
        <w:rPr>
          <w:rFonts w:ascii="Times New Roman" w:hAnsi="Times New Roman"/>
          <w:sz w:val="24"/>
          <w:szCs w:val="24"/>
        </w:rPr>
      </w:pPr>
    </w:p>
    <w:p w:rsidR="00A71D96" w:rsidRDefault="00A71D96" w:rsidP="00A71D96">
      <w:pPr>
        <w:spacing w:before="120" w:after="120"/>
        <w:jc w:val="both"/>
        <w:rPr>
          <w:rFonts w:ascii="Times New Roman" w:hAnsi="Times New Roman"/>
          <w:sz w:val="24"/>
          <w:szCs w:val="24"/>
        </w:rPr>
      </w:pPr>
    </w:p>
    <w:p w:rsidR="00F2417A" w:rsidRDefault="00F2417A" w:rsidP="00A71D96">
      <w:pPr>
        <w:spacing w:before="120" w:after="120"/>
        <w:jc w:val="both"/>
        <w:rPr>
          <w:rFonts w:ascii="Times New Roman" w:hAnsi="Times New Roman"/>
          <w:sz w:val="24"/>
          <w:szCs w:val="24"/>
        </w:rPr>
      </w:pPr>
    </w:p>
    <w:p w:rsidR="00A71D96" w:rsidRPr="00AD55E8" w:rsidRDefault="00A71D96" w:rsidP="00A71D96">
      <w:pPr>
        <w:spacing w:before="120" w:after="0"/>
        <w:jc w:val="both"/>
        <w:rPr>
          <w:rFonts w:ascii="Times New Roman" w:hAnsi="Times New Roman"/>
          <w:sz w:val="24"/>
          <w:szCs w:val="24"/>
        </w:rPr>
      </w:pPr>
      <w:r w:rsidRPr="00AD55E8">
        <w:rPr>
          <w:rFonts w:ascii="Times New Roman" w:hAnsi="Times New Roman"/>
          <w:b/>
          <w:sz w:val="24"/>
          <w:szCs w:val="24"/>
        </w:rPr>
        <w:t xml:space="preserve">Таблица </w:t>
      </w:r>
      <w:r w:rsidRPr="002B72A8">
        <w:rPr>
          <w:rFonts w:ascii="Times New Roman" w:hAnsi="Times New Roman"/>
          <w:b/>
          <w:sz w:val="24"/>
          <w:szCs w:val="24"/>
        </w:rPr>
        <w:t>4</w:t>
      </w:r>
      <w:r w:rsidRPr="00AD55E8">
        <w:rPr>
          <w:rFonts w:ascii="Times New Roman" w:hAnsi="Times New Roman"/>
          <w:b/>
          <w:sz w:val="24"/>
          <w:szCs w:val="24"/>
        </w:rPr>
        <w:t>.1.5.</w:t>
      </w:r>
      <w:r w:rsidRPr="00AD55E8">
        <w:rPr>
          <w:rFonts w:ascii="Times New Roman" w:hAnsi="Times New Roman"/>
          <w:sz w:val="24"/>
          <w:szCs w:val="24"/>
        </w:rPr>
        <w:t xml:space="preserve"> </w:t>
      </w:r>
      <w:r>
        <w:rPr>
          <w:rFonts w:ascii="Times New Roman" w:hAnsi="Times New Roman"/>
          <w:sz w:val="24"/>
          <w:szCs w:val="24"/>
        </w:rPr>
        <w:t>Г</w:t>
      </w:r>
      <w:r w:rsidRPr="00AD55E8">
        <w:rPr>
          <w:rFonts w:ascii="Times New Roman" w:hAnsi="Times New Roman"/>
          <w:sz w:val="24"/>
          <w:szCs w:val="24"/>
        </w:rPr>
        <w:t>осударственный долг в 2017-2020 гг.</w:t>
      </w:r>
    </w:p>
    <w:p w:rsidR="00A71D96" w:rsidRPr="00AD55E8" w:rsidRDefault="00A71D96" w:rsidP="00A71D96">
      <w:pPr>
        <w:spacing w:after="120"/>
        <w:jc w:val="right"/>
        <w:rPr>
          <w:rFonts w:ascii="Times New Roman" w:hAnsi="Times New Roman"/>
          <w:i/>
          <w:sz w:val="24"/>
          <w:szCs w:val="24"/>
        </w:rPr>
      </w:pPr>
      <w:proofErr w:type="gramStart"/>
      <w:r w:rsidRPr="00AD55E8">
        <w:rPr>
          <w:rFonts w:ascii="Times New Roman" w:hAnsi="Times New Roman"/>
          <w:i/>
          <w:sz w:val="24"/>
          <w:szCs w:val="24"/>
        </w:rPr>
        <w:t>млрд</w:t>
      </w:r>
      <w:proofErr w:type="gramEnd"/>
      <w:r w:rsidRPr="00AD55E8">
        <w:rPr>
          <w:rFonts w:ascii="Times New Roman" w:hAnsi="Times New Roman"/>
          <w:i/>
          <w:sz w:val="24"/>
          <w:szCs w:val="24"/>
        </w:rPr>
        <w:t xml:space="preserve"> рублей</w:t>
      </w:r>
    </w:p>
    <w:tbl>
      <w:tblPr>
        <w:tblW w:w="9099" w:type="dxa"/>
        <w:tblLayout w:type="fixed"/>
        <w:tblLook w:val="00A0" w:firstRow="1" w:lastRow="0" w:firstColumn="1" w:lastColumn="0" w:noHBand="0" w:noVBand="0"/>
      </w:tblPr>
      <w:tblGrid>
        <w:gridCol w:w="5131"/>
        <w:gridCol w:w="992"/>
        <w:gridCol w:w="992"/>
        <w:gridCol w:w="992"/>
        <w:gridCol w:w="992"/>
      </w:tblGrid>
      <w:tr w:rsidR="00A71D96" w:rsidRPr="00AD55E8" w:rsidTr="00F2417A">
        <w:trPr>
          <w:trHeight w:val="340"/>
        </w:trPr>
        <w:tc>
          <w:tcPr>
            <w:tcW w:w="5131" w:type="dxa"/>
            <w:tcBorders>
              <w:top w:val="single" w:sz="4" w:space="0" w:color="auto"/>
              <w:bottom w:val="single" w:sz="4" w:space="0" w:color="auto"/>
            </w:tcBorders>
          </w:tcPr>
          <w:p w:rsidR="00A71D96" w:rsidRPr="00AD55E8" w:rsidRDefault="00A71D96" w:rsidP="003C4A4E">
            <w:pPr>
              <w:spacing w:after="120" w:line="240" w:lineRule="auto"/>
              <w:jc w:val="both"/>
              <w:rPr>
                <w:rFonts w:ascii="Century" w:hAnsi="Century"/>
                <w:b/>
                <w:bCs/>
                <w:szCs w:val="24"/>
              </w:rPr>
            </w:pPr>
            <w:r w:rsidRPr="00AD55E8">
              <w:rPr>
                <w:rFonts w:ascii="Century" w:hAnsi="Century"/>
                <w:b/>
                <w:bCs/>
                <w:szCs w:val="24"/>
              </w:rPr>
              <w:t>Показатель</w:t>
            </w:r>
          </w:p>
        </w:tc>
        <w:tc>
          <w:tcPr>
            <w:tcW w:w="992" w:type="dxa"/>
            <w:tcBorders>
              <w:top w:val="single" w:sz="4" w:space="0" w:color="auto"/>
              <w:bottom w:val="single" w:sz="4" w:space="0" w:color="auto"/>
            </w:tcBorders>
          </w:tcPr>
          <w:p w:rsidR="00A71D96" w:rsidRPr="002B3257" w:rsidRDefault="00A71D96" w:rsidP="00F2417A">
            <w:pPr>
              <w:spacing w:after="120" w:line="240" w:lineRule="auto"/>
              <w:jc w:val="right"/>
              <w:rPr>
                <w:rFonts w:ascii="Century" w:hAnsi="Century"/>
                <w:b/>
                <w:bCs/>
                <w:szCs w:val="24"/>
              </w:rPr>
            </w:pPr>
            <w:r w:rsidRPr="002B3257">
              <w:rPr>
                <w:rFonts w:ascii="Century" w:hAnsi="Century"/>
                <w:b/>
                <w:bCs/>
                <w:szCs w:val="24"/>
              </w:rPr>
              <w:t>2017</w:t>
            </w:r>
          </w:p>
        </w:tc>
        <w:tc>
          <w:tcPr>
            <w:tcW w:w="992" w:type="dxa"/>
            <w:tcBorders>
              <w:top w:val="single" w:sz="4" w:space="0" w:color="auto"/>
              <w:bottom w:val="single" w:sz="4" w:space="0" w:color="auto"/>
            </w:tcBorders>
          </w:tcPr>
          <w:p w:rsidR="00A71D96" w:rsidRPr="002B3257" w:rsidRDefault="00A71D96" w:rsidP="00F2417A">
            <w:pPr>
              <w:spacing w:after="120" w:line="240" w:lineRule="auto"/>
              <w:jc w:val="right"/>
              <w:rPr>
                <w:rFonts w:ascii="Century" w:hAnsi="Century"/>
                <w:b/>
                <w:bCs/>
                <w:szCs w:val="24"/>
              </w:rPr>
            </w:pPr>
            <w:r w:rsidRPr="002B3257">
              <w:rPr>
                <w:rFonts w:ascii="Century" w:hAnsi="Century"/>
                <w:b/>
                <w:bCs/>
                <w:szCs w:val="24"/>
              </w:rPr>
              <w:t>2018</w:t>
            </w:r>
          </w:p>
        </w:tc>
        <w:tc>
          <w:tcPr>
            <w:tcW w:w="992" w:type="dxa"/>
            <w:tcBorders>
              <w:top w:val="single" w:sz="4" w:space="0" w:color="auto"/>
              <w:bottom w:val="single" w:sz="4" w:space="0" w:color="auto"/>
            </w:tcBorders>
          </w:tcPr>
          <w:p w:rsidR="00A71D96" w:rsidRPr="002B3257" w:rsidRDefault="00A71D96" w:rsidP="00F2417A">
            <w:pPr>
              <w:spacing w:after="120" w:line="240" w:lineRule="auto"/>
              <w:jc w:val="right"/>
              <w:rPr>
                <w:rFonts w:ascii="Century" w:hAnsi="Century"/>
                <w:b/>
                <w:bCs/>
                <w:szCs w:val="24"/>
              </w:rPr>
            </w:pPr>
            <w:r w:rsidRPr="002B3257">
              <w:rPr>
                <w:rFonts w:ascii="Century" w:hAnsi="Century"/>
                <w:b/>
                <w:bCs/>
                <w:szCs w:val="24"/>
              </w:rPr>
              <w:t>2019</w:t>
            </w:r>
          </w:p>
        </w:tc>
        <w:tc>
          <w:tcPr>
            <w:tcW w:w="992" w:type="dxa"/>
            <w:tcBorders>
              <w:top w:val="single" w:sz="4" w:space="0" w:color="auto"/>
              <w:bottom w:val="single" w:sz="4" w:space="0" w:color="auto"/>
            </w:tcBorders>
          </w:tcPr>
          <w:p w:rsidR="00A71D96" w:rsidRPr="002B3257" w:rsidRDefault="00A71D96" w:rsidP="00F2417A">
            <w:pPr>
              <w:spacing w:after="120" w:line="240" w:lineRule="auto"/>
              <w:jc w:val="right"/>
              <w:rPr>
                <w:rFonts w:ascii="Century" w:hAnsi="Century"/>
                <w:b/>
                <w:bCs/>
                <w:szCs w:val="24"/>
              </w:rPr>
            </w:pPr>
            <w:r w:rsidRPr="002B3257">
              <w:rPr>
                <w:rFonts w:ascii="Century" w:hAnsi="Century"/>
                <w:b/>
                <w:bCs/>
                <w:szCs w:val="24"/>
              </w:rPr>
              <w:t>2020</w:t>
            </w:r>
          </w:p>
        </w:tc>
      </w:tr>
      <w:tr w:rsidR="00A71D96" w:rsidRPr="00AD55E8" w:rsidTr="003C4A4E">
        <w:trPr>
          <w:trHeight w:val="340"/>
        </w:trPr>
        <w:tc>
          <w:tcPr>
            <w:tcW w:w="5131" w:type="dxa"/>
            <w:shd w:val="clear" w:color="auto" w:fill="auto"/>
            <w:vAlign w:val="center"/>
          </w:tcPr>
          <w:p w:rsidR="00A71D96" w:rsidRPr="00147A0A" w:rsidRDefault="00A71D96" w:rsidP="003C4A4E">
            <w:pPr>
              <w:spacing w:before="100" w:beforeAutospacing="1" w:after="0" w:afterAutospacing="1" w:line="240" w:lineRule="auto"/>
              <w:jc w:val="both"/>
              <w:textAlignment w:val="top"/>
              <w:rPr>
                <w:rFonts w:ascii="Century" w:hAnsi="Century"/>
                <w:b/>
                <w:bCs/>
                <w:i/>
                <w:iCs/>
                <w:sz w:val="20"/>
                <w:szCs w:val="20"/>
                <w:lang w:eastAsia="ru-RU"/>
              </w:rPr>
            </w:pPr>
            <w:r w:rsidRPr="00147A0A">
              <w:rPr>
                <w:rFonts w:ascii="Century" w:hAnsi="Century"/>
                <w:b/>
                <w:bCs/>
                <w:sz w:val="20"/>
                <w:szCs w:val="20"/>
                <w:lang w:eastAsia="ru-RU"/>
              </w:rPr>
              <w:t>Объем государственного долга на конец года</w:t>
            </w:r>
          </w:p>
        </w:tc>
        <w:tc>
          <w:tcPr>
            <w:tcW w:w="992" w:type="dxa"/>
            <w:shd w:val="clear" w:color="auto" w:fill="auto"/>
            <w:vAlign w:val="center"/>
          </w:tcPr>
          <w:p w:rsidR="00A71D96" w:rsidRPr="00680B23" w:rsidRDefault="00A71D96" w:rsidP="003C4A4E">
            <w:pPr>
              <w:spacing w:after="0" w:line="240" w:lineRule="auto"/>
              <w:jc w:val="right"/>
              <w:rPr>
                <w:rFonts w:ascii="Century" w:hAnsi="Century"/>
                <w:b/>
                <w:bCs/>
                <w:sz w:val="20"/>
                <w:szCs w:val="20"/>
              </w:rPr>
            </w:pPr>
            <w:r w:rsidRPr="00680B23">
              <w:rPr>
                <w:rFonts w:ascii="Century" w:hAnsi="Century"/>
                <w:b/>
                <w:bCs/>
                <w:sz w:val="20"/>
                <w:szCs w:val="20"/>
              </w:rPr>
              <w:t>12 536</w:t>
            </w:r>
          </w:p>
        </w:tc>
        <w:tc>
          <w:tcPr>
            <w:tcW w:w="992" w:type="dxa"/>
            <w:shd w:val="clear" w:color="auto" w:fill="auto"/>
            <w:vAlign w:val="center"/>
          </w:tcPr>
          <w:p w:rsidR="00A71D96" w:rsidRPr="00680B23" w:rsidRDefault="00FE69FA" w:rsidP="003C4A4E">
            <w:pPr>
              <w:spacing w:after="0" w:line="240" w:lineRule="auto"/>
              <w:jc w:val="right"/>
              <w:rPr>
                <w:rFonts w:ascii="Century" w:hAnsi="Century"/>
                <w:b/>
                <w:bCs/>
                <w:sz w:val="20"/>
                <w:szCs w:val="20"/>
              </w:rPr>
            </w:pPr>
            <w:r>
              <w:rPr>
                <w:rFonts w:ascii="Century" w:hAnsi="Century"/>
                <w:b/>
                <w:bCs/>
                <w:sz w:val="20"/>
                <w:szCs w:val="20"/>
              </w:rPr>
              <w:t>15 2</w:t>
            </w:r>
            <w:r w:rsidR="00A71D96" w:rsidRPr="00680B23">
              <w:rPr>
                <w:rFonts w:ascii="Century" w:hAnsi="Century"/>
                <w:b/>
                <w:bCs/>
                <w:sz w:val="20"/>
                <w:szCs w:val="20"/>
              </w:rPr>
              <w:t>35</w:t>
            </w:r>
          </w:p>
        </w:tc>
        <w:tc>
          <w:tcPr>
            <w:tcW w:w="992" w:type="dxa"/>
            <w:shd w:val="clear" w:color="auto" w:fill="auto"/>
            <w:vAlign w:val="center"/>
          </w:tcPr>
          <w:p w:rsidR="00A71D96" w:rsidRPr="00680B23" w:rsidRDefault="00FE69FA" w:rsidP="003C4A4E">
            <w:pPr>
              <w:spacing w:after="0" w:line="240" w:lineRule="auto"/>
              <w:jc w:val="right"/>
              <w:rPr>
                <w:rFonts w:ascii="Century" w:hAnsi="Century"/>
                <w:b/>
                <w:bCs/>
                <w:sz w:val="20"/>
                <w:szCs w:val="20"/>
              </w:rPr>
            </w:pPr>
            <w:r>
              <w:rPr>
                <w:rFonts w:ascii="Century" w:hAnsi="Century"/>
                <w:b/>
                <w:bCs/>
                <w:sz w:val="20"/>
                <w:szCs w:val="20"/>
              </w:rPr>
              <w:t>16 3</w:t>
            </w:r>
            <w:r w:rsidR="00A71D96" w:rsidRPr="00680B23">
              <w:rPr>
                <w:rFonts w:ascii="Century" w:hAnsi="Century"/>
                <w:b/>
                <w:bCs/>
                <w:sz w:val="20"/>
                <w:szCs w:val="20"/>
              </w:rPr>
              <w:t>60</w:t>
            </w:r>
          </w:p>
        </w:tc>
        <w:tc>
          <w:tcPr>
            <w:tcW w:w="992" w:type="dxa"/>
            <w:shd w:val="clear" w:color="auto" w:fill="auto"/>
            <w:vAlign w:val="center"/>
          </w:tcPr>
          <w:p w:rsidR="00A71D96" w:rsidRPr="00680B23" w:rsidRDefault="004D3A9F" w:rsidP="003C4A4E">
            <w:pPr>
              <w:spacing w:after="0" w:line="240" w:lineRule="auto"/>
              <w:jc w:val="right"/>
              <w:rPr>
                <w:rFonts w:ascii="Century" w:hAnsi="Century"/>
                <w:b/>
                <w:bCs/>
                <w:sz w:val="20"/>
                <w:szCs w:val="20"/>
              </w:rPr>
            </w:pPr>
            <w:r>
              <w:rPr>
                <w:rFonts w:ascii="Century" w:hAnsi="Century"/>
                <w:b/>
                <w:bCs/>
                <w:sz w:val="20"/>
                <w:szCs w:val="20"/>
              </w:rPr>
              <w:t>17 652</w:t>
            </w:r>
          </w:p>
        </w:tc>
      </w:tr>
      <w:tr w:rsidR="00A71D96" w:rsidRPr="00AD55E8" w:rsidTr="003C4A4E">
        <w:trPr>
          <w:trHeight w:val="340"/>
        </w:trPr>
        <w:tc>
          <w:tcPr>
            <w:tcW w:w="5131" w:type="dxa"/>
            <w:shd w:val="pct5" w:color="auto" w:fill="auto"/>
            <w:vAlign w:val="center"/>
          </w:tcPr>
          <w:p w:rsidR="00A71D96" w:rsidRPr="00147A0A" w:rsidRDefault="00A71D96" w:rsidP="003C4A4E">
            <w:pPr>
              <w:spacing w:before="100" w:beforeAutospacing="1" w:after="0" w:afterAutospacing="1" w:line="240" w:lineRule="auto"/>
              <w:jc w:val="both"/>
              <w:textAlignment w:val="top"/>
              <w:rPr>
                <w:rFonts w:ascii="Century" w:hAnsi="Century"/>
                <w:b/>
                <w:bCs/>
                <w:i/>
                <w:iCs/>
                <w:sz w:val="20"/>
                <w:szCs w:val="20"/>
                <w:lang w:eastAsia="ru-RU"/>
              </w:rPr>
            </w:pPr>
            <w:r w:rsidRPr="00147A0A">
              <w:rPr>
                <w:rFonts w:ascii="Century" w:hAnsi="Century"/>
                <w:bCs/>
                <w:i/>
                <w:sz w:val="20"/>
                <w:szCs w:val="20"/>
                <w:lang w:eastAsia="ru-RU"/>
              </w:rPr>
              <w:t>%% ВВП</w:t>
            </w:r>
          </w:p>
        </w:tc>
        <w:tc>
          <w:tcPr>
            <w:tcW w:w="992" w:type="dxa"/>
            <w:shd w:val="pct5" w:color="auto" w:fill="auto"/>
            <w:vAlign w:val="center"/>
          </w:tcPr>
          <w:p w:rsidR="00A71D96" w:rsidRPr="00680B23" w:rsidRDefault="00A71D96" w:rsidP="003C4A4E">
            <w:pPr>
              <w:spacing w:after="0" w:line="240" w:lineRule="auto"/>
              <w:jc w:val="right"/>
              <w:rPr>
                <w:rFonts w:ascii="Century" w:hAnsi="Century"/>
                <w:sz w:val="20"/>
                <w:szCs w:val="20"/>
              </w:rPr>
            </w:pPr>
            <w:r w:rsidRPr="00680B23">
              <w:rPr>
                <w:rFonts w:ascii="Century" w:hAnsi="Century"/>
                <w:i/>
                <w:iCs/>
                <w:sz w:val="20"/>
                <w:szCs w:val="20"/>
              </w:rPr>
              <w:t>13,6</w:t>
            </w:r>
          </w:p>
        </w:tc>
        <w:tc>
          <w:tcPr>
            <w:tcW w:w="992" w:type="dxa"/>
            <w:shd w:val="pct5" w:color="auto" w:fill="auto"/>
            <w:vAlign w:val="center"/>
          </w:tcPr>
          <w:p w:rsidR="00A71D96" w:rsidRPr="00680B23" w:rsidRDefault="000F1232" w:rsidP="003C4A4E">
            <w:pPr>
              <w:spacing w:after="0" w:line="240" w:lineRule="auto"/>
              <w:jc w:val="right"/>
              <w:rPr>
                <w:rFonts w:ascii="Century" w:hAnsi="Century"/>
                <w:sz w:val="20"/>
                <w:szCs w:val="20"/>
              </w:rPr>
            </w:pPr>
            <w:r>
              <w:rPr>
                <w:rFonts w:ascii="Century" w:hAnsi="Century"/>
                <w:i/>
                <w:iCs/>
                <w:sz w:val="20"/>
                <w:szCs w:val="20"/>
              </w:rPr>
              <w:t>15,6</w:t>
            </w:r>
          </w:p>
        </w:tc>
        <w:tc>
          <w:tcPr>
            <w:tcW w:w="992" w:type="dxa"/>
            <w:shd w:val="pct5" w:color="auto" w:fill="auto"/>
            <w:vAlign w:val="center"/>
          </w:tcPr>
          <w:p w:rsidR="00A71D96" w:rsidRPr="00680B23" w:rsidRDefault="000F1232" w:rsidP="003C4A4E">
            <w:pPr>
              <w:spacing w:after="0" w:line="240" w:lineRule="auto"/>
              <w:jc w:val="right"/>
              <w:rPr>
                <w:rFonts w:ascii="Century" w:hAnsi="Century"/>
                <w:sz w:val="20"/>
                <w:szCs w:val="20"/>
              </w:rPr>
            </w:pPr>
            <w:r>
              <w:rPr>
                <w:rFonts w:ascii="Century" w:hAnsi="Century"/>
                <w:sz w:val="20"/>
                <w:szCs w:val="20"/>
              </w:rPr>
              <w:t>15,8</w:t>
            </w:r>
          </w:p>
        </w:tc>
        <w:tc>
          <w:tcPr>
            <w:tcW w:w="992" w:type="dxa"/>
            <w:shd w:val="pct5" w:color="auto" w:fill="auto"/>
            <w:vAlign w:val="center"/>
          </w:tcPr>
          <w:p w:rsidR="00A71D96" w:rsidRPr="00680B23" w:rsidRDefault="000F1232" w:rsidP="003C4A4E">
            <w:pPr>
              <w:spacing w:after="0" w:line="240" w:lineRule="auto"/>
              <w:jc w:val="right"/>
              <w:rPr>
                <w:rFonts w:ascii="Century" w:hAnsi="Century"/>
                <w:sz w:val="20"/>
                <w:szCs w:val="20"/>
              </w:rPr>
            </w:pPr>
            <w:r>
              <w:rPr>
                <w:rFonts w:ascii="Century" w:hAnsi="Century"/>
                <w:sz w:val="20"/>
                <w:szCs w:val="20"/>
              </w:rPr>
              <w:t>16,0</w:t>
            </w:r>
          </w:p>
        </w:tc>
      </w:tr>
      <w:tr w:rsidR="00A71D96" w:rsidRPr="00AD55E8" w:rsidTr="003C4A4E">
        <w:trPr>
          <w:trHeight w:val="340"/>
        </w:trPr>
        <w:tc>
          <w:tcPr>
            <w:tcW w:w="5131" w:type="dxa"/>
            <w:vAlign w:val="center"/>
          </w:tcPr>
          <w:p w:rsidR="00A71D96" w:rsidRPr="007F3176" w:rsidRDefault="00A71D96" w:rsidP="003C4A4E">
            <w:pPr>
              <w:spacing w:before="100" w:beforeAutospacing="1" w:after="0" w:afterAutospacing="1" w:line="240" w:lineRule="auto"/>
              <w:jc w:val="both"/>
              <w:textAlignment w:val="top"/>
              <w:rPr>
                <w:rFonts w:ascii="Century" w:hAnsi="Century"/>
                <w:bCs/>
                <w:i/>
                <w:sz w:val="20"/>
                <w:szCs w:val="20"/>
                <w:lang w:eastAsia="ru-RU"/>
              </w:rPr>
            </w:pPr>
            <w:r w:rsidRPr="007F3176">
              <w:rPr>
                <w:rFonts w:ascii="Century" w:hAnsi="Century"/>
                <w:bCs/>
                <w:i/>
                <w:sz w:val="20"/>
                <w:szCs w:val="20"/>
                <w:lang w:eastAsia="ru-RU"/>
              </w:rPr>
              <w:t>из них: государственные гарантии</w:t>
            </w:r>
          </w:p>
        </w:tc>
        <w:tc>
          <w:tcPr>
            <w:tcW w:w="992" w:type="dxa"/>
            <w:vAlign w:val="center"/>
          </w:tcPr>
          <w:p w:rsidR="00A71D96" w:rsidRPr="007F3176" w:rsidRDefault="00A71D96" w:rsidP="003C4A4E">
            <w:pPr>
              <w:spacing w:after="0" w:line="240" w:lineRule="auto"/>
              <w:jc w:val="right"/>
              <w:rPr>
                <w:rFonts w:ascii="Century" w:hAnsi="Century"/>
                <w:i/>
                <w:sz w:val="20"/>
                <w:szCs w:val="20"/>
              </w:rPr>
            </w:pPr>
            <w:r>
              <w:rPr>
                <w:rFonts w:ascii="Century" w:hAnsi="Century"/>
                <w:i/>
                <w:sz w:val="20"/>
                <w:szCs w:val="20"/>
              </w:rPr>
              <w:t>2 792</w:t>
            </w:r>
          </w:p>
        </w:tc>
        <w:tc>
          <w:tcPr>
            <w:tcW w:w="992" w:type="dxa"/>
            <w:vAlign w:val="center"/>
          </w:tcPr>
          <w:p w:rsidR="00A71D96" w:rsidRPr="007F3176" w:rsidRDefault="00A71D96" w:rsidP="003C4A4E">
            <w:pPr>
              <w:spacing w:after="0" w:line="240" w:lineRule="auto"/>
              <w:jc w:val="right"/>
              <w:rPr>
                <w:rFonts w:ascii="Century" w:hAnsi="Century"/>
                <w:i/>
                <w:sz w:val="20"/>
                <w:szCs w:val="20"/>
              </w:rPr>
            </w:pPr>
            <w:r>
              <w:rPr>
                <w:rFonts w:ascii="Century" w:hAnsi="Century"/>
                <w:i/>
                <w:sz w:val="20"/>
                <w:szCs w:val="20"/>
              </w:rPr>
              <w:t>4 588</w:t>
            </w:r>
          </w:p>
        </w:tc>
        <w:tc>
          <w:tcPr>
            <w:tcW w:w="992" w:type="dxa"/>
            <w:vAlign w:val="center"/>
          </w:tcPr>
          <w:p w:rsidR="00A71D96" w:rsidRPr="007F3176" w:rsidRDefault="00A71D96" w:rsidP="003C4A4E">
            <w:pPr>
              <w:spacing w:after="0" w:line="240" w:lineRule="auto"/>
              <w:jc w:val="right"/>
              <w:rPr>
                <w:rFonts w:ascii="Century" w:hAnsi="Century"/>
                <w:i/>
                <w:sz w:val="20"/>
                <w:szCs w:val="20"/>
              </w:rPr>
            </w:pPr>
            <w:r>
              <w:rPr>
                <w:rFonts w:ascii="Century" w:hAnsi="Century"/>
                <w:i/>
                <w:sz w:val="20"/>
                <w:szCs w:val="20"/>
              </w:rPr>
              <w:t>4 768</w:t>
            </w:r>
          </w:p>
        </w:tc>
        <w:tc>
          <w:tcPr>
            <w:tcW w:w="992" w:type="dxa"/>
            <w:vAlign w:val="center"/>
          </w:tcPr>
          <w:p w:rsidR="00A71D96" w:rsidRPr="007F3176" w:rsidRDefault="00A71D96" w:rsidP="003C4A4E">
            <w:pPr>
              <w:spacing w:after="0" w:line="240" w:lineRule="auto"/>
              <w:jc w:val="right"/>
              <w:rPr>
                <w:rFonts w:ascii="Century" w:hAnsi="Century"/>
                <w:i/>
                <w:sz w:val="20"/>
                <w:szCs w:val="20"/>
              </w:rPr>
            </w:pPr>
            <w:r>
              <w:rPr>
                <w:rFonts w:ascii="Century" w:hAnsi="Century"/>
                <w:i/>
                <w:sz w:val="20"/>
                <w:szCs w:val="20"/>
              </w:rPr>
              <w:t>4 945</w:t>
            </w:r>
          </w:p>
        </w:tc>
      </w:tr>
      <w:tr w:rsidR="00A71D96" w:rsidRPr="00AD55E8" w:rsidTr="003C4A4E">
        <w:trPr>
          <w:trHeight w:val="340"/>
        </w:trPr>
        <w:tc>
          <w:tcPr>
            <w:tcW w:w="5131" w:type="dxa"/>
            <w:shd w:val="clear" w:color="auto" w:fill="F2F2F2" w:themeFill="background1" w:themeFillShade="F2"/>
            <w:vAlign w:val="center"/>
          </w:tcPr>
          <w:p w:rsidR="00A71D96" w:rsidRPr="00147A0A" w:rsidRDefault="00A71D96" w:rsidP="003C4A4E">
            <w:pPr>
              <w:spacing w:before="100" w:beforeAutospacing="1" w:after="0" w:afterAutospacing="1" w:line="240" w:lineRule="auto"/>
              <w:ind w:left="176"/>
              <w:jc w:val="both"/>
              <w:textAlignment w:val="top"/>
              <w:rPr>
                <w:rFonts w:ascii="Century" w:hAnsi="Century"/>
                <w:b/>
                <w:bCs/>
                <w:i/>
                <w:iCs/>
                <w:sz w:val="20"/>
                <w:szCs w:val="20"/>
                <w:lang w:eastAsia="ru-RU"/>
              </w:rPr>
            </w:pPr>
            <w:r w:rsidRPr="00147A0A">
              <w:rPr>
                <w:rFonts w:ascii="Century" w:hAnsi="Century"/>
                <w:bCs/>
                <w:sz w:val="20"/>
                <w:szCs w:val="20"/>
                <w:lang w:eastAsia="ru-RU"/>
              </w:rPr>
              <w:t>Объем государственного внутреннего долга</w:t>
            </w:r>
          </w:p>
        </w:tc>
        <w:tc>
          <w:tcPr>
            <w:tcW w:w="992" w:type="dxa"/>
            <w:shd w:val="clear" w:color="auto" w:fill="F2F2F2" w:themeFill="background1" w:themeFillShade="F2"/>
            <w:vAlign w:val="center"/>
          </w:tcPr>
          <w:p w:rsidR="00A71D96" w:rsidRPr="00680B23" w:rsidRDefault="00A71D96" w:rsidP="003C4A4E">
            <w:pPr>
              <w:spacing w:after="0" w:line="240" w:lineRule="auto"/>
              <w:jc w:val="right"/>
              <w:rPr>
                <w:rFonts w:ascii="Century" w:hAnsi="Century"/>
                <w:sz w:val="20"/>
                <w:szCs w:val="20"/>
              </w:rPr>
            </w:pPr>
            <w:r w:rsidRPr="00680B23">
              <w:rPr>
                <w:rFonts w:ascii="Century" w:hAnsi="Century"/>
                <w:sz w:val="20"/>
                <w:szCs w:val="20"/>
              </w:rPr>
              <w:t>9 276</w:t>
            </w:r>
          </w:p>
        </w:tc>
        <w:tc>
          <w:tcPr>
            <w:tcW w:w="992" w:type="dxa"/>
            <w:shd w:val="clear" w:color="auto" w:fill="F2F2F2" w:themeFill="background1" w:themeFillShade="F2"/>
            <w:vAlign w:val="center"/>
          </w:tcPr>
          <w:p w:rsidR="00A71D96" w:rsidRPr="00680B23" w:rsidRDefault="00C71433" w:rsidP="003C4A4E">
            <w:pPr>
              <w:spacing w:after="0" w:line="240" w:lineRule="auto"/>
              <w:jc w:val="right"/>
              <w:rPr>
                <w:rFonts w:ascii="Century" w:hAnsi="Century"/>
                <w:sz w:val="20"/>
                <w:szCs w:val="20"/>
              </w:rPr>
            </w:pPr>
            <w:r>
              <w:rPr>
                <w:rFonts w:ascii="Century" w:hAnsi="Century"/>
                <w:sz w:val="20"/>
                <w:szCs w:val="20"/>
              </w:rPr>
              <w:t>10 5</w:t>
            </w:r>
            <w:r w:rsidR="00A71D96" w:rsidRPr="00680B23">
              <w:rPr>
                <w:rFonts w:ascii="Century" w:hAnsi="Century"/>
                <w:sz w:val="20"/>
                <w:szCs w:val="20"/>
              </w:rPr>
              <w:t>02</w:t>
            </w:r>
          </w:p>
        </w:tc>
        <w:tc>
          <w:tcPr>
            <w:tcW w:w="992" w:type="dxa"/>
            <w:shd w:val="clear" w:color="auto" w:fill="F2F2F2" w:themeFill="background1" w:themeFillShade="F2"/>
            <w:vAlign w:val="center"/>
          </w:tcPr>
          <w:p w:rsidR="00A71D96" w:rsidRPr="00680B23" w:rsidRDefault="00C71433" w:rsidP="003C4A4E">
            <w:pPr>
              <w:spacing w:after="0" w:line="240" w:lineRule="auto"/>
              <w:jc w:val="right"/>
              <w:rPr>
                <w:rFonts w:ascii="Century" w:hAnsi="Century"/>
                <w:sz w:val="20"/>
                <w:szCs w:val="20"/>
              </w:rPr>
            </w:pPr>
            <w:r>
              <w:rPr>
                <w:rFonts w:ascii="Century" w:hAnsi="Century"/>
                <w:sz w:val="20"/>
                <w:szCs w:val="20"/>
              </w:rPr>
              <w:t>11 4</w:t>
            </w:r>
            <w:r w:rsidR="00A71D96" w:rsidRPr="00680B23">
              <w:rPr>
                <w:rFonts w:ascii="Century" w:hAnsi="Century"/>
                <w:sz w:val="20"/>
                <w:szCs w:val="20"/>
              </w:rPr>
              <w:t>16</w:t>
            </w:r>
          </w:p>
        </w:tc>
        <w:tc>
          <w:tcPr>
            <w:tcW w:w="992" w:type="dxa"/>
            <w:shd w:val="clear" w:color="auto" w:fill="F2F2F2" w:themeFill="background1" w:themeFillShade="F2"/>
            <w:vAlign w:val="center"/>
          </w:tcPr>
          <w:p w:rsidR="00A71D96" w:rsidRPr="00680B23" w:rsidRDefault="00C71433" w:rsidP="003C4A4E">
            <w:pPr>
              <w:spacing w:after="0" w:line="240" w:lineRule="auto"/>
              <w:jc w:val="right"/>
              <w:rPr>
                <w:rFonts w:ascii="Century" w:hAnsi="Century"/>
                <w:sz w:val="20"/>
                <w:szCs w:val="20"/>
              </w:rPr>
            </w:pPr>
            <w:r>
              <w:rPr>
                <w:rFonts w:ascii="Century" w:hAnsi="Century"/>
                <w:sz w:val="20"/>
                <w:szCs w:val="20"/>
              </w:rPr>
              <w:t>12 7</w:t>
            </w:r>
            <w:r w:rsidR="00A71D96" w:rsidRPr="00680B23">
              <w:rPr>
                <w:rFonts w:ascii="Century" w:hAnsi="Century"/>
                <w:sz w:val="20"/>
                <w:szCs w:val="20"/>
              </w:rPr>
              <w:t>01</w:t>
            </w:r>
          </w:p>
        </w:tc>
      </w:tr>
      <w:tr w:rsidR="00A71D96" w:rsidRPr="00AD55E8" w:rsidTr="003C4A4E">
        <w:trPr>
          <w:trHeight w:val="340"/>
        </w:trPr>
        <w:tc>
          <w:tcPr>
            <w:tcW w:w="5131" w:type="dxa"/>
            <w:shd w:val="clear" w:color="auto" w:fill="FFFFFF" w:themeFill="background1"/>
            <w:vAlign w:val="center"/>
          </w:tcPr>
          <w:p w:rsidR="00A71D96" w:rsidRPr="00147A0A" w:rsidRDefault="00A71D96" w:rsidP="003C4A4E">
            <w:pPr>
              <w:spacing w:before="100" w:beforeAutospacing="1" w:after="0" w:afterAutospacing="1" w:line="240" w:lineRule="auto"/>
              <w:ind w:left="176"/>
              <w:jc w:val="both"/>
              <w:textAlignment w:val="top"/>
              <w:rPr>
                <w:rFonts w:ascii="Century" w:hAnsi="Century"/>
                <w:b/>
                <w:bCs/>
                <w:i/>
                <w:iCs/>
                <w:sz w:val="18"/>
                <w:szCs w:val="20"/>
                <w:lang w:eastAsia="ru-RU"/>
              </w:rPr>
            </w:pPr>
            <w:r w:rsidRPr="00147A0A">
              <w:rPr>
                <w:rFonts w:ascii="Century" w:hAnsi="Century"/>
                <w:bCs/>
                <w:i/>
                <w:sz w:val="18"/>
                <w:szCs w:val="20"/>
                <w:lang w:eastAsia="ru-RU"/>
              </w:rPr>
              <w:t>%% к общему объему</w:t>
            </w:r>
          </w:p>
        </w:tc>
        <w:tc>
          <w:tcPr>
            <w:tcW w:w="992" w:type="dxa"/>
            <w:shd w:val="clear" w:color="auto" w:fill="FFFFFF" w:themeFill="background1"/>
            <w:vAlign w:val="center"/>
          </w:tcPr>
          <w:p w:rsidR="00A71D96" w:rsidRPr="00680B23" w:rsidRDefault="00A71D96" w:rsidP="003C4A4E">
            <w:pPr>
              <w:spacing w:after="0" w:line="240" w:lineRule="auto"/>
              <w:jc w:val="right"/>
              <w:rPr>
                <w:rFonts w:ascii="Century" w:hAnsi="Century"/>
                <w:i/>
                <w:sz w:val="18"/>
                <w:szCs w:val="20"/>
              </w:rPr>
            </w:pPr>
            <w:r w:rsidRPr="00680B23">
              <w:rPr>
                <w:rFonts w:ascii="Century" w:hAnsi="Century"/>
                <w:i/>
                <w:iCs/>
                <w:sz w:val="18"/>
                <w:szCs w:val="18"/>
              </w:rPr>
              <w:t>74,0</w:t>
            </w:r>
          </w:p>
        </w:tc>
        <w:tc>
          <w:tcPr>
            <w:tcW w:w="992" w:type="dxa"/>
            <w:shd w:val="clear" w:color="auto" w:fill="FFFFFF" w:themeFill="background1"/>
            <w:vAlign w:val="center"/>
          </w:tcPr>
          <w:p w:rsidR="00A71D96" w:rsidRPr="00680B23" w:rsidRDefault="00FB435D" w:rsidP="003C4A4E">
            <w:pPr>
              <w:spacing w:after="0" w:line="240" w:lineRule="auto"/>
              <w:jc w:val="right"/>
              <w:rPr>
                <w:rFonts w:ascii="Century" w:hAnsi="Century"/>
                <w:i/>
                <w:sz w:val="18"/>
                <w:szCs w:val="20"/>
              </w:rPr>
            </w:pPr>
            <w:r>
              <w:rPr>
                <w:rFonts w:ascii="Century" w:hAnsi="Century"/>
                <w:i/>
                <w:iCs/>
                <w:sz w:val="18"/>
                <w:szCs w:val="18"/>
              </w:rPr>
              <w:t>68,9</w:t>
            </w:r>
          </w:p>
        </w:tc>
        <w:tc>
          <w:tcPr>
            <w:tcW w:w="992" w:type="dxa"/>
            <w:shd w:val="clear" w:color="auto" w:fill="FFFFFF" w:themeFill="background1"/>
            <w:vAlign w:val="center"/>
          </w:tcPr>
          <w:p w:rsidR="00A71D96" w:rsidRPr="00680B23" w:rsidRDefault="00FB435D" w:rsidP="003C4A4E">
            <w:pPr>
              <w:spacing w:after="0" w:line="240" w:lineRule="auto"/>
              <w:jc w:val="right"/>
              <w:rPr>
                <w:rFonts w:ascii="Century" w:hAnsi="Century"/>
                <w:i/>
                <w:sz w:val="18"/>
                <w:szCs w:val="20"/>
              </w:rPr>
            </w:pPr>
            <w:r>
              <w:rPr>
                <w:rFonts w:ascii="Century" w:hAnsi="Century"/>
                <w:i/>
                <w:sz w:val="18"/>
                <w:szCs w:val="20"/>
              </w:rPr>
              <w:t>69,8</w:t>
            </w:r>
          </w:p>
        </w:tc>
        <w:tc>
          <w:tcPr>
            <w:tcW w:w="992" w:type="dxa"/>
            <w:shd w:val="clear" w:color="auto" w:fill="FFFFFF" w:themeFill="background1"/>
            <w:vAlign w:val="center"/>
          </w:tcPr>
          <w:p w:rsidR="00A71D96" w:rsidRPr="00680B23" w:rsidRDefault="00FB435D" w:rsidP="003C4A4E">
            <w:pPr>
              <w:spacing w:after="0" w:line="240" w:lineRule="auto"/>
              <w:jc w:val="right"/>
              <w:rPr>
                <w:rFonts w:ascii="Century" w:hAnsi="Century"/>
                <w:i/>
                <w:sz w:val="18"/>
                <w:szCs w:val="20"/>
              </w:rPr>
            </w:pPr>
            <w:r>
              <w:rPr>
                <w:rFonts w:ascii="Century" w:hAnsi="Century"/>
                <w:i/>
                <w:sz w:val="18"/>
                <w:szCs w:val="20"/>
              </w:rPr>
              <w:t>72,0</w:t>
            </w:r>
          </w:p>
        </w:tc>
      </w:tr>
      <w:tr w:rsidR="00A71D96" w:rsidRPr="00AD55E8" w:rsidTr="003C4A4E">
        <w:trPr>
          <w:trHeight w:val="340"/>
        </w:trPr>
        <w:tc>
          <w:tcPr>
            <w:tcW w:w="5131" w:type="dxa"/>
            <w:shd w:val="clear" w:color="auto" w:fill="F2F2F2"/>
            <w:vAlign w:val="center"/>
          </w:tcPr>
          <w:p w:rsidR="00A71D96" w:rsidRPr="00147A0A" w:rsidRDefault="00A71D96" w:rsidP="003C4A4E">
            <w:pPr>
              <w:spacing w:before="100" w:beforeAutospacing="1" w:after="0" w:afterAutospacing="1" w:line="240" w:lineRule="auto"/>
              <w:ind w:left="176"/>
              <w:jc w:val="both"/>
              <w:textAlignment w:val="top"/>
              <w:rPr>
                <w:rFonts w:ascii="Century" w:hAnsi="Century"/>
                <w:bCs/>
                <w:sz w:val="20"/>
                <w:szCs w:val="20"/>
                <w:lang w:eastAsia="ru-RU"/>
              </w:rPr>
            </w:pPr>
            <w:r w:rsidRPr="007F3176">
              <w:rPr>
                <w:rFonts w:ascii="Century" w:hAnsi="Century"/>
                <w:bCs/>
                <w:i/>
                <w:sz w:val="20"/>
                <w:szCs w:val="20"/>
                <w:lang w:eastAsia="ru-RU"/>
              </w:rPr>
              <w:t>из них: государственные гарантии</w:t>
            </w:r>
          </w:p>
        </w:tc>
        <w:tc>
          <w:tcPr>
            <w:tcW w:w="992" w:type="dxa"/>
            <w:shd w:val="clear" w:color="auto" w:fill="F2F2F2"/>
            <w:vAlign w:val="center"/>
          </w:tcPr>
          <w:p w:rsidR="00A71D96" w:rsidRPr="007F3176" w:rsidRDefault="00A71D96" w:rsidP="003C4A4E">
            <w:pPr>
              <w:spacing w:after="0" w:line="240" w:lineRule="auto"/>
              <w:jc w:val="right"/>
              <w:rPr>
                <w:rFonts w:ascii="Century" w:hAnsi="Century"/>
                <w:i/>
                <w:sz w:val="20"/>
                <w:szCs w:val="20"/>
              </w:rPr>
            </w:pPr>
            <w:r w:rsidRPr="007F3176">
              <w:rPr>
                <w:rFonts w:ascii="Century" w:hAnsi="Century"/>
                <w:i/>
                <w:sz w:val="20"/>
                <w:szCs w:val="20"/>
              </w:rPr>
              <w:t>2 019</w:t>
            </w:r>
          </w:p>
        </w:tc>
        <w:tc>
          <w:tcPr>
            <w:tcW w:w="992" w:type="dxa"/>
            <w:shd w:val="clear" w:color="auto" w:fill="F2F2F2"/>
            <w:vAlign w:val="center"/>
          </w:tcPr>
          <w:p w:rsidR="00A71D96" w:rsidRPr="007F3176" w:rsidRDefault="00A71D96" w:rsidP="003C4A4E">
            <w:pPr>
              <w:spacing w:after="0" w:line="240" w:lineRule="auto"/>
              <w:jc w:val="right"/>
              <w:rPr>
                <w:rFonts w:ascii="Century" w:hAnsi="Century"/>
                <w:i/>
                <w:sz w:val="20"/>
                <w:szCs w:val="20"/>
              </w:rPr>
            </w:pPr>
            <w:r>
              <w:rPr>
                <w:rFonts w:ascii="Century" w:hAnsi="Century"/>
                <w:i/>
                <w:sz w:val="20"/>
                <w:szCs w:val="20"/>
              </w:rPr>
              <w:t>2 375</w:t>
            </w:r>
          </w:p>
        </w:tc>
        <w:tc>
          <w:tcPr>
            <w:tcW w:w="992" w:type="dxa"/>
            <w:shd w:val="clear" w:color="auto" w:fill="F2F2F2"/>
            <w:vAlign w:val="center"/>
          </w:tcPr>
          <w:p w:rsidR="00A71D96" w:rsidRPr="007F3176" w:rsidRDefault="00A71D96" w:rsidP="003C4A4E">
            <w:pPr>
              <w:spacing w:after="0" w:line="240" w:lineRule="auto"/>
              <w:jc w:val="right"/>
              <w:rPr>
                <w:rFonts w:ascii="Century" w:hAnsi="Century"/>
                <w:i/>
                <w:sz w:val="20"/>
                <w:szCs w:val="20"/>
              </w:rPr>
            </w:pPr>
            <w:r>
              <w:rPr>
                <w:rFonts w:ascii="Century" w:hAnsi="Century"/>
                <w:i/>
                <w:sz w:val="20"/>
                <w:szCs w:val="20"/>
              </w:rPr>
              <w:t>2 424</w:t>
            </w:r>
          </w:p>
        </w:tc>
        <w:tc>
          <w:tcPr>
            <w:tcW w:w="992" w:type="dxa"/>
            <w:shd w:val="clear" w:color="auto" w:fill="F2F2F2"/>
            <w:vAlign w:val="center"/>
          </w:tcPr>
          <w:p w:rsidR="00A71D96" w:rsidRPr="007F3176" w:rsidRDefault="00A71D96" w:rsidP="003C4A4E">
            <w:pPr>
              <w:spacing w:after="0" w:line="240" w:lineRule="auto"/>
              <w:jc w:val="right"/>
              <w:rPr>
                <w:rFonts w:ascii="Century" w:hAnsi="Century"/>
                <w:i/>
                <w:sz w:val="20"/>
                <w:szCs w:val="20"/>
              </w:rPr>
            </w:pPr>
            <w:r>
              <w:rPr>
                <w:rFonts w:ascii="Century" w:hAnsi="Century"/>
                <w:i/>
                <w:sz w:val="20"/>
                <w:szCs w:val="20"/>
              </w:rPr>
              <w:t>2 473</w:t>
            </w:r>
          </w:p>
        </w:tc>
      </w:tr>
      <w:tr w:rsidR="00A71D96" w:rsidRPr="00AD55E8" w:rsidTr="003C4A4E">
        <w:trPr>
          <w:trHeight w:val="340"/>
        </w:trPr>
        <w:tc>
          <w:tcPr>
            <w:tcW w:w="5131" w:type="dxa"/>
            <w:shd w:val="clear" w:color="auto" w:fill="FFFFFF" w:themeFill="background1"/>
            <w:vAlign w:val="center"/>
          </w:tcPr>
          <w:p w:rsidR="00A71D96" w:rsidRPr="00147A0A" w:rsidRDefault="00A71D96" w:rsidP="003C4A4E">
            <w:pPr>
              <w:spacing w:before="100" w:beforeAutospacing="1" w:after="0" w:afterAutospacing="1" w:line="240" w:lineRule="auto"/>
              <w:ind w:left="176"/>
              <w:jc w:val="both"/>
              <w:textAlignment w:val="top"/>
              <w:rPr>
                <w:rFonts w:ascii="Century" w:hAnsi="Century"/>
                <w:b/>
                <w:bCs/>
                <w:i/>
                <w:iCs/>
                <w:sz w:val="20"/>
                <w:szCs w:val="20"/>
                <w:lang w:eastAsia="ru-RU"/>
              </w:rPr>
            </w:pPr>
            <w:r w:rsidRPr="00147A0A">
              <w:rPr>
                <w:rFonts w:ascii="Century" w:hAnsi="Century"/>
                <w:bCs/>
                <w:sz w:val="20"/>
                <w:szCs w:val="20"/>
                <w:lang w:eastAsia="ru-RU"/>
              </w:rPr>
              <w:t>Объем государственного внешнего долга</w:t>
            </w:r>
          </w:p>
        </w:tc>
        <w:tc>
          <w:tcPr>
            <w:tcW w:w="992" w:type="dxa"/>
            <w:shd w:val="clear" w:color="auto" w:fill="FFFFFF" w:themeFill="background1"/>
            <w:vAlign w:val="center"/>
          </w:tcPr>
          <w:p w:rsidR="00A71D96" w:rsidRPr="00680B23" w:rsidRDefault="00A71D96" w:rsidP="003C4A4E">
            <w:pPr>
              <w:spacing w:after="0" w:line="240" w:lineRule="auto"/>
              <w:jc w:val="right"/>
              <w:rPr>
                <w:rFonts w:ascii="Century" w:hAnsi="Century"/>
                <w:sz w:val="20"/>
                <w:szCs w:val="20"/>
              </w:rPr>
            </w:pPr>
            <w:r w:rsidRPr="00680B23">
              <w:rPr>
                <w:rFonts w:ascii="Century" w:hAnsi="Century"/>
                <w:sz w:val="20"/>
                <w:szCs w:val="20"/>
              </w:rPr>
              <w:t> 3 259</w:t>
            </w:r>
          </w:p>
        </w:tc>
        <w:tc>
          <w:tcPr>
            <w:tcW w:w="992" w:type="dxa"/>
            <w:shd w:val="clear" w:color="auto" w:fill="FFFFFF" w:themeFill="background1"/>
            <w:vAlign w:val="center"/>
          </w:tcPr>
          <w:p w:rsidR="00A71D96" w:rsidRPr="00680B23" w:rsidRDefault="00A71D96" w:rsidP="003C4A4E">
            <w:pPr>
              <w:spacing w:after="0" w:line="240" w:lineRule="auto"/>
              <w:jc w:val="right"/>
              <w:rPr>
                <w:rFonts w:ascii="Century" w:hAnsi="Century"/>
                <w:sz w:val="20"/>
                <w:szCs w:val="20"/>
              </w:rPr>
            </w:pPr>
            <w:r w:rsidRPr="00680B23">
              <w:rPr>
                <w:rFonts w:ascii="Century" w:hAnsi="Century"/>
                <w:sz w:val="20"/>
                <w:szCs w:val="20"/>
              </w:rPr>
              <w:t>4 733</w:t>
            </w:r>
          </w:p>
        </w:tc>
        <w:tc>
          <w:tcPr>
            <w:tcW w:w="992" w:type="dxa"/>
            <w:shd w:val="clear" w:color="auto" w:fill="FFFFFF" w:themeFill="background1"/>
            <w:vAlign w:val="center"/>
          </w:tcPr>
          <w:p w:rsidR="00A71D96" w:rsidRPr="00680B23" w:rsidRDefault="00A71D96" w:rsidP="003C4A4E">
            <w:pPr>
              <w:spacing w:after="0" w:line="240" w:lineRule="auto"/>
              <w:jc w:val="right"/>
              <w:rPr>
                <w:rFonts w:ascii="Century" w:hAnsi="Century"/>
                <w:sz w:val="20"/>
                <w:szCs w:val="20"/>
              </w:rPr>
            </w:pPr>
            <w:r w:rsidRPr="00680B23">
              <w:rPr>
                <w:rFonts w:ascii="Century" w:hAnsi="Century"/>
                <w:sz w:val="20"/>
                <w:szCs w:val="20"/>
              </w:rPr>
              <w:t>4 944</w:t>
            </w:r>
          </w:p>
        </w:tc>
        <w:tc>
          <w:tcPr>
            <w:tcW w:w="992" w:type="dxa"/>
            <w:shd w:val="clear" w:color="auto" w:fill="FFFFFF" w:themeFill="background1"/>
            <w:vAlign w:val="center"/>
          </w:tcPr>
          <w:p w:rsidR="00A71D96" w:rsidRPr="00680B23" w:rsidRDefault="00A71D96" w:rsidP="003C4A4E">
            <w:pPr>
              <w:spacing w:after="0" w:line="240" w:lineRule="auto"/>
              <w:jc w:val="right"/>
              <w:rPr>
                <w:rFonts w:ascii="Century" w:hAnsi="Century"/>
                <w:sz w:val="20"/>
                <w:szCs w:val="20"/>
              </w:rPr>
            </w:pPr>
            <w:r w:rsidRPr="00680B23">
              <w:rPr>
                <w:rFonts w:ascii="Century" w:hAnsi="Century"/>
                <w:sz w:val="20"/>
                <w:szCs w:val="20"/>
              </w:rPr>
              <w:t>4 950</w:t>
            </w:r>
          </w:p>
        </w:tc>
      </w:tr>
      <w:tr w:rsidR="00A71D96" w:rsidRPr="00AD55E8" w:rsidTr="003C4A4E">
        <w:trPr>
          <w:trHeight w:val="340"/>
        </w:trPr>
        <w:tc>
          <w:tcPr>
            <w:tcW w:w="5131" w:type="dxa"/>
            <w:shd w:val="clear" w:color="auto" w:fill="F2F2F2" w:themeFill="background1" w:themeFillShade="F2"/>
            <w:vAlign w:val="center"/>
          </w:tcPr>
          <w:p w:rsidR="00A71D96" w:rsidRPr="00147A0A" w:rsidRDefault="00A71D96" w:rsidP="003C4A4E">
            <w:pPr>
              <w:spacing w:before="100" w:beforeAutospacing="1" w:after="0" w:afterAutospacing="1" w:line="240" w:lineRule="auto"/>
              <w:ind w:left="176"/>
              <w:jc w:val="both"/>
              <w:textAlignment w:val="top"/>
              <w:rPr>
                <w:rFonts w:ascii="Century" w:hAnsi="Century"/>
                <w:b/>
                <w:bCs/>
                <w:i/>
                <w:iCs/>
                <w:sz w:val="20"/>
                <w:szCs w:val="20"/>
                <w:lang w:eastAsia="ru-RU"/>
              </w:rPr>
            </w:pPr>
            <w:r w:rsidRPr="00147A0A">
              <w:rPr>
                <w:rFonts w:ascii="Century" w:hAnsi="Century"/>
                <w:bCs/>
                <w:i/>
                <w:sz w:val="20"/>
                <w:szCs w:val="20"/>
                <w:lang w:eastAsia="ru-RU"/>
              </w:rPr>
              <w:t>%% к общему объему</w:t>
            </w:r>
          </w:p>
        </w:tc>
        <w:tc>
          <w:tcPr>
            <w:tcW w:w="992" w:type="dxa"/>
            <w:shd w:val="clear" w:color="auto" w:fill="F2F2F2" w:themeFill="background1" w:themeFillShade="F2"/>
            <w:vAlign w:val="center"/>
          </w:tcPr>
          <w:p w:rsidR="00A71D96" w:rsidRPr="00680B23" w:rsidRDefault="00A71D96" w:rsidP="003C4A4E">
            <w:pPr>
              <w:spacing w:after="0" w:line="240" w:lineRule="auto"/>
              <w:jc w:val="right"/>
              <w:rPr>
                <w:rFonts w:ascii="Century" w:hAnsi="Century"/>
                <w:sz w:val="20"/>
                <w:szCs w:val="20"/>
              </w:rPr>
            </w:pPr>
            <w:r w:rsidRPr="00680B23">
              <w:rPr>
                <w:rFonts w:ascii="Century" w:hAnsi="Century"/>
                <w:i/>
                <w:iCs/>
                <w:sz w:val="18"/>
                <w:szCs w:val="18"/>
              </w:rPr>
              <w:t>26,0</w:t>
            </w:r>
          </w:p>
        </w:tc>
        <w:tc>
          <w:tcPr>
            <w:tcW w:w="992" w:type="dxa"/>
            <w:shd w:val="clear" w:color="auto" w:fill="F2F2F2" w:themeFill="background1" w:themeFillShade="F2"/>
            <w:vAlign w:val="center"/>
          </w:tcPr>
          <w:p w:rsidR="00A71D96" w:rsidRPr="00680B23" w:rsidRDefault="00FB435D" w:rsidP="003C4A4E">
            <w:pPr>
              <w:spacing w:after="0" w:line="240" w:lineRule="auto"/>
              <w:jc w:val="right"/>
              <w:rPr>
                <w:rFonts w:ascii="Century" w:hAnsi="Century"/>
                <w:sz w:val="20"/>
                <w:szCs w:val="20"/>
              </w:rPr>
            </w:pPr>
            <w:r>
              <w:rPr>
                <w:rFonts w:ascii="Century" w:hAnsi="Century"/>
                <w:i/>
                <w:iCs/>
                <w:sz w:val="18"/>
                <w:szCs w:val="18"/>
              </w:rPr>
              <w:t>31,1</w:t>
            </w:r>
          </w:p>
        </w:tc>
        <w:tc>
          <w:tcPr>
            <w:tcW w:w="992" w:type="dxa"/>
            <w:shd w:val="clear" w:color="auto" w:fill="F2F2F2" w:themeFill="background1" w:themeFillShade="F2"/>
            <w:vAlign w:val="center"/>
          </w:tcPr>
          <w:p w:rsidR="00A71D96" w:rsidRPr="00680B23" w:rsidRDefault="00FB435D" w:rsidP="003C4A4E">
            <w:pPr>
              <w:spacing w:after="0" w:line="240" w:lineRule="auto"/>
              <w:jc w:val="right"/>
              <w:rPr>
                <w:rFonts w:ascii="Century" w:hAnsi="Century"/>
                <w:sz w:val="20"/>
                <w:szCs w:val="20"/>
              </w:rPr>
            </w:pPr>
            <w:r>
              <w:rPr>
                <w:rFonts w:ascii="Century" w:hAnsi="Century"/>
                <w:i/>
                <w:iCs/>
                <w:sz w:val="18"/>
                <w:szCs w:val="18"/>
              </w:rPr>
              <w:t>30,2</w:t>
            </w:r>
          </w:p>
        </w:tc>
        <w:tc>
          <w:tcPr>
            <w:tcW w:w="992" w:type="dxa"/>
            <w:shd w:val="clear" w:color="auto" w:fill="F2F2F2" w:themeFill="background1" w:themeFillShade="F2"/>
            <w:vAlign w:val="center"/>
          </w:tcPr>
          <w:p w:rsidR="00A71D96" w:rsidRPr="00680B23" w:rsidRDefault="00FB435D" w:rsidP="003C4A4E">
            <w:pPr>
              <w:spacing w:after="0" w:line="240" w:lineRule="auto"/>
              <w:jc w:val="right"/>
              <w:rPr>
                <w:rFonts w:ascii="Century" w:hAnsi="Century"/>
                <w:sz w:val="20"/>
                <w:szCs w:val="20"/>
              </w:rPr>
            </w:pPr>
            <w:r>
              <w:rPr>
                <w:rFonts w:ascii="Century" w:hAnsi="Century"/>
                <w:i/>
                <w:iCs/>
                <w:sz w:val="18"/>
                <w:szCs w:val="18"/>
              </w:rPr>
              <w:t>28,0</w:t>
            </w:r>
          </w:p>
        </w:tc>
      </w:tr>
      <w:tr w:rsidR="00A71D96" w:rsidRPr="00AD55E8" w:rsidTr="003C4A4E">
        <w:trPr>
          <w:trHeight w:val="340"/>
        </w:trPr>
        <w:tc>
          <w:tcPr>
            <w:tcW w:w="5131" w:type="dxa"/>
            <w:tcBorders>
              <w:bottom w:val="single" w:sz="4" w:space="0" w:color="auto"/>
            </w:tcBorders>
            <w:vAlign w:val="center"/>
          </w:tcPr>
          <w:p w:rsidR="00A71D96" w:rsidRPr="00147A0A" w:rsidRDefault="00A71D96" w:rsidP="003C4A4E">
            <w:pPr>
              <w:spacing w:before="100" w:beforeAutospacing="1" w:after="0" w:afterAutospacing="1" w:line="240" w:lineRule="auto"/>
              <w:ind w:left="176"/>
              <w:jc w:val="both"/>
              <w:textAlignment w:val="top"/>
              <w:rPr>
                <w:rFonts w:ascii="Century" w:hAnsi="Century"/>
                <w:bCs/>
                <w:i/>
                <w:sz w:val="20"/>
                <w:szCs w:val="20"/>
                <w:lang w:eastAsia="ru-RU"/>
              </w:rPr>
            </w:pPr>
            <w:r w:rsidRPr="007F3176">
              <w:rPr>
                <w:rFonts w:ascii="Century" w:hAnsi="Century"/>
                <w:bCs/>
                <w:i/>
                <w:sz w:val="20"/>
                <w:szCs w:val="20"/>
                <w:lang w:eastAsia="ru-RU"/>
              </w:rPr>
              <w:t>из них: государственные гарантии</w:t>
            </w:r>
          </w:p>
        </w:tc>
        <w:tc>
          <w:tcPr>
            <w:tcW w:w="992" w:type="dxa"/>
            <w:tcBorders>
              <w:bottom w:val="single" w:sz="4" w:space="0" w:color="auto"/>
            </w:tcBorders>
            <w:vAlign w:val="center"/>
          </w:tcPr>
          <w:p w:rsidR="00A71D96" w:rsidRPr="007F3176" w:rsidRDefault="00A71D96" w:rsidP="003C4A4E">
            <w:pPr>
              <w:spacing w:after="0" w:line="240" w:lineRule="auto"/>
              <w:jc w:val="right"/>
              <w:rPr>
                <w:rFonts w:ascii="Century" w:hAnsi="Century"/>
                <w:i/>
                <w:iCs/>
                <w:sz w:val="18"/>
                <w:szCs w:val="18"/>
              </w:rPr>
            </w:pPr>
            <w:r w:rsidRPr="007F3176">
              <w:rPr>
                <w:rFonts w:ascii="Century" w:hAnsi="Century"/>
                <w:i/>
                <w:iCs/>
                <w:sz w:val="18"/>
                <w:szCs w:val="18"/>
              </w:rPr>
              <w:t>773</w:t>
            </w:r>
          </w:p>
        </w:tc>
        <w:tc>
          <w:tcPr>
            <w:tcW w:w="992" w:type="dxa"/>
            <w:tcBorders>
              <w:bottom w:val="single" w:sz="4" w:space="0" w:color="auto"/>
            </w:tcBorders>
            <w:vAlign w:val="center"/>
          </w:tcPr>
          <w:p w:rsidR="00A71D96" w:rsidRPr="007F3176" w:rsidRDefault="00A71D96" w:rsidP="003C4A4E">
            <w:pPr>
              <w:spacing w:after="0" w:line="240" w:lineRule="auto"/>
              <w:jc w:val="right"/>
              <w:rPr>
                <w:rFonts w:ascii="Century" w:hAnsi="Century"/>
                <w:i/>
                <w:iCs/>
                <w:sz w:val="18"/>
                <w:szCs w:val="18"/>
              </w:rPr>
            </w:pPr>
            <w:r w:rsidRPr="007F3176">
              <w:rPr>
                <w:rFonts w:ascii="Century" w:hAnsi="Century"/>
                <w:i/>
                <w:iCs/>
                <w:sz w:val="18"/>
                <w:szCs w:val="18"/>
              </w:rPr>
              <w:t>2 213</w:t>
            </w:r>
          </w:p>
        </w:tc>
        <w:tc>
          <w:tcPr>
            <w:tcW w:w="992" w:type="dxa"/>
            <w:tcBorders>
              <w:bottom w:val="single" w:sz="4" w:space="0" w:color="auto"/>
            </w:tcBorders>
            <w:vAlign w:val="center"/>
          </w:tcPr>
          <w:p w:rsidR="00A71D96" w:rsidRPr="007F3176" w:rsidRDefault="00A71D96" w:rsidP="003C4A4E">
            <w:pPr>
              <w:spacing w:after="0" w:line="240" w:lineRule="auto"/>
              <w:jc w:val="right"/>
              <w:rPr>
                <w:rFonts w:ascii="Century" w:hAnsi="Century"/>
                <w:i/>
                <w:iCs/>
                <w:sz w:val="18"/>
                <w:szCs w:val="18"/>
              </w:rPr>
            </w:pPr>
            <w:r>
              <w:rPr>
                <w:rFonts w:ascii="Century" w:hAnsi="Century"/>
                <w:i/>
                <w:iCs/>
                <w:sz w:val="18"/>
                <w:szCs w:val="18"/>
              </w:rPr>
              <w:t>2 344</w:t>
            </w:r>
          </w:p>
        </w:tc>
        <w:tc>
          <w:tcPr>
            <w:tcW w:w="992" w:type="dxa"/>
            <w:tcBorders>
              <w:bottom w:val="single" w:sz="4" w:space="0" w:color="auto"/>
            </w:tcBorders>
            <w:vAlign w:val="center"/>
          </w:tcPr>
          <w:p w:rsidR="00A71D96" w:rsidRPr="007F3176" w:rsidRDefault="00A71D96" w:rsidP="003C4A4E">
            <w:pPr>
              <w:spacing w:after="0" w:line="240" w:lineRule="auto"/>
              <w:jc w:val="right"/>
              <w:rPr>
                <w:rFonts w:ascii="Century" w:hAnsi="Century"/>
                <w:i/>
                <w:iCs/>
                <w:sz w:val="18"/>
                <w:szCs w:val="18"/>
              </w:rPr>
            </w:pPr>
            <w:r>
              <w:rPr>
                <w:rFonts w:ascii="Century" w:hAnsi="Century"/>
                <w:i/>
                <w:iCs/>
                <w:sz w:val="18"/>
                <w:szCs w:val="18"/>
              </w:rPr>
              <w:t>2 472</w:t>
            </w:r>
          </w:p>
        </w:tc>
      </w:tr>
    </w:tbl>
    <w:p w:rsidR="00A71D96" w:rsidRDefault="00A71D96" w:rsidP="00A71D96">
      <w:pPr>
        <w:spacing w:before="120" w:after="120"/>
        <w:ind w:right="-425"/>
        <w:jc w:val="both"/>
        <w:rPr>
          <w:rFonts w:ascii="Times New Roman" w:hAnsi="Times New Roman"/>
          <w:sz w:val="24"/>
          <w:szCs w:val="24"/>
        </w:rPr>
      </w:pPr>
    </w:p>
    <w:p w:rsidR="00A71D96" w:rsidRPr="007867FE" w:rsidRDefault="00A71D96" w:rsidP="00A71D96">
      <w:pPr>
        <w:pStyle w:val="20"/>
        <w:numPr>
          <w:ilvl w:val="1"/>
          <w:numId w:val="3"/>
        </w:numPr>
        <w:spacing w:before="240" w:after="240"/>
        <w:rPr>
          <w:rFonts w:ascii="Times New Roman" w:hAnsi="Times New Roman"/>
          <w:sz w:val="28"/>
          <w:szCs w:val="28"/>
        </w:rPr>
      </w:pPr>
      <w:bookmarkStart w:id="28" w:name="_Toc494788042"/>
      <w:r w:rsidRPr="007867FE">
        <w:rPr>
          <w:rFonts w:ascii="Times New Roman" w:hAnsi="Times New Roman"/>
          <w:sz w:val="28"/>
          <w:szCs w:val="28"/>
        </w:rPr>
        <w:t>БЮДЖЕТЫ СУБЪЕКТОВ</w:t>
      </w:r>
      <w:r>
        <w:rPr>
          <w:rFonts w:ascii="Times New Roman" w:hAnsi="Times New Roman"/>
          <w:sz w:val="28"/>
          <w:szCs w:val="28"/>
        </w:rPr>
        <w:t xml:space="preserve"> РОССИЙСКОЙ ФЕДЕРАЦИИ</w:t>
      </w:r>
      <w:bookmarkEnd w:id="28"/>
    </w:p>
    <w:p w:rsidR="00A71D96" w:rsidRPr="000D2840" w:rsidRDefault="00A71D96" w:rsidP="00A71D96">
      <w:pPr>
        <w:spacing w:before="120" w:after="120"/>
        <w:jc w:val="both"/>
        <w:rPr>
          <w:rFonts w:ascii="Times New Roman" w:hAnsi="Times New Roman"/>
          <w:sz w:val="24"/>
          <w:szCs w:val="24"/>
        </w:rPr>
      </w:pPr>
      <w:r w:rsidRPr="000D2840">
        <w:rPr>
          <w:rFonts w:ascii="Times New Roman" w:hAnsi="Times New Roman"/>
          <w:sz w:val="24"/>
          <w:szCs w:val="24"/>
        </w:rPr>
        <w:t xml:space="preserve">Реализация в 2018-2020 гг. бюджетной политики в сфере межбюджетных отношений, направленной на достижение основных целей и решение задач, обозначенных в разделе 3.4, позволит </w:t>
      </w:r>
      <w:r>
        <w:rPr>
          <w:rFonts w:ascii="Times New Roman" w:hAnsi="Times New Roman"/>
          <w:sz w:val="24"/>
          <w:szCs w:val="24"/>
        </w:rPr>
        <w:t xml:space="preserve">стабилизировать </w:t>
      </w:r>
      <w:r w:rsidRPr="000D2840">
        <w:rPr>
          <w:rFonts w:ascii="Times New Roman" w:hAnsi="Times New Roman"/>
          <w:sz w:val="24"/>
          <w:szCs w:val="24"/>
        </w:rPr>
        <w:t xml:space="preserve">дефицит консолидированных бюджетов субъектов </w:t>
      </w:r>
      <w:r>
        <w:rPr>
          <w:rFonts w:ascii="Times New Roman" w:hAnsi="Times New Roman"/>
          <w:sz w:val="24"/>
          <w:szCs w:val="24"/>
        </w:rPr>
        <w:t>в пределах 0,1% ВВП</w:t>
      </w:r>
      <w:r w:rsidRPr="000D2840">
        <w:rPr>
          <w:rFonts w:ascii="Times New Roman" w:hAnsi="Times New Roman"/>
          <w:sz w:val="24"/>
          <w:szCs w:val="24"/>
        </w:rPr>
        <w:t>.</w:t>
      </w:r>
    </w:p>
    <w:p w:rsidR="00A71D96" w:rsidRPr="007402CD" w:rsidRDefault="00A71D96" w:rsidP="00A71D96">
      <w:pPr>
        <w:spacing w:before="120" w:after="120"/>
        <w:ind w:right="-2"/>
        <w:rPr>
          <w:rFonts w:ascii="Times New Roman" w:hAnsi="Times New Roman"/>
          <w:bCs/>
          <w:sz w:val="24"/>
          <w:szCs w:val="28"/>
        </w:rPr>
      </w:pPr>
      <w:r w:rsidRPr="000D2840">
        <w:rPr>
          <w:rFonts w:ascii="Times New Roman" w:hAnsi="Times New Roman"/>
          <w:b/>
          <w:sz w:val="24"/>
        </w:rPr>
        <w:t xml:space="preserve">Таблица </w:t>
      </w:r>
      <w:r w:rsidRPr="002B72A8">
        <w:rPr>
          <w:rFonts w:ascii="Times New Roman" w:hAnsi="Times New Roman"/>
          <w:b/>
          <w:sz w:val="24"/>
        </w:rPr>
        <w:t>4</w:t>
      </w:r>
      <w:r w:rsidRPr="000D2840">
        <w:rPr>
          <w:rFonts w:ascii="Times New Roman" w:hAnsi="Times New Roman"/>
          <w:b/>
          <w:sz w:val="24"/>
        </w:rPr>
        <w:t>.2.1</w:t>
      </w:r>
      <w:r w:rsidRPr="000D2840">
        <w:rPr>
          <w:rFonts w:ascii="Times New Roman" w:hAnsi="Times New Roman"/>
          <w:b/>
          <w:sz w:val="24"/>
          <w:szCs w:val="24"/>
        </w:rPr>
        <w:t>.</w:t>
      </w:r>
      <w:r w:rsidRPr="000D2840">
        <w:rPr>
          <w:rFonts w:ascii="Times New Roman" w:hAnsi="Times New Roman"/>
          <w:sz w:val="24"/>
        </w:rPr>
        <w:t xml:space="preserve"> О</w:t>
      </w:r>
      <w:r w:rsidRPr="000D2840">
        <w:rPr>
          <w:rFonts w:ascii="Times New Roman" w:hAnsi="Times New Roman"/>
          <w:bCs/>
          <w:sz w:val="24"/>
          <w:szCs w:val="28"/>
        </w:rPr>
        <w:t>сновные параметры консолидированных бюджетов субъектов в 2017-2020</w:t>
      </w:r>
      <w:r>
        <w:rPr>
          <w:rFonts w:ascii="Times New Roman" w:hAnsi="Times New Roman"/>
          <w:bCs/>
          <w:sz w:val="24"/>
          <w:szCs w:val="28"/>
        </w:rPr>
        <w:t xml:space="preserve"> гг.</w:t>
      </w:r>
    </w:p>
    <w:p w:rsidR="00A71D96" w:rsidRPr="007402CD" w:rsidRDefault="00A71D96" w:rsidP="00A71D96">
      <w:pPr>
        <w:autoSpaceDE w:val="0"/>
        <w:autoSpaceDN w:val="0"/>
        <w:adjustRightInd w:val="0"/>
        <w:spacing w:before="120" w:after="0"/>
        <w:jc w:val="right"/>
        <w:rPr>
          <w:rFonts w:ascii="Times New Roman" w:hAnsi="Times New Roman"/>
          <w:i/>
          <w:sz w:val="24"/>
          <w:szCs w:val="24"/>
        </w:rPr>
      </w:pPr>
      <w:proofErr w:type="gramStart"/>
      <w:r w:rsidRPr="007402CD">
        <w:rPr>
          <w:rFonts w:ascii="Times New Roman" w:hAnsi="Times New Roman"/>
          <w:i/>
          <w:sz w:val="24"/>
          <w:szCs w:val="24"/>
        </w:rPr>
        <w:t>млрд</w:t>
      </w:r>
      <w:proofErr w:type="gramEnd"/>
      <w:r w:rsidRPr="007402CD">
        <w:rPr>
          <w:rFonts w:ascii="Times New Roman" w:hAnsi="Times New Roman"/>
          <w:i/>
          <w:sz w:val="24"/>
          <w:szCs w:val="24"/>
        </w:rPr>
        <w:t xml:space="preserve"> рублей</w:t>
      </w:r>
    </w:p>
    <w:tbl>
      <w:tblPr>
        <w:tblW w:w="9090" w:type="dxa"/>
        <w:tblLayout w:type="fixed"/>
        <w:tblLook w:val="00A0" w:firstRow="1" w:lastRow="0" w:firstColumn="1" w:lastColumn="0" w:noHBand="0" w:noVBand="0"/>
      </w:tblPr>
      <w:tblGrid>
        <w:gridCol w:w="5014"/>
        <w:gridCol w:w="1019"/>
        <w:gridCol w:w="1019"/>
        <w:gridCol w:w="1019"/>
        <w:gridCol w:w="1019"/>
      </w:tblGrid>
      <w:tr w:rsidR="00A71D96" w:rsidRPr="000D2840" w:rsidTr="00F2417A">
        <w:trPr>
          <w:trHeight w:val="397"/>
        </w:trPr>
        <w:tc>
          <w:tcPr>
            <w:tcW w:w="5014" w:type="dxa"/>
            <w:tcBorders>
              <w:top w:val="single" w:sz="4" w:space="0" w:color="auto"/>
              <w:left w:val="nil"/>
              <w:bottom w:val="single" w:sz="4" w:space="0" w:color="auto"/>
              <w:right w:val="nil"/>
            </w:tcBorders>
          </w:tcPr>
          <w:p w:rsidR="00A71D96" w:rsidRPr="00F2417A" w:rsidRDefault="00A71D96" w:rsidP="00F2417A">
            <w:pPr>
              <w:spacing w:after="0" w:line="240" w:lineRule="auto"/>
              <w:contextualSpacing/>
              <w:rPr>
                <w:rFonts w:ascii="Century" w:hAnsi="Century"/>
                <w:b/>
                <w:bCs/>
                <w:szCs w:val="24"/>
              </w:rPr>
            </w:pPr>
            <w:r w:rsidRPr="00F2417A">
              <w:rPr>
                <w:rFonts w:ascii="Century" w:hAnsi="Century"/>
                <w:b/>
                <w:bCs/>
                <w:szCs w:val="24"/>
              </w:rPr>
              <w:t>Показатель</w:t>
            </w:r>
          </w:p>
        </w:tc>
        <w:tc>
          <w:tcPr>
            <w:tcW w:w="1019" w:type="dxa"/>
            <w:tcBorders>
              <w:top w:val="single" w:sz="4" w:space="0" w:color="auto"/>
              <w:left w:val="nil"/>
              <w:bottom w:val="single" w:sz="4" w:space="0" w:color="auto"/>
              <w:right w:val="nil"/>
            </w:tcBorders>
          </w:tcPr>
          <w:p w:rsidR="00A71D96" w:rsidRPr="00F2417A" w:rsidRDefault="00A71D96" w:rsidP="00F2417A">
            <w:pPr>
              <w:spacing w:after="0" w:line="240" w:lineRule="auto"/>
              <w:contextualSpacing/>
              <w:jc w:val="right"/>
              <w:rPr>
                <w:rFonts w:ascii="Century" w:hAnsi="Century"/>
                <w:b/>
                <w:bCs/>
                <w:szCs w:val="24"/>
              </w:rPr>
            </w:pPr>
            <w:r w:rsidRPr="00F2417A">
              <w:rPr>
                <w:rFonts w:ascii="Century" w:hAnsi="Century"/>
                <w:b/>
                <w:bCs/>
                <w:szCs w:val="24"/>
              </w:rPr>
              <w:t>2017</w:t>
            </w:r>
          </w:p>
        </w:tc>
        <w:tc>
          <w:tcPr>
            <w:tcW w:w="1019" w:type="dxa"/>
            <w:tcBorders>
              <w:top w:val="single" w:sz="4" w:space="0" w:color="auto"/>
              <w:left w:val="nil"/>
              <w:bottom w:val="single" w:sz="4" w:space="0" w:color="auto"/>
              <w:right w:val="nil"/>
            </w:tcBorders>
          </w:tcPr>
          <w:p w:rsidR="00A71D96" w:rsidRPr="00F2417A" w:rsidRDefault="00A71D96" w:rsidP="00F2417A">
            <w:pPr>
              <w:spacing w:after="0" w:line="240" w:lineRule="auto"/>
              <w:contextualSpacing/>
              <w:jc w:val="right"/>
              <w:rPr>
                <w:rFonts w:ascii="Century" w:hAnsi="Century"/>
                <w:b/>
                <w:bCs/>
                <w:szCs w:val="24"/>
              </w:rPr>
            </w:pPr>
            <w:r w:rsidRPr="00F2417A">
              <w:rPr>
                <w:rFonts w:ascii="Century" w:hAnsi="Century"/>
                <w:b/>
                <w:bCs/>
                <w:szCs w:val="24"/>
              </w:rPr>
              <w:t>2018</w:t>
            </w:r>
          </w:p>
        </w:tc>
        <w:tc>
          <w:tcPr>
            <w:tcW w:w="1019" w:type="dxa"/>
            <w:tcBorders>
              <w:top w:val="single" w:sz="4" w:space="0" w:color="auto"/>
              <w:left w:val="nil"/>
              <w:bottom w:val="single" w:sz="4" w:space="0" w:color="auto"/>
              <w:right w:val="nil"/>
            </w:tcBorders>
          </w:tcPr>
          <w:p w:rsidR="00A71D96" w:rsidRPr="00F2417A" w:rsidRDefault="00A71D96" w:rsidP="00F2417A">
            <w:pPr>
              <w:spacing w:after="0" w:line="240" w:lineRule="auto"/>
              <w:contextualSpacing/>
              <w:jc w:val="right"/>
              <w:rPr>
                <w:rFonts w:ascii="Century" w:hAnsi="Century"/>
                <w:b/>
                <w:bCs/>
                <w:szCs w:val="24"/>
              </w:rPr>
            </w:pPr>
            <w:r w:rsidRPr="00F2417A">
              <w:rPr>
                <w:rFonts w:ascii="Century" w:hAnsi="Century"/>
                <w:b/>
                <w:bCs/>
                <w:szCs w:val="24"/>
              </w:rPr>
              <w:t>2019</w:t>
            </w:r>
          </w:p>
        </w:tc>
        <w:tc>
          <w:tcPr>
            <w:tcW w:w="1019" w:type="dxa"/>
            <w:tcBorders>
              <w:top w:val="single" w:sz="4" w:space="0" w:color="auto"/>
              <w:left w:val="nil"/>
              <w:bottom w:val="single" w:sz="4" w:space="0" w:color="auto"/>
              <w:right w:val="nil"/>
            </w:tcBorders>
          </w:tcPr>
          <w:p w:rsidR="00A71D96" w:rsidRPr="00F2417A" w:rsidRDefault="00A71D96" w:rsidP="00F2417A">
            <w:pPr>
              <w:spacing w:after="0" w:line="240" w:lineRule="auto"/>
              <w:contextualSpacing/>
              <w:jc w:val="right"/>
              <w:rPr>
                <w:rFonts w:ascii="Century" w:hAnsi="Century"/>
                <w:b/>
                <w:bCs/>
                <w:szCs w:val="24"/>
              </w:rPr>
            </w:pPr>
            <w:r w:rsidRPr="00F2417A">
              <w:rPr>
                <w:rFonts w:ascii="Century" w:hAnsi="Century"/>
                <w:b/>
                <w:bCs/>
                <w:szCs w:val="24"/>
              </w:rPr>
              <w:t>2020</w:t>
            </w:r>
          </w:p>
        </w:tc>
      </w:tr>
      <w:tr w:rsidR="00A71D96" w:rsidRPr="00BD3519" w:rsidTr="003C4A4E">
        <w:trPr>
          <w:trHeight w:val="397"/>
        </w:trPr>
        <w:tc>
          <w:tcPr>
            <w:tcW w:w="5014" w:type="dxa"/>
            <w:tcBorders>
              <w:top w:val="single" w:sz="4" w:space="0" w:color="auto"/>
              <w:left w:val="nil"/>
              <w:bottom w:val="nil"/>
              <w:right w:val="nil"/>
            </w:tcBorders>
            <w:shd w:val="clear" w:color="auto" w:fill="F2F2F2"/>
            <w:vAlign w:val="center"/>
          </w:tcPr>
          <w:p w:rsidR="00A71D96" w:rsidRPr="00A71D96" w:rsidRDefault="00A71D96" w:rsidP="00F2417A">
            <w:pPr>
              <w:spacing w:after="0" w:line="240" w:lineRule="auto"/>
              <w:contextualSpacing/>
              <w:rPr>
                <w:rFonts w:ascii="Century" w:hAnsi="Century"/>
                <w:b/>
                <w:bCs/>
                <w:color w:val="000000"/>
                <w:sz w:val="20"/>
                <w:szCs w:val="20"/>
                <w:lang w:eastAsia="ru-RU"/>
              </w:rPr>
            </w:pPr>
            <w:r w:rsidRPr="00A71D96">
              <w:rPr>
                <w:rFonts w:ascii="Century" w:hAnsi="Century"/>
                <w:b/>
                <w:color w:val="000000"/>
                <w:sz w:val="20"/>
                <w:szCs w:val="20"/>
                <w:lang w:eastAsia="ru-RU"/>
              </w:rPr>
              <w:t>Доходы</w:t>
            </w:r>
          </w:p>
        </w:tc>
        <w:tc>
          <w:tcPr>
            <w:tcW w:w="1019" w:type="dxa"/>
            <w:tcBorders>
              <w:top w:val="single" w:sz="4" w:space="0" w:color="auto"/>
              <w:left w:val="nil"/>
              <w:bottom w:val="nil"/>
              <w:right w:val="nil"/>
            </w:tcBorders>
            <w:shd w:val="clear" w:color="auto" w:fill="F2F2F2"/>
            <w:vAlign w:val="center"/>
          </w:tcPr>
          <w:p w:rsidR="00A71D96" w:rsidRPr="00BD3519" w:rsidRDefault="00A71D96" w:rsidP="00DF7C4D">
            <w:pPr>
              <w:spacing w:after="0" w:line="240" w:lineRule="auto"/>
              <w:contextualSpacing/>
              <w:jc w:val="right"/>
              <w:rPr>
                <w:rFonts w:ascii="Century" w:hAnsi="Century"/>
                <w:b/>
                <w:sz w:val="20"/>
                <w:szCs w:val="20"/>
              </w:rPr>
            </w:pPr>
            <w:r w:rsidRPr="00BD3519">
              <w:rPr>
                <w:rFonts w:ascii="Century" w:hAnsi="Century"/>
                <w:b/>
                <w:sz w:val="20"/>
                <w:szCs w:val="20"/>
              </w:rPr>
              <w:t>10 6</w:t>
            </w:r>
            <w:r w:rsidR="00DF7C4D">
              <w:rPr>
                <w:rFonts w:ascii="Century" w:hAnsi="Century"/>
                <w:b/>
                <w:sz w:val="20"/>
                <w:szCs w:val="20"/>
              </w:rPr>
              <w:t>41</w:t>
            </w:r>
          </w:p>
        </w:tc>
        <w:tc>
          <w:tcPr>
            <w:tcW w:w="1019" w:type="dxa"/>
            <w:tcBorders>
              <w:top w:val="single" w:sz="4" w:space="0" w:color="auto"/>
              <w:left w:val="nil"/>
              <w:bottom w:val="nil"/>
              <w:right w:val="nil"/>
            </w:tcBorders>
            <w:shd w:val="clear" w:color="auto" w:fill="F2F2F2"/>
            <w:vAlign w:val="center"/>
          </w:tcPr>
          <w:p w:rsidR="00A71D96" w:rsidRPr="00BD3519" w:rsidRDefault="00A71D96" w:rsidP="00F2417A">
            <w:pPr>
              <w:spacing w:after="0" w:line="240" w:lineRule="auto"/>
              <w:contextualSpacing/>
              <w:jc w:val="right"/>
              <w:rPr>
                <w:rFonts w:ascii="Century" w:hAnsi="Century"/>
                <w:b/>
                <w:sz w:val="20"/>
                <w:szCs w:val="20"/>
              </w:rPr>
            </w:pPr>
            <w:r>
              <w:rPr>
                <w:rFonts w:ascii="Century" w:hAnsi="Century"/>
                <w:b/>
                <w:sz w:val="20"/>
                <w:szCs w:val="20"/>
              </w:rPr>
              <w:t>11 259</w:t>
            </w:r>
          </w:p>
        </w:tc>
        <w:tc>
          <w:tcPr>
            <w:tcW w:w="1019" w:type="dxa"/>
            <w:tcBorders>
              <w:top w:val="single" w:sz="4" w:space="0" w:color="auto"/>
              <w:left w:val="nil"/>
              <w:bottom w:val="nil"/>
              <w:right w:val="nil"/>
            </w:tcBorders>
            <w:shd w:val="clear" w:color="auto" w:fill="F2F2F2"/>
            <w:vAlign w:val="center"/>
          </w:tcPr>
          <w:p w:rsidR="00A71D96" w:rsidRPr="00BD3519" w:rsidRDefault="00A71D96" w:rsidP="00F2417A">
            <w:pPr>
              <w:spacing w:after="0" w:line="240" w:lineRule="auto"/>
              <w:contextualSpacing/>
              <w:jc w:val="right"/>
              <w:rPr>
                <w:rFonts w:ascii="Century" w:hAnsi="Century"/>
                <w:b/>
                <w:sz w:val="20"/>
                <w:szCs w:val="20"/>
              </w:rPr>
            </w:pPr>
            <w:r>
              <w:rPr>
                <w:rFonts w:ascii="Century" w:hAnsi="Century"/>
                <w:b/>
                <w:sz w:val="20"/>
                <w:szCs w:val="20"/>
              </w:rPr>
              <w:t>11 749</w:t>
            </w:r>
          </w:p>
        </w:tc>
        <w:tc>
          <w:tcPr>
            <w:tcW w:w="1019" w:type="dxa"/>
            <w:tcBorders>
              <w:top w:val="single" w:sz="4" w:space="0" w:color="auto"/>
              <w:left w:val="nil"/>
              <w:bottom w:val="nil"/>
              <w:right w:val="nil"/>
            </w:tcBorders>
            <w:shd w:val="clear" w:color="auto" w:fill="F2F2F2"/>
            <w:vAlign w:val="center"/>
          </w:tcPr>
          <w:p w:rsidR="00A71D96" w:rsidRPr="00BD3519" w:rsidRDefault="00A71D96" w:rsidP="00F2417A">
            <w:pPr>
              <w:spacing w:after="0" w:line="240" w:lineRule="auto"/>
              <w:contextualSpacing/>
              <w:jc w:val="right"/>
              <w:rPr>
                <w:rFonts w:ascii="Century" w:hAnsi="Century"/>
                <w:b/>
                <w:sz w:val="20"/>
                <w:szCs w:val="20"/>
              </w:rPr>
            </w:pPr>
            <w:r>
              <w:rPr>
                <w:rFonts w:ascii="Century" w:hAnsi="Century"/>
                <w:b/>
                <w:sz w:val="20"/>
                <w:szCs w:val="20"/>
              </w:rPr>
              <w:t>12 406</w:t>
            </w:r>
          </w:p>
        </w:tc>
      </w:tr>
      <w:tr w:rsidR="00A71D96" w:rsidRPr="000D2840" w:rsidTr="003C4A4E">
        <w:trPr>
          <w:trHeight w:val="397"/>
        </w:trPr>
        <w:tc>
          <w:tcPr>
            <w:tcW w:w="5014" w:type="dxa"/>
            <w:vAlign w:val="center"/>
          </w:tcPr>
          <w:p w:rsidR="00A71D96" w:rsidRPr="00A71D96" w:rsidRDefault="00A71D96" w:rsidP="00F2417A">
            <w:pPr>
              <w:spacing w:after="0" w:line="240" w:lineRule="auto"/>
              <w:contextualSpacing/>
              <w:rPr>
                <w:rFonts w:ascii="Century" w:hAnsi="Century"/>
                <w:b/>
                <w:bCs/>
                <w:color w:val="000000"/>
                <w:sz w:val="20"/>
                <w:szCs w:val="20"/>
                <w:lang w:eastAsia="ru-RU"/>
              </w:rPr>
            </w:pPr>
            <w:r w:rsidRPr="00A71D96">
              <w:rPr>
                <w:rFonts w:ascii="Century" w:hAnsi="Century"/>
                <w:bCs/>
                <w:i/>
                <w:iCs/>
                <w:color w:val="000000"/>
                <w:sz w:val="20"/>
                <w:szCs w:val="20"/>
                <w:lang w:eastAsia="ru-RU"/>
              </w:rPr>
              <w:t>%% ВВП</w:t>
            </w:r>
          </w:p>
        </w:tc>
        <w:tc>
          <w:tcPr>
            <w:tcW w:w="1019" w:type="dxa"/>
            <w:vAlign w:val="center"/>
          </w:tcPr>
          <w:p w:rsidR="00A71D96" w:rsidRPr="00276F18" w:rsidRDefault="00A71D96" w:rsidP="00DF7C4D">
            <w:pPr>
              <w:spacing w:after="0" w:line="240" w:lineRule="auto"/>
              <w:contextualSpacing/>
              <w:jc w:val="right"/>
              <w:rPr>
                <w:rFonts w:ascii="Century" w:hAnsi="Century"/>
                <w:i/>
                <w:sz w:val="20"/>
                <w:szCs w:val="20"/>
              </w:rPr>
            </w:pPr>
            <w:r w:rsidRPr="00276F18">
              <w:rPr>
                <w:rFonts w:ascii="Century" w:hAnsi="Century"/>
                <w:i/>
                <w:sz w:val="20"/>
                <w:szCs w:val="20"/>
              </w:rPr>
              <w:t>11,</w:t>
            </w:r>
            <w:r w:rsidR="00DF7C4D">
              <w:rPr>
                <w:rFonts w:ascii="Century" w:hAnsi="Century"/>
                <w:i/>
                <w:sz w:val="20"/>
                <w:szCs w:val="20"/>
              </w:rPr>
              <w:t>5</w:t>
            </w:r>
          </w:p>
        </w:tc>
        <w:tc>
          <w:tcPr>
            <w:tcW w:w="1019" w:type="dxa"/>
            <w:vAlign w:val="center"/>
          </w:tcPr>
          <w:p w:rsidR="00A71D96" w:rsidRPr="00276F18" w:rsidRDefault="00A71D96" w:rsidP="00F2417A">
            <w:pPr>
              <w:spacing w:after="0" w:line="240" w:lineRule="auto"/>
              <w:contextualSpacing/>
              <w:jc w:val="right"/>
              <w:rPr>
                <w:rFonts w:ascii="Century" w:hAnsi="Century"/>
                <w:i/>
                <w:sz w:val="20"/>
                <w:szCs w:val="20"/>
              </w:rPr>
            </w:pPr>
            <w:r>
              <w:rPr>
                <w:rFonts w:ascii="Century" w:hAnsi="Century"/>
                <w:i/>
                <w:sz w:val="20"/>
                <w:szCs w:val="20"/>
              </w:rPr>
              <w:t>11,6</w:t>
            </w:r>
          </w:p>
        </w:tc>
        <w:tc>
          <w:tcPr>
            <w:tcW w:w="1019" w:type="dxa"/>
            <w:vAlign w:val="center"/>
          </w:tcPr>
          <w:p w:rsidR="00A71D96" w:rsidRPr="00276F18" w:rsidRDefault="00A71D96" w:rsidP="00F2417A">
            <w:pPr>
              <w:spacing w:after="0" w:line="240" w:lineRule="auto"/>
              <w:contextualSpacing/>
              <w:jc w:val="right"/>
              <w:rPr>
                <w:rFonts w:ascii="Century" w:hAnsi="Century"/>
                <w:i/>
                <w:sz w:val="20"/>
                <w:szCs w:val="20"/>
              </w:rPr>
            </w:pPr>
            <w:r>
              <w:rPr>
                <w:rFonts w:ascii="Century" w:hAnsi="Century"/>
                <w:i/>
                <w:sz w:val="20"/>
                <w:szCs w:val="20"/>
              </w:rPr>
              <w:t>11,4</w:t>
            </w:r>
          </w:p>
        </w:tc>
        <w:tc>
          <w:tcPr>
            <w:tcW w:w="1019" w:type="dxa"/>
            <w:vAlign w:val="center"/>
          </w:tcPr>
          <w:p w:rsidR="00A71D96" w:rsidRPr="00276F18" w:rsidRDefault="00A71D96" w:rsidP="00F2417A">
            <w:pPr>
              <w:spacing w:after="0" w:line="240" w:lineRule="auto"/>
              <w:contextualSpacing/>
              <w:jc w:val="right"/>
              <w:rPr>
                <w:rFonts w:ascii="Century" w:hAnsi="Century"/>
                <w:i/>
                <w:sz w:val="20"/>
                <w:szCs w:val="20"/>
              </w:rPr>
            </w:pPr>
            <w:r>
              <w:rPr>
                <w:rFonts w:ascii="Century" w:hAnsi="Century"/>
                <w:i/>
                <w:sz w:val="20"/>
                <w:szCs w:val="20"/>
              </w:rPr>
              <w:t>11,3</w:t>
            </w:r>
          </w:p>
        </w:tc>
      </w:tr>
      <w:tr w:rsidR="00A71D96" w:rsidRPr="000D2840" w:rsidTr="003C4A4E">
        <w:trPr>
          <w:trHeight w:val="397"/>
        </w:trPr>
        <w:tc>
          <w:tcPr>
            <w:tcW w:w="5014" w:type="dxa"/>
            <w:shd w:val="clear" w:color="auto" w:fill="F2F2F2"/>
            <w:vAlign w:val="center"/>
          </w:tcPr>
          <w:p w:rsidR="00A71D96" w:rsidRPr="00A71D96" w:rsidRDefault="00A71D96" w:rsidP="00F2417A">
            <w:pPr>
              <w:spacing w:after="0" w:line="240" w:lineRule="auto"/>
              <w:contextualSpacing/>
              <w:rPr>
                <w:rFonts w:ascii="Century" w:hAnsi="Century"/>
                <w:b/>
                <w:bCs/>
                <w:color w:val="000000"/>
                <w:sz w:val="20"/>
                <w:szCs w:val="20"/>
                <w:lang w:eastAsia="ru-RU"/>
              </w:rPr>
            </w:pPr>
            <w:r w:rsidRPr="00A71D96">
              <w:rPr>
                <w:rFonts w:ascii="Century" w:hAnsi="Century"/>
                <w:bCs/>
                <w:color w:val="000000"/>
                <w:sz w:val="20"/>
                <w:szCs w:val="20"/>
                <w:lang w:eastAsia="ru-RU"/>
              </w:rPr>
              <w:t xml:space="preserve">     Собственные налоговые и неналоговые доходы</w:t>
            </w:r>
          </w:p>
        </w:tc>
        <w:tc>
          <w:tcPr>
            <w:tcW w:w="1019" w:type="dxa"/>
            <w:shd w:val="clear" w:color="auto" w:fill="F2F2F2"/>
            <w:vAlign w:val="center"/>
          </w:tcPr>
          <w:p w:rsidR="00A71D96" w:rsidRPr="00276F18" w:rsidRDefault="00A71D96" w:rsidP="00F2417A">
            <w:pPr>
              <w:spacing w:after="0" w:line="240" w:lineRule="auto"/>
              <w:contextualSpacing/>
              <w:jc w:val="right"/>
              <w:rPr>
                <w:rFonts w:ascii="Century" w:hAnsi="Century"/>
                <w:sz w:val="20"/>
                <w:szCs w:val="20"/>
              </w:rPr>
            </w:pPr>
            <w:r w:rsidRPr="00276F18">
              <w:rPr>
                <w:rFonts w:ascii="Century" w:hAnsi="Century"/>
                <w:sz w:val="20"/>
                <w:szCs w:val="20"/>
              </w:rPr>
              <w:t>8 972</w:t>
            </w:r>
          </w:p>
        </w:tc>
        <w:tc>
          <w:tcPr>
            <w:tcW w:w="1019" w:type="dxa"/>
            <w:shd w:val="clear" w:color="auto" w:fill="F2F2F2"/>
            <w:vAlign w:val="center"/>
          </w:tcPr>
          <w:p w:rsidR="00A71D96" w:rsidRPr="00276F18" w:rsidRDefault="00A71D96" w:rsidP="00F2417A">
            <w:pPr>
              <w:spacing w:after="0" w:line="240" w:lineRule="auto"/>
              <w:contextualSpacing/>
              <w:jc w:val="right"/>
              <w:rPr>
                <w:rFonts w:ascii="Century" w:hAnsi="Century"/>
                <w:sz w:val="20"/>
                <w:szCs w:val="20"/>
              </w:rPr>
            </w:pPr>
            <w:r w:rsidRPr="00276F18">
              <w:rPr>
                <w:rFonts w:ascii="Century" w:hAnsi="Century"/>
                <w:sz w:val="20"/>
                <w:szCs w:val="20"/>
              </w:rPr>
              <w:t>9 607</w:t>
            </w:r>
          </w:p>
        </w:tc>
        <w:tc>
          <w:tcPr>
            <w:tcW w:w="1019" w:type="dxa"/>
            <w:shd w:val="clear" w:color="auto" w:fill="F2F2F2"/>
            <w:vAlign w:val="center"/>
          </w:tcPr>
          <w:p w:rsidR="00A71D96" w:rsidRPr="00276F18" w:rsidRDefault="00A71D96" w:rsidP="00F2417A">
            <w:pPr>
              <w:spacing w:after="0" w:line="240" w:lineRule="auto"/>
              <w:contextualSpacing/>
              <w:jc w:val="right"/>
              <w:rPr>
                <w:rFonts w:ascii="Century" w:hAnsi="Century"/>
                <w:sz w:val="20"/>
                <w:szCs w:val="20"/>
              </w:rPr>
            </w:pPr>
            <w:r w:rsidRPr="00276F18">
              <w:rPr>
                <w:rFonts w:ascii="Century" w:hAnsi="Century"/>
                <w:sz w:val="20"/>
                <w:szCs w:val="20"/>
              </w:rPr>
              <w:t>10 172</w:t>
            </w:r>
          </w:p>
        </w:tc>
        <w:tc>
          <w:tcPr>
            <w:tcW w:w="1019" w:type="dxa"/>
            <w:shd w:val="clear" w:color="auto" w:fill="F2F2F2"/>
            <w:vAlign w:val="center"/>
          </w:tcPr>
          <w:p w:rsidR="00A71D96" w:rsidRPr="00276F18" w:rsidRDefault="00A71D96" w:rsidP="00F2417A">
            <w:pPr>
              <w:spacing w:after="0" w:line="240" w:lineRule="auto"/>
              <w:contextualSpacing/>
              <w:jc w:val="right"/>
              <w:rPr>
                <w:rFonts w:ascii="Century" w:hAnsi="Century"/>
                <w:sz w:val="20"/>
                <w:szCs w:val="20"/>
              </w:rPr>
            </w:pPr>
            <w:r w:rsidRPr="00276F18">
              <w:rPr>
                <w:rFonts w:ascii="Century" w:hAnsi="Century"/>
                <w:sz w:val="20"/>
                <w:szCs w:val="20"/>
              </w:rPr>
              <w:t>10 81</w:t>
            </w:r>
            <w:r>
              <w:rPr>
                <w:rFonts w:ascii="Century" w:hAnsi="Century"/>
                <w:sz w:val="20"/>
                <w:szCs w:val="20"/>
              </w:rPr>
              <w:t>5</w:t>
            </w:r>
          </w:p>
        </w:tc>
      </w:tr>
      <w:tr w:rsidR="00A71D96" w:rsidRPr="000D2840" w:rsidTr="003C4A4E">
        <w:trPr>
          <w:trHeight w:val="397"/>
        </w:trPr>
        <w:tc>
          <w:tcPr>
            <w:tcW w:w="5014" w:type="dxa"/>
            <w:vAlign w:val="center"/>
          </w:tcPr>
          <w:p w:rsidR="00A71D96" w:rsidRPr="00A71D96" w:rsidRDefault="00A71D96" w:rsidP="00F2417A">
            <w:pPr>
              <w:spacing w:after="0" w:line="240" w:lineRule="auto"/>
              <w:contextualSpacing/>
              <w:rPr>
                <w:rFonts w:ascii="Century" w:hAnsi="Century"/>
                <w:b/>
                <w:bCs/>
                <w:color w:val="000000"/>
                <w:sz w:val="20"/>
                <w:szCs w:val="20"/>
                <w:lang w:eastAsia="ru-RU"/>
              </w:rPr>
            </w:pPr>
            <w:r w:rsidRPr="00A71D96">
              <w:rPr>
                <w:rFonts w:ascii="Century" w:hAnsi="Century"/>
                <w:bCs/>
                <w:i/>
                <w:iCs/>
                <w:color w:val="000000"/>
                <w:sz w:val="20"/>
                <w:szCs w:val="20"/>
                <w:lang w:eastAsia="ru-RU"/>
              </w:rPr>
              <w:t xml:space="preserve">    %% ВВП</w:t>
            </w:r>
          </w:p>
        </w:tc>
        <w:tc>
          <w:tcPr>
            <w:tcW w:w="1019" w:type="dxa"/>
            <w:vAlign w:val="center"/>
          </w:tcPr>
          <w:p w:rsidR="00A71D96" w:rsidRPr="00276F18" w:rsidRDefault="00A71D96" w:rsidP="00F2417A">
            <w:pPr>
              <w:spacing w:after="0" w:line="240" w:lineRule="auto"/>
              <w:contextualSpacing/>
              <w:jc w:val="right"/>
              <w:rPr>
                <w:rFonts w:ascii="Century" w:hAnsi="Century"/>
                <w:i/>
                <w:sz w:val="20"/>
                <w:szCs w:val="20"/>
              </w:rPr>
            </w:pPr>
            <w:r w:rsidRPr="00276F18">
              <w:rPr>
                <w:rFonts w:ascii="Century" w:hAnsi="Century"/>
                <w:i/>
                <w:sz w:val="20"/>
                <w:szCs w:val="20"/>
              </w:rPr>
              <w:t>9,7</w:t>
            </w:r>
          </w:p>
        </w:tc>
        <w:tc>
          <w:tcPr>
            <w:tcW w:w="1019" w:type="dxa"/>
            <w:vAlign w:val="center"/>
          </w:tcPr>
          <w:p w:rsidR="00A71D96" w:rsidRPr="00276F18" w:rsidRDefault="00A71D96" w:rsidP="00F2417A">
            <w:pPr>
              <w:spacing w:after="0" w:line="240" w:lineRule="auto"/>
              <w:contextualSpacing/>
              <w:jc w:val="right"/>
              <w:rPr>
                <w:rFonts w:ascii="Century" w:hAnsi="Century"/>
                <w:i/>
                <w:sz w:val="20"/>
                <w:szCs w:val="20"/>
              </w:rPr>
            </w:pPr>
            <w:r w:rsidRPr="00276F18">
              <w:rPr>
                <w:rFonts w:ascii="Century" w:hAnsi="Century"/>
                <w:i/>
                <w:sz w:val="20"/>
                <w:szCs w:val="20"/>
              </w:rPr>
              <w:t>9,9</w:t>
            </w:r>
          </w:p>
        </w:tc>
        <w:tc>
          <w:tcPr>
            <w:tcW w:w="1019" w:type="dxa"/>
            <w:vAlign w:val="center"/>
          </w:tcPr>
          <w:p w:rsidR="00A71D96" w:rsidRPr="00276F18" w:rsidRDefault="00A71D96" w:rsidP="00F2417A">
            <w:pPr>
              <w:spacing w:after="0" w:line="240" w:lineRule="auto"/>
              <w:contextualSpacing/>
              <w:jc w:val="right"/>
              <w:rPr>
                <w:rFonts w:ascii="Century" w:hAnsi="Century"/>
                <w:i/>
                <w:sz w:val="20"/>
                <w:szCs w:val="20"/>
              </w:rPr>
            </w:pPr>
            <w:r w:rsidRPr="00276F18">
              <w:rPr>
                <w:rFonts w:ascii="Century" w:hAnsi="Century"/>
                <w:i/>
                <w:sz w:val="20"/>
                <w:szCs w:val="20"/>
              </w:rPr>
              <w:t>9,9</w:t>
            </w:r>
          </w:p>
        </w:tc>
        <w:tc>
          <w:tcPr>
            <w:tcW w:w="1019" w:type="dxa"/>
            <w:vAlign w:val="center"/>
          </w:tcPr>
          <w:p w:rsidR="00A71D96" w:rsidRPr="00276F18" w:rsidRDefault="00A71D96" w:rsidP="00F2417A">
            <w:pPr>
              <w:spacing w:after="0" w:line="240" w:lineRule="auto"/>
              <w:contextualSpacing/>
              <w:jc w:val="right"/>
              <w:rPr>
                <w:rFonts w:ascii="Century" w:hAnsi="Century"/>
                <w:i/>
                <w:sz w:val="20"/>
                <w:szCs w:val="20"/>
              </w:rPr>
            </w:pPr>
            <w:r w:rsidRPr="00276F18">
              <w:rPr>
                <w:rFonts w:ascii="Century" w:hAnsi="Century"/>
                <w:i/>
                <w:sz w:val="20"/>
                <w:szCs w:val="20"/>
              </w:rPr>
              <w:t>9,8</w:t>
            </w:r>
          </w:p>
        </w:tc>
      </w:tr>
      <w:tr w:rsidR="00A71D96" w:rsidRPr="000D2840" w:rsidTr="003C4A4E">
        <w:trPr>
          <w:trHeight w:val="397"/>
        </w:trPr>
        <w:tc>
          <w:tcPr>
            <w:tcW w:w="5014" w:type="dxa"/>
            <w:shd w:val="clear" w:color="auto" w:fill="F2F2F2"/>
            <w:vAlign w:val="center"/>
          </w:tcPr>
          <w:p w:rsidR="00A71D96" w:rsidRPr="00A71D96" w:rsidRDefault="00A71D96" w:rsidP="00F2417A">
            <w:pPr>
              <w:spacing w:after="0" w:line="240" w:lineRule="auto"/>
              <w:contextualSpacing/>
              <w:rPr>
                <w:rFonts w:ascii="Century" w:hAnsi="Century"/>
                <w:b/>
                <w:bCs/>
                <w:i/>
                <w:iCs/>
                <w:color w:val="000000"/>
                <w:sz w:val="20"/>
                <w:szCs w:val="20"/>
                <w:lang w:eastAsia="ru-RU"/>
              </w:rPr>
            </w:pPr>
            <w:r w:rsidRPr="00A71D96">
              <w:rPr>
                <w:rFonts w:ascii="Century" w:hAnsi="Century"/>
                <w:bCs/>
                <w:color w:val="000000"/>
                <w:sz w:val="20"/>
                <w:szCs w:val="20"/>
                <w:lang w:eastAsia="ru-RU"/>
              </w:rPr>
              <w:t xml:space="preserve">     Межбюджетные трансферты</w:t>
            </w:r>
          </w:p>
        </w:tc>
        <w:tc>
          <w:tcPr>
            <w:tcW w:w="1019" w:type="dxa"/>
            <w:shd w:val="clear" w:color="auto" w:fill="F2F2F2"/>
            <w:vAlign w:val="center"/>
          </w:tcPr>
          <w:p w:rsidR="00A71D96" w:rsidRPr="00276F18" w:rsidRDefault="00DF7C4D" w:rsidP="00F2417A">
            <w:pPr>
              <w:spacing w:after="0" w:line="240" w:lineRule="auto"/>
              <w:contextualSpacing/>
              <w:jc w:val="right"/>
              <w:rPr>
                <w:rFonts w:ascii="Century" w:hAnsi="Century"/>
                <w:sz w:val="20"/>
                <w:szCs w:val="20"/>
              </w:rPr>
            </w:pPr>
            <w:r>
              <w:rPr>
                <w:rFonts w:ascii="Century" w:hAnsi="Century"/>
                <w:sz w:val="20"/>
                <w:szCs w:val="20"/>
              </w:rPr>
              <w:t>1 669</w:t>
            </w:r>
          </w:p>
        </w:tc>
        <w:tc>
          <w:tcPr>
            <w:tcW w:w="1019" w:type="dxa"/>
            <w:shd w:val="clear" w:color="auto" w:fill="F2F2F2"/>
            <w:vAlign w:val="center"/>
          </w:tcPr>
          <w:p w:rsidR="00A71D96" w:rsidRPr="00276F18" w:rsidRDefault="00A71D96" w:rsidP="00F2417A">
            <w:pPr>
              <w:spacing w:after="0" w:line="240" w:lineRule="auto"/>
              <w:contextualSpacing/>
              <w:jc w:val="right"/>
              <w:rPr>
                <w:rFonts w:ascii="Century" w:hAnsi="Century"/>
                <w:sz w:val="20"/>
                <w:szCs w:val="20"/>
              </w:rPr>
            </w:pPr>
            <w:r>
              <w:rPr>
                <w:rFonts w:ascii="Century" w:hAnsi="Century"/>
                <w:sz w:val="20"/>
                <w:szCs w:val="20"/>
              </w:rPr>
              <w:t>1 652</w:t>
            </w:r>
          </w:p>
        </w:tc>
        <w:tc>
          <w:tcPr>
            <w:tcW w:w="1019" w:type="dxa"/>
            <w:shd w:val="clear" w:color="auto" w:fill="F2F2F2"/>
            <w:vAlign w:val="center"/>
          </w:tcPr>
          <w:p w:rsidR="00A71D96" w:rsidRPr="00276F18" w:rsidRDefault="00A71D96" w:rsidP="00F2417A">
            <w:pPr>
              <w:spacing w:after="0" w:line="240" w:lineRule="auto"/>
              <w:contextualSpacing/>
              <w:jc w:val="right"/>
              <w:rPr>
                <w:rFonts w:ascii="Century" w:hAnsi="Century"/>
                <w:sz w:val="20"/>
                <w:szCs w:val="20"/>
              </w:rPr>
            </w:pPr>
            <w:r>
              <w:rPr>
                <w:rFonts w:ascii="Century" w:hAnsi="Century"/>
                <w:sz w:val="20"/>
                <w:szCs w:val="20"/>
              </w:rPr>
              <w:t>1 577</w:t>
            </w:r>
          </w:p>
        </w:tc>
        <w:tc>
          <w:tcPr>
            <w:tcW w:w="1019" w:type="dxa"/>
            <w:shd w:val="clear" w:color="auto" w:fill="F2F2F2"/>
            <w:vAlign w:val="center"/>
          </w:tcPr>
          <w:p w:rsidR="00A71D96" w:rsidRPr="00276F18" w:rsidRDefault="00A71D96" w:rsidP="00F2417A">
            <w:pPr>
              <w:spacing w:after="0" w:line="240" w:lineRule="auto"/>
              <w:contextualSpacing/>
              <w:jc w:val="right"/>
              <w:rPr>
                <w:rFonts w:ascii="Century" w:hAnsi="Century"/>
                <w:sz w:val="20"/>
                <w:szCs w:val="20"/>
              </w:rPr>
            </w:pPr>
            <w:r>
              <w:rPr>
                <w:rFonts w:ascii="Century" w:hAnsi="Century"/>
                <w:sz w:val="20"/>
                <w:szCs w:val="20"/>
              </w:rPr>
              <w:t>1 591</w:t>
            </w:r>
          </w:p>
        </w:tc>
      </w:tr>
      <w:tr w:rsidR="00A71D96" w:rsidRPr="000D2840" w:rsidTr="003C4A4E">
        <w:trPr>
          <w:trHeight w:val="397"/>
        </w:trPr>
        <w:tc>
          <w:tcPr>
            <w:tcW w:w="5014" w:type="dxa"/>
            <w:vAlign w:val="center"/>
          </w:tcPr>
          <w:p w:rsidR="00A71D96" w:rsidRPr="00A71D96" w:rsidRDefault="00A71D96" w:rsidP="00F2417A">
            <w:pPr>
              <w:spacing w:after="0" w:line="240" w:lineRule="auto"/>
              <w:contextualSpacing/>
              <w:rPr>
                <w:rFonts w:ascii="Century" w:hAnsi="Century"/>
                <w:b/>
                <w:bCs/>
                <w:color w:val="000000"/>
                <w:sz w:val="20"/>
                <w:szCs w:val="20"/>
                <w:lang w:eastAsia="ru-RU"/>
              </w:rPr>
            </w:pPr>
            <w:r w:rsidRPr="00A71D96">
              <w:rPr>
                <w:rFonts w:ascii="Century" w:hAnsi="Century"/>
                <w:bCs/>
                <w:i/>
                <w:iCs/>
                <w:color w:val="000000"/>
                <w:sz w:val="20"/>
                <w:szCs w:val="20"/>
                <w:lang w:eastAsia="ru-RU"/>
              </w:rPr>
              <w:t xml:space="preserve">    %% ВВП</w:t>
            </w:r>
          </w:p>
        </w:tc>
        <w:tc>
          <w:tcPr>
            <w:tcW w:w="1019" w:type="dxa"/>
            <w:vAlign w:val="center"/>
          </w:tcPr>
          <w:p w:rsidR="00A71D96" w:rsidRPr="00276F18" w:rsidRDefault="00A71D96" w:rsidP="00DF7C4D">
            <w:pPr>
              <w:spacing w:after="0" w:line="240" w:lineRule="auto"/>
              <w:contextualSpacing/>
              <w:jc w:val="right"/>
              <w:rPr>
                <w:rFonts w:ascii="Century" w:hAnsi="Century"/>
                <w:i/>
                <w:sz w:val="20"/>
                <w:szCs w:val="20"/>
              </w:rPr>
            </w:pPr>
            <w:r w:rsidRPr="00276F18">
              <w:rPr>
                <w:rFonts w:ascii="Century" w:hAnsi="Century"/>
                <w:i/>
                <w:sz w:val="20"/>
                <w:szCs w:val="20"/>
              </w:rPr>
              <w:t>1,</w:t>
            </w:r>
            <w:r w:rsidR="00DF7C4D">
              <w:rPr>
                <w:rFonts w:ascii="Century" w:hAnsi="Century"/>
                <w:i/>
                <w:sz w:val="20"/>
                <w:szCs w:val="20"/>
              </w:rPr>
              <w:t>8</w:t>
            </w:r>
          </w:p>
        </w:tc>
        <w:tc>
          <w:tcPr>
            <w:tcW w:w="1019" w:type="dxa"/>
            <w:vAlign w:val="center"/>
          </w:tcPr>
          <w:p w:rsidR="00A71D96" w:rsidRPr="00276F18" w:rsidRDefault="00A71D96" w:rsidP="00F2417A">
            <w:pPr>
              <w:spacing w:after="0" w:line="240" w:lineRule="auto"/>
              <w:contextualSpacing/>
              <w:jc w:val="right"/>
              <w:rPr>
                <w:rFonts w:ascii="Century" w:hAnsi="Century"/>
                <w:i/>
                <w:sz w:val="20"/>
                <w:szCs w:val="20"/>
              </w:rPr>
            </w:pPr>
            <w:r>
              <w:rPr>
                <w:rFonts w:ascii="Century" w:hAnsi="Century"/>
                <w:i/>
                <w:sz w:val="20"/>
                <w:szCs w:val="20"/>
              </w:rPr>
              <w:t>1,7</w:t>
            </w:r>
          </w:p>
        </w:tc>
        <w:tc>
          <w:tcPr>
            <w:tcW w:w="1019" w:type="dxa"/>
            <w:vAlign w:val="center"/>
          </w:tcPr>
          <w:p w:rsidR="00A71D96" w:rsidRPr="00276F18" w:rsidRDefault="00A71D96" w:rsidP="00F2417A">
            <w:pPr>
              <w:spacing w:after="0" w:line="240" w:lineRule="auto"/>
              <w:contextualSpacing/>
              <w:jc w:val="right"/>
              <w:rPr>
                <w:rFonts w:ascii="Century" w:hAnsi="Century"/>
                <w:i/>
                <w:sz w:val="20"/>
                <w:szCs w:val="20"/>
              </w:rPr>
            </w:pPr>
            <w:r>
              <w:rPr>
                <w:rFonts w:ascii="Century" w:hAnsi="Century"/>
                <w:i/>
                <w:sz w:val="20"/>
                <w:szCs w:val="20"/>
              </w:rPr>
              <w:t>1,5</w:t>
            </w:r>
          </w:p>
        </w:tc>
        <w:tc>
          <w:tcPr>
            <w:tcW w:w="1019" w:type="dxa"/>
            <w:vAlign w:val="center"/>
          </w:tcPr>
          <w:p w:rsidR="00A71D96" w:rsidRPr="00276F18" w:rsidRDefault="00A71D96" w:rsidP="00F2417A">
            <w:pPr>
              <w:spacing w:after="0" w:line="240" w:lineRule="auto"/>
              <w:contextualSpacing/>
              <w:jc w:val="right"/>
              <w:rPr>
                <w:rFonts w:ascii="Century" w:hAnsi="Century"/>
                <w:i/>
                <w:sz w:val="20"/>
                <w:szCs w:val="20"/>
              </w:rPr>
            </w:pPr>
            <w:r>
              <w:rPr>
                <w:rFonts w:ascii="Century" w:hAnsi="Century"/>
                <w:i/>
                <w:sz w:val="20"/>
                <w:szCs w:val="20"/>
              </w:rPr>
              <w:t>1,4</w:t>
            </w:r>
          </w:p>
        </w:tc>
      </w:tr>
      <w:tr w:rsidR="00A71D96" w:rsidRPr="00BD3519" w:rsidTr="003C4A4E">
        <w:trPr>
          <w:trHeight w:val="397"/>
        </w:trPr>
        <w:tc>
          <w:tcPr>
            <w:tcW w:w="5014" w:type="dxa"/>
            <w:shd w:val="clear" w:color="auto" w:fill="F2F2F2"/>
            <w:vAlign w:val="center"/>
          </w:tcPr>
          <w:p w:rsidR="00A71D96" w:rsidRPr="00A71D96" w:rsidRDefault="00A71D96" w:rsidP="00F2417A">
            <w:pPr>
              <w:spacing w:after="0" w:line="240" w:lineRule="auto"/>
              <w:contextualSpacing/>
              <w:rPr>
                <w:rFonts w:ascii="Century" w:hAnsi="Century"/>
                <w:b/>
                <w:bCs/>
                <w:i/>
                <w:iCs/>
                <w:color w:val="000000"/>
                <w:sz w:val="20"/>
                <w:szCs w:val="20"/>
                <w:lang w:eastAsia="ru-RU"/>
              </w:rPr>
            </w:pPr>
            <w:r w:rsidRPr="00A71D96">
              <w:rPr>
                <w:rFonts w:ascii="Century" w:hAnsi="Century"/>
                <w:b/>
                <w:color w:val="000000"/>
                <w:sz w:val="20"/>
                <w:szCs w:val="20"/>
                <w:lang w:eastAsia="ru-RU"/>
              </w:rPr>
              <w:t>Расходы</w:t>
            </w:r>
          </w:p>
        </w:tc>
        <w:tc>
          <w:tcPr>
            <w:tcW w:w="1019" w:type="dxa"/>
            <w:shd w:val="clear" w:color="auto" w:fill="F2F2F2"/>
            <w:vAlign w:val="center"/>
          </w:tcPr>
          <w:p w:rsidR="00A71D96" w:rsidRPr="00BD3519" w:rsidRDefault="00A71D96" w:rsidP="00DF7C4D">
            <w:pPr>
              <w:spacing w:after="0" w:line="240" w:lineRule="auto"/>
              <w:contextualSpacing/>
              <w:jc w:val="right"/>
              <w:rPr>
                <w:rFonts w:ascii="Century" w:hAnsi="Century"/>
                <w:b/>
                <w:sz w:val="20"/>
                <w:szCs w:val="20"/>
              </w:rPr>
            </w:pPr>
            <w:r w:rsidRPr="00BD3519">
              <w:rPr>
                <w:rFonts w:ascii="Century" w:hAnsi="Century"/>
                <w:b/>
                <w:sz w:val="20"/>
                <w:szCs w:val="20"/>
              </w:rPr>
              <w:t>10 6</w:t>
            </w:r>
            <w:r w:rsidR="00DF7C4D">
              <w:rPr>
                <w:rFonts w:ascii="Century" w:hAnsi="Century"/>
                <w:b/>
                <w:sz w:val="20"/>
                <w:szCs w:val="20"/>
              </w:rPr>
              <w:t>56</w:t>
            </w:r>
          </w:p>
        </w:tc>
        <w:tc>
          <w:tcPr>
            <w:tcW w:w="1019" w:type="dxa"/>
            <w:shd w:val="clear" w:color="auto" w:fill="F2F2F2"/>
            <w:vAlign w:val="center"/>
          </w:tcPr>
          <w:p w:rsidR="00A71D96" w:rsidRPr="00BD3519" w:rsidRDefault="00A71D96" w:rsidP="00F2417A">
            <w:pPr>
              <w:spacing w:after="0" w:line="240" w:lineRule="auto"/>
              <w:contextualSpacing/>
              <w:jc w:val="right"/>
              <w:rPr>
                <w:rFonts w:ascii="Century" w:hAnsi="Century"/>
                <w:b/>
                <w:sz w:val="20"/>
                <w:szCs w:val="20"/>
              </w:rPr>
            </w:pPr>
            <w:r>
              <w:rPr>
                <w:rFonts w:ascii="Century" w:hAnsi="Century"/>
                <w:b/>
                <w:sz w:val="20"/>
                <w:szCs w:val="20"/>
              </w:rPr>
              <w:t>11 312</w:t>
            </w:r>
          </w:p>
        </w:tc>
        <w:tc>
          <w:tcPr>
            <w:tcW w:w="1019" w:type="dxa"/>
            <w:shd w:val="clear" w:color="auto" w:fill="F2F2F2"/>
            <w:vAlign w:val="center"/>
          </w:tcPr>
          <w:p w:rsidR="00A71D96" w:rsidRPr="00BD3519" w:rsidRDefault="00A71D96" w:rsidP="00F2417A">
            <w:pPr>
              <w:spacing w:after="0" w:line="240" w:lineRule="auto"/>
              <w:contextualSpacing/>
              <w:jc w:val="right"/>
              <w:rPr>
                <w:rFonts w:ascii="Century" w:hAnsi="Century"/>
                <w:b/>
                <w:sz w:val="20"/>
                <w:szCs w:val="20"/>
              </w:rPr>
            </w:pPr>
            <w:r>
              <w:rPr>
                <w:rFonts w:ascii="Century" w:hAnsi="Century"/>
                <w:b/>
                <w:sz w:val="20"/>
                <w:szCs w:val="20"/>
              </w:rPr>
              <w:t>11 774</w:t>
            </w:r>
          </w:p>
        </w:tc>
        <w:tc>
          <w:tcPr>
            <w:tcW w:w="1019" w:type="dxa"/>
            <w:shd w:val="clear" w:color="auto" w:fill="F2F2F2"/>
            <w:vAlign w:val="center"/>
          </w:tcPr>
          <w:p w:rsidR="00A71D96" w:rsidRPr="00BD3519" w:rsidRDefault="00A71D96" w:rsidP="00F2417A">
            <w:pPr>
              <w:spacing w:after="0" w:line="240" w:lineRule="auto"/>
              <w:contextualSpacing/>
              <w:jc w:val="right"/>
              <w:rPr>
                <w:rFonts w:ascii="Century" w:hAnsi="Century"/>
                <w:b/>
                <w:sz w:val="20"/>
                <w:szCs w:val="20"/>
              </w:rPr>
            </w:pPr>
            <w:r>
              <w:rPr>
                <w:rFonts w:ascii="Century" w:hAnsi="Century"/>
                <w:b/>
                <w:sz w:val="20"/>
                <w:szCs w:val="20"/>
              </w:rPr>
              <w:t>12 421</w:t>
            </w:r>
          </w:p>
        </w:tc>
      </w:tr>
      <w:tr w:rsidR="00A71D96" w:rsidRPr="000D2840" w:rsidTr="003C4A4E">
        <w:trPr>
          <w:trHeight w:val="397"/>
        </w:trPr>
        <w:tc>
          <w:tcPr>
            <w:tcW w:w="5014" w:type="dxa"/>
            <w:vAlign w:val="center"/>
          </w:tcPr>
          <w:p w:rsidR="00A71D96" w:rsidRPr="00A71D96" w:rsidRDefault="00A71D96" w:rsidP="00F2417A">
            <w:pPr>
              <w:spacing w:after="0" w:line="240" w:lineRule="auto"/>
              <w:contextualSpacing/>
              <w:rPr>
                <w:rFonts w:ascii="Century" w:hAnsi="Century"/>
                <w:b/>
                <w:bCs/>
                <w:color w:val="000000"/>
                <w:sz w:val="20"/>
                <w:szCs w:val="20"/>
                <w:lang w:eastAsia="ru-RU"/>
              </w:rPr>
            </w:pPr>
            <w:r w:rsidRPr="00A71D96">
              <w:rPr>
                <w:rFonts w:ascii="Century" w:hAnsi="Century"/>
                <w:bCs/>
                <w:i/>
                <w:iCs/>
                <w:color w:val="000000"/>
                <w:sz w:val="20"/>
                <w:szCs w:val="20"/>
                <w:lang w:eastAsia="ru-RU"/>
              </w:rPr>
              <w:t>%% ВВП</w:t>
            </w:r>
          </w:p>
        </w:tc>
        <w:tc>
          <w:tcPr>
            <w:tcW w:w="1019" w:type="dxa"/>
            <w:vAlign w:val="center"/>
          </w:tcPr>
          <w:p w:rsidR="00A71D96" w:rsidRPr="00276F18" w:rsidRDefault="00A71D96" w:rsidP="00F2417A">
            <w:pPr>
              <w:spacing w:after="0" w:line="240" w:lineRule="auto"/>
              <w:contextualSpacing/>
              <w:jc w:val="right"/>
              <w:rPr>
                <w:rFonts w:ascii="Century" w:hAnsi="Century"/>
                <w:i/>
                <w:sz w:val="20"/>
                <w:szCs w:val="20"/>
              </w:rPr>
            </w:pPr>
            <w:r w:rsidRPr="00276F18">
              <w:rPr>
                <w:rFonts w:ascii="Century" w:hAnsi="Century"/>
                <w:i/>
                <w:sz w:val="20"/>
                <w:szCs w:val="20"/>
              </w:rPr>
              <w:t>11,6</w:t>
            </w:r>
          </w:p>
        </w:tc>
        <w:tc>
          <w:tcPr>
            <w:tcW w:w="1019" w:type="dxa"/>
            <w:vAlign w:val="center"/>
          </w:tcPr>
          <w:p w:rsidR="00A71D96" w:rsidRPr="00276F18" w:rsidRDefault="00A71D96" w:rsidP="00F2417A">
            <w:pPr>
              <w:spacing w:after="0" w:line="240" w:lineRule="auto"/>
              <w:contextualSpacing/>
              <w:jc w:val="right"/>
              <w:rPr>
                <w:rFonts w:ascii="Century" w:hAnsi="Century"/>
                <w:i/>
                <w:sz w:val="20"/>
                <w:szCs w:val="20"/>
              </w:rPr>
            </w:pPr>
            <w:r>
              <w:rPr>
                <w:rFonts w:ascii="Century" w:hAnsi="Century"/>
                <w:i/>
                <w:sz w:val="20"/>
                <w:szCs w:val="20"/>
              </w:rPr>
              <w:t>11,6</w:t>
            </w:r>
          </w:p>
        </w:tc>
        <w:tc>
          <w:tcPr>
            <w:tcW w:w="1019" w:type="dxa"/>
            <w:vAlign w:val="center"/>
          </w:tcPr>
          <w:p w:rsidR="00A71D96" w:rsidRPr="00276F18" w:rsidRDefault="00A71D96" w:rsidP="00F2417A">
            <w:pPr>
              <w:spacing w:after="0" w:line="240" w:lineRule="auto"/>
              <w:contextualSpacing/>
              <w:jc w:val="right"/>
              <w:rPr>
                <w:rFonts w:ascii="Century" w:hAnsi="Century"/>
                <w:i/>
                <w:sz w:val="20"/>
                <w:szCs w:val="20"/>
              </w:rPr>
            </w:pPr>
            <w:r>
              <w:rPr>
                <w:rFonts w:ascii="Century" w:hAnsi="Century"/>
                <w:i/>
                <w:sz w:val="20"/>
                <w:szCs w:val="20"/>
              </w:rPr>
              <w:t>11,4</w:t>
            </w:r>
          </w:p>
        </w:tc>
        <w:tc>
          <w:tcPr>
            <w:tcW w:w="1019" w:type="dxa"/>
            <w:vAlign w:val="center"/>
          </w:tcPr>
          <w:p w:rsidR="00A71D96" w:rsidRPr="00276F18" w:rsidRDefault="00A71D96" w:rsidP="00F2417A">
            <w:pPr>
              <w:spacing w:after="0" w:line="240" w:lineRule="auto"/>
              <w:contextualSpacing/>
              <w:jc w:val="right"/>
              <w:rPr>
                <w:rFonts w:ascii="Century" w:hAnsi="Century"/>
                <w:i/>
                <w:sz w:val="20"/>
                <w:szCs w:val="20"/>
              </w:rPr>
            </w:pPr>
            <w:r>
              <w:rPr>
                <w:rFonts w:ascii="Century" w:hAnsi="Century"/>
                <w:i/>
                <w:sz w:val="20"/>
                <w:szCs w:val="20"/>
              </w:rPr>
              <w:t>11,3</w:t>
            </w:r>
          </w:p>
        </w:tc>
      </w:tr>
      <w:tr w:rsidR="00A71D96" w:rsidRPr="00BD3519" w:rsidTr="003C4A4E">
        <w:trPr>
          <w:trHeight w:val="397"/>
        </w:trPr>
        <w:tc>
          <w:tcPr>
            <w:tcW w:w="5014" w:type="dxa"/>
            <w:shd w:val="clear" w:color="auto" w:fill="F2F2F2"/>
            <w:vAlign w:val="center"/>
          </w:tcPr>
          <w:p w:rsidR="00A71D96" w:rsidRPr="00A71D96" w:rsidRDefault="00A71D96" w:rsidP="00F2417A">
            <w:pPr>
              <w:spacing w:after="0" w:line="240" w:lineRule="auto"/>
              <w:contextualSpacing/>
              <w:rPr>
                <w:rFonts w:ascii="Century" w:hAnsi="Century"/>
                <w:b/>
                <w:bCs/>
                <w:i/>
                <w:iCs/>
                <w:color w:val="000000"/>
                <w:sz w:val="20"/>
                <w:szCs w:val="20"/>
                <w:lang w:eastAsia="ru-RU"/>
              </w:rPr>
            </w:pPr>
            <w:r w:rsidRPr="00A71D96">
              <w:rPr>
                <w:rFonts w:ascii="Century" w:hAnsi="Century"/>
                <w:b/>
                <w:color w:val="000000"/>
                <w:sz w:val="20"/>
                <w:szCs w:val="20"/>
                <w:lang w:eastAsia="ru-RU"/>
              </w:rPr>
              <w:t>Дефицит</w:t>
            </w:r>
          </w:p>
        </w:tc>
        <w:tc>
          <w:tcPr>
            <w:tcW w:w="1019" w:type="dxa"/>
            <w:shd w:val="clear" w:color="auto" w:fill="F2F2F2"/>
            <w:vAlign w:val="center"/>
          </w:tcPr>
          <w:p w:rsidR="00A71D96" w:rsidRPr="00BD3519" w:rsidRDefault="00A71D96" w:rsidP="00F2417A">
            <w:pPr>
              <w:spacing w:after="0" w:line="240" w:lineRule="auto"/>
              <w:contextualSpacing/>
              <w:jc w:val="right"/>
              <w:rPr>
                <w:rFonts w:ascii="Century" w:hAnsi="Century"/>
                <w:b/>
                <w:sz w:val="20"/>
                <w:szCs w:val="20"/>
              </w:rPr>
            </w:pPr>
            <w:r w:rsidRPr="00BD3519">
              <w:rPr>
                <w:rFonts w:ascii="Century" w:hAnsi="Century"/>
                <w:b/>
                <w:sz w:val="20"/>
                <w:szCs w:val="20"/>
              </w:rPr>
              <w:t>-1</w:t>
            </w:r>
            <w:r>
              <w:rPr>
                <w:rFonts w:ascii="Century" w:hAnsi="Century"/>
                <w:b/>
                <w:sz w:val="20"/>
                <w:szCs w:val="20"/>
              </w:rPr>
              <w:t>5</w:t>
            </w:r>
          </w:p>
        </w:tc>
        <w:tc>
          <w:tcPr>
            <w:tcW w:w="1019" w:type="dxa"/>
            <w:shd w:val="clear" w:color="auto" w:fill="F2F2F2"/>
            <w:vAlign w:val="center"/>
          </w:tcPr>
          <w:p w:rsidR="00A71D96" w:rsidRPr="00BD3519" w:rsidRDefault="00A71D96" w:rsidP="00F2417A">
            <w:pPr>
              <w:spacing w:after="0" w:line="240" w:lineRule="auto"/>
              <w:contextualSpacing/>
              <w:jc w:val="right"/>
              <w:rPr>
                <w:rFonts w:ascii="Century" w:hAnsi="Century"/>
                <w:b/>
                <w:sz w:val="20"/>
                <w:szCs w:val="20"/>
              </w:rPr>
            </w:pPr>
            <w:r w:rsidRPr="00BD3519">
              <w:rPr>
                <w:rFonts w:ascii="Century" w:hAnsi="Century"/>
                <w:b/>
                <w:sz w:val="20"/>
                <w:szCs w:val="20"/>
              </w:rPr>
              <w:t>-52</w:t>
            </w:r>
          </w:p>
        </w:tc>
        <w:tc>
          <w:tcPr>
            <w:tcW w:w="1019" w:type="dxa"/>
            <w:shd w:val="clear" w:color="auto" w:fill="F2F2F2"/>
            <w:vAlign w:val="center"/>
          </w:tcPr>
          <w:p w:rsidR="00A71D96" w:rsidRPr="00BD3519" w:rsidRDefault="00A71D96" w:rsidP="00F2417A">
            <w:pPr>
              <w:spacing w:after="0" w:line="240" w:lineRule="auto"/>
              <w:contextualSpacing/>
              <w:jc w:val="right"/>
              <w:rPr>
                <w:rFonts w:ascii="Century" w:hAnsi="Century"/>
                <w:b/>
                <w:sz w:val="20"/>
                <w:szCs w:val="20"/>
              </w:rPr>
            </w:pPr>
            <w:r w:rsidRPr="00BD3519">
              <w:rPr>
                <w:rFonts w:ascii="Century" w:hAnsi="Century"/>
                <w:b/>
                <w:sz w:val="20"/>
                <w:szCs w:val="20"/>
              </w:rPr>
              <w:t>-2</w:t>
            </w:r>
            <w:r>
              <w:rPr>
                <w:rFonts w:ascii="Century" w:hAnsi="Century"/>
                <w:b/>
                <w:sz w:val="20"/>
                <w:szCs w:val="20"/>
              </w:rPr>
              <w:t>5</w:t>
            </w:r>
          </w:p>
        </w:tc>
        <w:tc>
          <w:tcPr>
            <w:tcW w:w="1019" w:type="dxa"/>
            <w:shd w:val="clear" w:color="auto" w:fill="F2F2F2"/>
            <w:vAlign w:val="center"/>
          </w:tcPr>
          <w:p w:rsidR="00A71D96" w:rsidRPr="00BD3519" w:rsidRDefault="00A71D96" w:rsidP="00F2417A">
            <w:pPr>
              <w:spacing w:after="0" w:line="240" w:lineRule="auto"/>
              <w:contextualSpacing/>
              <w:jc w:val="right"/>
              <w:rPr>
                <w:rFonts w:ascii="Century" w:hAnsi="Century"/>
                <w:b/>
                <w:sz w:val="20"/>
                <w:szCs w:val="20"/>
              </w:rPr>
            </w:pPr>
            <w:r w:rsidRPr="00BD3519">
              <w:rPr>
                <w:rFonts w:ascii="Century" w:hAnsi="Century"/>
                <w:b/>
                <w:sz w:val="20"/>
                <w:szCs w:val="20"/>
              </w:rPr>
              <w:t>-1</w:t>
            </w:r>
            <w:r>
              <w:rPr>
                <w:rFonts w:ascii="Century" w:hAnsi="Century"/>
                <w:b/>
                <w:sz w:val="20"/>
                <w:szCs w:val="20"/>
              </w:rPr>
              <w:t>5</w:t>
            </w:r>
          </w:p>
        </w:tc>
      </w:tr>
      <w:tr w:rsidR="00A71D96" w:rsidRPr="00E11E0D" w:rsidTr="003C4A4E">
        <w:trPr>
          <w:trHeight w:val="397"/>
        </w:trPr>
        <w:tc>
          <w:tcPr>
            <w:tcW w:w="5014" w:type="dxa"/>
            <w:tcBorders>
              <w:top w:val="nil"/>
              <w:left w:val="nil"/>
              <w:bottom w:val="single" w:sz="4" w:space="0" w:color="auto"/>
              <w:right w:val="nil"/>
            </w:tcBorders>
            <w:vAlign w:val="center"/>
          </w:tcPr>
          <w:p w:rsidR="00A71D96" w:rsidRPr="00A71D96" w:rsidRDefault="00A71D96" w:rsidP="00F2417A">
            <w:pPr>
              <w:spacing w:after="0" w:line="240" w:lineRule="auto"/>
              <w:contextualSpacing/>
              <w:rPr>
                <w:rFonts w:ascii="Century" w:hAnsi="Century"/>
                <w:b/>
                <w:bCs/>
                <w:color w:val="000000"/>
                <w:sz w:val="20"/>
                <w:szCs w:val="20"/>
                <w:lang w:eastAsia="ru-RU"/>
              </w:rPr>
            </w:pPr>
            <w:r w:rsidRPr="00A71D96">
              <w:rPr>
                <w:rFonts w:ascii="Century" w:hAnsi="Century"/>
                <w:bCs/>
                <w:i/>
                <w:iCs/>
                <w:color w:val="000000"/>
                <w:sz w:val="20"/>
                <w:szCs w:val="20"/>
                <w:lang w:eastAsia="ru-RU"/>
              </w:rPr>
              <w:t>%% ВВП</w:t>
            </w:r>
          </w:p>
        </w:tc>
        <w:tc>
          <w:tcPr>
            <w:tcW w:w="1019" w:type="dxa"/>
            <w:tcBorders>
              <w:top w:val="nil"/>
              <w:left w:val="nil"/>
              <w:bottom w:val="single" w:sz="4" w:space="0" w:color="auto"/>
              <w:right w:val="nil"/>
            </w:tcBorders>
            <w:vAlign w:val="center"/>
          </w:tcPr>
          <w:p w:rsidR="00A71D96" w:rsidRPr="00276F18" w:rsidRDefault="00A71D96" w:rsidP="00F2417A">
            <w:pPr>
              <w:spacing w:after="0" w:line="240" w:lineRule="auto"/>
              <w:contextualSpacing/>
              <w:jc w:val="right"/>
              <w:rPr>
                <w:rFonts w:ascii="Century" w:hAnsi="Century"/>
                <w:i/>
                <w:sz w:val="20"/>
                <w:szCs w:val="20"/>
              </w:rPr>
            </w:pPr>
            <w:r>
              <w:rPr>
                <w:rFonts w:ascii="Century" w:hAnsi="Century"/>
                <w:i/>
                <w:sz w:val="20"/>
                <w:szCs w:val="20"/>
                <w:lang w:val="en-US"/>
              </w:rPr>
              <w:t>&lt;</w:t>
            </w:r>
            <w:r w:rsidRPr="00276F18">
              <w:rPr>
                <w:rFonts w:ascii="Century" w:hAnsi="Century"/>
                <w:i/>
                <w:sz w:val="20"/>
                <w:szCs w:val="20"/>
              </w:rPr>
              <w:t>0,</w:t>
            </w:r>
            <w:r>
              <w:rPr>
                <w:rFonts w:ascii="Century" w:hAnsi="Century"/>
                <w:i/>
                <w:sz w:val="20"/>
                <w:szCs w:val="20"/>
              </w:rPr>
              <w:t>1</w:t>
            </w:r>
          </w:p>
        </w:tc>
        <w:tc>
          <w:tcPr>
            <w:tcW w:w="1019" w:type="dxa"/>
            <w:tcBorders>
              <w:top w:val="nil"/>
              <w:left w:val="nil"/>
              <w:bottom w:val="single" w:sz="4" w:space="0" w:color="auto"/>
              <w:right w:val="nil"/>
            </w:tcBorders>
            <w:vAlign w:val="center"/>
          </w:tcPr>
          <w:p w:rsidR="00A71D96" w:rsidRPr="00276F18" w:rsidRDefault="00A71D96" w:rsidP="00F2417A">
            <w:pPr>
              <w:spacing w:after="0" w:line="240" w:lineRule="auto"/>
              <w:contextualSpacing/>
              <w:jc w:val="right"/>
              <w:rPr>
                <w:rFonts w:ascii="Century" w:hAnsi="Century"/>
                <w:i/>
                <w:sz w:val="20"/>
                <w:szCs w:val="20"/>
              </w:rPr>
            </w:pPr>
            <w:r>
              <w:rPr>
                <w:rFonts w:ascii="Century" w:hAnsi="Century"/>
                <w:i/>
                <w:sz w:val="20"/>
                <w:szCs w:val="20"/>
                <w:lang w:val="en-US"/>
              </w:rPr>
              <w:t>&lt;</w:t>
            </w:r>
            <w:r w:rsidRPr="00276F18">
              <w:rPr>
                <w:rFonts w:ascii="Century" w:hAnsi="Century"/>
                <w:i/>
                <w:sz w:val="20"/>
                <w:szCs w:val="20"/>
              </w:rPr>
              <w:t>0,1</w:t>
            </w:r>
          </w:p>
        </w:tc>
        <w:tc>
          <w:tcPr>
            <w:tcW w:w="1019" w:type="dxa"/>
            <w:tcBorders>
              <w:top w:val="nil"/>
              <w:left w:val="nil"/>
              <w:bottom w:val="single" w:sz="4" w:space="0" w:color="auto"/>
              <w:right w:val="nil"/>
            </w:tcBorders>
            <w:vAlign w:val="center"/>
          </w:tcPr>
          <w:p w:rsidR="00A71D96" w:rsidRPr="00276F18" w:rsidRDefault="00A71D96" w:rsidP="00F2417A">
            <w:pPr>
              <w:spacing w:after="0" w:line="240" w:lineRule="auto"/>
              <w:contextualSpacing/>
              <w:jc w:val="right"/>
              <w:rPr>
                <w:rFonts w:ascii="Century" w:hAnsi="Century"/>
                <w:i/>
                <w:sz w:val="20"/>
                <w:szCs w:val="20"/>
              </w:rPr>
            </w:pPr>
            <w:r>
              <w:rPr>
                <w:rFonts w:ascii="Century" w:hAnsi="Century"/>
                <w:i/>
                <w:sz w:val="20"/>
                <w:szCs w:val="20"/>
                <w:lang w:val="en-US"/>
              </w:rPr>
              <w:t>&lt;</w:t>
            </w:r>
            <w:r w:rsidRPr="00276F18">
              <w:rPr>
                <w:rFonts w:ascii="Century" w:hAnsi="Century"/>
                <w:i/>
                <w:sz w:val="20"/>
                <w:szCs w:val="20"/>
              </w:rPr>
              <w:t>0</w:t>
            </w:r>
            <w:r>
              <w:rPr>
                <w:rFonts w:ascii="Century" w:hAnsi="Century"/>
                <w:i/>
                <w:sz w:val="20"/>
                <w:szCs w:val="20"/>
              </w:rPr>
              <w:t>,1</w:t>
            </w:r>
          </w:p>
        </w:tc>
        <w:tc>
          <w:tcPr>
            <w:tcW w:w="1019" w:type="dxa"/>
            <w:tcBorders>
              <w:top w:val="nil"/>
              <w:left w:val="nil"/>
              <w:bottom w:val="single" w:sz="4" w:space="0" w:color="auto"/>
              <w:right w:val="nil"/>
            </w:tcBorders>
            <w:vAlign w:val="center"/>
          </w:tcPr>
          <w:p w:rsidR="00A71D96" w:rsidRPr="00276F18" w:rsidRDefault="00A71D96" w:rsidP="00F2417A">
            <w:pPr>
              <w:spacing w:after="0" w:line="240" w:lineRule="auto"/>
              <w:contextualSpacing/>
              <w:jc w:val="right"/>
              <w:rPr>
                <w:rFonts w:ascii="Century" w:hAnsi="Century"/>
                <w:i/>
                <w:sz w:val="20"/>
                <w:szCs w:val="20"/>
              </w:rPr>
            </w:pPr>
            <w:r>
              <w:rPr>
                <w:rFonts w:ascii="Century" w:hAnsi="Century"/>
                <w:i/>
                <w:sz w:val="20"/>
                <w:szCs w:val="20"/>
                <w:lang w:val="en-US"/>
              </w:rPr>
              <w:t>&lt;</w:t>
            </w:r>
            <w:r w:rsidRPr="00276F18">
              <w:rPr>
                <w:rFonts w:ascii="Century" w:hAnsi="Century"/>
                <w:i/>
                <w:sz w:val="20"/>
                <w:szCs w:val="20"/>
              </w:rPr>
              <w:t>0,</w:t>
            </w:r>
            <w:r>
              <w:rPr>
                <w:rFonts w:ascii="Century" w:hAnsi="Century"/>
                <w:i/>
                <w:sz w:val="20"/>
                <w:szCs w:val="20"/>
              </w:rPr>
              <w:t>1</w:t>
            </w:r>
          </w:p>
        </w:tc>
      </w:tr>
    </w:tbl>
    <w:p w:rsidR="00A71D96" w:rsidRPr="005017A7" w:rsidRDefault="00A71D96" w:rsidP="00A71D96">
      <w:pPr>
        <w:autoSpaceDE w:val="0"/>
        <w:autoSpaceDN w:val="0"/>
        <w:adjustRightInd w:val="0"/>
        <w:spacing w:before="120" w:after="120"/>
        <w:jc w:val="both"/>
        <w:rPr>
          <w:rFonts w:ascii="Times New Roman" w:hAnsi="Times New Roman"/>
          <w:sz w:val="24"/>
          <w:szCs w:val="28"/>
          <w:lang w:eastAsia="ru-RU"/>
        </w:rPr>
      </w:pPr>
      <w:r w:rsidRPr="005017A7">
        <w:rPr>
          <w:rFonts w:ascii="Times New Roman" w:hAnsi="Times New Roman"/>
          <w:sz w:val="24"/>
          <w:szCs w:val="28"/>
          <w:lang w:eastAsia="ru-RU"/>
        </w:rPr>
        <w:t xml:space="preserve">Объем </w:t>
      </w:r>
      <w:r w:rsidRPr="005017A7">
        <w:rPr>
          <w:rFonts w:ascii="Times New Roman" w:hAnsi="Times New Roman"/>
          <w:b/>
          <w:sz w:val="24"/>
          <w:szCs w:val="28"/>
          <w:lang w:eastAsia="ru-RU"/>
        </w:rPr>
        <w:t>налоговых и неналоговых доходов</w:t>
      </w:r>
      <w:r w:rsidRPr="005017A7">
        <w:rPr>
          <w:rFonts w:ascii="Times New Roman" w:hAnsi="Times New Roman"/>
          <w:sz w:val="24"/>
          <w:szCs w:val="28"/>
          <w:lang w:eastAsia="ru-RU"/>
        </w:rPr>
        <w:t xml:space="preserve"> на субфедеральном уровне будет сохраняться на стабильном уровне по отношению к ВВП с небольшим снижением к 2020 году на фоне </w:t>
      </w:r>
      <w:r>
        <w:rPr>
          <w:rFonts w:ascii="Times New Roman" w:hAnsi="Times New Roman"/>
          <w:sz w:val="24"/>
          <w:szCs w:val="28"/>
          <w:lang w:eastAsia="ru-RU"/>
        </w:rPr>
        <w:t xml:space="preserve">сокращения с </w:t>
      </w:r>
      <w:r w:rsidRPr="005017A7">
        <w:rPr>
          <w:rFonts w:ascii="Times New Roman" w:hAnsi="Times New Roman"/>
          <w:sz w:val="24"/>
          <w:szCs w:val="28"/>
          <w:lang w:eastAsia="ru-RU"/>
        </w:rPr>
        <w:t>2018 года</w:t>
      </w:r>
      <w:r>
        <w:rPr>
          <w:rFonts w:ascii="Times New Roman" w:hAnsi="Times New Roman"/>
          <w:sz w:val="24"/>
          <w:szCs w:val="28"/>
          <w:lang w:eastAsia="ru-RU"/>
        </w:rPr>
        <w:t xml:space="preserve"> прибыли нефтегазового сектора со стабилизацией цен на нефть на равновесном уровне после временного превышения этого уровня в 2017 году.</w:t>
      </w:r>
      <w:r w:rsidRPr="005017A7">
        <w:rPr>
          <w:rFonts w:ascii="Times New Roman" w:hAnsi="Times New Roman"/>
          <w:sz w:val="24"/>
          <w:szCs w:val="28"/>
          <w:lang w:eastAsia="ru-RU"/>
        </w:rPr>
        <w:t xml:space="preserve"> </w:t>
      </w:r>
    </w:p>
    <w:p w:rsidR="00A71D96" w:rsidRPr="005017A7" w:rsidRDefault="00A71D96" w:rsidP="00A71D96">
      <w:pPr>
        <w:autoSpaceDE w:val="0"/>
        <w:autoSpaceDN w:val="0"/>
        <w:adjustRightInd w:val="0"/>
        <w:spacing w:before="120" w:after="120"/>
        <w:jc w:val="both"/>
        <w:rPr>
          <w:rFonts w:ascii="Times New Roman" w:hAnsi="Times New Roman"/>
          <w:sz w:val="24"/>
          <w:szCs w:val="28"/>
          <w:lang w:eastAsia="ru-RU"/>
        </w:rPr>
      </w:pPr>
      <w:r w:rsidRPr="005017A7">
        <w:rPr>
          <w:rFonts w:ascii="Times New Roman" w:hAnsi="Times New Roman"/>
          <w:b/>
          <w:sz w:val="24"/>
          <w:szCs w:val="28"/>
          <w:lang w:eastAsia="ru-RU"/>
        </w:rPr>
        <w:t>Расходы консолидированных бюджетов</w:t>
      </w:r>
      <w:r w:rsidRPr="005017A7">
        <w:rPr>
          <w:rFonts w:ascii="Times New Roman" w:hAnsi="Times New Roman"/>
          <w:sz w:val="24"/>
          <w:szCs w:val="28"/>
          <w:lang w:eastAsia="ru-RU"/>
        </w:rPr>
        <w:t xml:space="preserve"> субъектов в 2018-2020 годах прогнозируются со стабильным ежегодным приростом на уровне 4%</w:t>
      </w:r>
      <w:r>
        <w:rPr>
          <w:rFonts w:ascii="Times New Roman" w:hAnsi="Times New Roman"/>
          <w:sz w:val="24"/>
          <w:szCs w:val="28"/>
          <w:lang w:eastAsia="ru-RU"/>
        </w:rPr>
        <w:t>-5%</w:t>
      </w:r>
      <w:r w:rsidRPr="005017A7">
        <w:rPr>
          <w:rFonts w:ascii="Times New Roman" w:hAnsi="Times New Roman"/>
          <w:sz w:val="24"/>
          <w:szCs w:val="28"/>
          <w:lang w:eastAsia="ru-RU"/>
        </w:rPr>
        <w:t xml:space="preserve"> к предыдущему году. В то же время ожидается </w:t>
      </w:r>
      <w:r w:rsidRPr="00185C77">
        <w:rPr>
          <w:rFonts w:ascii="Times New Roman" w:hAnsi="Times New Roman"/>
          <w:sz w:val="24"/>
          <w:szCs w:val="28"/>
          <w:lang w:eastAsia="ru-RU"/>
        </w:rPr>
        <w:t>сокращение объема расходов консолидированных бюджетов субъектов в процентах к ВВП с 11,</w:t>
      </w:r>
      <w:r>
        <w:rPr>
          <w:rFonts w:ascii="Times New Roman" w:hAnsi="Times New Roman"/>
          <w:sz w:val="24"/>
          <w:szCs w:val="28"/>
          <w:lang w:eastAsia="ru-RU"/>
        </w:rPr>
        <w:t>6</w:t>
      </w:r>
      <w:r w:rsidRPr="00185C77">
        <w:rPr>
          <w:rFonts w:ascii="Times New Roman" w:hAnsi="Times New Roman"/>
          <w:sz w:val="24"/>
          <w:szCs w:val="28"/>
          <w:lang w:eastAsia="ru-RU"/>
        </w:rPr>
        <w:t>% в 2018 году до 11,</w:t>
      </w:r>
      <w:r>
        <w:rPr>
          <w:rFonts w:ascii="Times New Roman" w:hAnsi="Times New Roman"/>
          <w:sz w:val="24"/>
          <w:szCs w:val="28"/>
          <w:lang w:eastAsia="ru-RU"/>
        </w:rPr>
        <w:t>3</w:t>
      </w:r>
      <w:r w:rsidRPr="00185C77">
        <w:rPr>
          <w:rFonts w:ascii="Times New Roman" w:hAnsi="Times New Roman"/>
          <w:sz w:val="24"/>
          <w:szCs w:val="28"/>
          <w:lang w:eastAsia="ru-RU"/>
        </w:rPr>
        <w:t>% в</w:t>
      </w:r>
      <w:r w:rsidRPr="005017A7">
        <w:rPr>
          <w:rFonts w:ascii="Times New Roman" w:hAnsi="Times New Roman"/>
          <w:sz w:val="24"/>
          <w:szCs w:val="28"/>
          <w:lang w:eastAsia="ru-RU"/>
        </w:rPr>
        <w:t xml:space="preserve"> 2020 году на фоне аналогичного снижения</w:t>
      </w:r>
      <w:r>
        <w:rPr>
          <w:rFonts w:ascii="Times New Roman" w:hAnsi="Times New Roman"/>
          <w:sz w:val="24"/>
          <w:szCs w:val="28"/>
          <w:lang w:eastAsia="ru-RU"/>
        </w:rPr>
        <w:t xml:space="preserve"> доли доходной части по отношению к ВВП</w:t>
      </w:r>
      <w:r w:rsidRPr="005017A7">
        <w:rPr>
          <w:rFonts w:ascii="Times New Roman" w:hAnsi="Times New Roman"/>
          <w:sz w:val="24"/>
          <w:szCs w:val="28"/>
          <w:lang w:eastAsia="ru-RU"/>
        </w:rPr>
        <w:t>.</w:t>
      </w:r>
    </w:p>
    <w:p w:rsidR="00A71D96" w:rsidRPr="00DB0C39" w:rsidRDefault="00A71D96" w:rsidP="00A71D96">
      <w:pPr>
        <w:autoSpaceDE w:val="0"/>
        <w:autoSpaceDN w:val="0"/>
        <w:adjustRightInd w:val="0"/>
        <w:spacing w:before="120" w:after="120"/>
        <w:jc w:val="both"/>
        <w:rPr>
          <w:rFonts w:ascii="Times New Roman" w:hAnsi="Times New Roman"/>
          <w:sz w:val="24"/>
          <w:szCs w:val="28"/>
          <w:lang w:eastAsia="ru-RU"/>
        </w:rPr>
      </w:pPr>
      <w:r w:rsidRPr="00DB0C39">
        <w:rPr>
          <w:rFonts w:ascii="Times New Roman" w:hAnsi="Times New Roman"/>
          <w:sz w:val="24"/>
          <w:szCs w:val="28"/>
          <w:lang w:eastAsia="ru-RU"/>
        </w:rPr>
        <w:t>При планировании объема расходных обязательств консолидированных бюджетов субъектов Российской Федерации учитывается оценка исполнения в 2016 году, уточненный прогноз макроэкономических показателей социально-экономического развития и следующие факторы:</w:t>
      </w:r>
    </w:p>
    <w:p w:rsidR="00A71D96" w:rsidRDefault="00A71D96" w:rsidP="00A71D96">
      <w:pPr>
        <w:pStyle w:val="a9"/>
        <w:numPr>
          <w:ilvl w:val="0"/>
          <w:numId w:val="11"/>
        </w:numPr>
        <w:spacing w:before="120" w:after="120"/>
        <w:ind w:left="357" w:hanging="357"/>
        <w:contextualSpacing w:val="0"/>
        <w:jc w:val="both"/>
        <w:rPr>
          <w:rFonts w:ascii="Times New Roman" w:hAnsi="Times New Roman"/>
          <w:sz w:val="24"/>
          <w:szCs w:val="28"/>
          <w:lang w:eastAsia="ru-RU"/>
        </w:rPr>
      </w:pPr>
      <w:proofErr w:type="gramStart"/>
      <w:r w:rsidRPr="00DB0C39">
        <w:rPr>
          <w:rFonts w:ascii="Times New Roman" w:hAnsi="Times New Roman"/>
          <w:sz w:val="24"/>
          <w:szCs w:val="28"/>
          <w:lang w:eastAsia="ru-RU"/>
        </w:rPr>
        <w:t>повышение оплаты труда работников в сфере образования, здравоохранения, культуры, социального обслуживания в соответствии с указами Президента Российской Федерации от 7 мая 2012 г. № 597 «О мероприятиях по реализации государственной социальной политики», от 1 июня 2012 г. № 761 «О Национальной стратегии действий в интересах детей на 2012 - 2017 годы», от 28 декабря 2012 г. № 1688 «О некоторых мерах по реализации государственной</w:t>
      </w:r>
      <w:proofErr w:type="gramEnd"/>
      <w:r w:rsidRPr="00DB0C39">
        <w:rPr>
          <w:rFonts w:ascii="Times New Roman" w:hAnsi="Times New Roman"/>
          <w:sz w:val="24"/>
          <w:szCs w:val="28"/>
          <w:lang w:eastAsia="ru-RU"/>
        </w:rPr>
        <w:t xml:space="preserve"> </w:t>
      </w:r>
      <w:proofErr w:type="gramStart"/>
      <w:r w:rsidRPr="00DB0C39">
        <w:rPr>
          <w:rFonts w:ascii="Times New Roman" w:hAnsi="Times New Roman"/>
          <w:sz w:val="24"/>
          <w:szCs w:val="28"/>
          <w:lang w:eastAsia="ru-RU"/>
        </w:rPr>
        <w:t>политики в сфере защиты детей-сирот и детей, оставшихся без попечения родителей» и принятыми региональными планами мероприятий («дорожными картами») по развитию отраслей социальной сферы с учетом достижения целевых показателей повышения оплаты труда работников бюджетной сферы в 2018 году</w:t>
      </w:r>
      <w:r>
        <w:rPr>
          <w:rFonts w:ascii="Times New Roman" w:hAnsi="Times New Roman"/>
          <w:sz w:val="24"/>
          <w:szCs w:val="28"/>
          <w:lang w:eastAsia="ru-RU"/>
        </w:rPr>
        <w:t>, в 2019-2020 годах сохранение достигнутых в 2018 году соотношений</w:t>
      </w:r>
      <w:r w:rsidRPr="00DB0C39">
        <w:rPr>
          <w:rFonts w:ascii="Times New Roman" w:hAnsi="Times New Roman"/>
          <w:sz w:val="24"/>
          <w:szCs w:val="28"/>
          <w:lang w:eastAsia="ru-RU"/>
        </w:rPr>
        <w:t>;</w:t>
      </w:r>
      <w:proofErr w:type="gramEnd"/>
    </w:p>
    <w:p w:rsidR="00A71D96" w:rsidRDefault="00A71D96" w:rsidP="00A71D96">
      <w:pPr>
        <w:pStyle w:val="a9"/>
        <w:numPr>
          <w:ilvl w:val="0"/>
          <w:numId w:val="11"/>
        </w:numPr>
        <w:spacing w:before="120" w:after="120"/>
        <w:ind w:left="357" w:hanging="357"/>
        <w:contextualSpacing w:val="0"/>
        <w:jc w:val="both"/>
        <w:rPr>
          <w:rFonts w:ascii="Times New Roman" w:hAnsi="Times New Roman"/>
          <w:sz w:val="24"/>
          <w:szCs w:val="28"/>
          <w:lang w:eastAsia="ru-RU"/>
        </w:rPr>
      </w:pPr>
      <w:proofErr w:type="gramStart"/>
      <w:r>
        <w:rPr>
          <w:rFonts w:ascii="Times New Roman" w:hAnsi="Times New Roman"/>
          <w:sz w:val="24"/>
          <w:szCs w:val="28"/>
          <w:lang w:eastAsia="ru-RU"/>
        </w:rPr>
        <w:t xml:space="preserve">индексация с 1 января 2018 года фондов оплаты труда категорий работников бюджетной сферы, которые не попадают под действие </w:t>
      </w:r>
      <w:r w:rsidRPr="00DB0C39">
        <w:rPr>
          <w:rFonts w:ascii="Times New Roman" w:hAnsi="Times New Roman"/>
          <w:sz w:val="24"/>
          <w:szCs w:val="28"/>
          <w:lang w:eastAsia="ru-RU"/>
        </w:rPr>
        <w:t>указ</w:t>
      </w:r>
      <w:r>
        <w:rPr>
          <w:rFonts w:ascii="Times New Roman" w:hAnsi="Times New Roman"/>
          <w:sz w:val="24"/>
          <w:szCs w:val="28"/>
          <w:lang w:eastAsia="ru-RU"/>
        </w:rPr>
        <w:t>ов</w:t>
      </w:r>
      <w:r w:rsidRPr="00DB0C39">
        <w:rPr>
          <w:rFonts w:ascii="Times New Roman" w:hAnsi="Times New Roman"/>
          <w:sz w:val="24"/>
          <w:szCs w:val="28"/>
          <w:lang w:eastAsia="ru-RU"/>
        </w:rPr>
        <w:t xml:space="preserve"> Президента Российской Федерации от 7 мая 2012 г. № 597 «О мероприятиях по реализации государственной социальной политики», от 1 июня 2012 г. № 761 «О Национальной стратегии действий в интересах детей на 2012 - 2017 годы», от 28 декабря 2012 г. № 1688 «О некоторых</w:t>
      </w:r>
      <w:proofErr w:type="gramEnd"/>
      <w:r w:rsidRPr="00DB0C39">
        <w:rPr>
          <w:rFonts w:ascii="Times New Roman" w:hAnsi="Times New Roman"/>
          <w:sz w:val="24"/>
          <w:szCs w:val="28"/>
          <w:lang w:eastAsia="ru-RU"/>
        </w:rPr>
        <w:t xml:space="preserve"> </w:t>
      </w:r>
      <w:proofErr w:type="gramStart"/>
      <w:r w:rsidRPr="00DB0C39">
        <w:rPr>
          <w:rFonts w:ascii="Times New Roman" w:hAnsi="Times New Roman"/>
          <w:sz w:val="24"/>
          <w:szCs w:val="28"/>
          <w:lang w:eastAsia="ru-RU"/>
        </w:rPr>
        <w:t>мерах</w:t>
      </w:r>
      <w:proofErr w:type="gramEnd"/>
      <w:r w:rsidRPr="00DB0C39">
        <w:rPr>
          <w:rFonts w:ascii="Times New Roman" w:hAnsi="Times New Roman"/>
          <w:sz w:val="24"/>
          <w:szCs w:val="28"/>
          <w:lang w:eastAsia="ru-RU"/>
        </w:rPr>
        <w:t xml:space="preserve"> по реализации государственной политики в сфере защиты детей-сирот и детей, оставшихся без попечения родителей»</w:t>
      </w:r>
      <w:r>
        <w:rPr>
          <w:rFonts w:ascii="Times New Roman" w:hAnsi="Times New Roman"/>
          <w:sz w:val="24"/>
          <w:szCs w:val="28"/>
          <w:lang w:eastAsia="ru-RU"/>
        </w:rPr>
        <w:t>;</w:t>
      </w:r>
    </w:p>
    <w:p w:rsidR="00A71D96" w:rsidRPr="00DB0C39" w:rsidRDefault="00A71D96" w:rsidP="00A71D96">
      <w:pPr>
        <w:pStyle w:val="a9"/>
        <w:numPr>
          <w:ilvl w:val="0"/>
          <w:numId w:val="11"/>
        </w:numPr>
        <w:spacing w:before="120" w:after="120"/>
        <w:ind w:left="357" w:hanging="357"/>
        <w:contextualSpacing w:val="0"/>
        <w:jc w:val="both"/>
        <w:rPr>
          <w:rFonts w:ascii="Times New Roman" w:hAnsi="Times New Roman"/>
          <w:sz w:val="24"/>
          <w:szCs w:val="28"/>
          <w:lang w:eastAsia="ru-RU"/>
        </w:rPr>
      </w:pPr>
      <w:r>
        <w:rPr>
          <w:rFonts w:ascii="Times New Roman" w:hAnsi="Times New Roman"/>
          <w:sz w:val="24"/>
          <w:szCs w:val="28"/>
          <w:lang w:eastAsia="ru-RU"/>
        </w:rPr>
        <w:t>повышение уровня минимального размера оплаты труда до величины прожиточного минимума трудоспособного населения;</w:t>
      </w:r>
    </w:p>
    <w:p w:rsidR="00A71D96" w:rsidRPr="00DB0C39" w:rsidRDefault="00A71D96" w:rsidP="00A71D96">
      <w:pPr>
        <w:pStyle w:val="a9"/>
        <w:numPr>
          <w:ilvl w:val="0"/>
          <w:numId w:val="11"/>
        </w:numPr>
        <w:spacing w:before="120" w:after="120"/>
        <w:ind w:left="357" w:hanging="357"/>
        <w:contextualSpacing w:val="0"/>
        <w:jc w:val="both"/>
        <w:rPr>
          <w:rFonts w:ascii="Times New Roman" w:hAnsi="Times New Roman"/>
          <w:sz w:val="24"/>
          <w:szCs w:val="28"/>
          <w:lang w:eastAsia="ru-RU"/>
        </w:rPr>
      </w:pPr>
      <w:r w:rsidRPr="00DB0C39">
        <w:rPr>
          <w:rFonts w:ascii="Times New Roman" w:hAnsi="Times New Roman"/>
          <w:sz w:val="24"/>
          <w:szCs w:val="28"/>
          <w:lang w:eastAsia="ru-RU"/>
        </w:rPr>
        <w:t>ежегодная индексация социально-значимых расходов на уровень инфляции;</w:t>
      </w:r>
    </w:p>
    <w:p w:rsidR="00A71D96" w:rsidRPr="00DB0C39" w:rsidRDefault="00A71D96" w:rsidP="00A71D96">
      <w:pPr>
        <w:pStyle w:val="a9"/>
        <w:numPr>
          <w:ilvl w:val="0"/>
          <w:numId w:val="11"/>
        </w:numPr>
        <w:spacing w:before="120" w:after="120"/>
        <w:ind w:left="357" w:hanging="357"/>
        <w:contextualSpacing w:val="0"/>
        <w:jc w:val="both"/>
        <w:rPr>
          <w:rFonts w:ascii="Times New Roman" w:hAnsi="Times New Roman"/>
          <w:sz w:val="24"/>
          <w:szCs w:val="28"/>
          <w:lang w:eastAsia="ru-RU"/>
        </w:rPr>
      </w:pPr>
      <w:r w:rsidRPr="00DB0C39">
        <w:rPr>
          <w:rFonts w:ascii="Times New Roman" w:hAnsi="Times New Roman"/>
          <w:sz w:val="24"/>
          <w:szCs w:val="28"/>
          <w:lang w:eastAsia="ru-RU"/>
        </w:rPr>
        <w:t>ежегодное изменение объемов целевых межбюджетных трансфертов, предоставляемых из федерального бюджета.</w:t>
      </w:r>
    </w:p>
    <w:p w:rsidR="00A71D96" w:rsidRPr="003C4091" w:rsidRDefault="00A71D96" w:rsidP="00A71D96">
      <w:pPr>
        <w:spacing w:before="120" w:after="120"/>
        <w:jc w:val="both"/>
        <w:rPr>
          <w:rFonts w:ascii="Times New Roman" w:hAnsi="Times New Roman"/>
          <w:sz w:val="24"/>
          <w:szCs w:val="28"/>
          <w:lang w:eastAsia="ru-RU"/>
        </w:rPr>
      </w:pPr>
      <w:r w:rsidRPr="003C4091">
        <w:rPr>
          <w:rFonts w:ascii="Times New Roman" w:hAnsi="Times New Roman"/>
          <w:sz w:val="24"/>
          <w:szCs w:val="28"/>
          <w:lang w:eastAsia="ru-RU"/>
        </w:rPr>
        <w:t>Дефицит консолидированных бюджетов субъектов Российской Федерации будет постепенно сокращаться с -</w:t>
      </w:r>
      <w:r>
        <w:rPr>
          <w:rFonts w:ascii="Times New Roman" w:hAnsi="Times New Roman"/>
          <w:sz w:val="24"/>
          <w:szCs w:val="28"/>
          <w:lang w:eastAsia="ru-RU"/>
        </w:rPr>
        <w:t>52</w:t>
      </w:r>
      <w:r w:rsidRPr="003C4091">
        <w:rPr>
          <w:rFonts w:ascii="Times New Roman" w:hAnsi="Times New Roman"/>
          <w:sz w:val="24"/>
          <w:szCs w:val="28"/>
          <w:lang w:eastAsia="ru-RU"/>
        </w:rPr>
        <w:t xml:space="preserve"> </w:t>
      </w:r>
      <w:proofErr w:type="gramStart"/>
      <w:r>
        <w:rPr>
          <w:rFonts w:ascii="Times New Roman" w:hAnsi="Times New Roman"/>
          <w:sz w:val="24"/>
          <w:szCs w:val="28"/>
          <w:lang w:eastAsia="ru-RU"/>
        </w:rPr>
        <w:t>млрд</w:t>
      </w:r>
      <w:proofErr w:type="gramEnd"/>
      <w:r w:rsidRPr="003C4091">
        <w:rPr>
          <w:rFonts w:ascii="Times New Roman" w:hAnsi="Times New Roman"/>
          <w:sz w:val="24"/>
          <w:szCs w:val="28"/>
          <w:lang w:eastAsia="ru-RU"/>
        </w:rPr>
        <w:t xml:space="preserve"> рублей в 2018 году до - </w:t>
      </w:r>
      <w:r w:rsidR="000A4AEB">
        <w:rPr>
          <w:rFonts w:ascii="Times New Roman" w:hAnsi="Times New Roman"/>
          <w:sz w:val="24"/>
          <w:szCs w:val="28"/>
          <w:lang w:eastAsia="ru-RU"/>
        </w:rPr>
        <w:t>15</w:t>
      </w:r>
      <w:r>
        <w:rPr>
          <w:rFonts w:ascii="Times New Roman" w:hAnsi="Times New Roman"/>
          <w:sz w:val="24"/>
          <w:szCs w:val="28"/>
          <w:lang w:eastAsia="ru-RU"/>
        </w:rPr>
        <w:t xml:space="preserve"> млрд</w:t>
      </w:r>
      <w:r w:rsidRPr="003C4091">
        <w:rPr>
          <w:rFonts w:ascii="Times New Roman" w:hAnsi="Times New Roman"/>
          <w:sz w:val="24"/>
          <w:szCs w:val="28"/>
          <w:lang w:eastAsia="ru-RU"/>
        </w:rPr>
        <w:t xml:space="preserve"> рублей в 2020 году.</w:t>
      </w:r>
    </w:p>
    <w:p w:rsidR="009D5EB2" w:rsidRDefault="009D5EB2" w:rsidP="00A71D96">
      <w:pPr>
        <w:spacing w:before="120" w:after="120"/>
        <w:jc w:val="both"/>
        <w:rPr>
          <w:rFonts w:ascii="Times New Roman" w:hAnsi="Times New Roman"/>
          <w:b/>
          <w:sz w:val="24"/>
          <w:szCs w:val="28"/>
          <w:lang w:eastAsia="ru-RU"/>
        </w:rPr>
      </w:pPr>
    </w:p>
    <w:p w:rsidR="009D5EB2" w:rsidRDefault="009D5EB2" w:rsidP="00A71D96">
      <w:pPr>
        <w:spacing w:before="120" w:after="120"/>
        <w:jc w:val="both"/>
        <w:rPr>
          <w:rFonts w:ascii="Times New Roman" w:hAnsi="Times New Roman"/>
          <w:b/>
          <w:sz w:val="24"/>
          <w:szCs w:val="28"/>
          <w:lang w:eastAsia="ru-RU"/>
        </w:rPr>
      </w:pPr>
    </w:p>
    <w:p w:rsidR="00A71D96" w:rsidRPr="00DB0C39" w:rsidRDefault="00A71D96" w:rsidP="00A71D96">
      <w:pPr>
        <w:spacing w:before="120" w:after="120"/>
        <w:jc w:val="both"/>
        <w:rPr>
          <w:rFonts w:ascii="Times New Roman" w:hAnsi="Times New Roman"/>
          <w:sz w:val="24"/>
          <w:szCs w:val="28"/>
          <w:lang w:eastAsia="ru-RU"/>
        </w:rPr>
      </w:pPr>
      <w:r w:rsidRPr="005017A7">
        <w:rPr>
          <w:rFonts w:ascii="Times New Roman" w:hAnsi="Times New Roman"/>
          <w:b/>
          <w:sz w:val="24"/>
          <w:szCs w:val="28"/>
          <w:lang w:eastAsia="ru-RU"/>
        </w:rPr>
        <w:t>Источниками финансирования дефицита</w:t>
      </w:r>
      <w:r w:rsidRPr="005017A7">
        <w:rPr>
          <w:rFonts w:ascii="Times New Roman" w:hAnsi="Times New Roman"/>
          <w:sz w:val="24"/>
          <w:szCs w:val="28"/>
          <w:lang w:eastAsia="ru-RU"/>
        </w:rPr>
        <w:t xml:space="preserve"> бюджетов субъектов в рассматриваемом периоде будут являться ценные бумаги, кредиты от кредитных организаций, изменение остатков средств на счетах по учету средств бюджетов субъектов, </w:t>
      </w:r>
      <w:r w:rsidRPr="00DB0C39">
        <w:rPr>
          <w:rFonts w:ascii="Times New Roman" w:hAnsi="Times New Roman"/>
          <w:sz w:val="24"/>
          <w:szCs w:val="28"/>
          <w:lang w:eastAsia="ru-RU"/>
        </w:rPr>
        <w:t>и прочие источники финансирования.</w:t>
      </w:r>
    </w:p>
    <w:p w:rsidR="00A71D96" w:rsidRPr="005017A7" w:rsidRDefault="00A71D96" w:rsidP="00A71D96">
      <w:pPr>
        <w:spacing w:after="240"/>
        <w:jc w:val="both"/>
        <w:rPr>
          <w:rFonts w:ascii="Times New Roman" w:hAnsi="Times New Roman"/>
          <w:sz w:val="24"/>
          <w:szCs w:val="28"/>
          <w:lang w:eastAsia="ru-RU"/>
        </w:rPr>
      </w:pPr>
      <w:r w:rsidRPr="005017A7">
        <w:rPr>
          <w:rFonts w:ascii="Times New Roman" w:hAnsi="Times New Roman"/>
          <w:b/>
          <w:sz w:val="24"/>
        </w:rPr>
        <w:t xml:space="preserve">Таблица </w:t>
      </w:r>
      <w:r w:rsidRPr="002B72A8">
        <w:rPr>
          <w:rFonts w:ascii="Times New Roman" w:hAnsi="Times New Roman"/>
          <w:b/>
          <w:sz w:val="24"/>
        </w:rPr>
        <w:t>4</w:t>
      </w:r>
      <w:r w:rsidRPr="005017A7">
        <w:rPr>
          <w:rFonts w:ascii="Times New Roman" w:hAnsi="Times New Roman"/>
          <w:b/>
          <w:sz w:val="24"/>
        </w:rPr>
        <w:t>.2.2</w:t>
      </w:r>
      <w:r w:rsidRPr="005017A7">
        <w:rPr>
          <w:rFonts w:ascii="Times New Roman" w:hAnsi="Times New Roman"/>
          <w:b/>
          <w:sz w:val="24"/>
          <w:szCs w:val="24"/>
        </w:rPr>
        <w:t>.</w:t>
      </w:r>
      <w:r w:rsidRPr="005017A7">
        <w:rPr>
          <w:rFonts w:ascii="Times New Roman" w:hAnsi="Times New Roman"/>
          <w:sz w:val="24"/>
        </w:rPr>
        <w:t xml:space="preserve"> </w:t>
      </w:r>
      <w:r w:rsidRPr="005017A7">
        <w:rPr>
          <w:rFonts w:ascii="Times New Roman" w:hAnsi="Times New Roman"/>
          <w:sz w:val="24"/>
          <w:szCs w:val="28"/>
          <w:lang w:eastAsia="ru-RU"/>
        </w:rPr>
        <w:t>Межбюджетные трансферты из федерального бюджета</w:t>
      </w:r>
      <w:r w:rsidRPr="005017A7">
        <w:rPr>
          <w:rFonts w:ascii="Times New Roman" w:hAnsi="Times New Roman"/>
          <w:sz w:val="24"/>
          <w:szCs w:val="28"/>
          <w:lang w:eastAsia="ru-RU"/>
        </w:rPr>
        <w:br/>
        <w:t>бюджетам субъектов в 2017-2020 гг.</w:t>
      </w:r>
    </w:p>
    <w:p w:rsidR="00A71D96" w:rsidRDefault="00A71D96" w:rsidP="00A71D96">
      <w:pPr>
        <w:spacing w:after="0"/>
        <w:jc w:val="right"/>
        <w:rPr>
          <w:rFonts w:ascii="Times New Roman" w:hAnsi="Times New Roman"/>
          <w:i/>
          <w:szCs w:val="28"/>
          <w:lang w:eastAsia="ru-RU"/>
        </w:rPr>
      </w:pPr>
      <w:proofErr w:type="gramStart"/>
      <w:r w:rsidRPr="006C7076">
        <w:rPr>
          <w:rFonts w:ascii="Times New Roman" w:hAnsi="Times New Roman"/>
          <w:i/>
          <w:szCs w:val="28"/>
          <w:lang w:eastAsia="ru-RU"/>
        </w:rPr>
        <w:t>млрд</w:t>
      </w:r>
      <w:proofErr w:type="gramEnd"/>
      <w:r w:rsidRPr="006C7076">
        <w:rPr>
          <w:rFonts w:ascii="Times New Roman" w:hAnsi="Times New Roman"/>
          <w:i/>
          <w:szCs w:val="28"/>
          <w:lang w:eastAsia="ru-RU"/>
        </w:rPr>
        <w:t xml:space="preserve"> рублей</w:t>
      </w:r>
    </w:p>
    <w:tbl>
      <w:tblPr>
        <w:tblW w:w="9097" w:type="dxa"/>
        <w:tblLayout w:type="fixed"/>
        <w:tblLook w:val="00A0" w:firstRow="1" w:lastRow="0" w:firstColumn="1" w:lastColumn="0" w:noHBand="0" w:noVBand="0"/>
      </w:tblPr>
      <w:tblGrid>
        <w:gridCol w:w="4928"/>
        <w:gridCol w:w="1109"/>
        <w:gridCol w:w="1020"/>
        <w:gridCol w:w="1020"/>
        <w:gridCol w:w="1020"/>
      </w:tblGrid>
      <w:tr w:rsidR="00A71D96" w:rsidRPr="005017A7" w:rsidTr="00F2417A">
        <w:trPr>
          <w:trHeight w:val="340"/>
        </w:trPr>
        <w:tc>
          <w:tcPr>
            <w:tcW w:w="4928" w:type="dxa"/>
            <w:tcBorders>
              <w:top w:val="single" w:sz="4" w:space="0" w:color="auto"/>
              <w:bottom w:val="single" w:sz="4" w:space="0" w:color="auto"/>
            </w:tcBorders>
          </w:tcPr>
          <w:p w:rsidR="00A71D96" w:rsidRPr="00F2417A" w:rsidRDefault="00A71D96" w:rsidP="00F2417A">
            <w:pPr>
              <w:spacing w:after="0" w:line="240" w:lineRule="auto"/>
              <w:rPr>
                <w:rFonts w:ascii="Century" w:hAnsi="Century"/>
                <w:b/>
                <w:bCs/>
                <w:szCs w:val="24"/>
              </w:rPr>
            </w:pPr>
            <w:r w:rsidRPr="00F2417A">
              <w:rPr>
                <w:rFonts w:ascii="Century" w:hAnsi="Century"/>
                <w:b/>
                <w:bCs/>
                <w:szCs w:val="24"/>
              </w:rPr>
              <w:t>Показатель</w:t>
            </w:r>
          </w:p>
        </w:tc>
        <w:tc>
          <w:tcPr>
            <w:tcW w:w="1109" w:type="dxa"/>
            <w:tcBorders>
              <w:top w:val="single" w:sz="4" w:space="0" w:color="auto"/>
              <w:bottom w:val="single" w:sz="4" w:space="0" w:color="auto"/>
            </w:tcBorders>
          </w:tcPr>
          <w:p w:rsidR="00A71D96" w:rsidRPr="00F2417A" w:rsidRDefault="00A71D96" w:rsidP="00F2417A">
            <w:pPr>
              <w:spacing w:after="0" w:line="240" w:lineRule="auto"/>
              <w:jc w:val="right"/>
              <w:rPr>
                <w:rFonts w:ascii="Century" w:hAnsi="Century"/>
                <w:b/>
                <w:bCs/>
                <w:szCs w:val="24"/>
              </w:rPr>
            </w:pPr>
            <w:r w:rsidRPr="00F2417A">
              <w:rPr>
                <w:rFonts w:ascii="Century" w:hAnsi="Century"/>
                <w:b/>
                <w:bCs/>
                <w:szCs w:val="24"/>
              </w:rPr>
              <w:t>2017</w:t>
            </w:r>
          </w:p>
        </w:tc>
        <w:tc>
          <w:tcPr>
            <w:tcW w:w="1020" w:type="dxa"/>
            <w:tcBorders>
              <w:top w:val="single" w:sz="4" w:space="0" w:color="auto"/>
              <w:bottom w:val="single" w:sz="4" w:space="0" w:color="auto"/>
            </w:tcBorders>
          </w:tcPr>
          <w:p w:rsidR="00A71D96" w:rsidRPr="00F2417A" w:rsidRDefault="00A71D96" w:rsidP="00F2417A">
            <w:pPr>
              <w:spacing w:after="0" w:line="240" w:lineRule="auto"/>
              <w:jc w:val="right"/>
              <w:rPr>
                <w:rFonts w:ascii="Century" w:hAnsi="Century"/>
                <w:b/>
                <w:bCs/>
                <w:szCs w:val="24"/>
              </w:rPr>
            </w:pPr>
            <w:r w:rsidRPr="00F2417A">
              <w:rPr>
                <w:rFonts w:ascii="Century" w:hAnsi="Century"/>
                <w:b/>
                <w:bCs/>
                <w:szCs w:val="24"/>
              </w:rPr>
              <w:t>2018</w:t>
            </w:r>
          </w:p>
        </w:tc>
        <w:tc>
          <w:tcPr>
            <w:tcW w:w="1020" w:type="dxa"/>
            <w:tcBorders>
              <w:top w:val="single" w:sz="4" w:space="0" w:color="auto"/>
              <w:bottom w:val="single" w:sz="4" w:space="0" w:color="auto"/>
            </w:tcBorders>
          </w:tcPr>
          <w:p w:rsidR="00A71D96" w:rsidRPr="00F2417A" w:rsidRDefault="00A71D96" w:rsidP="00F2417A">
            <w:pPr>
              <w:spacing w:after="0" w:line="240" w:lineRule="auto"/>
              <w:jc w:val="right"/>
              <w:rPr>
                <w:rFonts w:ascii="Century" w:hAnsi="Century"/>
                <w:b/>
                <w:bCs/>
                <w:szCs w:val="24"/>
              </w:rPr>
            </w:pPr>
            <w:r w:rsidRPr="00F2417A">
              <w:rPr>
                <w:rFonts w:ascii="Century" w:hAnsi="Century"/>
                <w:b/>
                <w:bCs/>
                <w:szCs w:val="24"/>
              </w:rPr>
              <w:t>2019</w:t>
            </w:r>
          </w:p>
        </w:tc>
        <w:tc>
          <w:tcPr>
            <w:tcW w:w="1020" w:type="dxa"/>
            <w:tcBorders>
              <w:top w:val="single" w:sz="4" w:space="0" w:color="auto"/>
              <w:bottom w:val="single" w:sz="4" w:space="0" w:color="auto"/>
            </w:tcBorders>
          </w:tcPr>
          <w:p w:rsidR="00A71D96" w:rsidRPr="00F2417A" w:rsidRDefault="00A71D96" w:rsidP="00F2417A">
            <w:pPr>
              <w:spacing w:after="0" w:line="240" w:lineRule="auto"/>
              <w:jc w:val="right"/>
              <w:rPr>
                <w:rFonts w:ascii="Century" w:hAnsi="Century"/>
                <w:b/>
                <w:bCs/>
                <w:szCs w:val="24"/>
              </w:rPr>
            </w:pPr>
            <w:r w:rsidRPr="00F2417A">
              <w:rPr>
                <w:rFonts w:ascii="Century" w:hAnsi="Century"/>
                <w:b/>
                <w:bCs/>
                <w:szCs w:val="24"/>
              </w:rPr>
              <w:t>2020</w:t>
            </w:r>
          </w:p>
        </w:tc>
      </w:tr>
      <w:tr w:rsidR="00DF7C4D" w:rsidRPr="00D3609A" w:rsidTr="003C4A4E">
        <w:trPr>
          <w:trHeight w:val="340"/>
        </w:trPr>
        <w:tc>
          <w:tcPr>
            <w:tcW w:w="4928" w:type="dxa"/>
            <w:tcBorders>
              <w:top w:val="single" w:sz="4" w:space="0" w:color="auto"/>
            </w:tcBorders>
            <w:shd w:val="clear" w:color="auto" w:fill="F2F2F2"/>
            <w:vAlign w:val="center"/>
          </w:tcPr>
          <w:p w:rsidR="00DF7C4D" w:rsidRPr="005017A7" w:rsidRDefault="00DF7C4D" w:rsidP="00F2417A">
            <w:pPr>
              <w:spacing w:after="0" w:line="240" w:lineRule="auto"/>
              <w:rPr>
                <w:rFonts w:ascii="Century Cyr" w:hAnsi="Century Cyr"/>
                <w:b/>
                <w:bCs/>
                <w:color w:val="000000"/>
                <w:sz w:val="20"/>
                <w:szCs w:val="20"/>
                <w:lang w:eastAsia="ru-RU"/>
              </w:rPr>
            </w:pPr>
            <w:r w:rsidRPr="005017A7">
              <w:rPr>
                <w:rFonts w:ascii="Century Cyr" w:hAnsi="Century Cyr"/>
                <w:b/>
                <w:bCs/>
                <w:color w:val="000000"/>
                <w:sz w:val="20"/>
                <w:szCs w:val="20"/>
                <w:lang w:eastAsia="ru-RU"/>
              </w:rPr>
              <w:t>Межбюджетные трансферты</w:t>
            </w:r>
          </w:p>
        </w:tc>
        <w:tc>
          <w:tcPr>
            <w:tcW w:w="1109" w:type="dxa"/>
            <w:tcBorders>
              <w:top w:val="single" w:sz="4" w:space="0" w:color="auto"/>
            </w:tcBorders>
            <w:shd w:val="clear" w:color="auto" w:fill="F2F2F2"/>
            <w:vAlign w:val="center"/>
          </w:tcPr>
          <w:p w:rsidR="00DF7C4D" w:rsidRDefault="00DF7C4D" w:rsidP="00DF7C4D">
            <w:pPr>
              <w:spacing w:after="0" w:line="240" w:lineRule="auto"/>
              <w:jc w:val="right"/>
              <w:rPr>
                <w:rFonts w:ascii="Century" w:hAnsi="Century"/>
                <w:b/>
                <w:bCs/>
                <w:sz w:val="20"/>
                <w:szCs w:val="20"/>
              </w:rPr>
            </w:pPr>
            <w:r>
              <w:rPr>
                <w:rFonts w:ascii="Century" w:hAnsi="Century"/>
                <w:b/>
                <w:bCs/>
                <w:sz w:val="20"/>
                <w:szCs w:val="20"/>
              </w:rPr>
              <w:t>1 669</w:t>
            </w:r>
          </w:p>
        </w:tc>
        <w:tc>
          <w:tcPr>
            <w:tcW w:w="1020" w:type="dxa"/>
            <w:tcBorders>
              <w:top w:val="single" w:sz="4" w:space="0" w:color="auto"/>
            </w:tcBorders>
            <w:shd w:val="clear" w:color="auto" w:fill="F2F2F2"/>
            <w:vAlign w:val="center"/>
          </w:tcPr>
          <w:p w:rsidR="00DF7C4D" w:rsidRPr="00573243" w:rsidRDefault="00DF7C4D" w:rsidP="00F2417A">
            <w:pPr>
              <w:spacing w:after="0" w:line="240" w:lineRule="auto"/>
              <w:jc w:val="right"/>
              <w:rPr>
                <w:rFonts w:ascii="Century" w:hAnsi="Century"/>
                <w:b/>
                <w:bCs/>
                <w:color w:val="000000"/>
                <w:sz w:val="20"/>
                <w:szCs w:val="20"/>
              </w:rPr>
            </w:pPr>
            <w:r>
              <w:rPr>
                <w:rFonts w:ascii="Century" w:eastAsia="Times New Roman" w:hAnsi="Century" w:cs="Calibri"/>
                <w:b/>
                <w:bCs/>
                <w:color w:val="000000"/>
                <w:sz w:val="20"/>
                <w:szCs w:val="20"/>
                <w:lang w:eastAsia="ru-RU"/>
              </w:rPr>
              <w:t>1 652</w:t>
            </w:r>
          </w:p>
        </w:tc>
        <w:tc>
          <w:tcPr>
            <w:tcW w:w="1020" w:type="dxa"/>
            <w:tcBorders>
              <w:top w:val="single" w:sz="4" w:space="0" w:color="auto"/>
            </w:tcBorders>
            <w:shd w:val="clear" w:color="auto" w:fill="F2F2F2"/>
            <w:vAlign w:val="center"/>
          </w:tcPr>
          <w:p w:rsidR="00DF7C4D" w:rsidRPr="00573243" w:rsidRDefault="00DF7C4D" w:rsidP="00F2417A">
            <w:pPr>
              <w:spacing w:after="0" w:line="240" w:lineRule="auto"/>
              <w:jc w:val="right"/>
              <w:rPr>
                <w:rFonts w:ascii="Century" w:hAnsi="Century"/>
                <w:b/>
                <w:bCs/>
                <w:color w:val="000000"/>
                <w:sz w:val="20"/>
                <w:szCs w:val="20"/>
              </w:rPr>
            </w:pPr>
            <w:r>
              <w:rPr>
                <w:rFonts w:ascii="Century" w:eastAsia="Times New Roman" w:hAnsi="Century" w:cs="Calibri"/>
                <w:b/>
                <w:bCs/>
                <w:color w:val="000000"/>
                <w:sz w:val="20"/>
                <w:szCs w:val="20"/>
                <w:lang w:eastAsia="ru-RU"/>
              </w:rPr>
              <w:t>1 577</w:t>
            </w:r>
          </w:p>
        </w:tc>
        <w:tc>
          <w:tcPr>
            <w:tcW w:w="1020" w:type="dxa"/>
            <w:tcBorders>
              <w:top w:val="single" w:sz="4" w:space="0" w:color="auto"/>
            </w:tcBorders>
            <w:shd w:val="clear" w:color="auto" w:fill="F2F2F2"/>
            <w:vAlign w:val="center"/>
          </w:tcPr>
          <w:p w:rsidR="00DF7C4D" w:rsidRPr="00573243" w:rsidRDefault="00DF7C4D" w:rsidP="00F2417A">
            <w:pPr>
              <w:spacing w:after="0" w:line="240" w:lineRule="auto"/>
              <w:jc w:val="right"/>
              <w:rPr>
                <w:rFonts w:ascii="Century" w:hAnsi="Century"/>
                <w:b/>
                <w:bCs/>
                <w:color w:val="000000"/>
                <w:sz w:val="20"/>
                <w:szCs w:val="20"/>
              </w:rPr>
            </w:pPr>
            <w:r>
              <w:rPr>
                <w:rFonts w:ascii="Century" w:eastAsia="Times New Roman" w:hAnsi="Century" w:cs="Calibri"/>
                <w:b/>
                <w:bCs/>
                <w:color w:val="000000"/>
                <w:sz w:val="20"/>
                <w:szCs w:val="20"/>
                <w:lang w:eastAsia="ru-RU"/>
              </w:rPr>
              <w:t>1 591</w:t>
            </w:r>
          </w:p>
        </w:tc>
      </w:tr>
      <w:tr w:rsidR="00DF7C4D" w:rsidRPr="00D3609A" w:rsidTr="003C4A4E">
        <w:trPr>
          <w:trHeight w:val="340"/>
        </w:trPr>
        <w:tc>
          <w:tcPr>
            <w:tcW w:w="4928" w:type="dxa"/>
            <w:vAlign w:val="center"/>
          </w:tcPr>
          <w:p w:rsidR="00DF7C4D" w:rsidRPr="005017A7" w:rsidRDefault="00DF7C4D" w:rsidP="00F2417A">
            <w:pPr>
              <w:spacing w:after="0" w:line="240" w:lineRule="auto"/>
              <w:rPr>
                <w:rFonts w:ascii="Century" w:hAnsi="Century"/>
                <w:b/>
                <w:bCs/>
                <w:color w:val="000000"/>
                <w:sz w:val="20"/>
                <w:szCs w:val="20"/>
                <w:lang w:eastAsia="ru-RU"/>
              </w:rPr>
            </w:pPr>
            <w:r w:rsidRPr="005017A7">
              <w:rPr>
                <w:rFonts w:ascii="Century Cyr" w:hAnsi="Century Cyr"/>
                <w:bCs/>
                <w:i/>
                <w:iCs/>
                <w:color w:val="000000"/>
                <w:sz w:val="20"/>
                <w:szCs w:val="20"/>
                <w:lang w:eastAsia="ru-RU"/>
              </w:rPr>
              <w:t>%% ВВП</w:t>
            </w:r>
          </w:p>
        </w:tc>
        <w:tc>
          <w:tcPr>
            <w:tcW w:w="1109" w:type="dxa"/>
            <w:vAlign w:val="center"/>
          </w:tcPr>
          <w:p w:rsidR="00DF7C4D" w:rsidRDefault="00DF7C4D" w:rsidP="00DF7C4D">
            <w:pPr>
              <w:spacing w:after="0" w:line="240" w:lineRule="auto"/>
              <w:jc w:val="right"/>
              <w:rPr>
                <w:rFonts w:ascii="Century" w:hAnsi="Century"/>
                <w:i/>
                <w:iCs/>
                <w:sz w:val="20"/>
                <w:szCs w:val="20"/>
              </w:rPr>
            </w:pPr>
            <w:r>
              <w:rPr>
                <w:rFonts w:ascii="Century" w:hAnsi="Century"/>
                <w:i/>
                <w:iCs/>
                <w:sz w:val="20"/>
                <w:szCs w:val="20"/>
              </w:rPr>
              <w:t>1,8</w:t>
            </w:r>
          </w:p>
        </w:tc>
        <w:tc>
          <w:tcPr>
            <w:tcW w:w="1020" w:type="dxa"/>
            <w:vAlign w:val="center"/>
          </w:tcPr>
          <w:p w:rsidR="00DF7C4D" w:rsidRPr="00573243" w:rsidRDefault="00DF7C4D" w:rsidP="00F2417A">
            <w:pPr>
              <w:spacing w:after="0" w:line="240" w:lineRule="auto"/>
              <w:jc w:val="right"/>
              <w:rPr>
                <w:rFonts w:ascii="Century" w:hAnsi="Century"/>
                <w:i/>
                <w:iCs/>
                <w:color w:val="000000"/>
                <w:sz w:val="20"/>
                <w:szCs w:val="20"/>
              </w:rPr>
            </w:pPr>
            <w:r w:rsidRPr="00573243">
              <w:rPr>
                <w:rFonts w:ascii="Century" w:eastAsia="Times New Roman" w:hAnsi="Century" w:cs="Calibri"/>
                <w:i/>
                <w:iCs/>
                <w:color w:val="000000"/>
                <w:sz w:val="20"/>
                <w:szCs w:val="20"/>
                <w:lang w:eastAsia="ru-RU"/>
              </w:rPr>
              <w:t>1,6</w:t>
            </w:r>
          </w:p>
        </w:tc>
        <w:tc>
          <w:tcPr>
            <w:tcW w:w="1020" w:type="dxa"/>
            <w:vAlign w:val="center"/>
          </w:tcPr>
          <w:p w:rsidR="00DF7C4D" w:rsidRPr="00573243" w:rsidRDefault="00DF7C4D" w:rsidP="00F2417A">
            <w:pPr>
              <w:spacing w:after="0" w:line="240" w:lineRule="auto"/>
              <w:jc w:val="right"/>
              <w:rPr>
                <w:rFonts w:ascii="Century" w:hAnsi="Century"/>
                <w:i/>
                <w:iCs/>
                <w:color w:val="000000"/>
                <w:sz w:val="20"/>
                <w:szCs w:val="20"/>
              </w:rPr>
            </w:pPr>
            <w:r>
              <w:rPr>
                <w:rFonts w:ascii="Century" w:hAnsi="Century"/>
                <w:i/>
                <w:iCs/>
                <w:color w:val="000000"/>
                <w:sz w:val="20"/>
                <w:szCs w:val="20"/>
              </w:rPr>
              <w:t>1,4</w:t>
            </w:r>
          </w:p>
        </w:tc>
        <w:tc>
          <w:tcPr>
            <w:tcW w:w="1020" w:type="dxa"/>
            <w:vAlign w:val="center"/>
          </w:tcPr>
          <w:p w:rsidR="00DF7C4D" w:rsidRPr="00573243" w:rsidRDefault="00DF7C4D" w:rsidP="00F2417A">
            <w:pPr>
              <w:spacing w:after="0" w:line="240" w:lineRule="auto"/>
              <w:jc w:val="right"/>
              <w:rPr>
                <w:rFonts w:ascii="Century" w:hAnsi="Century"/>
                <w:i/>
                <w:iCs/>
                <w:color w:val="000000"/>
                <w:sz w:val="20"/>
                <w:szCs w:val="20"/>
              </w:rPr>
            </w:pPr>
            <w:r w:rsidRPr="00573243">
              <w:rPr>
                <w:rFonts w:ascii="Century" w:eastAsia="Times New Roman" w:hAnsi="Century" w:cs="Calibri"/>
                <w:i/>
                <w:iCs/>
                <w:color w:val="000000"/>
                <w:sz w:val="20"/>
                <w:szCs w:val="20"/>
                <w:lang w:eastAsia="ru-RU"/>
              </w:rPr>
              <w:t>1,4</w:t>
            </w:r>
          </w:p>
        </w:tc>
      </w:tr>
      <w:tr w:rsidR="00DF7C4D" w:rsidRPr="00D3609A" w:rsidTr="003C4A4E">
        <w:trPr>
          <w:trHeight w:val="340"/>
        </w:trPr>
        <w:tc>
          <w:tcPr>
            <w:tcW w:w="4928" w:type="dxa"/>
            <w:shd w:val="clear" w:color="auto" w:fill="F2F2F2"/>
            <w:vAlign w:val="center"/>
          </w:tcPr>
          <w:p w:rsidR="00DF7C4D" w:rsidRPr="005017A7" w:rsidRDefault="00DF7C4D" w:rsidP="00F2417A">
            <w:pPr>
              <w:spacing w:after="0" w:line="240" w:lineRule="auto"/>
              <w:ind w:firstLine="318"/>
              <w:rPr>
                <w:rFonts w:ascii="Century" w:hAnsi="Century"/>
                <w:b/>
                <w:bCs/>
                <w:color w:val="000000"/>
                <w:sz w:val="20"/>
                <w:szCs w:val="20"/>
                <w:lang w:eastAsia="ru-RU"/>
              </w:rPr>
            </w:pPr>
            <w:r w:rsidRPr="005017A7">
              <w:rPr>
                <w:rFonts w:ascii="Century Cyr" w:hAnsi="Century Cyr"/>
                <w:bCs/>
                <w:color w:val="000000"/>
                <w:sz w:val="20"/>
                <w:szCs w:val="20"/>
                <w:lang w:eastAsia="ru-RU"/>
              </w:rPr>
              <w:t>Дотации</w:t>
            </w:r>
          </w:p>
        </w:tc>
        <w:tc>
          <w:tcPr>
            <w:tcW w:w="1109" w:type="dxa"/>
            <w:shd w:val="clear" w:color="auto" w:fill="F2F2F2"/>
            <w:vAlign w:val="center"/>
          </w:tcPr>
          <w:p w:rsidR="00DF7C4D" w:rsidRDefault="00DF7C4D" w:rsidP="00DF7C4D">
            <w:pPr>
              <w:spacing w:after="0" w:line="240" w:lineRule="auto"/>
              <w:jc w:val="right"/>
              <w:rPr>
                <w:rFonts w:ascii="Century" w:hAnsi="Century"/>
                <w:sz w:val="20"/>
                <w:szCs w:val="20"/>
              </w:rPr>
            </w:pPr>
            <w:r>
              <w:rPr>
                <w:rFonts w:ascii="Century" w:hAnsi="Century"/>
                <w:sz w:val="20"/>
                <w:szCs w:val="20"/>
              </w:rPr>
              <w:t>779</w:t>
            </w:r>
          </w:p>
        </w:tc>
        <w:tc>
          <w:tcPr>
            <w:tcW w:w="1020" w:type="dxa"/>
            <w:shd w:val="clear" w:color="auto" w:fill="F2F2F2"/>
            <w:vAlign w:val="center"/>
          </w:tcPr>
          <w:p w:rsidR="00DF7C4D" w:rsidRPr="00573243" w:rsidRDefault="00DF7C4D" w:rsidP="00F2417A">
            <w:pPr>
              <w:spacing w:after="0" w:line="240" w:lineRule="auto"/>
              <w:jc w:val="right"/>
              <w:rPr>
                <w:rFonts w:ascii="Century" w:hAnsi="Century"/>
                <w:color w:val="000000"/>
                <w:sz w:val="20"/>
                <w:szCs w:val="20"/>
              </w:rPr>
            </w:pPr>
            <w:r w:rsidRPr="00573243">
              <w:rPr>
                <w:rFonts w:ascii="Century" w:eastAsia="Times New Roman" w:hAnsi="Century" w:cs="Calibri"/>
                <w:color w:val="000000"/>
                <w:sz w:val="20"/>
                <w:szCs w:val="20"/>
                <w:lang w:eastAsia="ru-RU"/>
              </w:rPr>
              <w:t>804</w:t>
            </w:r>
          </w:p>
        </w:tc>
        <w:tc>
          <w:tcPr>
            <w:tcW w:w="1020" w:type="dxa"/>
            <w:shd w:val="clear" w:color="auto" w:fill="F2F2F2"/>
            <w:vAlign w:val="center"/>
          </w:tcPr>
          <w:p w:rsidR="00DF7C4D" w:rsidRPr="00573243" w:rsidRDefault="00DF7C4D" w:rsidP="00F2417A">
            <w:pPr>
              <w:spacing w:after="0" w:line="240" w:lineRule="auto"/>
              <w:jc w:val="right"/>
              <w:rPr>
                <w:rFonts w:ascii="Century" w:hAnsi="Century"/>
                <w:color w:val="000000"/>
                <w:sz w:val="20"/>
                <w:szCs w:val="20"/>
              </w:rPr>
            </w:pPr>
            <w:r w:rsidRPr="00573243">
              <w:rPr>
                <w:rFonts w:ascii="Century" w:eastAsia="Times New Roman" w:hAnsi="Century" w:cs="Calibri"/>
                <w:color w:val="000000"/>
                <w:sz w:val="20"/>
                <w:szCs w:val="20"/>
                <w:lang w:eastAsia="ru-RU"/>
              </w:rPr>
              <w:t>78</w:t>
            </w:r>
            <w:r>
              <w:rPr>
                <w:rFonts w:ascii="Century" w:eastAsia="Times New Roman" w:hAnsi="Century" w:cs="Calibri"/>
                <w:color w:val="000000"/>
                <w:sz w:val="20"/>
                <w:szCs w:val="20"/>
                <w:lang w:eastAsia="ru-RU"/>
              </w:rPr>
              <w:t>2</w:t>
            </w:r>
          </w:p>
        </w:tc>
        <w:tc>
          <w:tcPr>
            <w:tcW w:w="1020" w:type="dxa"/>
            <w:shd w:val="clear" w:color="auto" w:fill="F2F2F2"/>
            <w:vAlign w:val="center"/>
          </w:tcPr>
          <w:p w:rsidR="00DF7C4D" w:rsidRPr="00573243" w:rsidRDefault="00DF7C4D" w:rsidP="00F2417A">
            <w:pPr>
              <w:spacing w:after="0" w:line="240" w:lineRule="auto"/>
              <w:jc w:val="right"/>
              <w:rPr>
                <w:rFonts w:ascii="Century" w:hAnsi="Century"/>
                <w:color w:val="000000"/>
                <w:sz w:val="20"/>
                <w:szCs w:val="20"/>
              </w:rPr>
            </w:pPr>
            <w:r w:rsidRPr="00573243">
              <w:rPr>
                <w:rFonts w:ascii="Century" w:eastAsia="Times New Roman" w:hAnsi="Century" w:cs="Calibri"/>
                <w:color w:val="000000"/>
                <w:sz w:val="20"/>
                <w:szCs w:val="20"/>
                <w:lang w:eastAsia="ru-RU"/>
              </w:rPr>
              <w:t>79</w:t>
            </w:r>
            <w:r>
              <w:rPr>
                <w:rFonts w:ascii="Century" w:eastAsia="Times New Roman" w:hAnsi="Century" w:cs="Calibri"/>
                <w:color w:val="000000"/>
                <w:sz w:val="20"/>
                <w:szCs w:val="20"/>
                <w:lang w:eastAsia="ru-RU"/>
              </w:rPr>
              <w:t>6</w:t>
            </w:r>
          </w:p>
        </w:tc>
      </w:tr>
      <w:tr w:rsidR="00DF7C4D" w:rsidRPr="00D3609A" w:rsidTr="003C4A4E">
        <w:trPr>
          <w:trHeight w:val="340"/>
        </w:trPr>
        <w:tc>
          <w:tcPr>
            <w:tcW w:w="4928" w:type="dxa"/>
            <w:vAlign w:val="center"/>
          </w:tcPr>
          <w:p w:rsidR="00DF7C4D" w:rsidRPr="005017A7" w:rsidRDefault="00DF7C4D" w:rsidP="00F2417A">
            <w:pPr>
              <w:spacing w:after="0" w:line="240" w:lineRule="auto"/>
              <w:ind w:firstLine="318"/>
              <w:rPr>
                <w:rFonts w:ascii="Century" w:hAnsi="Century"/>
                <w:b/>
                <w:bCs/>
                <w:color w:val="000000"/>
                <w:sz w:val="20"/>
                <w:szCs w:val="20"/>
                <w:lang w:eastAsia="ru-RU"/>
              </w:rPr>
            </w:pPr>
            <w:r w:rsidRPr="005017A7">
              <w:rPr>
                <w:rFonts w:ascii="Century Cyr" w:hAnsi="Century Cyr"/>
                <w:bCs/>
                <w:i/>
                <w:iCs/>
                <w:color w:val="000000"/>
                <w:sz w:val="20"/>
                <w:szCs w:val="20"/>
                <w:lang w:eastAsia="ru-RU"/>
              </w:rPr>
              <w:t>в % к МБТ (всего)</w:t>
            </w:r>
          </w:p>
        </w:tc>
        <w:tc>
          <w:tcPr>
            <w:tcW w:w="1109" w:type="dxa"/>
            <w:vAlign w:val="center"/>
          </w:tcPr>
          <w:p w:rsidR="00DF7C4D" w:rsidRDefault="00DF7C4D" w:rsidP="00DF7C4D">
            <w:pPr>
              <w:spacing w:after="0" w:line="240" w:lineRule="auto"/>
              <w:jc w:val="right"/>
              <w:rPr>
                <w:rFonts w:ascii="Century" w:hAnsi="Century"/>
                <w:i/>
                <w:iCs/>
                <w:sz w:val="20"/>
                <w:szCs w:val="20"/>
              </w:rPr>
            </w:pPr>
            <w:r>
              <w:rPr>
                <w:rFonts w:ascii="Century" w:hAnsi="Century"/>
                <w:i/>
                <w:iCs/>
                <w:sz w:val="20"/>
                <w:szCs w:val="20"/>
              </w:rPr>
              <w:t>46,7</w:t>
            </w:r>
          </w:p>
        </w:tc>
        <w:tc>
          <w:tcPr>
            <w:tcW w:w="1020" w:type="dxa"/>
            <w:vAlign w:val="center"/>
          </w:tcPr>
          <w:p w:rsidR="00DF7C4D" w:rsidRPr="00573243" w:rsidRDefault="00DF7C4D" w:rsidP="00F2417A">
            <w:pPr>
              <w:spacing w:after="0" w:line="240" w:lineRule="auto"/>
              <w:jc w:val="right"/>
              <w:rPr>
                <w:rFonts w:ascii="Century" w:hAnsi="Century"/>
                <w:i/>
                <w:iCs/>
                <w:color w:val="000000"/>
                <w:sz w:val="20"/>
                <w:szCs w:val="20"/>
              </w:rPr>
            </w:pPr>
            <w:r>
              <w:rPr>
                <w:rFonts w:ascii="Century" w:eastAsia="Times New Roman" w:hAnsi="Century" w:cs="Calibri"/>
                <w:i/>
                <w:iCs/>
                <w:color w:val="000000"/>
                <w:sz w:val="20"/>
                <w:szCs w:val="20"/>
                <w:lang w:eastAsia="ru-RU"/>
              </w:rPr>
              <w:t>48,7</w:t>
            </w:r>
          </w:p>
        </w:tc>
        <w:tc>
          <w:tcPr>
            <w:tcW w:w="1020" w:type="dxa"/>
            <w:vAlign w:val="center"/>
          </w:tcPr>
          <w:p w:rsidR="00DF7C4D" w:rsidRPr="00573243" w:rsidRDefault="00DF7C4D" w:rsidP="00F2417A">
            <w:pPr>
              <w:spacing w:after="0" w:line="240" w:lineRule="auto"/>
              <w:jc w:val="right"/>
              <w:rPr>
                <w:rFonts w:ascii="Century" w:hAnsi="Century"/>
                <w:i/>
                <w:iCs/>
                <w:color w:val="000000"/>
                <w:sz w:val="20"/>
                <w:szCs w:val="20"/>
              </w:rPr>
            </w:pPr>
            <w:r>
              <w:rPr>
                <w:rFonts w:ascii="Century" w:eastAsia="Times New Roman" w:hAnsi="Century" w:cs="Calibri"/>
                <w:i/>
                <w:iCs/>
                <w:color w:val="000000"/>
                <w:sz w:val="20"/>
                <w:szCs w:val="20"/>
                <w:lang w:eastAsia="ru-RU"/>
              </w:rPr>
              <w:t>49,6</w:t>
            </w:r>
          </w:p>
        </w:tc>
        <w:tc>
          <w:tcPr>
            <w:tcW w:w="1020" w:type="dxa"/>
            <w:vAlign w:val="center"/>
          </w:tcPr>
          <w:p w:rsidR="00DF7C4D" w:rsidRPr="00573243" w:rsidRDefault="00DF7C4D" w:rsidP="00F2417A">
            <w:pPr>
              <w:spacing w:after="0" w:line="240" w:lineRule="auto"/>
              <w:jc w:val="right"/>
              <w:rPr>
                <w:rFonts w:ascii="Century" w:hAnsi="Century"/>
                <w:i/>
                <w:iCs/>
                <w:color w:val="000000"/>
                <w:sz w:val="20"/>
                <w:szCs w:val="20"/>
              </w:rPr>
            </w:pPr>
            <w:r>
              <w:rPr>
                <w:rFonts w:ascii="Century" w:eastAsia="Times New Roman" w:hAnsi="Century" w:cs="Calibri"/>
                <w:i/>
                <w:iCs/>
                <w:color w:val="000000"/>
                <w:sz w:val="20"/>
                <w:szCs w:val="20"/>
                <w:lang w:eastAsia="ru-RU"/>
              </w:rPr>
              <w:t>50,0</w:t>
            </w:r>
          </w:p>
        </w:tc>
      </w:tr>
      <w:tr w:rsidR="00DF7C4D" w:rsidRPr="00D3609A" w:rsidTr="003C4A4E">
        <w:trPr>
          <w:trHeight w:val="340"/>
        </w:trPr>
        <w:tc>
          <w:tcPr>
            <w:tcW w:w="4928" w:type="dxa"/>
            <w:shd w:val="clear" w:color="auto" w:fill="F2F2F2"/>
            <w:vAlign w:val="center"/>
          </w:tcPr>
          <w:p w:rsidR="00DF7C4D" w:rsidRPr="005017A7" w:rsidRDefault="00DF7C4D" w:rsidP="00F2417A">
            <w:pPr>
              <w:spacing w:after="0" w:line="240" w:lineRule="auto"/>
              <w:ind w:firstLine="318"/>
              <w:rPr>
                <w:rFonts w:ascii="Century" w:hAnsi="Century"/>
                <w:b/>
                <w:bCs/>
                <w:i/>
                <w:iCs/>
                <w:color w:val="000000"/>
                <w:sz w:val="20"/>
                <w:szCs w:val="20"/>
                <w:lang w:eastAsia="ru-RU"/>
              </w:rPr>
            </w:pPr>
            <w:r w:rsidRPr="005017A7">
              <w:rPr>
                <w:rFonts w:ascii="Century Cyr" w:hAnsi="Century Cyr"/>
                <w:bCs/>
                <w:color w:val="000000"/>
                <w:sz w:val="20"/>
                <w:szCs w:val="20"/>
                <w:lang w:eastAsia="ru-RU"/>
              </w:rPr>
              <w:t>Субсидии</w:t>
            </w:r>
          </w:p>
        </w:tc>
        <w:tc>
          <w:tcPr>
            <w:tcW w:w="1109" w:type="dxa"/>
            <w:shd w:val="clear" w:color="auto" w:fill="F2F2F2"/>
            <w:vAlign w:val="center"/>
          </w:tcPr>
          <w:p w:rsidR="00DF7C4D" w:rsidRDefault="00DF7C4D" w:rsidP="00DF7C4D">
            <w:pPr>
              <w:spacing w:after="0" w:line="240" w:lineRule="auto"/>
              <w:jc w:val="right"/>
              <w:rPr>
                <w:rFonts w:ascii="Century" w:hAnsi="Century"/>
                <w:sz w:val="20"/>
                <w:szCs w:val="20"/>
              </w:rPr>
            </w:pPr>
            <w:r>
              <w:rPr>
                <w:rFonts w:ascii="Century" w:hAnsi="Century"/>
                <w:sz w:val="20"/>
                <w:szCs w:val="20"/>
              </w:rPr>
              <w:t>426</w:t>
            </w:r>
          </w:p>
        </w:tc>
        <w:tc>
          <w:tcPr>
            <w:tcW w:w="1020" w:type="dxa"/>
            <w:shd w:val="clear" w:color="auto" w:fill="F2F2F2"/>
            <w:vAlign w:val="center"/>
          </w:tcPr>
          <w:p w:rsidR="00DF7C4D" w:rsidRPr="00493764" w:rsidRDefault="00DF7C4D" w:rsidP="00F2417A">
            <w:pPr>
              <w:spacing w:after="0" w:line="240" w:lineRule="auto"/>
              <w:jc w:val="right"/>
              <w:rPr>
                <w:rFonts w:ascii="Century" w:hAnsi="Century"/>
                <w:sz w:val="20"/>
                <w:szCs w:val="20"/>
              </w:rPr>
            </w:pPr>
            <w:r w:rsidRPr="00493764">
              <w:rPr>
                <w:rFonts w:ascii="Century" w:eastAsia="Times New Roman" w:hAnsi="Century" w:cs="Calibri"/>
                <w:sz w:val="20"/>
                <w:szCs w:val="20"/>
                <w:lang w:eastAsia="ru-RU"/>
              </w:rPr>
              <w:t>409</w:t>
            </w:r>
          </w:p>
        </w:tc>
        <w:tc>
          <w:tcPr>
            <w:tcW w:w="1020" w:type="dxa"/>
            <w:shd w:val="clear" w:color="auto" w:fill="F2F2F2"/>
            <w:vAlign w:val="center"/>
          </w:tcPr>
          <w:p w:rsidR="00DF7C4D" w:rsidRPr="00493764" w:rsidRDefault="00DF7C4D" w:rsidP="00F2417A">
            <w:pPr>
              <w:spacing w:after="0" w:line="240" w:lineRule="auto"/>
              <w:jc w:val="right"/>
              <w:rPr>
                <w:rFonts w:ascii="Century" w:hAnsi="Century"/>
                <w:sz w:val="20"/>
                <w:szCs w:val="20"/>
              </w:rPr>
            </w:pPr>
            <w:r w:rsidRPr="00493764">
              <w:rPr>
                <w:rFonts w:ascii="Century" w:eastAsia="Times New Roman" w:hAnsi="Century" w:cs="Calibri"/>
                <w:sz w:val="20"/>
                <w:szCs w:val="20"/>
                <w:lang w:eastAsia="ru-RU"/>
              </w:rPr>
              <w:t>379</w:t>
            </w:r>
          </w:p>
        </w:tc>
        <w:tc>
          <w:tcPr>
            <w:tcW w:w="1020" w:type="dxa"/>
            <w:shd w:val="clear" w:color="auto" w:fill="F2F2F2"/>
            <w:vAlign w:val="center"/>
          </w:tcPr>
          <w:p w:rsidR="00DF7C4D" w:rsidRPr="00573243" w:rsidRDefault="00DF7C4D" w:rsidP="00F2417A">
            <w:pPr>
              <w:spacing w:after="0" w:line="240" w:lineRule="auto"/>
              <w:jc w:val="right"/>
              <w:rPr>
                <w:rFonts w:ascii="Century" w:hAnsi="Century"/>
                <w:color w:val="000000"/>
                <w:sz w:val="20"/>
                <w:szCs w:val="20"/>
              </w:rPr>
            </w:pPr>
            <w:r>
              <w:rPr>
                <w:rFonts w:ascii="Century" w:eastAsia="Times New Roman" w:hAnsi="Century" w:cs="Calibri"/>
                <w:color w:val="000000"/>
                <w:sz w:val="20"/>
                <w:szCs w:val="20"/>
                <w:lang w:eastAsia="ru-RU"/>
              </w:rPr>
              <w:t>376</w:t>
            </w:r>
          </w:p>
        </w:tc>
      </w:tr>
      <w:tr w:rsidR="00DF7C4D" w:rsidRPr="00D3609A" w:rsidTr="003C4A4E">
        <w:trPr>
          <w:trHeight w:val="340"/>
        </w:trPr>
        <w:tc>
          <w:tcPr>
            <w:tcW w:w="4928" w:type="dxa"/>
            <w:vAlign w:val="center"/>
          </w:tcPr>
          <w:p w:rsidR="00DF7C4D" w:rsidRPr="005017A7" w:rsidRDefault="00DF7C4D" w:rsidP="00F2417A">
            <w:pPr>
              <w:spacing w:after="0" w:line="240" w:lineRule="auto"/>
              <w:ind w:firstLine="318"/>
              <w:rPr>
                <w:rFonts w:ascii="Century" w:hAnsi="Century"/>
                <w:b/>
                <w:bCs/>
                <w:color w:val="000000"/>
                <w:sz w:val="20"/>
                <w:szCs w:val="20"/>
                <w:lang w:eastAsia="ru-RU"/>
              </w:rPr>
            </w:pPr>
            <w:r w:rsidRPr="005017A7">
              <w:rPr>
                <w:rFonts w:ascii="Century Cyr" w:hAnsi="Century Cyr"/>
                <w:bCs/>
                <w:i/>
                <w:iCs/>
                <w:color w:val="000000"/>
                <w:sz w:val="20"/>
                <w:szCs w:val="20"/>
                <w:lang w:eastAsia="ru-RU"/>
              </w:rPr>
              <w:t>в % к МБТ (всего)</w:t>
            </w:r>
          </w:p>
        </w:tc>
        <w:tc>
          <w:tcPr>
            <w:tcW w:w="1109" w:type="dxa"/>
            <w:vAlign w:val="center"/>
          </w:tcPr>
          <w:p w:rsidR="00DF7C4D" w:rsidRDefault="00DF7C4D" w:rsidP="00DF7C4D">
            <w:pPr>
              <w:spacing w:after="0" w:line="240" w:lineRule="auto"/>
              <w:jc w:val="right"/>
              <w:rPr>
                <w:rFonts w:ascii="Century" w:hAnsi="Century"/>
                <w:i/>
                <w:iCs/>
                <w:sz w:val="20"/>
                <w:szCs w:val="20"/>
              </w:rPr>
            </w:pPr>
            <w:r>
              <w:rPr>
                <w:rFonts w:ascii="Century" w:hAnsi="Century"/>
                <w:i/>
                <w:iCs/>
                <w:sz w:val="20"/>
                <w:szCs w:val="20"/>
              </w:rPr>
              <w:t>25,5</w:t>
            </w:r>
          </w:p>
        </w:tc>
        <w:tc>
          <w:tcPr>
            <w:tcW w:w="1020" w:type="dxa"/>
            <w:vAlign w:val="center"/>
          </w:tcPr>
          <w:p w:rsidR="00DF7C4D" w:rsidRPr="00573243" w:rsidRDefault="00DF7C4D" w:rsidP="00F2417A">
            <w:pPr>
              <w:spacing w:after="0" w:line="240" w:lineRule="auto"/>
              <w:jc w:val="right"/>
              <w:rPr>
                <w:rFonts w:ascii="Century" w:hAnsi="Century"/>
                <w:i/>
                <w:iCs/>
                <w:color w:val="000000"/>
                <w:sz w:val="20"/>
                <w:szCs w:val="20"/>
              </w:rPr>
            </w:pPr>
            <w:r>
              <w:rPr>
                <w:rFonts w:ascii="Century" w:eastAsia="Times New Roman" w:hAnsi="Century" w:cs="Calibri"/>
                <w:i/>
                <w:iCs/>
                <w:color w:val="000000"/>
                <w:sz w:val="20"/>
                <w:szCs w:val="20"/>
                <w:lang w:eastAsia="ru-RU"/>
              </w:rPr>
              <w:t>24,7</w:t>
            </w:r>
          </w:p>
        </w:tc>
        <w:tc>
          <w:tcPr>
            <w:tcW w:w="1020" w:type="dxa"/>
            <w:vAlign w:val="center"/>
          </w:tcPr>
          <w:p w:rsidR="00DF7C4D" w:rsidRPr="00573243" w:rsidRDefault="00DF7C4D" w:rsidP="00F2417A">
            <w:pPr>
              <w:spacing w:after="0" w:line="240" w:lineRule="auto"/>
              <w:jc w:val="right"/>
              <w:rPr>
                <w:rFonts w:ascii="Century" w:hAnsi="Century"/>
                <w:i/>
                <w:iCs/>
                <w:color w:val="000000"/>
                <w:sz w:val="20"/>
                <w:szCs w:val="20"/>
              </w:rPr>
            </w:pPr>
            <w:r>
              <w:rPr>
                <w:rFonts w:ascii="Century" w:eastAsia="Times New Roman" w:hAnsi="Century" w:cs="Calibri"/>
                <w:i/>
                <w:iCs/>
                <w:color w:val="000000"/>
                <w:sz w:val="20"/>
                <w:szCs w:val="20"/>
                <w:lang w:eastAsia="ru-RU"/>
              </w:rPr>
              <w:t>24,0</w:t>
            </w:r>
          </w:p>
        </w:tc>
        <w:tc>
          <w:tcPr>
            <w:tcW w:w="1020" w:type="dxa"/>
            <w:vAlign w:val="center"/>
          </w:tcPr>
          <w:p w:rsidR="00DF7C4D" w:rsidRPr="00573243" w:rsidRDefault="00DF7C4D" w:rsidP="00F2417A">
            <w:pPr>
              <w:spacing w:after="0" w:line="240" w:lineRule="auto"/>
              <w:jc w:val="right"/>
              <w:rPr>
                <w:rFonts w:ascii="Century" w:hAnsi="Century"/>
                <w:i/>
                <w:iCs/>
                <w:color w:val="000000"/>
                <w:sz w:val="20"/>
                <w:szCs w:val="20"/>
              </w:rPr>
            </w:pPr>
            <w:r>
              <w:rPr>
                <w:rFonts w:ascii="Century" w:eastAsia="Times New Roman" w:hAnsi="Century" w:cs="Calibri"/>
                <w:i/>
                <w:iCs/>
                <w:color w:val="000000"/>
                <w:sz w:val="20"/>
                <w:szCs w:val="20"/>
                <w:lang w:eastAsia="ru-RU"/>
              </w:rPr>
              <w:t>23,6</w:t>
            </w:r>
          </w:p>
        </w:tc>
      </w:tr>
      <w:tr w:rsidR="00DF7C4D" w:rsidRPr="00D3609A" w:rsidTr="003C4A4E">
        <w:trPr>
          <w:trHeight w:val="340"/>
        </w:trPr>
        <w:tc>
          <w:tcPr>
            <w:tcW w:w="4928" w:type="dxa"/>
            <w:shd w:val="clear" w:color="auto" w:fill="F2F2F2"/>
            <w:vAlign w:val="center"/>
          </w:tcPr>
          <w:p w:rsidR="00DF7C4D" w:rsidRPr="005017A7" w:rsidRDefault="00DF7C4D" w:rsidP="00F2417A">
            <w:pPr>
              <w:spacing w:after="0" w:line="240" w:lineRule="auto"/>
              <w:ind w:firstLine="318"/>
              <w:rPr>
                <w:rFonts w:ascii="Century" w:hAnsi="Century"/>
                <w:b/>
                <w:bCs/>
                <w:i/>
                <w:iCs/>
                <w:color w:val="000000"/>
                <w:sz w:val="20"/>
                <w:szCs w:val="20"/>
                <w:lang w:eastAsia="ru-RU"/>
              </w:rPr>
            </w:pPr>
            <w:r w:rsidRPr="005017A7">
              <w:rPr>
                <w:rFonts w:ascii="Century Cyr" w:hAnsi="Century Cyr"/>
                <w:bCs/>
                <w:color w:val="000000"/>
                <w:sz w:val="20"/>
                <w:szCs w:val="20"/>
                <w:lang w:eastAsia="ru-RU"/>
              </w:rPr>
              <w:t>Субвенции</w:t>
            </w:r>
          </w:p>
        </w:tc>
        <w:tc>
          <w:tcPr>
            <w:tcW w:w="1109" w:type="dxa"/>
            <w:shd w:val="clear" w:color="auto" w:fill="F2F2F2"/>
            <w:vAlign w:val="center"/>
          </w:tcPr>
          <w:p w:rsidR="00DF7C4D" w:rsidRDefault="00DF7C4D" w:rsidP="00DF7C4D">
            <w:pPr>
              <w:spacing w:after="0" w:line="240" w:lineRule="auto"/>
              <w:jc w:val="right"/>
              <w:rPr>
                <w:rFonts w:ascii="Century" w:hAnsi="Century"/>
                <w:sz w:val="20"/>
                <w:szCs w:val="20"/>
              </w:rPr>
            </w:pPr>
            <w:r>
              <w:rPr>
                <w:rFonts w:ascii="Century" w:hAnsi="Century"/>
                <w:sz w:val="20"/>
                <w:szCs w:val="20"/>
              </w:rPr>
              <w:t>302</w:t>
            </w:r>
          </w:p>
        </w:tc>
        <w:tc>
          <w:tcPr>
            <w:tcW w:w="1020" w:type="dxa"/>
            <w:shd w:val="clear" w:color="auto" w:fill="F2F2F2"/>
            <w:vAlign w:val="center"/>
          </w:tcPr>
          <w:p w:rsidR="00DF7C4D" w:rsidRPr="00573243" w:rsidRDefault="00DF7C4D" w:rsidP="00F2417A">
            <w:pPr>
              <w:spacing w:after="0" w:line="240" w:lineRule="auto"/>
              <w:jc w:val="right"/>
              <w:rPr>
                <w:rFonts w:ascii="Century" w:hAnsi="Century"/>
                <w:color w:val="000000"/>
                <w:sz w:val="20"/>
                <w:szCs w:val="20"/>
              </w:rPr>
            </w:pPr>
            <w:r>
              <w:rPr>
                <w:rFonts w:ascii="Century" w:eastAsia="Times New Roman" w:hAnsi="Century" w:cs="Calibri"/>
                <w:color w:val="000000"/>
                <w:sz w:val="20"/>
                <w:szCs w:val="20"/>
                <w:lang w:eastAsia="ru-RU"/>
              </w:rPr>
              <w:t>304</w:t>
            </w:r>
          </w:p>
        </w:tc>
        <w:tc>
          <w:tcPr>
            <w:tcW w:w="1020" w:type="dxa"/>
            <w:shd w:val="clear" w:color="auto" w:fill="F2F2F2"/>
            <w:vAlign w:val="center"/>
          </w:tcPr>
          <w:p w:rsidR="00DF7C4D" w:rsidRPr="00573243" w:rsidRDefault="00DF7C4D" w:rsidP="00F2417A">
            <w:pPr>
              <w:spacing w:after="0" w:line="240" w:lineRule="auto"/>
              <w:jc w:val="right"/>
              <w:rPr>
                <w:rFonts w:ascii="Century" w:hAnsi="Century"/>
                <w:color w:val="000000"/>
                <w:sz w:val="20"/>
                <w:szCs w:val="20"/>
              </w:rPr>
            </w:pPr>
            <w:r>
              <w:rPr>
                <w:rFonts w:ascii="Century" w:eastAsia="Times New Roman" w:hAnsi="Century" w:cs="Calibri"/>
                <w:color w:val="000000"/>
                <w:sz w:val="20"/>
                <w:szCs w:val="20"/>
                <w:lang w:eastAsia="ru-RU"/>
              </w:rPr>
              <w:t>312</w:t>
            </w:r>
          </w:p>
        </w:tc>
        <w:tc>
          <w:tcPr>
            <w:tcW w:w="1020" w:type="dxa"/>
            <w:shd w:val="clear" w:color="auto" w:fill="F2F2F2"/>
            <w:vAlign w:val="center"/>
          </w:tcPr>
          <w:p w:rsidR="00DF7C4D" w:rsidRPr="00573243" w:rsidRDefault="00DF7C4D" w:rsidP="00F2417A">
            <w:pPr>
              <w:spacing w:after="0" w:line="240" w:lineRule="auto"/>
              <w:jc w:val="right"/>
              <w:rPr>
                <w:rFonts w:ascii="Century" w:hAnsi="Century"/>
                <w:color w:val="000000"/>
                <w:sz w:val="20"/>
                <w:szCs w:val="20"/>
              </w:rPr>
            </w:pPr>
            <w:r>
              <w:rPr>
                <w:rFonts w:ascii="Century" w:eastAsia="Times New Roman" w:hAnsi="Century" w:cs="Calibri"/>
                <w:color w:val="000000"/>
                <w:sz w:val="20"/>
                <w:szCs w:val="20"/>
                <w:lang w:eastAsia="ru-RU"/>
              </w:rPr>
              <w:t>315</w:t>
            </w:r>
          </w:p>
        </w:tc>
      </w:tr>
      <w:tr w:rsidR="00DF7C4D" w:rsidRPr="00D3609A" w:rsidTr="003C4A4E">
        <w:trPr>
          <w:trHeight w:val="340"/>
        </w:trPr>
        <w:tc>
          <w:tcPr>
            <w:tcW w:w="4928" w:type="dxa"/>
            <w:vAlign w:val="center"/>
          </w:tcPr>
          <w:p w:rsidR="00DF7C4D" w:rsidRPr="005017A7" w:rsidRDefault="00DF7C4D" w:rsidP="00F2417A">
            <w:pPr>
              <w:spacing w:after="0" w:line="240" w:lineRule="auto"/>
              <w:ind w:firstLine="318"/>
              <w:rPr>
                <w:rFonts w:ascii="Century" w:hAnsi="Century"/>
                <w:b/>
                <w:bCs/>
                <w:color w:val="000000"/>
                <w:sz w:val="20"/>
                <w:szCs w:val="20"/>
                <w:lang w:eastAsia="ru-RU"/>
              </w:rPr>
            </w:pPr>
            <w:r w:rsidRPr="005017A7">
              <w:rPr>
                <w:rFonts w:ascii="Century Cyr" w:hAnsi="Century Cyr"/>
                <w:bCs/>
                <w:i/>
                <w:iCs/>
                <w:color w:val="000000"/>
                <w:sz w:val="20"/>
                <w:szCs w:val="20"/>
                <w:lang w:eastAsia="ru-RU"/>
              </w:rPr>
              <w:t>в % к МБТ (всего)</w:t>
            </w:r>
          </w:p>
        </w:tc>
        <w:tc>
          <w:tcPr>
            <w:tcW w:w="1109" w:type="dxa"/>
            <w:vAlign w:val="center"/>
          </w:tcPr>
          <w:p w:rsidR="00DF7C4D" w:rsidRDefault="00DF7C4D" w:rsidP="00DF7C4D">
            <w:pPr>
              <w:spacing w:after="0" w:line="240" w:lineRule="auto"/>
              <w:jc w:val="right"/>
              <w:rPr>
                <w:rFonts w:ascii="Century" w:hAnsi="Century"/>
                <w:i/>
                <w:iCs/>
                <w:sz w:val="20"/>
                <w:szCs w:val="20"/>
              </w:rPr>
            </w:pPr>
            <w:r>
              <w:rPr>
                <w:rFonts w:ascii="Century" w:hAnsi="Century"/>
                <w:i/>
                <w:iCs/>
                <w:sz w:val="20"/>
                <w:szCs w:val="20"/>
              </w:rPr>
              <w:t>18,1</w:t>
            </w:r>
          </w:p>
        </w:tc>
        <w:tc>
          <w:tcPr>
            <w:tcW w:w="1020" w:type="dxa"/>
            <w:vAlign w:val="center"/>
          </w:tcPr>
          <w:p w:rsidR="00DF7C4D" w:rsidRPr="00573243" w:rsidRDefault="00DF7C4D" w:rsidP="00F2417A">
            <w:pPr>
              <w:spacing w:after="0" w:line="240" w:lineRule="auto"/>
              <w:jc w:val="right"/>
              <w:rPr>
                <w:rFonts w:ascii="Century" w:hAnsi="Century"/>
                <w:i/>
                <w:iCs/>
                <w:color w:val="000000"/>
                <w:sz w:val="20"/>
                <w:szCs w:val="20"/>
              </w:rPr>
            </w:pPr>
            <w:r>
              <w:rPr>
                <w:rFonts w:ascii="Century" w:eastAsia="Times New Roman" w:hAnsi="Century" w:cs="Calibri"/>
                <w:i/>
                <w:iCs/>
                <w:color w:val="000000"/>
                <w:sz w:val="20"/>
                <w:szCs w:val="20"/>
                <w:lang w:eastAsia="ru-RU"/>
              </w:rPr>
              <w:t>18,4</w:t>
            </w:r>
          </w:p>
        </w:tc>
        <w:tc>
          <w:tcPr>
            <w:tcW w:w="1020" w:type="dxa"/>
            <w:vAlign w:val="center"/>
          </w:tcPr>
          <w:p w:rsidR="00DF7C4D" w:rsidRPr="00573243" w:rsidRDefault="00DF7C4D" w:rsidP="00F2417A">
            <w:pPr>
              <w:spacing w:after="0" w:line="240" w:lineRule="auto"/>
              <w:jc w:val="right"/>
              <w:rPr>
                <w:rFonts w:ascii="Century" w:hAnsi="Century"/>
                <w:i/>
                <w:iCs/>
                <w:color w:val="000000"/>
                <w:sz w:val="20"/>
                <w:szCs w:val="20"/>
              </w:rPr>
            </w:pPr>
            <w:r>
              <w:rPr>
                <w:rFonts w:ascii="Century" w:eastAsia="Times New Roman" w:hAnsi="Century" w:cs="Calibri"/>
                <w:i/>
                <w:iCs/>
                <w:color w:val="000000"/>
                <w:sz w:val="20"/>
                <w:szCs w:val="20"/>
                <w:lang w:eastAsia="ru-RU"/>
              </w:rPr>
              <w:t>19,8</w:t>
            </w:r>
          </w:p>
        </w:tc>
        <w:tc>
          <w:tcPr>
            <w:tcW w:w="1020" w:type="dxa"/>
            <w:vAlign w:val="center"/>
          </w:tcPr>
          <w:p w:rsidR="00DF7C4D" w:rsidRPr="00573243" w:rsidRDefault="00DF7C4D" w:rsidP="00F2417A">
            <w:pPr>
              <w:spacing w:after="0" w:line="240" w:lineRule="auto"/>
              <w:jc w:val="right"/>
              <w:rPr>
                <w:rFonts w:ascii="Century" w:hAnsi="Century"/>
                <w:i/>
                <w:iCs/>
                <w:color w:val="000000"/>
                <w:sz w:val="20"/>
                <w:szCs w:val="20"/>
              </w:rPr>
            </w:pPr>
            <w:r>
              <w:rPr>
                <w:rFonts w:ascii="Century" w:eastAsia="Times New Roman" w:hAnsi="Century" w:cs="Calibri"/>
                <w:i/>
                <w:iCs/>
                <w:color w:val="000000"/>
                <w:sz w:val="20"/>
                <w:szCs w:val="20"/>
                <w:lang w:eastAsia="ru-RU"/>
              </w:rPr>
              <w:t>19,8</w:t>
            </w:r>
          </w:p>
        </w:tc>
      </w:tr>
      <w:tr w:rsidR="00DF7C4D" w:rsidRPr="00D3609A" w:rsidTr="003C4A4E">
        <w:trPr>
          <w:trHeight w:val="340"/>
        </w:trPr>
        <w:tc>
          <w:tcPr>
            <w:tcW w:w="4928" w:type="dxa"/>
            <w:shd w:val="clear" w:color="auto" w:fill="F2F2F2"/>
            <w:vAlign w:val="center"/>
          </w:tcPr>
          <w:p w:rsidR="00DF7C4D" w:rsidRPr="005017A7" w:rsidRDefault="00DF7C4D" w:rsidP="00F2417A">
            <w:pPr>
              <w:spacing w:after="0" w:line="240" w:lineRule="auto"/>
              <w:ind w:firstLine="318"/>
              <w:rPr>
                <w:rFonts w:ascii="Century" w:hAnsi="Century"/>
                <w:b/>
                <w:bCs/>
                <w:i/>
                <w:iCs/>
                <w:color w:val="000000"/>
                <w:sz w:val="20"/>
                <w:szCs w:val="20"/>
                <w:lang w:eastAsia="ru-RU"/>
              </w:rPr>
            </w:pPr>
            <w:r w:rsidRPr="005017A7">
              <w:rPr>
                <w:rFonts w:ascii="Century Cyr" w:hAnsi="Century Cyr"/>
                <w:bCs/>
                <w:color w:val="000000"/>
                <w:sz w:val="20"/>
                <w:szCs w:val="20"/>
                <w:lang w:eastAsia="ru-RU"/>
              </w:rPr>
              <w:t>иные межбюджетные трансферты</w:t>
            </w:r>
          </w:p>
        </w:tc>
        <w:tc>
          <w:tcPr>
            <w:tcW w:w="1109" w:type="dxa"/>
            <w:shd w:val="clear" w:color="auto" w:fill="F2F2F2"/>
            <w:vAlign w:val="center"/>
          </w:tcPr>
          <w:p w:rsidR="00DF7C4D" w:rsidRDefault="00DF7C4D" w:rsidP="00DF7C4D">
            <w:pPr>
              <w:spacing w:after="0" w:line="240" w:lineRule="auto"/>
              <w:jc w:val="right"/>
              <w:rPr>
                <w:rFonts w:ascii="Century" w:hAnsi="Century"/>
                <w:sz w:val="20"/>
                <w:szCs w:val="20"/>
              </w:rPr>
            </w:pPr>
            <w:r>
              <w:rPr>
                <w:rFonts w:ascii="Century" w:hAnsi="Century"/>
                <w:sz w:val="20"/>
                <w:szCs w:val="20"/>
              </w:rPr>
              <w:t>162</w:t>
            </w:r>
          </w:p>
        </w:tc>
        <w:tc>
          <w:tcPr>
            <w:tcW w:w="1020" w:type="dxa"/>
            <w:shd w:val="clear" w:color="auto" w:fill="F2F2F2"/>
            <w:vAlign w:val="center"/>
          </w:tcPr>
          <w:p w:rsidR="00DF7C4D" w:rsidRPr="00573243" w:rsidRDefault="00DF7C4D" w:rsidP="00F2417A">
            <w:pPr>
              <w:spacing w:after="0" w:line="240" w:lineRule="auto"/>
              <w:jc w:val="right"/>
              <w:rPr>
                <w:rFonts w:ascii="Century" w:hAnsi="Century"/>
                <w:color w:val="000000"/>
                <w:sz w:val="20"/>
                <w:szCs w:val="20"/>
              </w:rPr>
            </w:pPr>
            <w:r>
              <w:rPr>
                <w:rFonts w:ascii="Century" w:eastAsia="Times New Roman" w:hAnsi="Century" w:cs="Calibri"/>
                <w:color w:val="000000"/>
                <w:sz w:val="20"/>
                <w:szCs w:val="20"/>
                <w:lang w:eastAsia="ru-RU"/>
              </w:rPr>
              <w:t>135</w:t>
            </w:r>
          </w:p>
        </w:tc>
        <w:tc>
          <w:tcPr>
            <w:tcW w:w="1020" w:type="dxa"/>
            <w:shd w:val="clear" w:color="auto" w:fill="F2F2F2"/>
            <w:vAlign w:val="center"/>
          </w:tcPr>
          <w:p w:rsidR="00DF7C4D" w:rsidRPr="00573243" w:rsidRDefault="00DF7C4D" w:rsidP="00F2417A">
            <w:pPr>
              <w:spacing w:after="0" w:line="240" w:lineRule="auto"/>
              <w:jc w:val="right"/>
              <w:rPr>
                <w:rFonts w:ascii="Century" w:hAnsi="Century"/>
                <w:color w:val="000000"/>
                <w:sz w:val="20"/>
                <w:szCs w:val="20"/>
              </w:rPr>
            </w:pPr>
            <w:r>
              <w:rPr>
                <w:rFonts w:ascii="Century" w:eastAsia="Times New Roman" w:hAnsi="Century" w:cs="Calibri"/>
                <w:color w:val="000000"/>
                <w:sz w:val="20"/>
                <w:szCs w:val="20"/>
                <w:lang w:eastAsia="ru-RU"/>
              </w:rPr>
              <w:t>105</w:t>
            </w:r>
          </w:p>
        </w:tc>
        <w:tc>
          <w:tcPr>
            <w:tcW w:w="1020" w:type="dxa"/>
            <w:shd w:val="clear" w:color="auto" w:fill="F2F2F2"/>
            <w:vAlign w:val="center"/>
          </w:tcPr>
          <w:p w:rsidR="00DF7C4D" w:rsidRPr="00573243" w:rsidRDefault="00DF7C4D" w:rsidP="00F2417A">
            <w:pPr>
              <w:spacing w:after="0" w:line="240" w:lineRule="auto"/>
              <w:jc w:val="right"/>
              <w:rPr>
                <w:rFonts w:ascii="Century" w:hAnsi="Century"/>
                <w:color w:val="000000"/>
                <w:sz w:val="20"/>
                <w:szCs w:val="20"/>
              </w:rPr>
            </w:pPr>
            <w:r>
              <w:rPr>
                <w:rFonts w:ascii="Century" w:eastAsia="Times New Roman" w:hAnsi="Century" w:cs="Calibri"/>
                <w:color w:val="000000"/>
                <w:sz w:val="20"/>
                <w:szCs w:val="20"/>
                <w:lang w:eastAsia="ru-RU"/>
              </w:rPr>
              <w:t>104</w:t>
            </w:r>
          </w:p>
        </w:tc>
      </w:tr>
      <w:tr w:rsidR="00DF7C4D" w:rsidRPr="00D3609A" w:rsidTr="003C4A4E">
        <w:trPr>
          <w:trHeight w:val="340"/>
        </w:trPr>
        <w:tc>
          <w:tcPr>
            <w:tcW w:w="4928" w:type="dxa"/>
            <w:tcBorders>
              <w:bottom w:val="single" w:sz="4" w:space="0" w:color="auto"/>
            </w:tcBorders>
            <w:vAlign w:val="center"/>
          </w:tcPr>
          <w:p w:rsidR="00DF7C4D" w:rsidRPr="005017A7" w:rsidRDefault="00DF7C4D" w:rsidP="00F2417A">
            <w:pPr>
              <w:spacing w:after="0" w:line="240" w:lineRule="auto"/>
              <w:ind w:firstLine="318"/>
              <w:rPr>
                <w:rFonts w:ascii="Century" w:hAnsi="Century"/>
                <w:b/>
                <w:bCs/>
                <w:color w:val="000000"/>
                <w:sz w:val="20"/>
                <w:szCs w:val="20"/>
                <w:lang w:eastAsia="ru-RU"/>
              </w:rPr>
            </w:pPr>
            <w:r w:rsidRPr="005017A7">
              <w:rPr>
                <w:rFonts w:ascii="Century Cyr" w:hAnsi="Century Cyr"/>
                <w:bCs/>
                <w:i/>
                <w:iCs/>
                <w:color w:val="000000"/>
                <w:sz w:val="20"/>
                <w:szCs w:val="20"/>
                <w:lang w:eastAsia="ru-RU"/>
              </w:rPr>
              <w:t>в % к МБТ (всего)</w:t>
            </w:r>
          </w:p>
        </w:tc>
        <w:tc>
          <w:tcPr>
            <w:tcW w:w="1109" w:type="dxa"/>
            <w:tcBorders>
              <w:bottom w:val="single" w:sz="4" w:space="0" w:color="auto"/>
            </w:tcBorders>
            <w:vAlign w:val="center"/>
          </w:tcPr>
          <w:p w:rsidR="00DF7C4D" w:rsidRDefault="00DF7C4D" w:rsidP="00DF7C4D">
            <w:pPr>
              <w:spacing w:after="0" w:line="240" w:lineRule="auto"/>
              <w:jc w:val="right"/>
              <w:rPr>
                <w:rFonts w:ascii="Century" w:hAnsi="Century"/>
                <w:i/>
                <w:iCs/>
                <w:sz w:val="20"/>
                <w:szCs w:val="20"/>
              </w:rPr>
            </w:pPr>
            <w:r>
              <w:rPr>
                <w:rFonts w:ascii="Century" w:hAnsi="Century"/>
                <w:i/>
                <w:iCs/>
                <w:sz w:val="20"/>
                <w:szCs w:val="20"/>
              </w:rPr>
              <w:t>9,7</w:t>
            </w:r>
          </w:p>
        </w:tc>
        <w:tc>
          <w:tcPr>
            <w:tcW w:w="1020" w:type="dxa"/>
            <w:tcBorders>
              <w:bottom w:val="single" w:sz="4" w:space="0" w:color="auto"/>
            </w:tcBorders>
            <w:vAlign w:val="center"/>
          </w:tcPr>
          <w:p w:rsidR="00DF7C4D" w:rsidRPr="00573243" w:rsidRDefault="00DF7C4D" w:rsidP="00F2417A">
            <w:pPr>
              <w:spacing w:after="0" w:line="240" w:lineRule="auto"/>
              <w:jc w:val="right"/>
              <w:rPr>
                <w:rFonts w:ascii="Century" w:hAnsi="Century"/>
                <w:i/>
                <w:iCs/>
                <w:color w:val="000000"/>
                <w:sz w:val="20"/>
                <w:szCs w:val="20"/>
              </w:rPr>
            </w:pPr>
            <w:r>
              <w:rPr>
                <w:rFonts w:ascii="Century" w:eastAsia="Times New Roman" w:hAnsi="Century" w:cs="Calibri"/>
                <w:i/>
                <w:iCs/>
                <w:color w:val="000000"/>
                <w:sz w:val="20"/>
                <w:szCs w:val="20"/>
                <w:lang w:eastAsia="ru-RU"/>
              </w:rPr>
              <w:t>8,2</w:t>
            </w:r>
          </w:p>
        </w:tc>
        <w:tc>
          <w:tcPr>
            <w:tcW w:w="1020" w:type="dxa"/>
            <w:tcBorders>
              <w:bottom w:val="single" w:sz="4" w:space="0" w:color="auto"/>
            </w:tcBorders>
            <w:vAlign w:val="center"/>
          </w:tcPr>
          <w:p w:rsidR="00DF7C4D" w:rsidRPr="00573243" w:rsidRDefault="00DF7C4D" w:rsidP="00F2417A">
            <w:pPr>
              <w:spacing w:after="0" w:line="240" w:lineRule="auto"/>
              <w:jc w:val="right"/>
              <w:rPr>
                <w:rFonts w:ascii="Century" w:hAnsi="Century"/>
                <w:i/>
                <w:iCs/>
                <w:color w:val="000000"/>
                <w:sz w:val="20"/>
                <w:szCs w:val="20"/>
              </w:rPr>
            </w:pPr>
            <w:r>
              <w:rPr>
                <w:rFonts w:ascii="Century" w:eastAsia="Times New Roman" w:hAnsi="Century" w:cs="Calibri"/>
                <w:i/>
                <w:iCs/>
                <w:color w:val="000000"/>
                <w:sz w:val="20"/>
                <w:szCs w:val="20"/>
                <w:lang w:eastAsia="ru-RU"/>
              </w:rPr>
              <w:t>6,6</w:t>
            </w:r>
          </w:p>
        </w:tc>
        <w:tc>
          <w:tcPr>
            <w:tcW w:w="1020" w:type="dxa"/>
            <w:tcBorders>
              <w:bottom w:val="single" w:sz="4" w:space="0" w:color="auto"/>
            </w:tcBorders>
            <w:vAlign w:val="center"/>
          </w:tcPr>
          <w:p w:rsidR="00DF7C4D" w:rsidRPr="00573243" w:rsidRDefault="00DF7C4D" w:rsidP="00F2417A">
            <w:pPr>
              <w:spacing w:after="0" w:line="240" w:lineRule="auto"/>
              <w:jc w:val="right"/>
              <w:rPr>
                <w:rFonts w:ascii="Century" w:hAnsi="Century"/>
                <w:i/>
                <w:iCs/>
                <w:color w:val="000000"/>
                <w:sz w:val="20"/>
                <w:szCs w:val="20"/>
              </w:rPr>
            </w:pPr>
            <w:r>
              <w:rPr>
                <w:rFonts w:ascii="Century" w:eastAsia="Times New Roman" w:hAnsi="Century" w:cs="Calibri"/>
                <w:i/>
                <w:iCs/>
                <w:color w:val="000000"/>
                <w:sz w:val="20"/>
                <w:szCs w:val="20"/>
                <w:lang w:eastAsia="ru-RU"/>
              </w:rPr>
              <w:t>6,5</w:t>
            </w:r>
          </w:p>
        </w:tc>
      </w:tr>
    </w:tbl>
    <w:p w:rsidR="00A71D96" w:rsidRPr="003F0679" w:rsidRDefault="00A71D96" w:rsidP="00A71D96">
      <w:pPr>
        <w:autoSpaceDE w:val="0"/>
        <w:autoSpaceDN w:val="0"/>
        <w:adjustRightInd w:val="0"/>
        <w:spacing w:before="120" w:after="120"/>
        <w:jc w:val="both"/>
        <w:rPr>
          <w:rFonts w:ascii="Times New Roman" w:hAnsi="Times New Roman"/>
          <w:sz w:val="24"/>
          <w:szCs w:val="28"/>
          <w:highlight w:val="lightGray"/>
          <w:lang w:eastAsia="ru-RU"/>
        </w:rPr>
      </w:pPr>
      <w:r w:rsidRPr="005017A7">
        <w:rPr>
          <w:rFonts w:ascii="Times New Roman" w:hAnsi="Times New Roman"/>
          <w:sz w:val="24"/>
          <w:szCs w:val="28"/>
          <w:lang w:eastAsia="ru-RU"/>
        </w:rPr>
        <w:t xml:space="preserve">Оказание поддержки со стороны федерального бюджета в финансировании первоочередных расходов регионов будет продолжено путем предоставления </w:t>
      </w:r>
      <w:r w:rsidRPr="005017A7">
        <w:rPr>
          <w:rFonts w:ascii="Times New Roman" w:hAnsi="Times New Roman"/>
          <w:b/>
          <w:sz w:val="24"/>
          <w:szCs w:val="28"/>
          <w:lang w:eastAsia="ru-RU"/>
        </w:rPr>
        <w:t>дотаций на выравнивание бюджетной обеспеченности</w:t>
      </w:r>
      <w:r w:rsidRPr="005017A7">
        <w:rPr>
          <w:rFonts w:ascii="Times New Roman" w:hAnsi="Times New Roman"/>
          <w:sz w:val="24"/>
          <w:szCs w:val="28"/>
          <w:lang w:eastAsia="ru-RU"/>
        </w:rPr>
        <w:t xml:space="preserve"> субъектов, которые сохранят ведущую роль в системе межбюджетного регулирования. </w:t>
      </w:r>
    </w:p>
    <w:p w:rsidR="00A71D96" w:rsidRDefault="00A71D96" w:rsidP="00A71D96">
      <w:pPr>
        <w:spacing w:before="120" w:after="120"/>
        <w:jc w:val="both"/>
        <w:rPr>
          <w:rFonts w:ascii="Times New Roman" w:hAnsi="Times New Roman"/>
          <w:sz w:val="24"/>
          <w:szCs w:val="28"/>
          <w:lang w:eastAsia="ru-RU"/>
        </w:rPr>
      </w:pPr>
      <w:r>
        <w:rPr>
          <w:rFonts w:ascii="Times New Roman" w:hAnsi="Times New Roman"/>
          <w:sz w:val="24"/>
          <w:szCs w:val="28"/>
          <w:lang w:eastAsia="ru-RU"/>
        </w:rPr>
        <w:t xml:space="preserve">Предоставление </w:t>
      </w:r>
      <w:r w:rsidRPr="001059D1">
        <w:rPr>
          <w:rFonts w:ascii="Times New Roman" w:hAnsi="Times New Roman"/>
          <w:b/>
          <w:sz w:val="24"/>
          <w:szCs w:val="28"/>
          <w:lang w:eastAsia="ru-RU"/>
        </w:rPr>
        <w:t>субсидий и иных межбюджетных трансфертов</w:t>
      </w:r>
      <w:r>
        <w:rPr>
          <w:rFonts w:ascii="Times New Roman" w:hAnsi="Times New Roman"/>
          <w:sz w:val="24"/>
          <w:szCs w:val="28"/>
          <w:lang w:eastAsia="ru-RU"/>
        </w:rPr>
        <w:t xml:space="preserve"> предполагается осуществлять с учетом </w:t>
      </w:r>
      <w:r w:rsidRPr="004B67DD">
        <w:rPr>
          <w:rFonts w:ascii="Times New Roman" w:hAnsi="Times New Roman"/>
          <w:sz w:val="24"/>
          <w:szCs w:val="28"/>
          <w:lang w:eastAsia="ru-RU"/>
        </w:rPr>
        <w:t>необходимост</w:t>
      </w:r>
      <w:r>
        <w:rPr>
          <w:rFonts w:ascii="Times New Roman" w:hAnsi="Times New Roman"/>
          <w:sz w:val="24"/>
          <w:szCs w:val="28"/>
          <w:lang w:eastAsia="ru-RU"/>
        </w:rPr>
        <w:t>и</w:t>
      </w:r>
      <w:r w:rsidRPr="004B67DD">
        <w:rPr>
          <w:rFonts w:ascii="Times New Roman" w:hAnsi="Times New Roman"/>
          <w:sz w:val="24"/>
          <w:szCs w:val="28"/>
          <w:lang w:eastAsia="ru-RU"/>
        </w:rPr>
        <w:t xml:space="preserve"> </w:t>
      </w:r>
      <w:r w:rsidRPr="001059D1">
        <w:rPr>
          <w:rFonts w:ascii="Times New Roman" w:hAnsi="Times New Roman"/>
          <w:b/>
          <w:sz w:val="24"/>
          <w:szCs w:val="28"/>
          <w:lang w:eastAsia="ru-RU"/>
        </w:rPr>
        <w:t>сокращения</w:t>
      </w:r>
      <w:r w:rsidRPr="004B67DD">
        <w:rPr>
          <w:rFonts w:ascii="Times New Roman" w:hAnsi="Times New Roman"/>
          <w:sz w:val="24"/>
          <w:szCs w:val="28"/>
          <w:lang w:eastAsia="ru-RU"/>
        </w:rPr>
        <w:t xml:space="preserve"> количества </w:t>
      </w:r>
      <w:r>
        <w:rPr>
          <w:rFonts w:ascii="Times New Roman" w:hAnsi="Times New Roman"/>
          <w:sz w:val="24"/>
          <w:szCs w:val="28"/>
          <w:lang w:eastAsia="ru-RU"/>
        </w:rPr>
        <w:t>указанных</w:t>
      </w:r>
      <w:r w:rsidRPr="004B67DD">
        <w:rPr>
          <w:rFonts w:ascii="Times New Roman" w:hAnsi="Times New Roman"/>
          <w:sz w:val="24"/>
          <w:szCs w:val="28"/>
          <w:lang w:eastAsia="ru-RU"/>
        </w:rPr>
        <w:t xml:space="preserve"> межбюджетных трансфертов</w:t>
      </w:r>
      <w:r>
        <w:rPr>
          <w:rFonts w:ascii="Times New Roman" w:hAnsi="Times New Roman"/>
          <w:sz w:val="24"/>
          <w:szCs w:val="28"/>
          <w:lang w:eastAsia="ru-RU"/>
        </w:rPr>
        <w:t xml:space="preserve">, в том числе путем </w:t>
      </w:r>
      <w:r w:rsidRPr="001059D1">
        <w:rPr>
          <w:rFonts w:ascii="Times New Roman" w:hAnsi="Times New Roman"/>
          <w:b/>
          <w:sz w:val="24"/>
          <w:szCs w:val="28"/>
          <w:lang w:eastAsia="ru-RU"/>
        </w:rPr>
        <w:t>консолидации</w:t>
      </w:r>
      <w:r>
        <w:rPr>
          <w:rFonts w:ascii="Times New Roman" w:hAnsi="Times New Roman"/>
          <w:sz w:val="24"/>
          <w:szCs w:val="28"/>
          <w:lang w:eastAsia="ru-RU"/>
        </w:rPr>
        <w:t>,</w:t>
      </w:r>
      <w:r w:rsidRPr="004B67DD">
        <w:rPr>
          <w:rFonts w:ascii="Times New Roman" w:hAnsi="Times New Roman"/>
          <w:sz w:val="24"/>
          <w:szCs w:val="28"/>
          <w:lang w:eastAsia="ru-RU"/>
        </w:rPr>
        <w:t xml:space="preserve"> исходя из необходимости объединения различных видов трансфертов, предоставляемых на одинаковые или близкие цели</w:t>
      </w:r>
      <w:r>
        <w:rPr>
          <w:rFonts w:ascii="Times New Roman" w:hAnsi="Times New Roman"/>
          <w:sz w:val="24"/>
          <w:szCs w:val="28"/>
          <w:lang w:eastAsia="ru-RU"/>
        </w:rPr>
        <w:t>,</w:t>
      </w:r>
      <w:r w:rsidRPr="004B67DD">
        <w:rPr>
          <w:rFonts w:ascii="Times New Roman" w:hAnsi="Times New Roman"/>
          <w:sz w:val="24"/>
          <w:szCs w:val="28"/>
          <w:lang w:eastAsia="ru-RU"/>
        </w:rPr>
        <w:t xml:space="preserve"> для повышении самостоятельности органов государственной власти субъектов Российской </w:t>
      </w:r>
      <w:proofErr w:type="gramStart"/>
      <w:r w:rsidRPr="004B67DD">
        <w:rPr>
          <w:rFonts w:ascii="Times New Roman" w:hAnsi="Times New Roman"/>
          <w:sz w:val="24"/>
          <w:szCs w:val="28"/>
          <w:lang w:eastAsia="ru-RU"/>
        </w:rPr>
        <w:t>Федерации</w:t>
      </w:r>
      <w:proofErr w:type="gramEnd"/>
      <w:r w:rsidRPr="004B67DD">
        <w:rPr>
          <w:rFonts w:ascii="Times New Roman" w:hAnsi="Times New Roman"/>
          <w:sz w:val="24"/>
          <w:szCs w:val="28"/>
          <w:lang w:eastAsia="ru-RU"/>
        </w:rPr>
        <w:t xml:space="preserve"> в выборе способов достижения поставленных целей при использовании межбюджетных трансфертов</w:t>
      </w:r>
      <w:r>
        <w:rPr>
          <w:rFonts w:ascii="Times New Roman" w:hAnsi="Times New Roman"/>
          <w:sz w:val="24"/>
          <w:szCs w:val="28"/>
          <w:lang w:eastAsia="ru-RU"/>
        </w:rPr>
        <w:t>.</w:t>
      </w:r>
    </w:p>
    <w:p w:rsidR="00A71D96" w:rsidRPr="00C65E43" w:rsidRDefault="00A71D96" w:rsidP="00A71D96">
      <w:pPr>
        <w:spacing w:before="120" w:after="120"/>
        <w:jc w:val="both"/>
        <w:rPr>
          <w:rFonts w:ascii="Times New Roman" w:hAnsi="Times New Roman"/>
          <w:sz w:val="24"/>
          <w:szCs w:val="28"/>
          <w:lang w:eastAsia="ru-RU"/>
        </w:rPr>
      </w:pPr>
      <w:r w:rsidRPr="00C65E43">
        <w:rPr>
          <w:rFonts w:ascii="Times New Roman" w:hAnsi="Times New Roman"/>
          <w:sz w:val="24"/>
          <w:szCs w:val="28"/>
          <w:lang w:eastAsia="ru-RU"/>
        </w:rPr>
        <w:t xml:space="preserve">Предполагается предоставление </w:t>
      </w:r>
      <w:r w:rsidRPr="00C65E43">
        <w:rPr>
          <w:rFonts w:ascii="Times New Roman" w:hAnsi="Times New Roman"/>
          <w:b/>
          <w:sz w:val="24"/>
          <w:szCs w:val="28"/>
          <w:lang w:eastAsia="ru-RU"/>
        </w:rPr>
        <w:t>субсидий</w:t>
      </w:r>
      <w:r w:rsidRPr="00C65E43">
        <w:rPr>
          <w:rFonts w:ascii="Times New Roman" w:hAnsi="Times New Roman"/>
          <w:sz w:val="24"/>
          <w:szCs w:val="28"/>
          <w:lang w:eastAsia="ru-RU"/>
        </w:rPr>
        <w:t xml:space="preserve"> бюджетам субъектов с поэтапным переходом на предоставление </w:t>
      </w:r>
      <w:r w:rsidRPr="00C65E43">
        <w:rPr>
          <w:rFonts w:ascii="Times New Roman" w:hAnsi="Times New Roman"/>
          <w:b/>
          <w:sz w:val="24"/>
          <w:szCs w:val="28"/>
          <w:lang w:eastAsia="ru-RU"/>
        </w:rPr>
        <w:t>консолидированной субсидии</w:t>
      </w:r>
      <w:r w:rsidRPr="00C65E43">
        <w:rPr>
          <w:rFonts w:ascii="Times New Roman" w:hAnsi="Times New Roman"/>
          <w:sz w:val="24"/>
          <w:szCs w:val="28"/>
          <w:lang w:eastAsia="ru-RU"/>
        </w:rPr>
        <w:t xml:space="preserve"> в рамках соответствующей госпрограммы (подпрограммы), в том числе за счет постепенной оптимизации иных межбюджетных трансфертов и их перевода в другие более формализованные формы межбюджетных трансфертов или выплат за счет средств федерального бюджета.</w:t>
      </w:r>
    </w:p>
    <w:p w:rsidR="00A71D96" w:rsidRPr="00C65E43" w:rsidRDefault="00A71D96" w:rsidP="00A71D96">
      <w:pPr>
        <w:spacing w:before="120" w:after="120"/>
        <w:jc w:val="both"/>
        <w:rPr>
          <w:rFonts w:ascii="Times New Roman" w:hAnsi="Times New Roman"/>
          <w:sz w:val="24"/>
          <w:szCs w:val="28"/>
          <w:lang w:eastAsia="ru-RU"/>
        </w:rPr>
      </w:pPr>
      <w:r w:rsidRPr="00C65E43">
        <w:rPr>
          <w:rFonts w:ascii="Times New Roman" w:hAnsi="Times New Roman"/>
          <w:sz w:val="24"/>
          <w:szCs w:val="28"/>
          <w:lang w:eastAsia="ru-RU"/>
        </w:rPr>
        <w:t>Субвенции на финансирование публичных нормативных обязательств будут проиндексированы с учетом уровня ожидаемой инфляции.</w:t>
      </w:r>
    </w:p>
    <w:p w:rsidR="00A71D96" w:rsidRPr="00C65E43" w:rsidRDefault="00A71D96" w:rsidP="00A71D96">
      <w:pPr>
        <w:spacing w:before="120" w:after="120"/>
        <w:jc w:val="both"/>
        <w:rPr>
          <w:rFonts w:ascii="Times New Roman" w:hAnsi="Times New Roman"/>
          <w:sz w:val="24"/>
          <w:szCs w:val="28"/>
        </w:rPr>
      </w:pPr>
      <w:r w:rsidRPr="00C65E43">
        <w:rPr>
          <w:rFonts w:ascii="Times New Roman" w:hAnsi="Times New Roman"/>
          <w:sz w:val="24"/>
          <w:szCs w:val="28"/>
        </w:rPr>
        <w:t>Обеспечение устойчивого и сбалансированного исполнения бюджетов субъектов, сохранение безопасного уровня долговой нагрузки должно быть обеспечено за счет принятия и реализации субъектами программ оздоровления государственных финансов с учетом методической поддержки Минфина России. Указанные программы должны быть сформированы на основании типовой программы по следующим направлениям:</w:t>
      </w:r>
    </w:p>
    <w:p w:rsidR="00A71D96" w:rsidRPr="00C65E43" w:rsidRDefault="00A71D96" w:rsidP="00A71D96">
      <w:pPr>
        <w:pStyle w:val="a9"/>
        <w:numPr>
          <w:ilvl w:val="0"/>
          <w:numId w:val="7"/>
        </w:numPr>
        <w:spacing w:before="120" w:after="120"/>
        <w:ind w:left="357" w:hanging="357"/>
        <w:contextualSpacing w:val="0"/>
        <w:jc w:val="both"/>
        <w:rPr>
          <w:rFonts w:ascii="Times New Roman" w:hAnsi="Times New Roman"/>
          <w:sz w:val="24"/>
          <w:szCs w:val="24"/>
        </w:rPr>
      </w:pPr>
      <w:r w:rsidRPr="00C65E43">
        <w:rPr>
          <w:rFonts w:ascii="Times New Roman" w:hAnsi="Times New Roman"/>
          <w:sz w:val="24"/>
          <w:szCs w:val="24"/>
        </w:rPr>
        <w:t>увеличение поступлений налоговых и неналоговых доходов;</w:t>
      </w:r>
    </w:p>
    <w:p w:rsidR="00A71D96" w:rsidRPr="00C65E43" w:rsidRDefault="00A71D96" w:rsidP="00A71D96">
      <w:pPr>
        <w:pStyle w:val="a9"/>
        <w:numPr>
          <w:ilvl w:val="0"/>
          <w:numId w:val="7"/>
        </w:numPr>
        <w:spacing w:before="120" w:after="120"/>
        <w:ind w:left="357" w:hanging="357"/>
        <w:contextualSpacing w:val="0"/>
        <w:jc w:val="both"/>
        <w:rPr>
          <w:rFonts w:ascii="Times New Roman" w:hAnsi="Times New Roman"/>
          <w:sz w:val="24"/>
          <w:szCs w:val="24"/>
        </w:rPr>
      </w:pPr>
      <w:r w:rsidRPr="00C65E43">
        <w:rPr>
          <w:rFonts w:ascii="Times New Roman" w:hAnsi="Times New Roman"/>
          <w:sz w:val="24"/>
          <w:szCs w:val="24"/>
        </w:rPr>
        <w:t>оптимизация бюджетных расходов;</w:t>
      </w:r>
    </w:p>
    <w:p w:rsidR="00A71D96" w:rsidRPr="00C65E43" w:rsidRDefault="00A71D96" w:rsidP="00A71D96">
      <w:pPr>
        <w:pStyle w:val="a9"/>
        <w:numPr>
          <w:ilvl w:val="0"/>
          <w:numId w:val="7"/>
        </w:numPr>
        <w:spacing w:before="120" w:after="120"/>
        <w:ind w:left="357" w:hanging="357"/>
        <w:contextualSpacing w:val="0"/>
        <w:jc w:val="both"/>
        <w:rPr>
          <w:rFonts w:ascii="Times New Roman" w:hAnsi="Times New Roman"/>
          <w:sz w:val="24"/>
          <w:szCs w:val="24"/>
        </w:rPr>
      </w:pPr>
      <w:r w:rsidRPr="00C65E43">
        <w:rPr>
          <w:rFonts w:ascii="Times New Roman" w:hAnsi="Times New Roman"/>
          <w:sz w:val="24"/>
          <w:szCs w:val="24"/>
        </w:rPr>
        <w:t>совершенствование межбюджетных отношений на региональном уровне;</w:t>
      </w:r>
    </w:p>
    <w:p w:rsidR="00A71D96" w:rsidRPr="00C65E43" w:rsidRDefault="00A71D96" w:rsidP="00A71D96">
      <w:pPr>
        <w:pStyle w:val="a9"/>
        <w:numPr>
          <w:ilvl w:val="0"/>
          <w:numId w:val="7"/>
        </w:numPr>
        <w:spacing w:before="120" w:after="120"/>
        <w:ind w:left="357" w:hanging="357"/>
        <w:contextualSpacing w:val="0"/>
        <w:jc w:val="both"/>
        <w:rPr>
          <w:rFonts w:ascii="Times New Roman" w:hAnsi="Times New Roman"/>
          <w:sz w:val="24"/>
          <w:szCs w:val="24"/>
        </w:rPr>
      </w:pPr>
      <w:r w:rsidRPr="00C65E43">
        <w:rPr>
          <w:rFonts w:ascii="Times New Roman" w:hAnsi="Times New Roman"/>
          <w:sz w:val="24"/>
          <w:szCs w:val="24"/>
        </w:rPr>
        <w:t>сокращение долговой нагрузки;</w:t>
      </w:r>
    </w:p>
    <w:p w:rsidR="00A71D96" w:rsidRPr="003A5E48" w:rsidRDefault="00A71D96" w:rsidP="00A71D96">
      <w:pPr>
        <w:pStyle w:val="a9"/>
        <w:numPr>
          <w:ilvl w:val="0"/>
          <w:numId w:val="7"/>
        </w:numPr>
        <w:spacing w:before="120" w:after="0" w:line="240" w:lineRule="auto"/>
        <w:ind w:left="357" w:hanging="357"/>
        <w:contextualSpacing w:val="0"/>
        <w:jc w:val="both"/>
        <w:rPr>
          <w:rFonts w:ascii="Times New Roman" w:hAnsi="Times New Roman"/>
          <w:sz w:val="24"/>
          <w:szCs w:val="24"/>
        </w:rPr>
      </w:pPr>
      <w:r w:rsidRPr="003A5E48">
        <w:rPr>
          <w:rFonts w:ascii="Times New Roman" w:hAnsi="Times New Roman"/>
          <w:sz w:val="24"/>
          <w:szCs w:val="24"/>
        </w:rPr>
        <w:t>утверждение (исполнение) субъектом дефицита бюджета на уровне не более 10% общего годового объема доходов бюджета без учета утвержденного объема безвозмездных поступлений.</w:t>
      </w:r>
    </w:p>
    <w:p w:rsidR="00A71D96" w:rsidRPr="006C7076" w:rsidRDefault="00A71D96" w:rsidP="00A71D96">
      <w:pPr>
        <w:pStyle w:val="20"/>
        <w:numPr>
          <w:ilvl w:val="1"/>
          <w:numId w:val="3"/>
        </w:numPr>
        <w:spacing w:before="240" w:after="240"/>
        <w:rPr>
          <w:rFonts w:ascii="Times New Roman" w:hAnsi="Times New Roman"/>
          <w:sz w:val="28"/>
          <w:szCs w:val="28"/>
        </w:rPr>
      </w:pPr>
      <w:bookmarkStart w:id="29" w:name="_Toc494788043"/>
      <w:r w:rsidRPr="006C7076">
        <w:rPr>
          <w:rFonts w:ascii="Times New Roman" w:hAnsi="Times New Roman"/>
          <w:sz w:val="28"/>
          <w:szCs w:val="28"/>
        </w:rPr>
        <w:t>ГОСУДАРСТВЕННЫЕ ВНЕБЮДЖЕТНЫЕ ФОНДЫ</w:t>
      </w:r>
      <w:bookmarkEnd w:id="29"/>
    </w:p>
    <w:p w:rsidR="00A71D96" w:rsidRPr="006C7076" w:rsidRDefault="00A71D96" w:rsidP="00A71D96">
      <w:pPr>
        <w:spacing w:before="120" w:after="120"/>
        <w:jc w:val="both"/>
        <w:rPr>
          <w:rFonts w:ascii="Times New Roman" w:hAnsi="Times New Roman"/>
          <w:sz w:val="24"/>
          <w:szCs w:val="24"/>
        </w:rPr>
      </w:pPr>
      <w:r w:rsidRPr="006C7076">
        <w:rPr>
          <w:rFonts w:ascii="Times New Roman" w:hAnsi="Times New Roman"/>
          <w:sz w:val="24"/>
          <w:szCs w:val="24"/>
        </w:rPr>
        <w:t>Формирование бюджетов государственных внебюджетных фондов в 2018-2020 гг. осуществляется в соответствии с Налоговым кодексом и законодательством о конкретных видах обязательного социального страхования.</w:t>
      </w:r>
    </w:p>
    <w:p w:rsidR="00A71D96" w:rsidRPr="006C7076" w:rsidRDefault="00A71D96" w:rsidP="00A71D96">
      <w:pPr>
        <w:spacing w:before="120" w:after="120"/>
        <w:jc w:val="both"/>
        <w:rPr>
          <w:rFonts w:ascii="Times New Roman" w:hAnsi="Times New Roman"/>
          <w:sz w:val="28"/>
          <w:szCs w:val="28"/>
        </w:rPr>
      </w:pPr>
      <w:r w:rsidRPr="006C7076">
        <w:rPr>
          <w:rFonts w:ascii="Times New Roman" w:hAnsi="Times New Roman"/>
          <w:b/>
          <w:sz w:val="28"/>
          <w:szCs w:val="28"/>
        </w:rPr>
        <w:t>Пенсионный фонд</w:t>
      </w:r>
    </w:p>
    <w:p w:rsidR="00A71D96" w:rsidRPr="006C7076" w:rsidRDefault="00A71D96" w:rsidP="00A71D96">
      <w:pPr>
        <w:spacing w:before="120" w:after="120"/>
        <w:jc w:val="both"/>
        <w:rPr>
          <w:rFonts w:ascii="Times New Roman" w:hAnsi="Times New Roman"/>
          <w:sz w:val="24"/>
          <w:szCs w:val="28"/>
        </w:rPr>
      </w:pPr>
      <w:r w:rsidRPr="006C7076">
        <w:rPr>
          <w:rFonts w:ascii="Times New Roman" w:hAnsi="Times New Roman"/>
          <w:sz w:val="24"/>
          <w:szCs w:val="28"/>
        </w:rPr>
        <w:t xml:space="preserve">Несмотря на реализацию отдельных мер, направленных на обеспечение сбалансированности </w:t>
      </w:r>
      <w:r w:rsidRPr="006C7076">
        <w:rPr>
          <w:rFonts w:ascii="Times New Roman" w:hAnsi="Times New Roman"/>
          <w:b/>
          <w:sz w:val="24"/>
          <w:szCs w:val="28"/>
        </w:rPr>
        <w:t>бюджета Пенсионного фонда Российской Федерации</w:t>
      </w:r>
      <w:r w:rsidRPr="006C7076">
        <w:rPr>
          <w:rFonts w:ascii="Times New Roman" w:hAnsi="Times New Roman"/>
          <w:sz w:val="24"/>
          <w:szCs w:val="28"/>
        </w:rPr>
        <w:t>, снижение его зависимости от трансфертов из федерального бюджета в долгосрочной перспективе с учетом складывающихся демографических тенденций остается главной задачей.</w:t>
      </w:r>
    </w:p>
    <w:p w:rsidR="00A71D96" w:rsidRPr="00F31180" w:rsidRDefault="00A71D96" w:rsidP="00A71D96">
      <w:pPr>
        <w:spacing w:before="120" w:after="120"/>
        <w:jc w:val="both"/>
        <w:rPr>
          <w:rFonts w:ascii="Times New Roman" w:hAnsi="Times New Roman"/>
          <w:bCs/>
          <w:sz w:val="24"/>
          <w:szCs w:val="28"/>
        </w:rPr>
      </w:pPr>
      <w:r w:rsidRPr="00F31180">
        <w:rPr>
          <w:rFonts w:ascii="Times New Roman" w:hAnsi="Times New Roman"/>
          <w:b/>
          <w:sz w:val="24"/>
          <w:szCs w:val="28"/>
        </w:rPr>
        <w:t xml:space="preserve">Таблица </w:t>
      </w:r>
      <w:r w:rsidRPr="002B72A8">
        <w:rPr>
          <w:rFonts w:ascii="Times New Roman" w:hAnsi="Times New Roman"/>
          <w:b/>
          <w:sz w:val="24"/>
          <w:szCs w:val="28"/>
        </w:rPr>
        <w:t>4</w:t>
      </w:r>
      <w:r w:rsidRPr="00F31180">
        <w:rPr>
          <w:rFonts w:ascii="Times New Roman" w:hAnsi="Times New Roman"/>
          <w:b/>
          <w:sz w:val="24"/>
          <w:szCs w:val="28"/>
        </w:rPr>
        <w:t>.3.1</w:t>
      </w:r>
      <w:r w:rsidRPr="00F31180">
        <w:rPr>
          <w:rFonts w:ascii="Times New Roman" w:hAnsi="Times New Roman"/>
          <w:b/>
          <w:sz w:val="24"/>
          <w:szCs w:val="24"/>
        </w:rPr>
        <w:t>.</w:t>
      </w:r>
      <w:r w:rsidRPr="00F31180">
        <w:rPr>
          <w:rFonts w:ascii="Times New Roman" w:hAnsi="Times New Roman"/>
          <w:sz w:val="24"/>
          <w:szCs w:val="28"/>
        </w:rPr>
        <w:t xml:space="preserve"> </w:t>
      </w:r>
      <w:r w:rsidRPr="00F31180">
        <w:rPr>
          <w:rFonts w:ascii="Times New Roman" w:hAnsi="Times New Roman"/>
          <w:bCs/>
          <w:sz w:val="24"/>
          <w:szCs w:val="28"/>
        </w:rPr>
        <w:t>Основные характеристики бюджета Пенсионного фонда в 201</w:t>
      </w:r>
      <w:r>
        <w:rPr>
          <w:rFonts w:ascii="Times New Roman" w:hAnsi="Times New Roman"/>
          <w:bCs/>
          <w:sz w:val="24"/>
          <w:szCs w:val="28"/>
        </w:rPr>
        <w:t>7-2020</w:t>
      </w:r>
      <w:r w:rsidRPr="00F31180">
        <w:rPr>
          <w:rFonts w:ascii="Times New Roman" w:hAnsi="Times New Roman"/>
          <w:bCs/>
          <w:sz w:val="24"/>
          <w:szCs w:val="28"/>
        </w:rPr>
        <w:t>*</w:t>
      </w:r>
    </w:p>
    <w:p w:rsidR="00A71D96" w:rsidRPr="00F31180" w:rsidRDefault="00A71D96" w:rsidP="00A71D96">
      <w:pPr>
        <w:spacing w:before="120" w:after="0" w:line="240" w:lineRule="auto"/>
        <w:jc w:val="right"/>
        <w:rPr>
          <w:rFonts w:ascii="Times New Roman" w:hAnsi="Times New Roman"/>
          <w:i/>
          <w:szCs w:val="28"/>
        </w:rPr>
      </w:pPr>
      <w:proofErr w:type="gramStart"/>
      <w:r w:rsidRPr="00F31180">
        <w:rPr>
          <w:rFonts w:ascii="Times New Roman" w:hAnsi="Times New Roman"/>
          <w:i/>
          <w:szCs w:val="28"/>
        </w:rPr>
        <w:t>млрд</w:t>
      </w:r>
      <w:proofErr w:type="gramEnd"/>
      <w:r w:rsidRPr="00F31180">
        <w:rPr>
          <w:rFonts w:ascii="Times New Roman" w:hAnsi="Times New Roman"/>
          <w:i/>
          <w:szCs w:val="28"/>
        </w:rPr>
        <w:t xml:space="preserve">  рублей</w:t>
      </w:r>
    </w:p>
    <w:tbl>
      <w:tblPr>
        <w:tblW w:w="9090" w:type="dxa"/>
        <w:tblLayout w:type="fixed"/>
        <w:tblLook w:val="00A0" w:firstRow="1" w:lastRow="0" w:firstColumn="1" w:lastColumn="0" w:noHBand="0" w:noVBand="0"/>
      </w:tblPr>
      <w:tblGrid>
        <w:gridCol w:w="5014"/>
        <w:gridCol w:w="1019"/>
        <w:gridCol w:w="1019"/>
        <w:gridCol w:w="1019"/>
        <w:gridCol w:w="1019"/>
      </w:tblGrid>
      <w:tr w:rsidR="00A71D96" w:rsidRPr="001A5262" w:rsidTr="00F2417A">
        <w:trPr>
          <w:trHeight w:val="340"/>
        </w:trPr>
        <w:tc>
          <w:tcPr>
            <w:tcW w:w="5014" w:type="dxa"/>
            <w:tcBorders>
              <w:top w:val="single" w:sz="4" w:space="0" w:color="auto"/>
              <w:left w:val="nil"/>
              <w:bottom w:val="single" w:sz="4" w:space="0" w:color="auto"/>
              <w:right w:val="nil"/>
            </w:tcBorders>
          </w:tcPr>
          <w:p w:rsidR="00A71D96" w:rsidRPr="001A5262" w:rsidRDefault="00A71D96" w:rsidP="00F2417A">
            <w:pPr>
              <w:spacing w:after="0" w:line="240" w:lineRule="auto"/>
              <w:rPr>
                <w:rFonts w:ascii="Century" w:hAnsi="Century"/>
                <w:b/>
                <w:bCs/>
                <w:szCs w:val="20"/>
              </w:rPr>
            </w:pPr>
            <w:r w:rsidRPr="001A5262">
              <w:rPr>
                <w:rFonts w:ascii="Century" w:hAnsi="Century"/>
                <w:b/>
                <w:bCs/>
                <w:szCs w:val="20"/>
              </w:rPr>
              <w:t>Показатель</w:t>
            </w:r>
          </w:p>
        </w:tc>
        <w:tc>
          <w:tcPr>
            <w:tcW w:w="1019" w:type="dxa"/>
            <w:tcBorders>
              <w:top w:val="single" w:sz="4" w:space="0" w:color="auto"/>
              <w:left w:val="nil"/>
              <w:bottom w:val="single" w:sz="4" w:space="0" w:color="auto"/>
              <w:right w:val="nil"/>
            </w:tcBorders>
          </w:tcPr>
          <w:p w:rsidR="00A71D96" w:rsidRPr="001A5262" w:rsidRDefault="00A71D96" w:rsidP="00F2417A">
            <w:pPr>
              <w:spacing w:after="0" w:line="240" w:lineRule="auto"/>
              <w:jc w:val="right"/>
              <w:rPr>
                <w:rFonts w:ascii="Century" w:hAnsi="Century"/>
                <w:b/>
                <w:bCs/>
                <w:szCs w:val="20"/>
                <w:lang w:val="en-US"/>
              </w:rPr>
            </w:pPr>
            <w:r w:rsidRPr="001A5262">
              <w:rPr>
                <w:rFonts w:ascii="Century" w:hAnsi="Century"/>
                <w:b/>
                <w:bCs/>
                <w:szCs w:val="20"/>
              </w:rPr>
              <w:t>20</w:t>
            </w:r>
            <w:r w:rsidRPr="001A5262">
              <w:rPr>
                <w:rFonts w:ascii="Century" w:hAnsi="Century"/>
                <w:b/>
                <w:bCs/>
                <w:szCs w:val="20"/>
                <w:lang w:val="en-US"/>
              </w:rPr>
              <w:t>17</w:t>
            </w:r>
          </w:p>
        </w:tc>
        <w:tc>
          <w:tcPr>
            <w:tcW w:w="1019" w:type="dxa"/>
            <w:tcBorders>
              <w:top w:val="single" w:sz="4" w:space="0" w:color="auto"/>
              <w:left w:val="nil"/>
              <w:bottom w:val="single" w:sz="4" w:space="0" w:color="auto"/>
              <w:right w:val="nil"/>
            </w:tcBorders>
          </w:tcPr>
          <w:p w:rsidR="00A71D96" w:rsidRPr="001A5262" w:rsidRDefault="00A71D96" w:rsidP="00F2417A">
            <w:pPr>
              <w:spacing w:after="0" w:line="240" w:lineRule="auto"/>
              <w:jc w:val="right"/>
              <w:rPr>
                <w:rFonts w:ascii="Century" w:hAnsi="Century"/>
                <w:b/>
                <w:bCs/>
                <w:szCs w:val="20"/>
                <w:lang w:val="en-US"/>
              </w:rPr>
            </w:pPr>
            <w:r w:rsidRPr="001A5262">
              <w:rPr>
                <w:rFonts w:ascii="Century" w:hAnsi="Century"/>
                <w:b/>
                <w:bCs/>
                <w:szCs w:val="20"/>
              </w:rPr>
              <w:t>201</w:t>
            </w:r>
            <w:r w:rsidRPr="001A5262">
              <w:rPr>
                <w:rFonts w:ascii="Century" w:hAnsi="Century"/>
                <w:b/>
                <w:bCs/>
                <w:szCs w:val="20"/>
                <w:lang w:val="en-US"/>
              </w:rPr>
              <w:t>8</w:t>
            </w:r>
          </w:p>
        </w:tc>
        <w:tc>
          <w:tcPr>
            <w:tcW w:w="1019" w:type="dxa"/>
            <w:tcBorders>
              <w:top w:val="single" w:sz="4" w:space="0" w:color="auto"/>
              <w:left w:val="nil"/>
              <w:bottom w:val="single" w:sz="4" w:space="0" w:color="auto"/>
              <w:right w:val="nil"/>
            </w:tcBorders>
          </w:tcPr>
          <w:p w:rsidR="00A71D96" w:rsidRPr="001A5262" w:rsidRDefault="00A71D96" w:rsidP="00F2417A">
            <w:pPr>
              <w:spacing w:after="0" w:line="240" w:lineRule="auto"/>
              <w:jc w:val="right"/>
              <w:rPr>
                <w:rFonts w:ascii="Century" w:hAnsi="Century"/>
                <w:b/>
                <w:bCs/>
                <w:szCs w:val="20"/>
                <w:lang w:val="en-US"/>
              </w:rPr>
            </w:pPr>
            <w:r w:rsidRPr="001A5262">
              <w:rPr>
                <w:rFonts w:ascii="Century" w:hAnsi="Century"/>
                <w:b/>
                <w:bCs/>
                <w:szCs w:val="20"/>
              </w:rPr>
              <w:t>201</w:t>
            </w:r>
            <w:r w:rsidRPr="001A5262">
              <w:rPr>
                <w:rFonts w:ascii="Century" w:hAnsi="Century"/>
                <w:b/>
                <w:bCs/>
                <w:szCs w:val="20"/>
                <w:lang w:val="en-US"/>
              </w:rPr>
              <w:t>9</w:t>
            </w:r>
          </w:p>
        </w:tc>
        <w:tc>
          <w:tcPr>
            <w:tcW w:w="1019" w:type="dxa"/>
            <w:tcBorders>
              <w:top w:val="single" w:sz="4" w:space="0" w:color="auto"/>
              <w:left w:val="nil"/>
              <w:bottom w:val="single" w:sz="4" w:space="0" w:color="auto"/>
              <w:right w:val="nil"/>
            </w:tcBorders>
          </w:tcPr>
          <w:p w:rsidR="00A71D96" w:rsidRPr="001A5262" w:rsidRDefault="00A71D96" w:rsidP="00F2417A">
            <w:pPr>
              <w:spacing w:after="0" w:line="240" w:lineRule="auto"/>
              <w:jc w:val="right"/>
              <w:rPr>
                <w:rFonts w:ascii="Century" w:hAnsi="Century"/>
                <w:b/>
                <w:bCs/>
                <w:szCs w:val="20"/>
                <w:lang w:val="en-US"/>
              </w:rPr>
            </w:pPr>
            <w:r w:rsidRPr="001A5262">
              <w:rPr>
                <w:rFonts w:ascii="Century" w:hAnsi="Century"/>
                <w:b/>
                <w:bCs/>
                <w:szCs w:val="20"/>
              </w:rPr>
              <w:t>20</w:t>
            </w:r>
            <w:r w:rsidRPr="001A5262">
              <w:rPr>
                <w:rFonts w:ascii="Century" w:hAnsi="Century"/>
                <w:b/>
                <w:bCs/>
                <w:szCs w:val="20"/>
                <w:lang w:val="en-US"/>
              </w:rPr>
              <w:t>20</w:t>
            </w:r>
          </w:p>
        </w:tc>
      </w:tr>
      <w:tr w:rsidR="009D5EB2" w:rsidRPr="001A5262" w:rsidTr="003C4A4E">
        <w:trPr>
          <w:trHeight w:val="340"/>
        </w:trPr>
        <w:tc>
          <w:tcPr>
            <w:tcW w:w="5014" w:type="dxa"/>
            <w:shd w:val="clear" w:color="auto" w:fill="F2F2F2"/>
            <w:vAlign w:val="center"/>
          </w:tcPr>
          <w:p w:rsidR="009D5EB2" w:rsidRPr="001A5262" w:rsidRDefault="009D5EB2" w:rsidP="00F2417A">
            <w:pPr>
              <w:spacing w:after="0" w:line="240" w:lineRule="auto"/>
              <w:rPr>
                <w:rFonts w:ascii="Century" w:hAnsi="Century"/>
                <w:b/>
                <w:bCs/>
                <w:i/>
                <w:iCs/>
                <w:color w:val="000000"/>
                <w:sz w:val="20"/>
                <w:szCs w:val="20"/>
                <w:lang w:eastAsia="ru-RU"/>
              </w:rPr>
            </w:pPr>
            <w:r w:rsidRPr="001A5262">
              <w:rPr>
                <w:rFonts w:ascii="Century" w:hAnsi="Century"/>
                <w:b/>
                <w:bCs/>
                <w:sz w:val="20"/>
                <w:szCs w:val="20"/>
              </w:rPr>
              <w:t>Доходы</w:t>
            </w:r>
          </w:p>
        </w:tc>
        <w:tc>
          <w:tcPr>
            <w:tcW w:w="1019" w:type="dxa"/>
            <w:shd w:val="clear" w:color="auto" w:fill="F2F2F2"/>
            <w:vAlign w:val="center"/>
          </w:tcPr>
          <w:p w:rsidR="009D5EB2" w:rsidRPr="0065037A" w:rsidRDefault="009D5EB2" w:rsidP="009D5EB2">
            <w:pPr>
              <w:spacing w:after="0" w:line="240" w:lineRule="auto"/>
              <w:jc w:val="right"/>
              <w:rPr>
                <w:rFonts w:ascii="Century" w:hAnsi="Century"/>
                <w:b/>
                <w:sz w:val="20"/>
                <w:szCs w:val="20"/>
              </w:rPr>
            </w:pPr>
            <w:r w:rsidRPr="0065037A">
              <w:rPr>
                <w:rFonts w:ascii="Century" w:hAnsi="Century"/>
                <w:b/>
                <w:sz w:val="20"/>
                <w:szCs w:val="20"/>
              </w:rPr>
              <w:t>8</w:t>
            </w:r>
            <w:r>
              <w:rPr>
                <w:rFonts w:ascii="Century" w:hAnsi="Century"/>
                <w:b/>
                <w:sz w:val="20"/>
                <w:szCs w:val="20"/>
              </w:rPr>
              <w:t> 201</w:t>
            </w:r>
          </w:p>
        </w:tc>
        <w:tc>
          <w:tcPr>
            <w:tcW w:w="1019" w:type="dxa"/>
            <w:shd w:val="clear" w:color="auto" w:fill="F2F2F2"/>
            <w:vAlign w:val="center"/>
          </w:tcPr>
          <w:p w:rsidR="009D5EB2" w:rsidRPr="0065037A" w:rsidRDefault="009D5EB2" w:rsidP="00F2417A">
            <w:pPr>
              <w:spacing w:after="0" w:line="240" w:lineRule="auto"/>
              <w:jc w:val="right"/>
              <w:rPr>
                <w:rFonts w:ascii="Century" w:hAnsi="Century"/>
                <w:b/>
                <w:sz w:val="20"/>
                <w:szCs w:val="20"/>
              </w:rPr>
            </w:pPr>
            <w:r w:rsidRPr="0065037A">
              <w:rPr>
                <w:rFonts w:ascii="Century" w:hAnsi="Century"/>
                <w:b/>
                <w:sz w:val="20"/>
                <w:szCs w:val="20"/>
              </w:rPr>
              <w:t>8 236</w:t>
            </w:r>
          </w:p>
        </w:tc>
        <w:tc>
          <w:tcPr>
            <w:tcW w:w="1019" w:type="dxa"/>
            <w:shd w:val="clear" w:color="auto" w:fill="F2F2F2"/>
            <w:vAlign w:val="center"/>
          </w:tcPr>
          <w:p w:rsidR="009D5EB2" w:rsidRPr="0065037A" w:rsidRDefault="009D5EB2" w:rsidP="00F2417A">
            <w:pPr>
              <w:spacing w:after="0" w:line="240" w:lineRule="auto"/>
              <w:jc w:val="right"/>
              <w:rPr>
                <w:rFonts w:ascii="Century" w:hAnsi="Century"/>
                <w:b/>
                <w:sz w:val="20"/>
                <w:szCs w:val="20"/>
              </w:rPr>
            </w:pPr>
            <w:r w:rsidRPr="0065037A">
              <w:rPr>
                <w:rFonts w:ascii="Century" w:hAnsi="Century"/>
                <w:b/>
                <w:sz w:val="20"/>
                <w:szCs w:val="20"/>
              </w:rPr>
              <w:t>8 519</w:t>
            </w:r>
          </w:p>
        </w:tc>
        <w:tc>
          <w:tcPr>
            <w:tcW w:w="1019" w:type="dxa"/>
            <w:shd w:val="clear" w:color="auto" w:fill="F2F2F2"/>
            <w:vAlign w:val="center"/>
          </w:tcPr>
          <w:p w:rsidR="009D5EB2" w:rsidRPr="0065037A" w:rsidRDefault="009E434F" w:rsidP="00F2417A">
            <w:pPr>
              <w:spacing w:after="0" w:line="240" w:lineRule="auto"/>
              <w:jc w:val="right"/>
              <w:rPr>
                <w:rFonts w:ascii="Century" w:hAnsi="Century"/>
                <w:b/>
                <w:sz w:val="20"/>
                <w:szCs w:val="20"/>
              </w:rPr>
            </w:pPr>
            <w:r>
              <w:rPr>
                <w:rFonts w:ascii="Century" w:hAnsi="Century"/>
                <w:b/>
                <w:sz w:val="20"/>
                <w:szCs w:val="20"/>
              </w:rPr>
              <w:t>8 829</w:t>
            </w:r>
          </w:p>
        </w:tc>
      </w:tr>
      <w:tr w:rsidR="009D5EB2" w:rsidRPr="001A5262" w:rsidTr="003C4A4E">
        <w:trPr>
          <w:trHeight w:val="340"/>
        </w:trPr>
        <w:tc>
          <w:tcPr>
            <w:tcW w:w="5014" w:type="dxa"/>
            <w:vAlign w:val="center"/>
          </w:tcPr>
          <w:p w:rsidR="009D5EB2" w:rsidRPr="001A5262" w:rsidRDefault="009D5EB2" w:rsidP="00F2417A">
            <w:pPr>
              <w:spacing w:after="0" w:line="240" w:lineRule="auto"/>
              <w:rPr>
                <w:rFonts w:ascii="Century" w:hAnsi="Century"/>
                <w:b/>
                <w:bCs/>
                <w:iCs/>
                <w:color w:val="000000"/>
                <w:sz w:val="20"/>
                <w:szCs w:val="20"/>
                <w:lang w:eastAsia="ru-RU"/>
              </w:rPr>
            </w:pPr>
            <w:r w:rsidRPr="001A5262">
              <w:rPr>
                <w:rFonts w:ascii="Century" w:hAnsi="Century"/>
                <w:bCs/>
                <w:sz w:val="20"/>
                <w:szCs w:val="20"/>
              </w:rPr>
              <w:t>Межбюджетные трансферты</w:t>
            </w:r>
          </w:p>
        </w:tc>
        <w:tc>
          <w:tcPr>
            <w:tcW w:w="1019" w:type="dxa"/>
            <w:vAlign w:val="center"/>
          </w:tcPr>
          <w:p w:rsidR="009D5EB2" w:rsidRPr="00315BAE" w:rsidRDefault="009D5EB2" w:rsidP="009D5EB2">
            <w:pPr>
              <w:spacing w:after="0" w:line="240" w:lineRule="auto"/>
              <w:jc w:val="right"/>
              <w:rPr>
                <w:rFonts w:ascii="Century" w:hAnsi="Century"/>
                <w:sz w:val="20"/>
                <w:szCs w:val="20"/>
              </w:rPr>
            </w:pPr>
            <w:r>
              <w:rPr>
                <w:rFonts w:ascii="Century" w:hAnsi="Century"/>
                <w:sz w:val="20"/>
                <w:szCs w:val="20"/>
              </w:rPr>
              <w:t>3 755</w:t>
            </w:r>
          </w:p>
        </w:tc>
        <w:tc>
          <w:tcPr>
            <w:tcW w:w="1019" w:type="dxa"/>
            <w:vAlign w:val="center"/>
          </w:tcPr>
          <w:p w:rsidR="009D5EB2" w:rsidRPr="00315BAE" w:rsidRDefault="009D5EB2" w:rsidP="00F2417A">
            <w:pPr>
              <w:spacing w:after="0" w:line="240" w:lineRule="auto"/>
              <w:jc w:val="right"/>
              <w:rPr>
                <w:rFonts w:ascii="Century" w:hAnsi="Century"/>
                <w:sz w:val="20"/>
                <w:szCs w:val="20"/>
              </w:rPr>
            </w:pPr>
            <w:r>
              <w:rPr>
                <w:rFonts w:ascii="Century" w:hAnsi="Century"/>
                <w:sz w:val="20"/>
                <w:szCs w:val="20"/>
              </w:rPr>
              <w:t>3 349</w:t>
            </w:r>
          </w:p>
        </w:tc>
        <w:tc>
          <w:tcPr>
            <w:tcW w:w="1019" w:type="dxa"/>
            <w:vAlign w:val="center"/>
          </w:tcPr>
          <w:p w:rsidR="009D5EB2" w:rsidRPr="00315BAE" w:rsidRDefault="009D5EB2" w:rsidP="00F2417A">
            <w:pPr>
              <w:spacing w:after="0" w:line="240" w:lineRule="auto"/>
              <w:jc w:val="right"/>
              <w:rPr>
                <w:rFonts w:ascii="Century" w:hAnsi="Century"/>
                <w:sz w:val="20"/>
                <w:szCs w:val="20"/>
              </w:rPr>
            </w:pPr>
            <w:r>
              <w:rPr>
                <w:rFonts w:ascii="Century" w:hAnsi="Century"/>
                <w:sz w:val="20"/>
                <w:szCs w:val="20"/>
              </w:rPr>
              <w:t>3 343</w:t>
            </w:r>
          </w:p>
        </w:tc>
        <w:tc>
          <w:tcPr>
            <w:tcW w:w="1019" w:type="dxa"/>
            <w:vAlign w:val="center"/>
          </w:tcPr>
          <w:p w:rsidR="009D5EB2" w:rsidRPr="00315BAE" w:rsidRDefault="009D5EB2" w:rsidP="00F2417A">
            <w:pPr>
              <w:spacing w:after="0" w:line="240" w:lineRule="auto"/>
              <w:jc w:val="right"/>
              <w:rPr>
                <w:rFonts w:ascii="Century" w:hAnsi="Century"/>
                <w:sz w:val="20"/>
                <w:szCs w:val="20"/>
              </w:rPr>
            </w:pPr>
            <w:r>
              <w:rPr>
                <w:rFonts w:ascii="Century" w:hAnsi="Century"/>
                <w:sz w:val="20"/>
                <w:szCs w:val="20"/>
              </w:rPr>
              <w:t>3 437</w:t>
            </w:r>
          </w:p>
        </w:tc>
      </w:tr>
      <w:tr w:rsidR="009D5EB2" w:rsidRPr="001A5262" w:rsidTr="003C4A4E">
        <w:trPr>
          <w:trHeight w:val="340"/>
        </w:trPr>
        <w:tc>
          <w:tcPr>
            <w:tcW w:w="5014" w:type="dxa"/>
            <w:shd w:val="clear" w:color="auto" w:fill="F2F2F2"/>
            <w:vAlign w:val="center"/>
          </w:tcPr>
          <w:p w:rsidR="009D5EB2" w:rsidRPr="001A5262" w:rsidRDefault="009D5EB2" w:rsidP="00F2417A">
            <w:pPr>
              <w:spacing w:after="0" w:line="240" w:lineRule="auto"/>
              <w:ind w:left="142"/>
              <w:rPr>
                <w:rFonts w:ascii="Century" w:hAnsi="Century"/>
                <w:b/>
                <w:bCs/>
                <w:sz w:val="20"/>
                <w:szCs w:val="20"/>
              </w:rPr>
            </w:pPr>
            <w:r w:rsidRPr="001A5262">
              <w:rPr>
                <w:rFonts w:ascii="Century" w:hAnsi="Century"/>
                <w:bCs/>
                <w:iCs/>
                <w:sz w:val="20"/>
                <w:szCs w:val="20"/>
              </w:rPr>
              <w:t>из федерального бюджета,</w:t>
            </w:r>
          </w:p>
        </w:tc>
        <w:tc>
          <w:tcPr>
            <w:tcW w:w="1019" w:type="dxa"/>
            <w:shd w:val="clear" w:color="auto" w:fill="F2F2F2"/>
            <w:vAlign w:val="center"/>
          </w:tcPr>
          <w:p w:rsidR="009D5EB2" w:rsidRPr="00315BAE" w:rsidRDefault="009D5EB2" w:rsidP="009D5EB2">
            <w:pPr>
              <w:spacing w:after="0" w:line="240" w:lineRule="auto"/>
              <w:jc w:val="right"/>
              <w:rPr>
                <w:rFonts w:ascii="Century" w:hAnsi="Century"/>
                <w:sz w:val="20"/>
                <w:szCs w:val="20"/>
              </w:rPr>
            </w:pPr>
            <w:r w:rsidRPr="00315BAE">
              <w:rPr>
                <w:rFonts w:ascii="Century" w:hAnsi="Century"/>
                <w:sz w:val="20"/>
                <w:szCs w:val="20"/>
              </w:rPr>
              <w:t>3</w:t>
            </w:r>
            <w:r>
              <w:rPr>
                <w:rFonts w:ascii="Century" w:hAnsi="Century"/>
                <w:sz w:val="20"/>
                <w:szCs w:val="20"/>
              </w:rPr>
              <w:t> </w:t>
            </w:r>
            <w:r w:rsidRPr="00315BAE">
              <w:rPr>
                <w:rFonts w:ascii="Century" w:hAnsi="Century"/>
                <w:sz w:val="20"/>
                <w:szCs w:val="20"/>
              </w:rPr>
              <w:t>7</w:t>
            </w:r>
            <w:r w:rsidR="009E434F">
              <w:rPr>
                <w:rFonts w:ascii="Century" w:hAnsi="Century"/>
                <w:sz w:val="20"/>
                <w:szCs w:val="20"/>
              </w:rPr>
              <w:t>52</w:t>
            </w:r>
          </w:p>
        </w:tc>
        <w:tc>
          <w:tcPr>
            <w:tcW w:w="1019" w:type="dxa"/>
            <w:shd w:val="clear" w:color="auto" w:fill="F2F2F2"/>
            <w:vAlign w:val="center"/>
          </w:tcPr>
          <w:p w:rsidR="009D5EB2" w:rsidRPr="00315BAE" w:rsidRDefault="009D5EB2" w:rsidP="00F2417A">
            <w:pPr>
              <w:spacing w:after="0" w:line="240" w:lineRule="auto"/>
              <w:jc w:val="right"/>
              <w:rPr>
                <w:rFonts w:ascii="Century" w:hAnsi="Century"/>
                <w:sz w:val="20"/>
                <w:szCs w:val="20"/>
              </w:rPr>
            </w:pPr>
            <w:r>
              <w:rPr>
                <w:rFonts w:ascii="Century" w:hAnsi="Century"/>
                <w:sz w:val="20"/>
                <w:szCs w:val="20"/>
              </w:rPr>
              <w:t>3 346</w:t>
            </w:r>
          </w:p>
        </w:tc>
        <w:tc>
          <w:tcPr>
            <w:tcW w:w="1019" w:type="dxa"/>
            <w:shd w:val="clear" w:color="auto" w:fill="F2F2F2"/>
            <w:vAlign w:val="center"/>
          </w:tcPr>
          <w:p w:rsidR="009D5EB2" w:rsidRPr="00315BAE" w:rsidRDefault="009D5EB2" w:rsidP="00F2417A">
            <w:pPr>
              <w:spacing w:after="0" w:line="240" w:lineRule="auto"/>
              <w:jc w:val="right"/>
              <w:rPr>
                <w:rFonts w:ascii="Century" w:hAnsi="Century"/>
                <w:sz w:val="20"/>
                <w:szCs w:val="20"/>
              </w:rPr>
            </w:pPr>
            <w:r>
              <w:rPr>
                <w:rFonts w:ascii="Century" w:hAnsi="Century"/>
                <w:sz w:val="20"/>
                <w:szCs w:val="20"/>
              </w:rPr>
              <w:t>3 340</w:t>
            </w:r>
          </w:p>
        </w:tc>
        <w:tc>
          <w:tcPr>
            <w:tcW w:w="1019" w:type="dxa"/>
            <w:shd w:val="clear" w:color="auto" w:fill="F2F2F2"/>
            <w:vAlign w:val="center"/>
          </w:tcPr>
          <w:p w:rsidR="009D5EB2" w:rsidRPr="00315BAE" w:rsidRDefault="009D5EB2" w:rsidP="00F2417A">
            <w:pPr>
              <w:spacing w:after="0" w:line="240" w:lineRule="auto"/>
              <w:jc w:val="right"/>
              <w:rPr>
                <w:rFonts w:ascii="Century" w:hAnsi="Century"/>
                <w:sz w:val="20"/>
                <w:szCs w:val="20"/>
              </w:rPr>
            </w:pPr>
            <w:r>
              <w:rPr>
                <w:rFonts w:ascii="Century" w:hAnsi="Century"/>
                <w:sz w:val="20"/>
                <w:szCs w:val="20"/>
              </w:rPr>
              <w:t>3 434</w:t>
            </w:r>
          </w:p>
        </w:tc>
      </w:tr>
      <w:tr w:rsidR="009D5EB2" w:rsidRPr="001A5262" w:rsidTr="003C4A4E">
        <w:trPr>
          <w:trHeight w:val="340"/>
        </w:trPr>
        <w:tc>
          <w:tcPr>
            <w:tcW w:w="5014" w:type="dxa"/>
            <w:vAlign w:val="center"/>
          </w:tcPr>
          <w:p w:rsidR="009D5EB2" w:rsidRPr="001A5262" w:rsidRDefault="009D5EB2" w:rsidP="00F2417A">
            <w:pPr>
              <w:spacing w:after="0" w:line="240" w:lineRule="auto"/>
              <w:ind w:left="142" w:firstLine="318"/>
              <w:rPr>
                <w:rFonts w:ascii="Century" w:hAnsi="Century"/>
                <w:b/>
                <w:bCs/>
                <w:sz w:val="20"/>
                <w:szCs w:val="20"/>
                <w:lang w:eastAsia="ru-RU"/>
              </w:rPr>
            </w:pPr>
            <w:r w:rsidRPr="001A5262">
              <w:rPr>
                <w:rFonts w:ascii="Century" w:hAnsi="Century"/>
                <w:bCs/>
                <w:iCs/>
                <w:sz w:val="20"/>
                <w:szCs w:val="20"/>
              </w:rPr>
              <w:t xml:space="preserve">в </w:t>
            </w:r>
            <w:proofErr w:type="spellStart"/>
            <w:r w:rsidRPr="001A5262">
              <w:rPr>
                <w:rFonts w:ascii="Century" w:hAnsi="Century"/>
                <w:bCs/>
                <w:iCs/>
                <w:sz w:val="20"/>
                <w:szCs w:val="20"/>
              </w:rPr>
              <w:t>т.ч</w:t>
            </w:r>
            <w:proofErr w:type="spellEnd"/>
            <w:r w:rsidRPr="001A5262">
              <w:rPr>
                <w:rFonts w:ascii="Century" w:hAnsi="Century"/>
                <w:bCs/>
                <w:iCs/>
                <w:sz w:val="20"/>
                <w:szCs w:val="20"/>
              </w:rPr>
              <w:t>. трансферт на обязательное пенсионное страхование</w:t>
            </w:r>
          </w:p>
        </w:tc>
        <w:tc>
          <w:tcPr>
            <w:tcW w:w="1019" w:type="dxa"/>
            <w:vAlign w:val="center"/>
          </w:tcPr>
          <w:p w:rsidR="009D5EB2" w:rsidRPr="00315BAE" w:rsidRDefault="009D5EB2" w:rsidP="009D5EB2">
            <w:pPr>
              <w:spacing w:after="0" w:line="240" w:lineRule="auto"/>
              <w:jc w:val="right"/>
              <w:rPr>
                <w:rFonts w:ascii="Century" w:hAnsi="Century"/>
                <w:sz w:val="20"/>
                <w:szCs w:val="20"/>
              </w:rPr>
            </w:pPr>
            <w:r w:rsidRPr="00315BAE">
              <w:rPr>
                <w:rFonts w:ascii="Century" w:hAnsi="Century"/>
                <w:sz w:val="20"/>
                <w:szCs w:val="20"/>
              </w:rPr>
              <w:t>9</w:t>
            </w:r>
            <w:r>
              <w:rPr>
                <w:rFonts w:ascii="Century" w:hAnsi="Century"/>
                <w:sz w:val="20"/>
                <w:szCs w:val="20"/>
              </w:rPr>
              <w:t>5</w:t>
            </w:r>
            <w:r w:rsidRPr="00315BAE">
              <w:rPr>
                <w:rFonts w:ascii="Century" w:hAnsi="Century"/>
                <w:sz w:val="20"/>
                <w:szCs w:val="20"/>
              </w:rPr>
              <w:t>9</w:t>
            </w:r>
          </w:p>
        </w:tc>
        <w:tc>
          <w:tcPr>
            <w:tcW w:w="1019" w:type="dxa"/>
            <w:vAlign w:val="center"/>
          </w:tcPr>
          <w:p w:rsidR="009D5EB2" w:rsidRPr="00315BAE" w:rsidRDefault="009D5EB2" w:rsidP="00F2417A">
            <w:pPr>
              <w:spacing w:after="0" w:line="240" w:lineRule="auto"/>
              <w:jc w:val="right"/>
              <w:rPr>
                <w:rFonts w:ascii="Century" w:hAnsi="Century"/>
                <w:sz w:val="20"/>
                <w:szCs w:val="20"/>
              </w:rPr>
            </w:pPr>
            <w:r>
              <w:rPr>
                <w:rFonts w:ascii="Century" w:hAnsi="Century"/>
                <w:sz w:val="20"/>
                <w:szCs w:val="20"/>
              </w:rPr>
              <w:t>694</w:t>
            </w:r>
          </w:p>
        </w:tc>
        <w:tc>
          <w:tcPr>
            <w:tcW w:w="1019" w:type="dxa"/>
            <w:vAlign w:val="center"/>
          </w:tcPr>
          <w:p w:rsidR="009D5EB2" w:rsidRPr="00315BAE" w:rsidRDefault="009D5EB2" w:rsidP="00F2417A">
            <w:pPr>
              <w:spacing w:after="0" w:line="240" w:lineRule="auto"/>
              <w:jc w:val="right"/>
              <w:rPr>
                <w:rFonts w:ascii="Century" w:hAnsi="Century"/>
                <w:sz w:val="20"/>
                <w:szCs w:val="20"/>
              </w:rPr>
            </w:pPr>
            <w:r>
              <w:rPr>
                <w:rFonts w:ascii="Century" w:hAnsi="Century"/>
                <w:sz w:val="20"/>
                <w:szCs w:val="20"/>
              </w:rPr>
              <w:t>641</w:t>
            </w:r>
          </w:p>
        </w:tc>
        <w:tc>
          <w:tcPr>
            <w:tcW w:w="1019" w:type="dxa"/>
            <w:vAlign w:val="center"/>
          </w:tcPr>
          <w:p w:rsidR="009D5EB2" w:rsidRPr="00315BAE" w:rsidRDefault="009D5EB2" w:rsidP="00F2417A">
            <w:pPr>
              <w:spacing w:after="0" w:line="240" w:lineRule="auto"/>
              <w:jc w:val="right"/>
              <w:rPr>
                <w:rFonts w:ascii="Century" w:hAnsi="Century"/>
                <w:sz w:val="20"/>
                <w:szCs w:val="20"/>
              </w:rPr>
            </w:pPr>
            <w:r>
              <w:rPr>
                <w:rFonts w:ascii="Century" w:hAnsi="Century"/>
                <w:sz w:val="20"/>
                <w:szCs w:val="20"/>
              </w:rPr>
              <w:t>669</w:t>
            </w:r>
          </w:p>
        </w:tc>
      </w:tr>
      <w:tr w:rsidR="009D5EB2" w:rsidRPr="001A5262" w:rsidTr="003C4A4E">
        <w:trPr>
          <w:trHeight w:val="340"/>
        </w:trPr>
        <w:tc>
          <w:tcPr>
            <w:tcW w:w="5014" w:type="dxa"/>
            <w:shd w:val="clear" w:color="auto" w:fill="F2F2F2"/>
            <w:vAlign w:val="center"/>
          </w:tcPr>
          <w:p w:rsidR="009D5EB2" w:rsidRPr="001A5262" w:rsidRDefault="009D5EB2" w:rsidP="00F2417A">
            <w:pPr>
              <w:spacing w:after="0" w:line="240" w:lineRule="auto"/>
              <w:ind w:left="142" w:firstLine="318"/>
              <w:rPr>
                <w:rFonts w:ascii="Century" w:hAnsi="Century"/>
                <w:b/>
                <w:bCs/>
                <w:color w:val="000000"/>
                <w:sz w:val="20"/>
                <w:szCs w:val="20"/>
                <w:lang w:eastAsia="ru-RU"/>
              </w:rPr>
            </w:pPr>
            <w:r w:rsidRPr="001A5262">
              <w:rPr>
                <w:rFonts w:ascii="Century" w:hAnsi="Century"/>
                <w:bCs/>
                <w:iCs/>
                <w:sz w:val="20"/>
                <w:szCs w:val="20"/>
              </w:rPr>
              <w:t>из бюджетов субъектов</w:t>
            </w:r>
          </w:p>
        </w:tc>
        <w:tc>
          <w:tcPr>
            <w:tcW w:w="1019" w:type="dxa"/>
            <w:shd w:val="clear" w:color="auto" w:fill="F2F2F2"/>
            <w:vAlign w:val="center"/>
          </w:tcPr>
          <w:p w:rsidR="009D5EB2" w:rsidRPr="00315BAE" w:rsidRDefault="009D5EB2" w:rsidP="00DF5A16">
            <w:pPr>
              <w:spacing w:after="0" w:line="240" w:lineRule="auto"/>
              <w:jc w:val="right"/>
              <w:rPr>
                <w:rFonts w:ascii="Century" w:hAnsi="Century"/>
                <w:sz w:val="20"/>
                <w:szCs w:val="20"/>
              </w:rPr>
            </w:pPr>
            <w:r>
              <w:rPr>
                <w:rFonts w:ascii="Century" w:hAnsi="Century"/>
                <w:sz w:val="20"/>
                <w:szCs w:val="20"/>
              </w:rPr>
              <w:t>3</w:t>
            </w:r>
          </w:p>
        </w:tc>
        <w:tc>
          <w:tcPr>
            <w:tcW w:w="1019" w:type="dxa"/>
            <w:shd w:val="clear" w:color="auto" w:fill="F2F2F2"/>
            <w:vAlign w:val="center"/>
          </w:tcPr>
          <w:p w:rsidR="009D5EB2" w:rsidRPr="00315BAE" w:rsidRDefault="009D5EB2" w:rsidP="00F2417A">
            <w:pPr>
              <w:spacing w:after="0" w:line="240" w:lineRule="auto"/>
              <w:jc w:val="right"/>
              <w:rPr>
                <w:rFonts w:ascii="Century" w:hAnsi="Century"/>
                <w:sz w:val="20"/>
                <w:szCs w:val="20"/>
              </w:rPr>
            </w:pPr>
            <w:r>
              <w:rPr>
                <w:rFonts w:ascii="Century" w:hAnsi="Century"/>
                <w:sz w:val="20"/>
                <w:szCs w:val="20"/>
              </w:rPr>
              <w:t>3</w:t>
            </w:r>
          </w:p>
        </w:tc>
        <w:tc>
          <w:tcPr>
            <w:tcW w:w="1019" w:type="dxa"/>
            <w:shd w:val="clear" w:color="auto" w:fill="F2F2F2"/>
            <w:vAlign w:val="center"/>
          </w:tcPr>
          <w:p w:rsidR="009D5EB2" w:rsidRPr="00315BAE" w:rsidRDefault="009D5EB2" w:rsidP="00F2417A">
            <w:pPr>
              <w:spacing w:after="0" w:line="240" w:lineRule="auto"/>
              <w:jc w:val="right"/>
              <w:rPr>
                <w:rFonts w:ascii="Century" w:hAnsi="Century"/>
                <w:sz w:val="20"/>
                <w:szCs w:val="20"/>
              </w:rPr>
            </w:pPr>
            <w:r>
              <w:rPr>
                <w:rFonts w:ascii="Century" w:hAnsi="Century"/>
                <w:sz w:val="20"/>
                <w:szCs w:val="20"/>
              </w:rPr>
              <w:t>3</w:t>
            </w:r>
          </w:p>
        </w:tc>
        <w:tc>
          <w:tcPr>
            <w:tcW w:w="1019" w:type="dxa"/>
            <w:shd w:val="clear" w:color="auto" w:fill="F2F2F2"/>
            <w:vAlign w:val="center"/>
          </w:tcPr>
          <w:p w:rsidR="009D5EB2" w:rsidRPr="00315BAE" w:rsidRDefault="009D5EB2" w:rsidP="00F2417A">
            <w:pPr>
              <w:spacing w:after="0" w:line="240" w:lineRule="auto"/>
              <w:jc w:val="right"/>
              <w:rPr>
                <w:rFonts w:ascii="Century" w:hAnsi="Century"/>
                <w:sz w:val="20"/>
                <w:szCs w:val="20"/>
              </w:rPr>
            </w:pPr>
            <w:r>
              <w:rPr>
                <w:rFonts w:ascii="Century" w:hAnsi="Century"/>
                <w:sz w:val="20"/>
                <w:szCs w:val="20"/>
              </w:rPr>
              <w:t>3</w:t>
            </w:r>
          </w:p>
        </w:tc>
      </w:tr>
      <w:tr w:rsidR="009D5EB2" w:rsidRPr="001A5262" w:rsidTr="003C4A4E">
        <w:trPr>
          <w:trHeight w:val="340"/>
        </w:trPr>
        <w:tc>
          <w:tcPr>
            <w:tcW w:w="5014" w:type="dxa"/>
            <w:vAlign w:val="center"/>
          </w:tcPr>
          <w:p w:rsidR="009D5EB2" w:rsidRPr="001A5262" w:rsidRDefault="009D5EB2" w:rsidP="00F2417A">
            <w:pPr>
              <w:spacing w:after="0" w:line="240" w:lineRule="auto"/>
              <w:rPr>
                <w:rFonts w:ascii="Century" w:hAnsi="Century"/>
                <w:b/>
                <w:bCs/>
                <w:sz w:val="20"/>
                <w:szCs w:val="20"/>
                <w:lang w:eastAsia="ru-RU"/>
              </w:rPr>
            </w:pPr>
            <w:r w:rsidRPr="001A5262">
              <w:rPr>
                <w:rFonts w:ascii="Century" w:hAnsi="Century"/>
                <w:bCs/>
                <w:sz w:val="20"/>
                <w:szCs w:val="20"/>
              </w:rPr>
              <w:t>Собственные доходы</w:t>
            </w:r>
          </w:p>
        </w:tc>
        <w:tc>
          <w:tcPr>
            <w:tcW w:w="1019" w:type="dxa"/>
            <w:vAlign w:val="center"/>
          </w:tcPr>
          <w:p w:rsidR="009D5EB2" w:rsidRPr="00315BAE" w:rsidRDefault="009D5EB2" w:rsidP="009D5EB2">
            <w:pPr>
              <w:spacing w:after="0" w:line="240" w:lineRule="auto"/>
              <w:jc w:val="right"/>
              <w:rPr>
                <w:rFonts w:ascii="Century" w:hAnsi="Century"/>
                <w:sz w:val="20"/>
                <w:szCs w:val="20"/>
              </w:rPr>
            </w:pPr>
            <w:r>
              <w:rPr>
                <w:rFonts w:ascii="Century" w:hAnsi="Century"/>
                <w:sz w:val="20"/>
                <w:szCs w:val="20"/>
              </w:rPr>
              <w:t>4 446</w:t>
            </w:r>
          </w:p>
        </w:tc>
        <w:tc>
          <w:tcPr>
            <w:tcW w:w="1019" w:type="dxa"/>
            <w:vAlign w:val="center"/>
          </w:tcPr>
          <w:p w:rsidR="009D5EB2" w:rsidRPr="00315BAE" w:rsidRDefault="009D5EB2" w:rsidP="00F2417A">
            <w:pPr>
              <w:spacing w:after="0" w:line="240" w:lineRule="auto"/>
              <w:jc w:val="right"/>
              <w:rPr>
                <w:rFonts w:ascii="Century" w:hAnsi="Century"/>
                <w:sz w:val="20"/>
                <w:szCs w:val="20"/>
              </w:rPr>
            </w:pPr>
            <w:r>
              <w:rPr>
                <w:rFonts w:ascii="Century" w:hAnsi="Century"/>
                <w:sz w:val="20"/>
                <w:szCs w:val="20"/>
              </w:rPr>
              <w:t>4 887</w:t>
            </w:r>
          </w:p>
        </w:tc>
        <w:tc>
          <w:tcPr>
            <w:tcW w:w="1019" w:type="dxa"/>
            <w:vAlign w:val="center"/>
          </w:tcPr>
          <w:p w:rsidR="009D5EB2" w:rsidRPr="00315BAE" w:rsidRDefault="009D5EB2" w:rsidP="00F2417A">
            <w:pPr>
              <w:spacing w:after="0" w:line="240" w:lineRule="auto"/>
              <w:jc w:val="right"/>
              <w:rPr>
                <w:rFonts w:ascii="Century" w:hAnsi="Century"/>
                <w:sz w:val="20"/>
                <w:szCs w:val="20"/>
              </w:rPr>
            </w:pPr>
            <w:r>
              <w:rPr>
                <w:rFonts w:ascii="Century" w:hAnsi="Century"/>
                <w:sz w:val="20"/>
                <w:szCs w:val="20"/>
              </w:rPr>
              <w:t>5 176</w:t>
            </w:r>
          </w:p>
        </w:tc>
        <w:tc>
          <w:tcPr>
            <w:tcW w:w="1019" w:type="dxa"/>
            <w:vAlign w:val="center"/>
          </w:tcPr>
          <w:p w:rsidR="009D5EB2" w:rsidRPr="00315BAE" w:rsidRDefault="009D5EB2" w:rsidP="00F2417A">
            <w:pPr>
              <w:spacing w:after="0" w:line="240" w:lineRule="auto"/>
              <w:jc w:val="right"/>
              <w:rPr>
                <w:rFonts w:ascii="Century" w:hAnsi="Century"/>
                <w:sz w:val="20"/>
                <w:szCs w:val="20"/>
              </w:rPr>
            </w:pPr>
            <w:r>
              <w:rPr>
                <w:rFonts w:ascii="Century" w:hAnsi="Century"/>
                <w:sz w:val="20"/>
                <w:szCs w:val="20"/>
              </w:rPr>
              <w:t>5 392</w:t>
            </w:r>
          </w:p>
        </w:tc>
      </w:tr>
      <w:tr w:rsidR="009D5EB2" w:rsidRPr="001A5262" w:rsidTr="003C4A4E">
        <w:trPr>
          <w:trHeight w:val="340"/>
        </w:trPr>
        <w:tc>
          <w:tcPr>
            <w:tcW w:w="5014" w:type="dxa"/>
            <w:shd w:val="clear" w:color="auto" w:fill="F2F2F2"/>
            <w:vAlign w:val="center"/>
          </w:tcPr>
          <w:p w:rsidR="009D5EB2" w:rsidRPr="001A5262" w:rsidRDefault="009D5EB2" w:rsidP="00F2417A">
            <w:pPr>
              <w:spacing w:after="0" w:line="240" w:lineRule="auto"/>
              <w:rPr>
                <w:rFonts w:ascii="Century" w:hAnsi="Century"/>
                <w:b/>
                <w:bCs/>
                <w:color w:val="000000"/>
                <w:sz w:val="20"/>
                <w:szCs w:val="20"/>
                <w:lang w:eastAsia="ru-RU"/>
              </w:rPr>
            </w:pPr>
            <w:r w:rsidRPr="001A5262">
              <w:rPr>
                <w:rFonts w:ascii="Century" w:hAnsi="Century"/>
                <w:b/>
                <w:bCs/>
                <w:sz w:val="20"/>
                <w:szCs w:val="20"/>
              </w:rPr>
              <w:t>Расходы</w:t>
            </w:r>
          </w:p>
        </w:tc>
        <w:tc>
          <w:tcPr>
            <w:tcW w:w="1019" w:type="dxa"/>
            <w:shd w:val="clear" w:color="auto" w:fill="F2F2F2"/>
            <w:vAlign w:val="center"/>
          </w:tcPr>
          <w:p w:rsidR="009D5EB2" w:rsidRPr="0065037A" w:rsidRDefault="009D5EB2" w:rsidP="009D5EB2">
            <w:pPr>
              <w:spacing w:after="0" w:line="240" w:lineRule="auto"/>
              <w:jc w:val="right"/>
              <w:rPr>
                <w:rFonts w:ascii="Century" w:hAnsi="Century"/>
                <w:b/>
                <w:sz w:val="20"/>
                <w:szCs w:val="20"/>
              </w:rPr>
            </w:pPr>
            <w:r>
              <w:rPr>
                <w:rFonts w:ascii="Century" w:hAnsi="Century"/>
                <w:b/>
                <w:sz w:val="20"/>
                <w:szCs w:val="20"/>
              </w:rPr>
              <w:t>8 201</w:t>
            </w:r>
          </w:p>
        </w:tc>
        <w:tc>
          <w:tcPr>
            <w:tcW w:w="1019" w:type="dxa"/>
            <w:shd w:val="clear" w:color="auto" w:fill="F2F2F2"/>
            <w:vAlign w:val="center"/>
          </w:tcPr>
          <w:p w:rsidR="009D5EB2" w:rsidRPr="0065037A" w:rsidRDefault="009D5EB2" w:rsidP="00F2417A">
            <w:pPr>
              <w:spacing w:after="0" w:line="240" w:lineRule="auto"/>
              <w:jc w:val="right"/>
              <w:rPr>
                <w:rFonts w:ascii="Century" w:hAnsi="Century"/>
                <w:b/>
                <w:sz w:val="20"/>
                <w:szCs w:val="20"/>
              </w:rPr>
            </w:pPr>
            <w:r w:rsidRPr="0065037A">
              <w:rPr>
                <w:rFonts w:ascii="Century" w:hAnsi="Century"/>
                <w:b/>
                <w:sz w:val="20"/>
                <w:szCs w:val="20"/>
              </w:rPr>
              <w:t>8 236</w:t>
            </w:r>
          </w:p>
        </w:tc>
        <w:tc>
          <w:tcPr>
            <w:tcW w:w="1019" w:type="dxa"/>
            <w:shd w:val="clear" w:color="auto" w:fill="F2F2F2"/>
            <w:vAlign w:val="center"/>
          </w:tcPr>
          <w:p w:rsidR="009D5EB2" w:rsidRPr="0065037A" w:rsidRDefault="009D5EB2" w:rsidP="00F2417A">
            <w:pPr>
              <w:spacing w:after="0" w:line="240" w:lineRule="auto"/>
              <w:jc w:val="right"/>
              <w:rPr>
                <w:rFonts w:ascii="Century" w:hAnsi="Century"/>
                <w:b/>
                <w:sz w:val="20"/>
                <w:szCs w:val="20"/>
              </w:rPr>
            </w:pPr>
            <w:r w:rsidRPr="0065037A">
              <w:rPr>
                <w:rFonts w:ascii="Century" w:hAnsi="Century"/>
                <w:b/>
                <w:sz w:val="20"/>
                <w:szCs w:val="20"/>
              </w:rPr>
              <w:t>8 519</w:t>
            </w:r>
          </w:p>
        </w:tc>
        <w:tc>
          <w:tcPr>
            <w:tcW w:w="1019" w:type="dxa"/>
            <w:shd w:val="clear" w:color="auto" w:fill="F2F2F2"/>
            <w:vAlign w:val="center"/>
          </w:tcPr>
          <w:p w:rsidR="009D5EB2" w:rsidRPr="0065037A" w:rsidRDefault="009E434F" w:rsidP="00F2417A">
            <w:pPr>
              <w:spacing w:after="0" w:line="240" w:lineRule="auto"/>
              <w:jc w:val="right"/>
              <w:rPr>
                <w:rFonts w:ascii="Century" w:hAnsi="Century"/>
                <w:b/>
                <w:sz w:val="20"/>
                <w:szCs w:val="20"/>
              </w:rPr>
            </w:pPr>
            <w:r>
              <w:rPr>
                <w:rFonts w:ascii="Century" w:hAnsi="Century"/>
                <w:b/>
                <w:sz w:val="20"/>
                <w:szCs w:val="20"/>
              </w:rPr>
              <w:t>8 829</w:t>
            </w:r>
          </w:p>
        </w:tc>
      </w:tr>
      <w:tr w:rsidR="009D5EB2" w:rsidRPr="001A5262" w:rsidTr="003C4A4E">
        <w:trPr>
          <w:trHeight w:val="340"/>
        </w:trPr>
        <w:tc>
          <w:tcPr>
            <w:tcW w:w="5014" w:type="dxa"/>
            <w:tcBorders>
              <w:left w:val="nil"/>
              <w:right w:val="nil"/>
            </w:tcBorders>
            <w:shd w:val="clear" w:color="auto" w:fill="auto"/>
            <w:vAlign w:val="center"/>
          </w:tcPr>
          <w:p w:rsidR="009D5EB2" w:rsidRPr="001A5262" w:rsidRDefault="009D5EB2" w:rsidP="00F2417A">
            <w:pPr>
              <w:spacing w:after="0" w:line="240" w:lineRule="auto"/>
              <w:rPr>
                <w:rFonts w:ascii="Century" w:hAnsi="Century"/>
                <w:b/>
                <w:bCs/>
                <w:i/>
                <w:iCs/>
                <w:color w:val="000000"/>
                <w:sz w:val="20"/>
                <w:szCs w:val="20"/>
                <w:lang w:eastAsia="ru-RU"/>
              </w:rPr>
            </w:pPr>
            <w:r w:rsidRPr="001A5262">
              <w:rPr>
                <w:rFonts w:ascii="Century" w:hAnsi="Century"/>
                <w:b/>
                <w:bCs/>
                <w:sz w:val="20"/>
                <w:szCs w:val="20"/>
              </w:rPr>
              <w:t>Дефицит/профицит</w:t>
            </w:r>
          </w:p>
        </w:tc>
        <w:tc>
          <w:tcPr>
            <w:tcW w:w="1019" w:type="dxa"/>
            <w:tcBorders>
              <w:left w:val="nil"/>
              <w:right w:val="nil"/>
            </w:tcBorders>
            <w:shd w:val="clear" w:color="auto" w:fill="auto"/>
            <w:vAlign w:val="center"/>
          </w:tcPr>
          <w:p w:rsidR="009D5EB2" w:rsidRPr="001A5262" w:rsidRDefault="009D5EB2" w:rsidP="00DF5A16">
            <w:pPr>
              <w:spacing w:after="0" w:line="240" w:lineRule="auto"/>
              <w:jc w:val="right"/>
              <w:rPr>
                <w:rFonts w:ascii="Century" w:hAnsi="Century"/>
                <w:b/>
                <w:iCs/>
                <w:color w:val="000000"/>
                <w:sz w:val="20"/>
                <w:szCs w:val="20"/>
              </w:rPr>
            </w:pPr>
            <w:r>
              <w:rPr>
                <w:rFonts w:ascii="Century" w:hAnsi="Century"/>
                <w:b/>
                <w:iCs/>
                <w:color w:val="000000"/>
                <w:sz w:val="20"/>
                <w:szCs w:val="20"/>
              </w:rPr>
              <w:t>0</w:t>
            </w:r>
          </w:p>
        </w:tc>
        <w:tc>
          <w:tcPr>
            <w:tcW w:w="1019" w:type="dxa"/>
            <w:tcBorders>
              <w:left w:val="nil"/>
              <w:right w:val="nil"/>
            </w:tcBorders>
            <w:shd w:val="clear" w:color="auto" w:fill="auto"/>
            <w:vAlign w:val="center"/>
          </w:tcPr>
          <w:p w:rsidR="009D5EB2" w:rsidRPr="001A5262" w:rsidRDefault="009D5EB2" w:rsidP="00F2417A">
            <w:pPr>
              <w:spacing w:after="0" w:line="240" w:lineRule="auto"/>
              <w:jc w:val="right"/>
              <w:rPr>
                <w:rFonts w:ascii="Century" w:hAnsi="Century"/>
                <w:b/>
                <w:sz w:val="20"/>
                <w:szCs w:val="20"/>
              </w:rPr>
            </w:pPr>
            <w:r>
              <w:rPr>
                <w:rFonts w:ascii="Century" w:hAnsi="Century"/>
                <w:b/>
                <w:bCs/>
                <w:sz w:val="20"/>
                <w:szCs w:val="20"/>
              </w:rPr>
              <w:t>0</w:t>
            </w:r>
          </w:p>
        </w:tc>
        <w:tc>
          <w:tcPr>
            <w:tcW w:w="1019" w:type="dxa"/>
            <w:tcBorders>
              <w:left w:val="nil"/>
              <w:right w:val="nil"/>
            </w:tcBorders>
            <w:shd w:val="clear" w:color="auto" w:fill="auto"/>
            <w:vAlign w:val="center"/>
          </w:tcPr>
          <w:p w:rsidR="009D5EB2" w:rsidRPr="001A5262" w:rsidRDefault="009D5EB2" w:rsidP="00F2417A">
            <w:pPr>
              <w:spacing w:after="0" w:line="240" w:lineRule="auto"/>
              <w:jc w:val="right"/>
              <w:rPr>
                <w:rFonts w:ascii="Century" w:hAnsi="Century"/>
                <w:b/>
                <w:sz w:val="20"/>
                <w:szCs w:val="20"/>
              </w:rPr>
            </w:pPr>
            <w:r>
              <w:rPr>
                <w:rFonts w:ascii="Century" w:hAnsi="Century"/>
                <w:b/>
                <w:bCs/>
                <w:sz w:val="20"/>
                <w:szCs w:val="20"/>
              </w:rPr>
              <w:t>0</w:t>
            </w:r>
          </w:p>
        </w:tc>
        <w:tc>
          <w:tcPr>
            <w:tcW w:w="1019" w:type="dxa"/>
            <w:tcBorders>
              <w:left w:val="nil"/>
              <w:right w:val="nil"/>
            </w:tcBorders>
            <w:shd w:val="clear" w:color="auto" w:fill="auto"/>
            <w:vAlign w:val="center"/>
          </w:tcPr>
          <w:p w:rsidR="009D5EB2" w:rsidRPr="001A5262" w:rsidRDefault="009D5EB2" w:rsidP="00F2417A">
            <w:pPr>
              <w:spacing w:after="0" w:line="240" w:lineRule="auto"/>
              <w:jc w:val="right"/>
              <w:rPr>
                <w:rFonts w:ascii="Century" w:hAnsi="Century"/>
                <w:b/>
                <w:sz w:val="20"/>
                <w:szCs w:val="20"/>
              </w:rPr>
            </w:pPr>
            <w:r>
              <w:rPr>
                <w:rFonts w:ascii="Century" w:hAnsi="Century"/>
                <w:b/>
                <w:bCs/>
                <w:sz w:val="20"/>
                <w:szCs w:val="20"/>
              </w:rPr>
              <w:t>0</w:t>
            </w:r>
          </w:p>
        </w:tc>
      </w:tr>
      <w:tr w:rsidR="009D5EB2" w:rsidRPr="0065037A" w:rsidTr="003C4A4E">
        <w:trPr>
          <w:trHeight w:val="340"/>
        </w:trPr>
        <w:tc>
          <w:tcPr>
            <w:tcW w:w="5014" w:type="dxa"/>
            <w:tcBorders>
              <w:left w:val="nil"/>
              <w:right w:val="nil"/>
            </w:tcBorders>
            <w:shd w:val="clear" w:color="auto" w:fill="F2F2F2" w:themeFill="background1" w:themeFillShade="F2"/>
            <w:vAlign w:val="center"/>
          </w:tcPr>
          <w:p w:rsidR="009D5EB2" w:rsidRPr="0065037A" w:rsidRDefault="009D5EB2" w:rsidP="00F2417A">
            <w:pPr>
              <w:spacing w:after="0" w:line="240" w:lineRule="auto"/>
              <w:rPr>
                <w:rFonts w:ascii="Century" w:hAnsi="Century"/>
                <w:bCs/>
                <w:i/>
                <w:sz w:val="20"/>
                <w:szCs w:val="20"/>
              </w:rPr>
            </w:pPr>
            <w:r w:rsidRPr="0065037A">
              <w:rPr>
                <w:rFonts w:ascii="Century" w:hAnsi="Century"/>
                <w:bCs/>
                <w:i/>
                <w:sz w:val="20"/>
                <w:szCs w:val="20"/>
              </w:rPr>
              <w:t>Справочно:</w:t>
            </w:r>
          </w:p>
        </w:tc>
        <w:tc>
          <w:tcPr>
            <w:tcW w:w="1019" w:type="dxa"/>
            <w:tcBorders>
              <w:left w:val="nil"/>
              <w:right w:val="nil"/>
            </w:tcBorders>
            <w:shd w:val="clear" w:color="auto" w:fill="F2F2F2" w:themeFill="background1" w:themeFillShade="F2"/>
            <w:vAlign w:val="center"/>
          </w:tcPr>
          <w:p w:rsidR="009D5EB2" w:rsidRPr="0065037A" w:rsidRDefault="009D5EB2" w:rsidP="00DF5A16">
            <w:pPr>
              <w:spacing w:after="0" w:line="240" w:lineRule="auto"/>
              <w:jc w:val="right"/>
              <w:rPr>
                <w:rFonts w:ascii="Century" w:hAnsi="Century"/>
                <w:bCs/>
                <w:i/>
                <w:iCs/>
                <w:color w:val="000000"/>
                <w:sz w:val="20"/>
                <w:szCs w:val="20"/>
              </w:rPr>
            </w:pPr>
          </w:p>
        </w:tc>
        <w:tc>
          <w:tcPr>
            <w:tcW w:w="1019" w:type="dxa"/>
            <w:tcBorders>
              <w:left w:val="nil"/>
              <w:right w:val="nil"/>
            </w:tcBorders>
            <w:shd w:val="clear" w:color="auto" w:fill="F2F2F2" w:themeFill="background1" w:themeFillShade="F2"/>
            <w:vAlign w:val="center"/>
          </w:tcPr>
          <w:p w:rsidR="009D5EB2" w:rsidRPr="0065037A" w:rsidRDefault="009D5EB2" w:rsidP="00F2417A">
            <w:pPr>
              <w:spacing w:after="0" w:line="240" w:lineRule="auto"/>
              <w:jc w:val="right"/>
              <w:rPr>
                <w:rFonts w:ascii="Century" w:hAnsi="Century"/>
                <w:bCs/>
                <w:i/>
                <w:sz w:val="20"/>
                <w:szCs w:val="20"/>
              </w:rPr>
            </w:pPr>
          </w:p>
        </w:tc>
        <w:tc>
          <w:tcPr>
            <w:tcW w:w="1019" w:type="dxa"/>
            <w:tcBorders>
              <w:left w:val="nil"/>
              <w:right w:val="nil"/>
            </w:tcBorders>
            <w:shd w:val="clear" w:color="auto" w:fill="F2F2F2" w:themeFill="background1" w:themeFillShade="F2"/>
            <w:vAlign w:val="center"/>
          </w:tcPr>
          <w:p w:rsidR="009D5EB2" w:rsidRPr="0065037A" w:rsidRDefault="009D5EB2" w:rsidP="00F2417A">
            <w:pPr>
              <w:spacing w:after="0" w:line="240" w:lineRule="auto"/>
              <w:jc w:val="right"/>
              <w:rPr>
                <w:rFonts w:ascii="Century" w:hAnsi="Century"/>
                <w:bCs/>
                <w:i/>
                <w:sz w:val="20"/>
                <w:szCs w:val="20"/>
              </w:rPr>
            </w:pPr>
          </w:p>
        </w:tc>
        <w:tc>
          <w:tcPr>
            <w:tcW w:w="1019" w:type="dxa"/>
            <w:tcBorders>
              <w:left w:val="nil"/>
              <w:right w:val="nil"/>
            </w:tcBorders>
            <w:shd w:val="clear" w:color="auto" w:fill="F2F2F2" w:themeFill="background1" w:themeFillShade="F2"/>
            <w:vAlign w:val="center"/>
          </w:tcPr>
          <w:p w:rsidR="009D5EB2" w:rsidRPr="0065037A" w:rsidRDefault="009D5EB2" w:rsidP="00F2417A">
            <w:pPr>
              <w:spacing w:after="0" w:line="240" w:lineRule="auto"/>
              <w:jc w:val="right"/>
              <w:rPr>
                <w:rFonts w:ascii="Century" w:hAnsi="Century"/>
                <w:bCs/>
                <w:i/>
                <w:sz w:val="20"/>
                <w:szCs w:val="20"/>
              </w:rPr>
            </w:pPr>
          </w:p>
        </w:tc>
      </w:tr>
      <w:tr w:rsidR="009D5EB2" w:rsidRPr="001A5262" w:rsidTr="003C4A4E">
        <w:trPr>
          <w:trHeight w:val="340"/>
        </w:trPr>
        <w:tc>
          <w:tcPr>
            <w:tcW w:w="5014" w:type="dxa"/>
            <w:tcBorders>
              <w:left w:val="nil"/>
              <w:right w:val="nil"/>
            </w:tcBorders>
            <w:shd w:val="clear" w:color="auto" w:fill="auto"/>
            <w:vAlign w:val="center"/>
          </w:tcPr>
          <w:p w:rsidR="009D5EB2" w:rsidRPr="0065037A" w:rsidRDefault="009D5EB2" w:rsidP="00F2417A">
            <w:pPr>
              <w:spacing w:after="0" w:line="240" w:lineRule="auto"/>
              <w:rPr>
                <w:rFonts w:ascii="Century" w:hAnsi="Century"/>
                <w:bCs/>
                <w:i/>
                <w:sz w:val="20"/>
                <w:szCs w:val="20"/>
              </w:rPr>
            </w:pPr>
            <w:r w:rsidRPr="0065037A">
              <w:rPr>
                <w:rFonts w:ascii="Century" w:hAnsi="Century"/>
                <w:bCs/>
                <w:i/>
                <w:sz w:val="20"/>
                <w:szCs w:val="20"/>
              </w:rPr>
              <w:t xml:space="preserve">Доходы </w:t>
            </w:r>
            <w:r>
              <w:rPr>
                <w:rFonts w:ascii="Century" w:hAnsi="Century"/>
                <w:bCs/>
                <w:i/>
                <w:sz w:val="20"/>
                <w:szCs w:val="20"/>
              </w:rPr>
              <w:t>по накопительной составляющей</w:t>
            </w:r>
          </w:p>
        </w:tc>
        <w:tc>
          <w:tcPr>
            <w:tcW w:w="1019" w:type="dxa"/>
            <w:tcBorders>
              <w:left w:val="nil"/>
              <w:right w:val="nil"/>
            </w:tcBorders>
            <w:shd w:val="clear" w:color="auto" w:fill="auto"/>
            <w:vAlign w:val="center"/>
          </w:tcPr>
          <w:p w:rsidR="009D5EB2" w:rsidRPr="0065037A" w:rsidRDefault="009D5EB2" w:rsidP="00DF5A16">
            <w:pPr>
              <w:spacing w:after="0" w:line="240" w:lineRule="auto"/>
              <w:jc w:val="right"/>
              <w:rPr>
                <w:rFonts w:ascii="Century" w:hAnsi="Century"/>
                <w:bCs/>
                <w:i/>
                <w:iCs/>
                <w:color w:val="000000"/>
                <w:sz w:val="20"/>
                <w:szCs w:val="20"/>
              </w:rPr>
            </w:pPr>
            <w:r>
              <w:rPr>
                <w:rFonts w:ascii="Century" w:hAnsi="Century"/>
                <w:i/>
                <w:sz w:val="20"/>
                <w:szCs w:val="20"/>
              </w:rPr>
              <w:t>161</w:t>
            </w:r>
          </w:p>
        </w:tc>
        <w:tc>
          <w:tcPr>
            <w:tcW w:w="1019" w:type="dxa"/>
            <w:tcBorders>
              <w:left w:val="nil"/>
              <w:right w:val="nil"/>
            </w:tcBorders>
            <w:shd w:val="clear" w:color="auto" w:fill="auto"/>
            <w:vAlign w:val="center"/>
          </w:tcPr>
          <w:p w:rsidR="009D5EB2" w:rsidRPr="0065037A" w:rsidRDefault="009D5EB2" w:rsidP="00F2417A">
            <w:pPr>
              <w:spacing w:after="0" w:line="240" w:lineRule="auto"/>
              <w:jc w:val="right"/>
              <w:rPr>
                <w:rFonts w:ascii="Century" w:hAnsi="Century"/>
                <w:bCs/>
                <w:i/>
                <w:sz w:val="20"/>
                <w:szCs w:val="20"/>
              </w:rPr>
            </w:pPr>
            <w:r w:rsidRPr="0065037A">
              <w:rPr>
                <w:rFonts w:ascii="Century" w:hAnsi="Century"/>
                <w:i/>
                <w:sz w:val="20"/>
                <w:szCs w:val="20"/>
              </w:rPr>
              <w:t>97</w:t>
            </w:r>
          </w:p>
        </w:tc>
        <w:tc>
          <w:tcPr>
            <w:tcW w:w="1019" w:type="dxa"/>
            <w:tcBorders>
              <w:left w:val="nil"/>
              <w:right w:val="nil"/>
            </w:tcBorders>
            <w:shd w:val="clear" w:color="auto" w:fill="auto"/>
            <w:vAlign w:val="center"/>
          </w:tcPr>
          <w:p w:rsidR="009D5EB2" w:rsidRPr="0065037A" w:rsidRDefault="009D5EB2" w:rsidP="00F2417A">
            <w:pPr>
              <w:spacing w:after="0" w:line="240" w:lineRule="auto"/>
              <w:jc w:val="right"/>
              <w:rPr>
                <w:rFonts w:ascii="Century" w:hAnsi="Century"/>
                <w:bCs/>
                <w:i/>
                <w:sz w:val="20"/>
                <w:szCs w:val="20"/>
              </w:rPr>
            </w:pPr>
            <w:r w:rsidRPr="0065037A">
              <w:rPr>
                <w:rFonts w:ascii="Century" w:hAnsi="Century"/>
                <w:i/>
                <w:sz w:val="20"/>
                <w:szCs w:val="20"/>
              </w:rPr>
              <w:t>102</w:t>
            </w:r>
          </w:p>
        </w:tc>
        <w:tc>
          <w:tcPr>
            <w:tcW w:w="1019" w:type="dxa"/>
            <w:tcBorders>
              <w:left w:val="nil"/>
              <w:right w:val="nil"/>
            </w:tcBorders>
            <w:shd w:val="clear" w:color="auto" w:fill="auto"/>
            <w:vAlign w:val="center"/>
          </w:tcPr>
          <w:p w:rsidR="009D5EB2" w:rsidRPr="0065037A" w:rsidRDefault="009D5EB2" w:rsidP="00F2417A">
            <w:pPr>
              <w:spacing w:after="0" w:line="240" w:lineRule="auto"/>
              <w:jc w:val="right"/>
              <w:rPr>
                <w:rFonts w:ascii="Century" w:hAnsi="Century"/>
                <w:bCs/>
                <w:i/>
                <w:sz w:val="20"/>
                <w:szCs w:val="20"/>
              </w:rPr>
            </w:pPr>
            <w:r w:rsidRPr="0065037A">
              <w:rPr>
                <w:rFonts w:ascii="Century" w:hAnsi="Century"/>
                <w:i/>
                <w:sz w:val="20"/>
                <w:szCs w:val="20"/>
              </w:rPr>
              <w:t>107</w:t>
            </w:r>
          </w:p>
        </w:tc>
      </w:tr>
      <w:tr w:rsidR="009D5EB2" w:rsidRPr="001A5262" w:rsidTr="003C4A4E">
        <w:trPr>
          <w:trHeight w:val="340"/>
        </w:trPr>
        <w:tc>
          <w:tcPr>
            <w:tcW w:w="5014" w:type="dxa"/>
            <w:tcBorders>
              <w:left w:val="nil"/>
              <w:right w:val="nil"/>
            </w:tcBorders>
            <w:shd w:val="clear" w:color="auto" w:fill="F2F2F2" w:themeFill="background1" w:themeFillShade="F2"/>
            <w:vAlign w:val="center"/>
          </w:tcPr>
          <w:p w:rsidR="009D5EB2" w:rsidRPr="0065037A" w:rsidRDefault="009D5EB2" w:rsidP="00F2417A">
            <w:pPr>
              <w:spacing w:after="0" w:line="240" w:lineRule="auto"/>
              <w:rPr>
                <w:rFonts w:ascii="Century" w:hAnsi="Century"/>
                <w:bCs/>
                <w:i/>
                <w:sz w:val="20"/>
                <w:szCs w:val="20"/>
              </w:rPr>
            </w:pPr>
            <w:r>
              <w:rPr>
                <w:rFonts w:ascii="Century" w:hAnsi="Century"/>
                <w:bCs/>
                <w:i/>
                <w:sz w:val="20"/>
                <w:szCs w:val="20"/>
              </w:rPr>
              <w:t>Расходы</w:t>
            </w:r>
            <w:r w:rsidRPr="0065037A">
              <w:rPr>
                <w:rFonts w:ascii="Century" w:hAnsi="Century"/>
                <w:bCs/>
                <w:i/>
                <w:sz w:val="20"/>
                <w:szCs w:val="20"/>
              </w:rPr>
              <w:t xml:space="preserve"> </w:t>
            </w:r>
            <w:r>
              <w:rPr>
                <w:rFonts w:ascii="Century" w:hAnsi="Century"/>
                <w:bCs/>
                <w:i/>
                <w:sz w:val="20"/>
                <w:szCs w:val="20"/>
              </w:rPr>
              <w:t>по накопительной составляющей</w:t>
            </w:r>
          </w:p>
        </w:tc>
        <w:tc>
          <w:tcPr>
            <w:tcW w:w="1019" w:type="dxa"/>
            <w:tcBorders>
              <w:left w:val="nil"/>
              <w:right w:val="nil"/>
            </w:tcBorders>
            <w:shd w:val="clear" w:color="auto" w:fill="F2F2F2" w:themeFill="background1" w:themeFillShade="F2"/>
            <w:vAlign w:val="center"/>
          </w:tcPr>
          <w:p w:rsidR="009D5EB2" w:rsidRPr="0065037A" w:rsidRDefault="009D5EB2" w:rsidP="00DF5A16">
            <w:pPr>
              <w:spacing w:after="0" w:line="240" w:lineRule="auto"/>
              <w:jc w:val="right"/>
              <w:rPr>
                <w:rFonts w:ascii="Century" w:hAnsi="Century"/>
                <w:bCs/>
                <w:i/>
                <w:iCs/>
                <w:color w:val="000000"/>
                <w:sz w:val="20"/>
                <w:szCs w:val="20"/>
              </w:rPr>
            </w:pPr>
            <w:r>
              <w:rPr>
                <w:rFonts w:ascii="Century" w:hAnsi="Century"/>
                <w:bCs/>
                <w:i/>
                <w:iCs/>
                <w:color w:val="000000"/>
                <w:sz w:val="20"/>
                <w:szCs w:val="20"/>
              </w:rPr>
              <w:t>382</w:t>
            </w:r>
          </w:p>
        </w:tc>
        <w:tc>
          <w:tcPr>
            <w:tcW w:w="1019" w:type="dxa"/>
            <w:tcBorders>
              <w:left w:val="nil"/>
              <w:right w:val="nil"/>
            </w:tcBorders>
            <w:shd w:val="clear" w:color="auto" w:fill="F2F2F2" w:themeFill="background1" w:themeFillShade="F2"/>
            <w:vAlign w:val="center"/>
          </w:tcPr>
          <w:p w:rsidR="009D5EB2" w:rsidRPr="0065037A" w:rsidRDefault="009D5EB2" w:rsidP="00F2417A">
            <w:pPr>
              <w:spacing w:after="0" w:line="240" w:lineRule="auto"/>
              <w:jc w:val="right"/>
              <w:rPr>
                <w:rFonts w:ascii="Century" w:hAnsi="Century"/>
                <w:bCs/>
                <w:i/>
                <w:sz w:val="20"/>
                <w:szCs w:val="20"/>
              </w:rPr>
            </w:pPr>
            <w:r w:rsidRPr="0065037A">
              <w:rPr>
                <w:rFonts w:ascii="Century" w:hAnsi="Century"/>
                <w:bCs/>
                <w:i/>
                <w:sz w:val="20"/>
                <w:szCs w:val="20"/>
              </w:rPr>
              <w:t>204</w:t>
            </w:r>
          </w:p>
        </w:tc>
        <w:tc>
          <w:tcPr>
            <w:tcW w:w="1019" w:type="dxa"/>
            <w:tcBorders>
              <w:left w:val="nil"/>
              <w:right w:val="nil"/>
            </w:tcBorders>
            <w:shd w:val="clear" w:color="auto" w:fill="F2F2F2" w:themeFill="background1" w:themeFillShade="F2"/>
            <w:vAlign w:val="center"/>
          </w:tcPr>
          <w:p w:rsidR="009D5EB2" w:rsidRPr="0065037A" w:rsidRDefault="009D5EB2" w:rsidP="00F2417A">
            <w:pPr>
              <w:spacing w:after="0" w:line="240" w:lineRule="auto"/>
              <w:jc w:val="right"/>
              <w:rPr>
                <w:rFonts w:ascii="Century" w:hAnsi="Century"/>
                <w:bCs/>
                <w:i/>
                <w:sz w:val="20"/>
                <w:szCs w:val="20"/>
              </w:rPr>
            </w:pPr>
            <w:r w:rsidRPr="0065037A">
              <w:rPr>
                <w:rFonts w:ascii="Century" w:hAnsi="Century"/>
                <w:bCs/>
                <w:i/>
                <w:sz w:val="20"/>
                <w:szCs w:val="20"/>
              </w:rPr>
              <w:t>176</w:t>
            </w:r>
          </w:p>
        </w:tc>
        <w:tc>
          <w:tcPr>
            <w:tcW w:w="1019" w:type="dxa"/>
            <w:tcBorders>
              <w:left w:val="nil"/>
              <w:right w:val="nil"/>
            </w:tcBorders>
            <w:shd w:val="clear" w:color="auto" w:fill="F2F2F2" w:themeFill="background1" w:themeFillShade="F2"/>
            <w:vAlign w:val="center"/>
          </w:tcPr>
          <w:p w:rsidR="009D5EB2" w:rsidRPr="0065037A" w:rsidRDefault="009D5EB2" w:rsidP="00F2417A">
            <w:pPr>
              <w:spacing w:after="0" w:line="240" w:lineRule="auto"/>
              <w:jc w:val="right"/>
              <w:rPr>
                <w:rFonts w:ascii="Century" w:hAnsi="Century"/>
                <w:bCs/>
                <w:i/>
                <w:sz w:val="20"/>
                <w:szCs w:val="20"/>
              </w:rPr>
            </w:pPr>
            <w:r w:rsidRPr="0065037A">
              <w:rPr>
                <w:rFonts w:ascii="Century" w:hAnsi="Century"/>
                <w:bCs/>
                <w:i/>
                <w:sz w:val="20"/>
                <w:szCs w:val="20"/>
              </w:rPr>
              <w:t>152</w:t>
            </w:r>
          </w:p>
        </w:tc>
      </w:tr>
      <w:tr w:rsidR="009D5EB2" w:rsidRPr="001A5262" w:rsidTr="003C4A4E">
        <w:trPr>
          <w:trHeight w:val="340"/>
        </w:trPr>
        <w:tc>
          <w:tcPr>
            <w:tcW w:w="5014" w:type="dxa"/>
            <w:tcBorders>
              <w:left w:val="nil"/>
              <w:right w:val="nil"/>
            </w:tcBorders>
            <w:shd w:val="clear" w:color="auto" w:fill="auto"/>
            <w:vAlign w:val="center"/>
          </w:tcPr>
          <w:p w:rsidR="009D5EB2" w:rsidRPr="0065037A" w:rsidRDefault="009D5EB2" w:rsidP="00F2417A">
            <w:pPr>
              <w:spacing w:after="0" w:line="240" w:lineRule="auto"/>
              <w:rPr>
                <w:rFonts w:ascii="Century" w:hAnsi="Century"/>
                <w:bCs/>
                <w:i/>
                <w:sz w:val="20"/>
                <w:szCs w:val="20"/>
              </w:rPr>
            </w:pPr>
            <w:r>
              <w:rPr>
                <w:rFonts w:ascii="Century" w:hAnsi="Century"/>
                <w:bCs/>
                <w:i/>
                <w:sz w:val="20"/>
                <w:szCs w:val="20"/>
              </w:rPr>
              <w:t>Дефицит/профицит накопительной составляющей</w:t>
            </w:r>
          </w:p>
        </w:tc>
        <w:tc>
          <w:tcPr>
            <w:tcW w:w="1019" w:type="dxa"/>
            <w:tcBorders>
              <w:left w:val="nil"/>
              <w:right w:val="nil"/>
            </w:tcBorders>
            <w:shd w:val="clear" w:color="auto" w:fill="auto"/>
            <w:vAlign w:val="center"/>
          </w:tcPr>
          <w:p w:rsidR="009D5EB2" w:rsidRPr="0065037A" w:rsidRDefault="009D5EB2" w:rsidP="00DF5A16">
            <w:pPr>
              <w:spacing w:after="0" w:line="240" w:lineRule="auto"/>
              <w:jc w:val="right"/>
              <w:rPr>
                <w:rFonts w:ascii="Century" w:hAnsi="Century"/>
                <w:i/>
                <w:sz w:val="20"/>
                <w:szCs w:val="20"/>
              </w:rPr>
            </w:pPr>
            <w:r w:rsidRPr="0065037A">
              <w:rPr>
                <w:rFonts w:ascii="Century" w:hAnsi="Century"/>
                <w:i/>
                <w:sz w:val="20"/>
                <w:szCs w:val="20"/>
              </w:rPr>
              <w:t>-220</w:t>
            </w:r>
          </w:p>
        </w:tc>
        <w:tc>
          <w:tcPr>
            <w:tcW w:w="1019" w:type="dxa"/>
            <w:tcBorders>
              <w:left w:val="nil"/>
              <w:right w:val="nil"/>
            </w:tcBorders>
            <w:shd w:val="clear" w:color="auto" w:fill="auto"/>
            <w:vAlign w:val="center"/>
          </w:tcPr>
          <w:p w:rsidR="009D5EB2" w:rsidRPr="0065037A" w:rsidRDefault="009D5EB2" w:rsidP="00F2417A">
            <w:pPr>
              <w:spacing w:after="0" w:line="240" w:lineRule="auto"/>
              <w:jc w:val="right"/>
              <w:rPr>
                <w:rFonts w:ascii="Century" w:hAnsi="Century"/>
                <w:i/>
                <w:sz w:val="20"/>
                <w:szCs w:val="20"/>
              </w:rPr>
            </w:pPr>
            <w:r w:rsidRPr="0065037A">
              <w:rPr>
                <w:rFonts w:ascii="Century" w:hAnsi="Century"/>
                <w:i/>
                <w:sz w:val="20"/>
                <w:szCs w:val="20"/>
              </w:rPr>
              <w:t>-107</w:t>
            </w:r>
          </w:p>
        </w:tc>
        <w:tc>
          <w:tcPr>
            <w:tcW w:w="1019" w:type="dxa"/>
            <w:tcBorders>
              <w:left w:val="nil"/>
              <w:right w:val="nil"/>
            </w:tcBorders>
            <w:shd w:val="clear" w:color="auto" w:fill="auto"/>
            <w:vAlign w:val="center"/>
          </w:tcPr>
          <w:p w:rsidR="009D5EB2" w:rsidRPr="0065037A" w:rsidRDefault="009D5EB2" w:rsidP="00F2417A">
            <w:pPr>
              <w:spacing w:after="0" w:line="240" w:lineRule="auto"/>
              <w:jc w:val="right"/>
              <w:rPr>
                <w:rFonts w:ascii="Century" w:hAnsi="Century"/>
                <w:i/>
                <w:sz w:val="20"/>
                <w:szCs w:val="20"/>
              </w:rPr>
            </w:pPr>
            <w:r w:rsidRPr="0065037A">
              <w:rPr>
                <w:rFonts w:ascii="Century" w:hAnsi="Century"/>
                <w:i/>
                <w:sz w:val="20"/>
                <w:szCs w:val="20"/>
              </w:rPr>
              <w:t>-74</w:t>
            </w:r>
          </w:p>
        </w:tc>
        <w:tc>
          <w:tcPr>
            <w:tcW w:w="1019" w:type="dxa"/>
            <w:tcBorders>
              <w:left w:val="nil"/>
              <w:right w:val="nil"/>
            </w:tcBorders>
            <w:shd w:val="clear" w:color="auto" w:fill="auto"/>
            <w:vAlign w:val="center"/>
          </w:tcPr>
          <w:p w:rsidR="009D5EB2" w:rsidRPr="0065037A" w:rsidRDefault="009D5EB2" w:rsidP="00F2417A">
            <w:pPr>
              <w:spacing w:after="0" w:line="240" w:lineRule="auto"/>
              <w:jc w:val="right"/>
              <w:rPr>
                <w:rFonts w:ascii="Century" w:hAnsi="Century"/>
                <w:i/>
                <w:sz w:val="20"/>
                <w:szCs w:val="20"/>
              </w:rPr>
            </w:pPr>
            <w:r w:rsidRPr="0065037A">
              <w:rPr>
                <w:rFonts w:ascii="Century" w:hAnsi="Century"/>
                <w:i/>
                <w:sz w:val="20"/>
                <w:szCs w:val="20"/>
              </w:rPr>
              <w:t>-45</w:t>
            </w:r>
          </w:p>
        </w:tc>
      </w:tr>
      <w:tr w:rsidR="009D5EB2" w:rsidRPr="001A5262" w:rsidTr="003C4A4E">
        <w:trPr>
          <w:trHeight w:val="340"/>
        </w:trPr>
        <w:tc>
          <w:tcPr>
            <w:tcW w:w="5014" w:type="dxa"/>
            <w:tcBorders>
              <w:left w:val="nil"/>
              <w:bottom w:val="single" w:sz="4" w:space="0" w:color="auto"/>
              <w:right w:val="nil"/>
            </w:tcBorders>
            <w:shd w:val="clear" w:color="auto" w:fill="F2F2F2" w:themeFill="background1" w:themeFillShade="F2"/>
            <w:vAlign w:val="center"/>
          </w:tcPr>
          <w:p w:rsidR="009D5EB2" w:rsidRPr="00D96022" w:rsidRDefault="009D5EB2" w:rsidP="00F2417A">
            <w:pPr>
              <w:spacing w:after="0" w:line="240" w:lineRule="auto"/>
              <w:rPr>
                <w:rFonts w:ascii="Century" w:hAnsi="Century"/>
                <w:b/>
                <w:bCs/>
                <w:sz w:val="20"/>
                <w:szCs w:val="20"/>
              </w:rPr>
            </w:pPr>
            <w:r w:rsidRPr="00D96022">
              <w:rPr>
                <w:rFonts w:ascii="Century" w:hAnsi="Century"/>
                <w:b/>
                <w:bCs/>
                <w:sz w:val="20"/>
                <w:szCs w:val="20"/>
              </w:rPr>
              <w:t>Общий дефицит/профицит Пенсионного фонда</w:t>
            </w:r>
          </w:p>
        </w:tc>
        <w:tc>
          <w:tcPr>
            <w:tcW w:w="1019" w:type="dxa"/>
            <w:tcBorders>
              <w:left w:val="nil"/>
              <w:bottom w:val="single" w:sz="4" w:space="0" w:color="auto"/>
              <w:right w:val="nil"/>
            </w:tcBorders>
            <w:shd w:val="clear" w:color="auto" w:fill="F2F2F2" w:themeFill="background1" w:themeFillShade="F2"/>
            <w:vAlign w:val="center"/>
          </w:tcPr>
          <w:p w:rsidR="009D5EB2" w:rsidRPr="009D5EB2" w:rsidRDefault="009D5EB2" w:rsidP="00DF5A16">
            <w:pPr>
              <w:spacing w:after="0" w:line="240" w:lineRule="auto"/>
              <w:jc w:val="right"/>
              <w:rPr>
                <w:rFonts w:ascii="Century" w:hAnsi="Century"/>
                <w:b/>
                <w:bCs/>
                <w:iCs/>
                <w:color w:val="000000"/>
                <w:sz w:val="20"/>
                <w:szCs w:val="20"/>
              </w:rPr>
            </w:pPr>
            <w:r w:rsidRPr="009D5EB2">
              <w:rPr>
                <w:rFonts w:ascii="Century" w:hAnsi="Century"/>
                <w:b/>
                <w:sz w:val="20"/>
                <w:szCs w:val="20"/>
              </w:rPr>
              <w:t>-220</w:t>
            </w:r>
          </w:p>
        </w:tc>
        <w:tc>
          <w:tcPr>
            <w:tcW w:w="1019" w:type="dxa"/>
            <w:tcBorders>
              <w:left w:val="nil"/>
              <w:bottom w:val="single" w:sz="4" w:space="0" w:color="auto"/>
              <w:right w:val="nil"/>
            </w:tcBorders>
            <w:shd w:val="clear" w:color="auto" w:fill="F2F2F2" w:themeFill="background1" w:themeFillShade="F2"/>
            <w:vAlign w:val="center"/>
          </w:tcPr>
          <w:p w:rsidR="009D5EB2" w:rsidRPr="009D5EB2" w:rsidRDefault="009D5EB2" w:rsidP="00F2417A">
            <w:pPr>
              <w:spacing w:after="0" w:line="240" w:lineRule="auto"/>
              <w:jc w:val="right"/>
              <w:rPr>
                <w:rFonts w:ascii="Century" w:hAnsi="Century"/>
                <w:b/>
                <w:bCs/>
                <w:sz w:val="20"/>
                <w:szCs w:val="20"/>
              </w:rPr>
            </w:pPr>
            <w:r w:rsidRPr="009D5EB2">
              <w:rPr>
                <w:rFonts w:ascii="Century" w:hAnsi="Century"/>
                <w:b/>
                <w:sz w:val="20"/>
                <w:szCs w:val="20"/>
              </w:rPr>
              <w:t>-107</w:t>
            </w:r>
          </w:p>
        </w:tc>
        <w:tc>
          <w:tcPr>
            <w:tcW w:w="1019" w:type="dxa"/>
            <w:tcBorders>
              <w:left w:val="nil"/>
              <w:bottom w:val="single" w:sz="4" w:space="0" w:color="auto"/>
              <w:right w:val="nil"/>
            </w:tcBorders>
            <w:shd w:val="clear" w:color="auto" w:fill="F2F2F2" w:themeFill="background1" w:themeFillShade="F2"/>
            <w:vAlign w:val="center"/>
          </w:tcPr>
          <w:p w:rsidR="009D5EB2" w:rsidRPr="00D96022" w:rsidRDefault="009D5EB2" w:rsidP="00F2417A">
            <w:pPr>
              <w:spacing w:after="0" w:line="240" w:lineRule="auto"/>
              <w:jc w:val="right"/>
              <w:rPr>
                <w:rFonts w:ascii="Century" w:hAnsi="Century"/>
                <w:b/>
                <w:bCs/>
                <w:sz w:val="20"/>
                <w:szCs w:val="20"/>
              </w:rPr>
            </w:pPr>
            <w:r w:rsidRPr="00D96022">
              <w:rPr>
                <w:rFonts w:ascii="Century" w:hAnsi="Century"/>
                <w:b/>
                <w:sz w:val="20"/>
                <w:szCs w:val="20"/>
              </w:rPr>
              <w:t>-74</w:t>
            </w:r>
          </w:p>
        </w:tc>
        <w:tc>
          <w:tcPr>
            <w:tcW w:w="1019" w:type="dxa"/>
            <w:tcBorders>
              <w:left w:val="nil"/>
              <w:bottom w:val="single" w:sz="4" w:space="0" w:color="auto"/>
              <w:right w:val="nil"/>
            </w:tcBorders>
            <w:shd w:val="clear" w:color="auto" w:fill="F2F2F2" w:themeFill="background1" w:themeFillShade="F2"/>
            <w:vAlign w:val="center"/>
          </w:tcPr>
          <w:p w:rsidR="009D5EB2" w:rsidRPr="00D96022" w:rsidRDefault="009D5EB2" w:rsidP="00F2417A">
            <w:pPr>
              <w:spacing w:after="0" w:line="240" w:lineRule="auto"/>
              <w:jc w:val="right"/>
              <w:rPr>
                <w:rFonts w:ascii="Century" w:hAnsi="Century"/>
                <w:b/>
                <w:bCs/>
                <w:sz w:val="20"/>
                <w:szCs w:val="20"/>
              </w:rPr>
            </w:pPr>
            <w:r w:rsidRPr="00D96022">
              <w:rPr>
                <w:rFonts w:ascii="Century" w:hAnsi="Century"/>
                <w:b/>
                <w:sz w:val="20"/>
                <w:szCs w:val="20"/>
              </w:rPr>
              <w:t>-45</w:t>
            </w:r>
          </w:p>
        </w:tc>
      </w:tr>
    </w:tbl>
    <w:p w:rsidR="00A71D96" w:rsidRPr="00F31180" w:rsidRDefault="00A71D96" w:rsidP="00A71D96">
      <w:pPr>
        <w:spacing w:after="120" w:line="240" w:lineRule="auto"/>
        <w:rPr>
          <w:rFonts w:ascii="Times New Roman" w:hAnsi="Times New Roman"/>
          <w:i/>
          <w:sz w:val="20"/>
          <w:szCs w:val="20"/>
        </w:rPr>
      </w:pPr>
      <w:r w:rsidRPr="00F31180">
        <w:rPr>
          <w:rFonts w:ascii="Times New Roman" w:hAnsi="Times New Roman"/>
          <w:i/>
          <w:sz w:val="20"/>
          <w:szCs w:val="20"/>
        </w:rPr>
        <w:t>*</w:t>
      </w:r>
      <w:r>
        <w:rPr>
          <w:rFonts w:ascii="Times New Roman" w:hAnsi="Times New Roman"/>
          <w:i/>
          <w:sz w:val="20"/>
          <w:szCs w:val="20"/>
        </w:rPr>
        <w:t>Без учета</w:t>
      </w:r>
      <w:r w:rsidRPr="00F31180">
        <w:rPr>
          <w:rFonts w:ascii="Times New Roman" w:hAnsi="Times New Roman"/>
          <w:i/>
          <w:sz w:val="20"/>
          <w:szCs w:val="20"/>
        </w:rPr>
        <w:t xml:space="preserve"> накопительной составляющей пенсионной системы</w:t>
      </w:r>
    </w:p>
    <w:p w:rsidR="009D5EB2" w:rsidRDefault="009D5EB2" w:rsidP="00A71D96">
      <w:pPr>
        <w:spacing w:before="120" w:after="120"/>
        <w:jc w:val="both"/>
        <w:rPr>
          <w:rFonts w:ascii="Times New Roman" w:hAnsi="Times New Roman"/>
          <w:b/>
          <w:sz w:val="24"/>
          <w:szCs w:val="28"/>
        </w:rPr>
      </w:pPr>
    </w:p>
    <w:p w:rsidR="009D5EB2" w:rsidRDefault="009D5EB2" w:rsidP="00A71D96">
      <w:pPr>
        <w:spacing w:before="120" w:after="120"/>
        <w:jc w:val="both"/>
        <w:rPr>
          <w:rFonts w:ascii="Times New Roman" w:hAnsi="Times New Roman"/>
          <w:b/>
          <w:sz w:val="24"/>
          <w:szCs w:val="28"/>
        </w:rPr>
      </w:pPr>
    </w:p>
    <w:p w:rsidR="009D5EB2" w:rsidRDefault="009D5EB2" w:rsidP="00A71D96">
      <w:pPr>
        <w:spacing w:before="120" w:after="120"/>
        <w:jc w:val="both"/>
        <w:rPr>
          <w:rFonts w:ascii="Times New Roman" w:hAnsi="Times New Roman"/>
          <w:b/>
          <w:sz w:val="24"/>
          <w:szCs w:val="28"/>
        </w:rPr>
      </w:pPr>
    </w:p>
    <w:p w:rsidR="00A71D96" w:rsidRPr="00057368" w:rsidRDefault="00A71D96" w:rsidP="00A71D96">
      <w:pPr>
        <w:spacing w:before="120" w:after="120"/>
        <w:jc w:val="both"/>
        <w:rPr>
          <w:rFonts w:ascii="Times New Roman" w:hAnsi="Times New Roman"/>
          <w:sz w:val="24"/>
          <w:szCs w:val="28"/>
        </w:rPr>
      </w:pPr>
      <w:r w:rsidRPr="003A40B3">
        <w:rPr>
          <w:rFonts w:ascii="Times New Roman" w:hAnsi="Times New Roman"/>
          <w:b/>
          <w:sz w:val="24"/>
          <w:szCs w:val="28"/>
        </w:rPr>
        <w:t>Доходы</w:t>
      </w:r>
      <w:r w:rsidRPr="003A40B3">
        <w:rPr>
          <w:rFonts w:ascii="Times New Roman" w:hAnsi="Times New Roman"/>
          <w:sz w:val="24"/>
          <w:szCs w:val="28"/>
        </w:rPr>
        <w:t xml:space="preserve"> бюджета Пенсионного фонда вырастут в </w:t>
      </w:r>
      <w:r w:rsidRPr="00057368">
        <w:rPr>
          <w:rFonts w:ascii="Times New Roman" w:hAnsi="Times New Roman"/>
          <w:sz w:val="24"/>
          <w:szCs w:val="28"/>
        </w:rPr>
        <w:t xml:space="preserve">номинальном выражении на </w:t>
      </w:r>
      <w:r w:rsidR="009D5EB2">
        <w:rPr>
          <w:rFonts w:ascii="Times New Roman" w:hAnsi="Times New Roman"/>
          <w:sz w:val="24"/>
          <w:szCs w:val="28"/>
        </w:rPr>
        <w:t>35</w:t>
      </w:r>
      <w:r w:rsidRPr="00057368">
        <w:rPr>
          <w:rFonts w:ascii="Times New Roman" w:hAnsi="Times New Roman"/>
          <w:sz w:val="24"/>
          <w:szCs w:val="28"/>
        </w:rPr>
        <w:t xml:space="preserve"> </w:t>
      </w:r>
      <w:proofErr w:type="gramStart"/>
      <w:r w:rsidRPr="00057368">
        <w:rPr>
          <w:rFonts w:ascii="Times New Roman" w:hAnsi="Times New Roman"/>
          <w:sz w:val="24"/>
          <w:szCs w:val="28"/>
        </w:rPr>
        <w:t>млрд</w:t>
      </w:r>
      <w:proofErr w:type="gramEnd"/>
      <w:r w:rsidRPr="00057368">
        <w:rPr>
          <w:rFonts w:ascii="Times New Roman" w:hAnsi="Times New Roman"/>
          <w:sz w:val="24"/>
          <w:szCs w:val="28"/>
        </w:rPr>
        <w:t xml:space="preserve"> рублей в 2018 году по сравнению с 2017 годом и составят </w:t>
      </w:r>
      <w:r>
        <w:rPr>
          <w:rFonts w:ascii="Times New Roman" w:hAnsi="Times New Roman"/>
          <w:sz w:val="24"/>
          <w:szCs w:val="28"/>
        </w:rPr>
        <w:t xml:space="preserve">8 </w:t>
      </w:r>
      <w:r w:rsidR="00B64945">
        <w:rPr>
          <w:rFonts w:ascii="Times New Roman" w:hAnsi="Times New Roman"/>
          <w:sz w:val="24"/>
          <w:szCs w:val="28"/>
        </w:rPr>
        <w:t>236</w:t>
      </w:r>
      <w:r w:rsidRPr="00057368">
        <w:rPr>
          <w:rFonts w:ascii="Times New Roman" w:hAnsi="Times New Roman"/>
          <w:sz w:val="24"/>
          <w:szCs w:val="28"/>
        </w:rPr>
        <w:t xml:space="preserve"> млрд рублей.</w:t>
      </w:r>
    </w:p>
    <w:p w:rsidR="00A71D96" w:rsidRPr="00057368" w:rsidRDefault="00A71D96" w:rsidP="00A71D96">
      <w:pPr>
        <w:spacing w:before="120" w:after="120"/>
        <w:jc w:val="both"/>
        <w:rPr>
          <w:rFonts w:ascii="Times New Roman" w:hAnsi="Times New Roman"/>
          <w:sz w:val="24"/>
          <w:szCs w:val="28"/>
        </w:rPr>
      </w:pPr>
      <w:r w:rsidRPr="00057368">
        <w:rPr>
          <w:rFonts w:ascii="Times New Roman" w:hAnsi="Times New Roman"/>
          <w:sz w:val="24"/>
          <w:szCs w:val="28"/>
        </w:rPr>
        <w:t xml:space="preserve">Поступление </w:t>
      </w:r>
      <w:r w:rsidRPr="00057368">
        <w:rPr>
          <w:rFonts w:ascii="Times New Roman" w:hAnsi="Times New Roman"/>
          <w:i/>
          <w:sz w:val="24"/>
          <w:szCs w:val="28"/>
        </w:rPr>
        <w:t>страховых взносов</w:t>
      </w:r>
      <w:r w:rsidRPr="00057368">
        <w:rPr>
          <w:rFonts w:ascii="Times New Roman" w:hAnsi="Times New Roman"/>
          <w:sz w:val="24"/>
          <w:szCs w:val="28"/>
        </w:rPr>
        <w:t xml:space="preserve"> на обязательное пенсионное страхование в 2018-2020 годах определено исходя из тарифа страхового взноса в размере 22% и тарифа 10% с сумм выплат, превышающих предельную величину базы для начисления страховых взносов. </w:t>
      </w:r>
    </w:p>
    <w:p w:rsidR="00A71D96" w:rsidRPr="00057368" w:rsidRDefault="00A71D96" w:rsidP="00A71D96">
      <w:pPr>
        <w:spacing w:before="120" w:after="120"/>
        <w:jc w:val="both"/>
        <w:rPr>
          <w:rFonts w:ascii="Times New Roman" w:hAnsi="Times New Roman"/>
          <w:sz w:val="24"/>
          <w:szCs w:val="28"/>
        </w:rPr>
      </w:pPr>
      <w:r w:rsidRPr="00057368">
        <w:rPr>
          <w:rFonts w:ascii="Times New Roman" w:hAnsi="Times New Roman"/>
          <w:sz w:val="24"/>
          <w:szCs w:val="28"/>
        </w:rPr>
        <w:t>Для отдельных категорий плательщиков, определенных законодательством, применяются пониженные тарифы страховых взносов. По этой причине будет продолжено осуществление компенсации выпадающих доходов бюджетам государственных внебюджетных фондов в связи с установлением пониженных тарифов страховых взносов за счет бюджетных ассигнований федерального бюджета.</w:t>
      </w:r>
    </w:p>
    <w:p w:rsidR="00A71D96" w:rsidRPr="00057368" w:rsidRDefault="00A71D96" w:rsidP="00A71D96">
      <w:pPr>
        <w:spacing w:before="120" w:after="120"/>
        <w:jc w:val="both"/>
        <w:rPr>
          <w:rFonts w:ascii="Times New Roman" w:hAnsi="Times New Roman"/>
          <w:sz w:val="24"/>
          <w:szCs w:val="28"/>
        </w:rPr>
      </w:pPr>
      <w:r w:rsidRPr="00057368">
        <w:rPr>
          <w:rFonts w:ascii="Times New Roman" w:hAnsi="Times New Roman"/>
          <w:sz w:val="24"/>
          <w:szCs w:val="28"/>
        </w:rPr>
        <w:t xml:space="preserve">При определении </w:t>
      </w:r>
      <w:r w:rsidRPr="00057368">
        <w:rPr>
          <w:rFonts w:ascii="Times New Roman" w:hAnsi="Times New Roman"/>
          <w:b/>
          <w:sz w:val="24"/>
          <w:szCs w:val="28"/>
        </w:rPr>
        <w:t>расходов</w:t>
      </w:r>
      <w:r w:rsidRPr="00057368">
        <w:rPr>
          <w:rFonts w:ascii="Times New Roman" w:hAnsi="Times New Roman"/>
          <w:sz w:val="24"/>
          <w:szCs w:val="28"/>
        </w:rPr>
        <w:t xml:space="preserve"> бюджета Пенсионного фонда учитываются данные о численности получателей соответствующих пенсий, а также с учетом подходов по индексации страховой пенсии и фиксированной выплаты к ней.</w:t>
      </w:r>
    </w:p>
    <w:p w:rsidR="00A71D96" w:rsidRPr="00832F9C" w:rsidRDefault="00A71D96" w:rsidP="00A71D96">
      <w:pPr>
        <w:spacing w:before="120" w:after="120"/>
        <w:jc w:val="both"/>
        <w:rPr>
          <w:rFonts w:ascii="Times New Roman" w:hAnsi="Times New Roman"/>
          <w:sz w:val="24"/>
          <w:szCs w:val="28"/>
        </w:rPr>
      </w:pPr>
      <w:r w:rsidRPr="00057368">
        <w:rPr>
          <w:rFonts w:ascii="Times New Roman" w:hAnsi="Times New Roman"/>
          <w:b/>
          <w:sz w:val="24"/>
          <w:szCs w:val="28"/>
        </w:rPr>
        <w:t>Сбалансированность</w:t>
      </w:r>
      <w:r w:rsidRPr="00057368">
        <w:rPr>
          <w:rFonts w:ascii="Times New Roman" w:hAnsi="Times New Roman"/>
          <w:sz w:val="24"/>
          <w:szCs w:val="28"/>
        </w:rPr>
        <w:t xml:space="preserve"> бюджета Пенсионного фонда в части, не связанной с формированием средств для финансирования накопительных пенсий, будет обеспечиваться за счет средств федерального бюджета, передаваемых бюджету Пенсионного фонда в виде межбюджетного трансферта на обязательное пенсионное страхование, который составит в 2018 году </w:t>
      </w:r>
      <w:r>
        <w:rPr>
          <w:rFonts w:ascii="Times New Roman" w:hAnsi="Times New Roman"/>
          <w:sz w:val="24"/>
          <w:szCs w:val="28"/>
        </w:rPr>
        <w:t>694</w:t>
      </w:r>
      <w:r w:rsidRPr="00057368">
        <w:rPr>
          <w:rFonts w:ascii="Times New Roman" w:hAnsi="Times New Roman"/>
          <w:sz w:val="24"/>
          <w:szCs w:val="28"/>
        </w:rPr>
        <w:t xml:space="preserve"> </w:t>
      </w:r>
      <w:proofErr w:type="gramStart"/>
      <w:r w:rsidRPr="00057368">
        <w:rPr>
          <w:rFonts w:ascii="Times New Roman" w:hAnsi="Times New Roman"/>
          <w:sz w:val="24"/>
          <w:szCs w:val="28"/>
        </w:rPr>
        <w:t>млрд</w:t>
      </w:r>
      <w:proofErr w:type="gramEnd"/>
      <w:r w:rsidRPr="00057368">
        <w:rPr>
          <w:rFonts w:ascii="Times New Roman" w:hAnsi="Times New Roman"/>
          <w:sz w:val="24"/>
          <w:szCs w:val="28"/>
        </w:rPr>
        <w:t xml:space="preserve"> рублей.</w:t>
      </w:r>
    </w:p>
    <w:p w:rsidR="00A71D96" w:rsidRPr="003F0679" w:rsidRDefault="00A71D96" w:rsidP="00A71D96">
      <w:pPr>
        <w:spacing w:before="120" w:after="120"/>
        <w:jc w:val="both"/>
        <w:rPr>
          <w:rFonts w:ascii="Times New Roman" w:hAnsi="Times New Roman"/>
          <w:sz w:val="24"/>
          <w:szCs w:val="28"/>
          <w:highlight w:val="lightGray"/>
        </w:rPr>
      </w:pPr>
      <w:proofErr w:type="gramStart"/>
      <w:r w:rsidRPr="006C7076">
        <w:rPr>
          <w:rFonts w:ascii="Times New Roman" w:hAnsi="Times New Roman"/>
          <w:sz w:val="24"/>
          <w:szCs w:val="28"/>
        </w:rPr>
        <w:t>Трансферт на обязательное пенсионное страхование в рассматриваемом периоде определен как разница между доходами бюджета Пенсионного фонда от уплаты страховых взносов на обязательное пенсионное страхование по распределительной составляющей пенсионной системы (с учетом размера компенсации выпадающих доходов бюджету Пенсионного фонда в связи с установлением пониженных тарифов страховых взносов) и расходами на выплату страховой пенсии и фиксированной выплаты к ней.</w:t>
      </w:r>
      <w:proofErr w:type="gramEnd"/>
    </w:p>
    <w:p w:rsidR="00A71D96" w:rsidRPr="003F0679" w:rsidRDefault="00A71D96" w:rsidP="00A71D96">
      <w:pPr>
        <w:spacing w:before="120" w:after="120"/>
        <w:jc w:val="both"/>
        <w:rPr>
          <w:rFonts w:ascii="Times New Roman" w:hAnsi="Times New Roman"/>
          <w:sz w:val="24"/>
          <w:szCs w:val="28"/>
          <w:highlight w:val="lightGray"/>
        </w:rPr>
      </w:pPr>
      <w:r>
        <w:rPr>
          <w:rFonts w:ascii="Times New Roman" w:hAnsi="Times New Roman"/>
          <w:sz w:val="24"/>
          <w:szCs w:val="28"/>
        </w:rPr>
        <w:t>Дефицит бюджета Пенсионного фонда, представленный в табл. 4.3.1 связан с отражением в бюджете  накопительной составляющей пенсионной системы и в частности с передачей средств пенсионных накоплений из доверительного управления государственной управляющей компании в негосударственные пенсионные фонды.</w:t>
      </w:r>
    </w:p>
    <w:p w:rsidR="009D5EB2" w:rsidRDefault="009D5EB2" w:rsidP="00A71D96">
      <w:pPr>
        <w:spacing w:before="120" w:after="0"/>
        <w:jc w:val="both"/>
        <w:rPr>
          <w:rFonts w:ascii="Times New Roman" w:hAnsi="Times New Roman"/>
          <w:b/>
          <w:sz w:val="28"/>
          <w:szCs w:val="28"/>
        </w:rPr>
      </w:pPr>
    </w:p>
    <w:p w:rsidR="009D5EB2" w:rsidRDefault="009D5EB2" w:rsidP="00A71D96">
      <w:pPr>
        <w:spacing w:before="120" w:after="0"/>
        <w:jc w:val="both"/>
        <w:rPr>
          <w:rFonts w:ascii="Times New Roman" w:hAnsi="Times New Roman"/>
          <w:b/>
          <w:sz w:val="28"/>
          <w:szCs w:val="28"/>
        </w:rPr>
      </w:pPr>
    </w:p>
    <w:p w:rsidR="009D5EB2" w:rsidRDefault="009D5EB2" w:rsidP="00A71D96">
      <w:pPr>
        <w:spacing w:before="120" w:after="0"/>
        <w:jc w:val="both"/>
        <w:rPr>
          <w:rFonts w:ascii="Times New Roman" w:hAnsi="Times New Roman"/>
          <w:b/>
          <w:sz w:val="28"/>
          <w:szCs w:val="28"/>
        </w:rPr>
      </w:pPr>
    </w:p>
    <w:p w:rsidR="009D5EB2" w:rsidRDefault="009D5EB2" w:rsidP="00A71D96">
      <w:pPr>
        <w:spacing w:before="120" w:after="0"/>
        <w:jc w:val="both"/>
        <w:rPr>
          <w:rFonts w:ascii="Times New Roman" w:hAnsi="Times New Roman"/>
          <w:b/>
          <w:sz w:val="28"/>
          <w:szCs w:val="28"/>
        </w:rPr>
      </w:pPr>
    </w:p>
    <w:p w:rsidR="009D5EB2" w:rsidRDefault="009D5EB2" w:rsidP="00A71D96">
      <w:pPr>
        <w:spacing w:before="120" w:after="0"/>
        <w:jc w:val="both"/>
        <w:rPr>
          <w:rFonts w:ascii="Times New Roman" w:hAnsi="Times New Roman"/>
          <w:b/>
          <w:sz w:val="28"/>
          <w:szCs w:val="28"/>
        </w:rPr>
      </w:pPr>
    </w:p>
    <w:p w:rsidR="009D5EB2" w:rsidRDefault="009D5EB2" w:rsidP="00A71D96">
      <w:pPr>
        <w:spacing w:before="120" w:after="0"/>
        <w:jc w:val="both"/>
        <w:rPr>
          <w:rFonts w:ascii="Times New Roman" w:hAnsi="Times New Roman"/>
          <w:b/>
          <w:sz w:val="28"/>
          <w:szCs w:val="28"/>
        </w:rPr>
      </w:pPr>
    </w:p>
    <w:p w:rsidR="009D5EB2" w:rsidRDefault="009D5EB2" w:rsidP="00A71D96">
      <w:pPr>
        <w:spacing w:before="120" w:after="0"/>
        <w:jc w:val="both"/>
        <w:rPr>
          <w:rFonts w:ascii="Times New Roman" w:hAnsi="Times New Roman"/>
          <w:b/>
          <w:sz w:val="28"/>
          <w:szCs w:val="28"/>
        </w:rPr>
      </w:pPr>
    </w:p>
    <w:p w:rsidR="00A71D96" w:rsidRPr="006C7076" w:rsidRDefault="00A71D96" w:rsidP="00A71D96">
      <w:pPr>
        <w:spacing w:before="120" w:after="0"/>
        <w:jc w:val="both"/>
        <w:rPr>
          <w:rFonts w:ascii="Times New Roman" w:hAnsi="Times New Roman"/>
          <w:b/>
          <w:sz w:val="24"/>
          <w:szCs w:val="28"/>
        </w:rPr>
      </w:pPr>
      <w:r w:rsidRPr="006C7076">
        <w:rPr>
          <w:rFonts w:ascii="Times New Roman" w:hAnsi="Times New Roman"/>
          <w:b/>
          <w:sz w:val="28"/>
          <w:szCs w:val="28"/>
        </w:rPr>
        <w:t>Фонд социального страхования Российской Федерации</w:t>
      </w:r>
    </w:p>
    <w:p w:rsidR="00A71D96" w:rsidRPr="00F31180" w:rsidRDefault="00A71D96" w:rsidP="00A71D96">
      <w:pPr>
        <w:spacing w:before="120" w:after="0"/>
        <w:jc w:val="both"/>
        <w:rPr>
          <w:rFonts w:ascii="Times New Roman" w:hAnsi="Times New Roman"/>
          <w:sz w:val="24"/>
          <w:szCs w:val="28"/>
        </w:rPr>
      </w:pPr>
      <w:r w:rsidRPr="00F31180">
        <w:rPr>
          <w:rFonts w:ascii="Times New Roman" w:hAnsi="Times New Roman"/>
          <w:b/>
          <w:sz w:val="24"/>
          <w:szCs w:val="28"/>
        </w:rPr>
        <w:t xml:space="preserve">Таблица </w:t>
      </w:r>
      <w:r w:rsidRPr="002B72A8">
        <w:rPr>
          <w:rFonts w:ascii="Times New Roman" w:hAnsi="Times New Roman"/>
          <w:b/>
          <w:sz w:val="24"/>
          <w:szCs w:val="28"/>
        </w:rPr>
        <w:t>4</w:t>
      </w:r>
      <w:r w:rsidRPr="00F31180">
        <w:rPr>
          <w:rFonts w:ascii="Times New Roman" w:hAnsi="Times New Roman"/>
          <w:b/>
          <w:sz w:val="24"/>
          <w:szCs w:val="28"/>
        </w:rPr>
        <w:t>.3.2</w:t>
      </w:r>
      <w:r w:rsidRPr="00F31180">
        <w:rPr>
          <w:rFonts w:ascii="Times New Roman" w:hAnsi="Times New Roman"/>
          <w:b/>
          <w:sz w:val="24"/>
          <w:szCs w:val="24"/>
        </w:rPr>
        <w:t>.</w:t>
      </w:r>
      <w:r w:rsidRPr="00F31180">
        <w:rPr>
          <w:rFonts w:ascii="Times New Roman" w:hAnsi="Times New Roman"/>
          <w:sz w:val="24"/>
          <w:szCs w:val="28"/>
        </w:rPr>
        <w:t xml:space="preserve"> Основные характеристики бюджета Фонда социального страхования в 201</w:t>
      </w:r>
      <w:r>
        <w:rPr>
          <w:rFonts w:ascii="Times New Roman" w:hAnsi="Times New Roman"/>
          <w:sz w:val="24"/>
          <w:szCs w:val="28"/>
        </w:rPr>
        <w:t>7-2020</w:t>
      </w:r>
      <w:r w:rsidRPr="00F31180">
        <w:rPr>
          <w:rFonts w:ascii="Times New Roman" w:hAnsi="Times New Roman"/>
          <w:sz w:val="24"/>
          <w:szCs w:val="28"/>
        </w:rPr>
        <w:t xml:space="preserve"> гг.</w:t>
      </w:r>
    </w:p>
    <w:p w:rsidR="00A71D96" w:rsidRPr="006C7076" w:rsidRDefault="00A71D96" w:rsidP="00A71D96">
      <w:pPr>
        <w:spacing w:before="120" w:after="0"/>
        <w:jc w:val="right"/>
        <w:rPr>
          <w:rFonts w:ascii="Times New Roman" w:hAnsi="Times New Roman"/>
          <w:i/>
          <w:szCs w:val="28"/>
        </w:rPr>
      </w:pPr>
      <w:proofErr w:type="gramStart"/>
      <w:r w:rsidRPr="006C7076">
        <w:rPr>
          <w:rFonts w:ascii="Times New Roman" w:hAnsi="Times New Roman"/>
          <w:i/>
          <w:szCs w:val="28"/>
        </w:rPr>
        <w:t>млрд</w:t>
      </w:r>
      <w:proofErr w:type="gramEnd"/>
      <w:r w:rsidRPr="006C7076">
        <w:rPr>
          <w:rFonts w:ascii="Times New Roman" w:hAnsi="Times New Roman"/>
          <w:i/>
          <w:szCs w:val="28"/>
        </w:rPr>
        <w:t xml:space="preserve">  рублей</w:t>
      </w:r>
    </w:p>
    <w:tbl>
      <w:tblPr>
        <w:tblW w:w="9090" w:type="dxa"/>
        <w:tblLayout w:type="fixed"/>
        <w:tblLook w:val="00A0" w:firstRow="1" w:lastRow="0" w:firstColumn="1" w:lastColumn="0" w:noHBand="0" w:noVBand="0"/>
      </w:tblPr>
      <w:tblGrid>
        <w:gridCol w:w="5014"/>
        <w:gridCol w:w="1019"/>
        <w:gridCol w:w="1019"/>
        <w:gridCol w:w="1019"/>
        <w:gridCol w:w="1019"/>
      </w:tblGrid>
      <w:tr w:rsidR="00A71D96" w:rsidRPr="001A5262" w:rsidTr="00F2417A">
        <w:trPr>
          <w:trHeight w:val="340"/>
        </w:trPr>
        <w:tc>
          <w:tcPr>
            <w:tcW w:w="5014" w:type="dxa"/>
            <w:tcBorders>
              <w:top w:val="single" w:sz="4" w:space="0" w:color="auto"/>
              <w:left w:val="nil"/>
              <w:bottom w:val="single" w:sz="4" w:space="0" w:color="auto"/>
              <w:right w:val="nil"/>
            </w:tcBorders>
          </w:tcPr>
          <w:p w:rsidR="00A71D96" w:rsidRPr="001A5262" w:rsidRDefault="00A71D96" w:rsidP="00F2417A">
            <w:pPr>
              <w:spacing w:after="0" w:line="240" w:lineRule="auto"/>
              <w:rPr>
                <w:rFonts w:ascii="Century" w:hAnsi="Century"/>
                <w:b/>
                <w:bCs/>
                <w:szCs w:val="20"/>
              </w:rPr>
            </w:pPr>
            <w:r w:rsidRPr="001A5262">
              <w:rPr>
                <w:rFonts w:ascii="Century" w:hAnsi="Century"/>
                <w:b/>
                <w:bCs/>
                <w:szCs w:val="20"/>
              </w:rPr>
              <w:t>Показатель</w:t>
            </w:r>
          </w:p>
        </w:tc>
        <w:tc>
          <w:tcPr>
            <w:tcW w:w="1019" w:type="dxa"/>
            <w:tcBorders>
              <w:top w:val="single" w:sz="4" w:space="0" w:color="auto"/>
              <w:left w:val="nil"/>
              <w:bottom w:val="single" w:sz="4" w:space="0" w:color="auto"/>
              <w:right w:val="nil"/>
            </w:tcBorders>
          </w:tcPr>
          <w:p w:rsidR="00A71D96" w:rsidRPr="001A5262" w:rsidRDefault="00A71D96" w:rsidP="00F2417A">
            <w:pPr>
              <w:spacing w:after="0" w:line="240" w:lineRule="auto"/>
              <w:jc w:val="right"/>
              <w:rPr>
                <w:rFonts w:ascii="Century" w:hAnsi="Century"/>
                <w:b/>
                <w:bCs/>
                <w:szCs w:val="20"/>
              </w:rPr>
            </w:pPr>
            <w:r w:rsidRPr="001A5262">
              <w:rPr>
                <w:rFonts w:ascii="Century" w:hAnsi="Century"/>
                <w:b/>
                <w:bCs/>
                <w:szCs w:val="20"/>
              </w:rPr>
              <w:t>2017</w:t>
            </w:r>
          </w:p>
        </w:tc>
        <w:tc>
          <w:tcPr>
            <w:tcW w:w="1019" w:type="dxa"/>
            <w:tcBorders>
              <w:top w:val="single" w:sz="4" w:space="0" w:color="auto"/>
              <w:left w:val="nil"/>
              <w:bottom w:val="single" w:sz="4" w:space="0" w:color="auto"/>
              <w:right w:val="nil"/>
            </w:tcBorders>
          </w:tcPr>
          <w:p w:rsidR="00A71D96" w:rsidRPr="001A5262" w:rsidRDefault="00A71D96" w:rsidP="00F2417A">
            <w:pPr>
              <w:spacing w:after="0" w:line="240" w:lineRule="auto"/>
              <w:jc w:val="right"/>
              <w:rPr>
                <w:rFonts w:ascii="Century" w:hAnsi="Century"/>
                <w:b/>
                <w:bCs/>
                <w:szCs w:val="20"/>
              </w:rPr>
            </w:pPr>
            <w:r w:rsidRPr="001A5262">
              <w:rPr>
                <w:rFonts w:ascii="Century" w:hAnsi="Century"/>
                <w:b/>
                <w:bCs/>
                <w:szCs w:val="20"/>
              </w:rPr>
              <w:t>2018</w:t>
            </w:r>
          </w:p>
        </w:tc>
        <w:tc>
          <w:tcPr>
            <w:tcW w:w="1019" w:type="dxa"/>
            <w:tcBorders>
              <w:top w:val="single" w:sz="4" w:space="0" w:color="auto"/>
              <w:left w:val="nil"/>
              <w:bottom w:val="single" w:sz="4" w:space="0" w:color="auto"/>
              <w:right w:val="nil"/>
            </w:tcBorders>
          </w:tcPr>
          <w:p w:rsidR="00A71D96" w:rsidRPr="001A5262" w:rsidRDefault="00A71D96" w:rsidP="00F2417A">
            <w:pPr>
              <w:spacing w:after="0" w:line="240" w:lineRule="auto"/>
              <w:jc w:val="right"/>
              <w:rPr>
                <w:rFonts w:ascii="Century" w:hAnsi="Century"/>
                <w:b/>
                <w:bCs/>
                <w:szCs w:val="20"/>
              </w:rPr>
            </w:pPr>
            <w:r w:rsidRPr="001A5262">
              <w:rPr>
                <w:rFonts w:ascii="Century" w:hAnsi="Century"/>
                <w:b/>
                <w:bCs/>
                <w:szCs w:val="20"/>
              </w:rPr>
              <w:t>2019</w:t>
            </w:r>
          </w:p>
        </w:tc>
        <w:tc>
          <w:tcPr>
            <w:tcW w:w="1019" w:type="dxa"/>
            <w:tcBorders>
              <w:top w:val="single" w:sz="4" w:space="0" w:color="auto"/>
              <w:left w:val="nil"/>
              <w:bottom w:val="single" w:sz="4" w:space="0" w:color="auto"/>
              <w:right w:val="nil"/>
            </w:tcBorders>
          </w:tcPr>
          <w:p w:rsidR="00A71D96" w:rsidRPr="001A5262" w:rsidRDefault="00A71D96" w:rsidP="00F2417A">
            <w:pPr>
              <w:spacing w:after="0" w:line="240" w:lineRule="auto"/>
              <w:jc w:val="right"/>
              <w:rPr>
                <w:rFonts w:ascii="Century" w:hAnsi="Century"/>
                <w:b/>
                <w:bCs/>
                <w:szCs w:val="20"/>
              </w:rPr>
            </w:pPr>
            <w:r w:rsidRPr="001A5262">
              <w:rPr>
                <w:rFonts w:ascii="Century" w:hAnsi="Century"/>
                <w:b/>
                <w:bCs/>
                <w:szCs w:val="20"/>
              </w:rPr>
              <w:t>2020</w:t>
            </w:r>
          </w:p>
        </w:tc>
      </w:tr>
      <w:tr w:rsidR="009D5EB2" w:rsidRPr="001A5262" w:rsidTr="003C4A4E">
        <w:trPr>
          <w:trHeight w:val="340"/>
        </w:trPr>
        <w:tc>
          <w:tcPr>
            <w:tcW w:w="5014" w:type="dxa"/>
            <w:shd w:val="clear" w:color="auto" w:fill="F2F2F2"/>
            <w:vAlign w:val="center"/>
          </w:tcPr>
          <w:p w:rsidR="009D5EB2" w:rsidRPr="001A5262" w:rsidRDefault="009D5EB2" w:rsidP="00F2417A">
            <w:pPr>
              <w:spacing w:after="0" w:line="240" w:lineRule="auto"/>
              <w:rPr>
                <w:rFonts w:ascii="Century" w:hAnsi="Century"/>
                <w:b/>
                <w:bCs/>
                <w:i/>
                <w:iCs/>
                <w:color w:val="000000"/>
                <w:sz w:val="20"/>
                <w:szCs w:val="20"/>
                <w:lang w:eastAsia="ru-RU"/>
              </w:rPr>
            </w:pPr>
            <w:r w:rsidRPr="001A5262">
              <w:rPr>
                <w:rFonts w:ascii="Century" w:hAnsi="Century"/>
                <w:b/>
                <w:bCs/>
                <w:sz w:val="20"/>
                <w:szCs w:val="20"/>
              </w:rPr>
              <w:t>Доходы</w:t>
            </w:r>
          </w:p>
        </w:tc>
        <w:tc>
          <w:tcPr>
            <w:tcW w:w="1019" w:type="dxa"/>
            <w:shd w:val="clear" w:color="auto" w:fill="F2F2F2"/>
            <w:vAlign w:val="center"/>
          </w:tcPr>
          <w:p w:rsidR="009D5EB2" w:rsidRPr="001A5262" w:rsidRDefault="00DD6E8D" w:rsidP="009D5EB2">
            <w:pPr>
              <w:spacing w:after="0" w:line="240" w:lineRule="auto"/>
              <w:jc w:val="right"/>
              <w:rPr>
                <w:rFonts w:ascii="Century" w:hAnsi="Century"/>
                <w:b/>
                <w:iCs/>
                <w:color w:val="000000"/>
                <w:sz w:val="20"/>
                <w:szCs w:val="20"/>
              </w:rPr>
            </w:pPr>
            <w:r>
              <w:rPr>
                <w:rFonts w:ascii="Century" w:hAnsi="Century"/>
                <w:b/>
                <w:iCs/>
                <w:color w:val="000000"/>
                <w:sz w:val="20"/>
                <w:szCs w:val="20"/>
              </w:rPr>
              <w:t>644</w:t>
            </w:r>
          </w:p>
        </w:tc>
        <w:tc>
          <w:tcPr>
            <w:tcW w:w="1019" w:type="dxa"/>
            <w:shd w:val="clear" w:color="auto" w:fill="F2F2F2"/>
            <w:vAlign w:val="center"/>
          </w:tcPr>
          <w:p w:rsidR="009D5EB2" w:rsidRPr="001A5262" w:rsidRDefault="009D5EB2" w:rsidP="00F2417A">
            <w:pPr>
              <w:spacing w:after="0" w:line="240" w:lineRule="auto"/>
              <w:jc w:val="right"/>
              <w:rPr>
                <w:rFonts w:ascii="Century" w:hAnsi="Century"/>
                <w:b/>
                <w:sz w:val="20"/>
                <w:szCs w:val="20"/>
              </w:rPr>
            </w:pPr>
            <w:r>
              <w:rPr>
                <w:rFonts w:ascii="Century" w:hAnsi="Century"/>
                <w:b/>
                <w:sz w:val="20"/>
                <w:szCs w:val="20"/>
              </w:rPr>
              <w:t>709</w:t>
            </w:r>
          </w:p>
        </w:tc>
        <w:tc>
          <w:tcPr>
            <w:tcW w:w="1019" w:type="dxa"/>
            <w:shd w:val="clear" w:color="auto" w:fill="F2F2F2"/>
            <w:vAlign w:val="center"/>
          </w:tcPr>
          <w:p w:rsidR="009D5EB2" w:rsidRPr="001A5262" w:rsidRDefault="009D5EB2" w:rsidP="00F2417A">
            <w:pPr>
              <w:spacing w:after="0" w:line="240" w:lineRule="auto"/>
              <w:jc w:val="right"/>
              <w:rPr>
                <w:rFonts w:ascii="Century" w:hAnsi="Century"/>
                <w:b/>
                <w:sz w:val="20"/>
                <w:szCs w:val="20"/>
              </w:rPr>
            </w:pPr>
            <w:r>
              <w:rPr>
                <w:rFonts w:ascii="Century" w:hAnsi="Century"/>
                <w:b/>
                <w:sz w:val="20"/>
                <w:szCs w:val="20"/>
              </w:rPr>
              <w:t>740</w:t>
            </w:r>
          </w:p>
        </w:tc>
        <w:tc>
          <w:tcPr>
            <w:tcW w:w="1019" w:type="dxa"/>
            <w:shd w:val="clear" w:color="auto" w:fill="F2F2F2"/>
            <w:vAlign w:val="center"/>
          </w:tcPr>
          <w:p w:rsidR="009D5EB2" w:rsidRPr="001A5262" w:rsidRDefault="009D5EB2" w:rsidP="00F2417A">
            <w:pPr>
              <w:spacing w:after="0" w:line="240" w:lineRule="auto"/>
              <w:jc w:val="right"/>
              <w:rPr>
                <w:rFonts w:ascii="Century" w:hAnsi="Century"/>
                <w:b/>
                <w:sz w:val="20"/>
                <w:szCs w:val="20"/>
              </w:rPr>
            </w:pPr>
            <w:r>
              <w:rPr>
                <w:rFonts w:ascii="Century" w:hAnsi="Century"/>
                <w:b/>
                <w:sz w:val="20"/>
                <w:szCs w:val="20"/>
              </w:rPr>
              <w:t>774</w:t>
            </w:r>
          </w:p>
        </w:tc>
      </w:tr>
      <w:tr w:rsidR="009D5EB2" w:rsidRPr="001A5262" w:rsidTr="003C4A4E">
        <w:trPr>
          <w:trHeight w:val="340"/>
        </w:trPr>
        <w:tc>
          <w:tcPr>
            <w:tcW w:w="5014" w:type="dxa"/>
            <w:vAlign w:val="center"/>
          </w:tcPr>
          <w:p w:rsidR="009D5EB2" w:rsidRPr="001A5262" w:rsidRDefault="009D5EB2" w:rsidP="00F2417A">
            <w:pPr>
              <w:spacing w:after="0" w:line="240" w:lineRule="auto"/>
              <w:rPr>
                <w:rFonts w:ascii="Century" w:hAnsi="Century"/>
                <w:b/>
                <w:bCs/>
                <w:i/>
                <w:iCs/>
                <w:color w:val="000000"/>
                <w:sz w:val="20"/>
                <w:szCs w:val="20"/>
                <w:lang w:eastAsia="ru-RU"/>
              </w:rPr>
            </w:pPr>
            <w:r w:rsidRPr="001A5262">
              <w:rPr>
                <w:rFonts w:ascii="Century" w:hAnsi="Century"/>
                <w:bCs/>
                <w:i/>
                <w:sz w:val="20"/>
                <w:szCs w:val="20"/>
              </w:rPr>
              <w:t>Межбюджетные трансферты</w:t>
            </w:r>
          </w:p>
        </w:tc>
        <w:tc>
          <w:tcPr>
            <w:tcW w:w="1019" w:type="dxa"/>
            <w:vAlign w:val="center"/>
          </w:tcPr>
          <w:p w:rsidR="009D5EB2" w:rsidRPr="001A5262" w:rsidRDefault="008C695D" w:rsidP="009D5EB2">
            <w:pPr>
              <w:spacing w:after="0" w:line="240" w:lineRule="auto"/>
              <w:jc w:val="right"/>
              <w:rPr>
                <w:rFonts w:ascii="Century" w:hAnsi="Century"/>
                <w:iCs/>
                <w:color w:val="000000"/>
                <w:sz w:val="20"/>
                <w:szCs w:val="20"/>
              </w:rPr>
            </w:pPr>
            <w:r>
              <w:rPr>
                <w:rFonts w:ascii="Century" w:hAnsi="Century"/>
                <w:iCs/>
                <w:color w:val="000000"/>
                <w:sz w:val="20"/>
                <w:szCs w:val="20"/>
              </w:rPr>
              <w:t>64</w:t>
            </w:r>
          </w:p>
        </w:tc>
        <w:tc>
          <w:tcPr>
            <w:tcW w:w="1019" w:type="dxa"/>
            <w:vAlign w:val="center"/>
          </w:tcPr>
          <w:p w:rsidR="009D5EB2" w:rsidRPr="001A5262" w:rsidRDefault="009D5EB2" w:rsidP="00F2417A">
            <w:pPr>
              <w:spacing w:after="0" w:line="240" w:lineRule="auto"/>
              <w:jc w:val="right"/>
              <w:rPr>
                <w:rFonts w:ascii="Century" w:hAnsi="Century"/>
                <w:sz w:val="20"/>
                <w:szCs w:val="20"/>
              </w:rPr>
            </w:pPr>
            <w:r>
              <w:rPr>
                <w:rFonts w:ascii="Century" w:hAnsi="Century"/>
                <w:sz w:val="20"/>
                <w:szCs w:val="20"/>
              </w:rPr>
              <w:t>65</w:t>
            </w:r>
          </w:p>
        </w:tc>
        <w:tc>
          <w:tcPr>
            <w:tcW w:w="1019" w:type="dxa"/>
            <w:vAlign w:val="center"/>
          </w:tcPr>
          <w:p w:rsidR="009D5EB2" w:rsidRPr="001A5262" w:rsidRDefault="009D5EB2" w:rsidP="00F2417A">
            <w:pPr>
              <w:spacing w:after="0" w:line="240" w:lineRule="auto"/>
              <w:jc w:val="right"/>
              <w:rPr>
                <w:rFonts w:ascii="Century" w:hAnsi="Century"/>
                <w:sz w:val="20"/>
                <w:szCs w:val="20"/>
              </w:rPr>
            </w:pPr>
            <w:r>
              <w:rPr>
                <w:rFonts w:ascii="Century" w:hAnsi="Century"/>
                <w:sz w:val="20"/>
                <w:szCs w:val="20"/>
              </w:rPr>
              <w:t>50</w:t>
            </w:r>
          </w:p>
        </w:tc>
        <w:tc>
          <w:tcPr>
            <w:tcW w:w="1019" w:type="dxa"/>
            <w:vAlign w:val="center"/>
          </w:tcPr>
          <w:p w:rsidR="009D5EB2" w:rsidRPr="001A5262" w:rsidRDefault="009D5EB2" w:rsidP="00F2417A">
            <w:pPr>
              <w:spacing w:after="0" w:line="240" w:lineRule="auto"/>
              <w:jc w:val="right"/>
              <w:rPr>
                <w:rFonts w:ascii="Century" w:hAnsi="Century"/>
                <w:sz w:val="20"/>
                <w:szCs w:val="20"/>
              </w:rPr>
            </w:pPr>
            <w:r>
              <w:rPr>
                <w:rFonts w:ascii="Century" w:hAnsi="Century"/>
                <w:sz w:val="20"/>
                <w:szCs w:val="20"/>
              </w:rPr>
              <w:t>50</w:t>
            </w:r>
          </w:p>
        </w:tc>
      </w:tr>
      <w:tr w:rsidR="009D5EB2" w:rsidRPr="001A5262" w:rsidTr="003C4A4E">
        <w:trPr>
          <w:trHeight w:val="340"/>
        </w:trPr>
        <w:tc>
          <w:tcPr>
            <w:tcW w:w="5014" w:type="dxa"/>
            <w:shd w:val="clear" w:color="auto" w:fill="F2F2F2"/>
            <w:vAlign w:val="center"/>
          </w:tcPr>
          <w:p w:rsidR="009D5EB2" w:rsidRPr="001A5262" w:rsidRDefault="009D5EB2" w:rsidP="00F2417A">
            <w:pPr>
              <w:spacing w:after="0" w:line="240" w:lineRule="auto"/>
              <w:ind w:firstLine="318"/>
              <w:rPr>
                <w:rFonts w:ascii="Century" w:hAnsi="Century"/>
                <w:b/>
                <w:bCs/>
                <w:i/>
                <w:color w:val="000000"/>
                <w:sz w:val="20"/>
                <w:szCs w:val="20"/>
                <w:lang w:eastAsia="ru-RU"/>
              </w:rPr>
            </w:pPr>
            <w:r w:rsidRPr="001A5262">
              <w:rPr>
                <w:rFonts w:ascii="Century" w:hAnsi="Century"/>
                <w:bCs/>
                <w:i/>
                <w:iCs/>
                <w:sz w:val="20"/>
                <w:szCs w:val="20"/>
              </w:rPr>
              <w:t>из ФОМС</w:t>
            </w:r>
          </w:p>
        </w:tc>
        <w:tc>
          <w:tcPr>
            <w:tcW w:w="1019" w:type="dxa"/>
            <w:shd w:val="clear" w:color="auto" w:fill="F2F2F2"/>
            <w:vAlign w:val="center"/>
          </w:tcPr>
          <w:p w:rsidR="009D5EB2" w:rsidRPr="001A5262" w:rsidRDefault="009D5EB2" w:rsidP="009D5EB2">
            <w:pPr>
              <w:spacing w:after="0" w:line="240" w:lineRule="auto"/>
              <w:jc w:val="right"/>
              <w:rPr>
                <w:rFonts w:ascii="Century" w:hAnsi="Century"/>
                <w:sz w:val="20"/>
                <w:szCs w:val="20"/>
              </w:rPr>
            </w:pPr>
            <w:r>
              <w:rPr>
                <w:rFonts w:ascii="Century" w:hAnsi="Century"/>
                <w:sz w:val="20"/>
                <w:szCs w:val="20"/>
              </w:rPr>
              <w:t>18</w:t>
            </w:r>
          </w:p>
        </w:tc>
        <w:tc>
          <w:tcPr>
            <w:tcW w:w="1019" w:type="dxa"/>
            <w:shd w:val="clear" w:color="auto" w:fill="F2F2F2"/>
            <w:vAlign w:val="center"/>
          </w:tcPr>
          <w:p w:rsidR="009D5EB2" w:rsidRPr="001A5262" w:rsidRDefault="009D5EB2" w:rsidP="00F2417A">
            <w:pPr>
              <w:spacing w:after="0" w:line="240" w:lineRule="auto"/>
              <w:jc w:val="right"/>
              <w:rPr>
                <w:rFonts w:ascii="Century" w:hAnsi="Century"/>
                <w:sz w:val="20"/>
                <w:szCs w:val="20"/>
              </w:rPr>
            </w:pPr>
            <w:r>
              <w:rPr>
                <w:rFonts w:ascii="Century" w:hAnsi="Century"/>
                <w:sz w:val="20"/>
                <w:szCs w:val="20"/>
              </w:rPr>
              <w:t>18</w:t>
            </w:r>
          </w:p>
        </w:tc>
        <w:tc>
          <w:tcPr>
            <w:tcW w:w="1019" w:type="dxa"/>
            <w:shd w:val="clear" w:color="auto" w:fill="F2F2F2"/>
            <w:vAlign w:val="center"/>
          </w:tcPr>
          <w:p w:rsidR="009D5EB2" w:rsidRPr="001A5262" w:rsidRDefault="009D5EB2" w:rsidP="00F2417A">
            <w:pPr>
              <w:spacing w:after="0" w:line="240" w:lineRule="auto"/>
              <w:jc w:val="right"/>
              <w:rPr>
                <w:rFonts w:ascii="Century" w:hAnsi="Century"/>
                <w:sz w:val="20"/>
                <w:szCs w:val="20"/>
              </w:rPr>
            </w:pPr>
            <w:r>
              <w:rPr>
                <w:rFonts w:ascii="Century" w:hAnsi="Century"/>
                <w:sz w:val="20"/>
                <w:szCs w:val="20"/>
              </w:rPr>
              <w:t>18</w:t>
            </w:r>
          </w:p>
        </w:tc>
        <w:tc>
          <w:tcPr>
            <w:tcW w:w="1019" w:type="dxa"/>
            <w:shd w:val="clear" w:color="auto" w:fill="F2F2F2"/>
            <w:vAlign w:val="center"/>
          </w:tcPr>
          <w:p w:rsidR="009D5EB2" w:rsidRPr="001A5262" w:rsidRDefault="009D5EB2" w:rsidP="00F2417A">
            <w:pPr>
              <w:spacing w:after="0" w:line="240" w:lineRule="auto"/>
              <w:jc w:val="right"/>
              <w:rPr>
                <w:rFonts w:ascii="Century" w:hAnsi="Century"/>
                <w:sz w:val="20"/>
                <w:szCs w:val="20"/>
              </w:rPr>
            </w:pPr>
            <w:r>
              <w:rPr>
                <w:rFonts w:ascii="Century" w:hAnsi="Century"/>
                <w:sz w:val="20"/>
                <w:szCs w:val="20"/>
              </w:rPr>
              <w:t>17</w:t>
            </w:r>
          </w:p>
        </w:tc>
      </w:tr>
      <w:tr w:rsidR="009D5EB2" w:rsidRPr="001A5262" w:rsidTr="003C4A4E">
        <w:trPr>
          <w:trHeight w:val="340"/>
        </w:trPr>
        <w:tc>
          <w:tcPr>
            <w:tcW w:w="5014" w:type="dxa"/>
            <w:vAlign w:val="center"/>
          </w:tcPr>
          <w:p w:rsidR="009D5EB2" w:rsidRPr="001A5262" w:rsidRDefault="009D5EB2" w:rsidP="00F2417A">
            <w:pPr>
              <w:spacing w:after="0" w:line="240" w:lineRule="auto"/>
              <w:ind w:firstLine="318"/>
              <w:rPr>
                <w:rFonts w:ascii="Century" w:hAnsi="Century"/>
                <w:b/>
                <w:bCs/>
                <w:i/>
                <w:color w:val="000000"/>
                <w:sz w:val="20"/>
                <w:szCs w:val="20"/>
                <w:lang w:eastAsia="ru-RU"/>
              </w:rPr>
            </w:pPr>
            <w:r w:rsidRPr="001A5262">
              <w:rPr>
                <w:rFonts w:ascii="Century" w:hAnsi="Century"/>
                <w:bCs/>
                <w:i/>
                <w:iCs/>
                <w:sz w:val="20"/>
                <w:szCs w:val="20"/>
              </w:rPr>
              <w:t>из федерального бюджета</w:t>
            </w:r>
          </w:p>
        </w:tc>
        <w:tc>
          <w:tcPr>
            <w:tcW w:w="1019" w:type="dxa"/>
            <w:vAlign w:val="center"/>
          </w:tcPr>
          <w:p w:rsidR="009D5EB2" w:rsidRPr="001A5262" w:rsidRDefault="009D5EB2" w:rsidP="009D5EB2">
            <w:pPr>
              <w:spacing w:after="0" w:line="240" w:lineRule="auto"/>
              <w:jc w:val="right"/>
              <w:rPr>
                <w:rFonts w:ascii="Century" w:hAnsi="Century"/>
                <w:sz w:val="20"/>
                <w:szCs w:val="20"/>
              </w:rPr>
            </w:pPr>
            <w:r>
              <w:rPr>
                <w:rFonts w:ascii="Century" w:hAnsi="Century"/>
                <w:sz w:val="20"/>
                <w:szCs w:val="20"/>
              </w:rPr>
              <w:t>46</w:t>
            </w:r>
          </w:p>
        </w:tc>
        <w:tc>
          <w:tcPr>
            <w:tcW w:w="1019" w:type="dxa"/>
            <w:vAlign w:val="center"/>
          </w:tcPr>
          <w:p w:rsidR="009D5EB2" w:rsidRPr="001A5262" w:rsidRDefault="009D5EB2" w:rsidP="00F2417A">
            <w:pPr>
              <w:spacing w:after="0" w:line="240" w:lineRule="auto"/>
              <w:jc w:val="right"/>
              <w:rPr>
                <w:rFonts w:ascii="Century" w:hAnsi="Century"/>
                <w:sz w:val="20"/>
                <w:szCs w:val="20"/>
              </w:rPr>
            </w:pPr>
            <w:r>
              <w:rPr>
                <w:rFonts w:ascii="Century" w:hAnsi="Century"/>
                <w:sz w:val="20"/>
                <w:szCs w:val="20"/>
              </w:rPr>
              <w:t>46</w:t>
            </w:r>
          </w:p>
        </w:tc>
        <w:tc>
          <w:tcPr>
            <w:tcW w:w="1019" w:type="dxa"/>
            <w:vAlign w:val="center"/>
          </w:tcPr>
          <w:p w:rsidR="009D5EB2" w:rsidRPr="001A5262" w:rsidRDefault="009D5EB2" w:rsidP="00F2417A">
            <w:pPr>
              <w:spacing w:after="0" w:line="240" w:lineRule="auto"/>
              <w:jc w:val="right"/>
              <w:rPr>
                <w:rFonts w:ascii="Century" w:hAnsi="Century"/>
                <w:sz w:val="20"/>
                <w:szCs w:val="20"/>
              </w:rPr>
            </w:pPr>
            <w:r>
              <w:rPr>
                <w:rFonts w:ascii="Century" w:hAnsi="Century"/>
                <w:sz w:val="20"/>
                <w:szCs w:val="20"/>
              </w:rPr>
              <w:t>32</w:t>
            </w:r>
          </w:p>
        </w:tc>
        <w:tc>
          <w:tcPr>
            <w:tcW w:w="1019" w:type="dxa"/>
            <w:vAlign w:val="center"/>
          </w:tcPr>
          <w:p w:rsidR="009D5EB2" w:rsidRPr="001A5262" w:rsidRDefault="009D5EB2" w:rsidP="00F2417A">
            <w:pPr>
              <w:spacing w:after="0" w:line="240" w:lineRule="auto"/>
              <w:jc w:val="right"/>
              <w:rPr>
                <w:rFonts w:ascii="Century" w:hAnsi="Century"/>
                <w:sz w:val="20"/>
                <w:szCs w:val="20"/>
              </w:rPr>
            </w:pPr>
            <w:r>
              <w:rPr>
                <w:rFonts w:ascii="Century" w:hAnsi="Century"/>
                <w:sz w:val="20"/>
                <w:szCs w:val="20"/>
              </w:rPr>
              <w:t>33</w:t>
            </w:r>
          </w:p>
        </w:tc>
      </w:tr>
      <w:tr w:rsidR="009D5EB2" w:rsidRPr="001A5262" w:rsidTr="003C4A4E">
        <w:trPr>
          <w:trHeight w:val="340"/>
        </w:trPr>
        <w:tc>
          <w:tcPr>
            <w:tcW w:w="5014" w:type="dxa"/>
            <w:shd w:val="clear" w:color="auto" w:fill="F2F2F2"/>
            <w:vAlign w:val="center"/>
          </w:tcPr>
          <w:p w:rsidR="009D5EB2" w:rsidRPr="001A5262" w:rsidRDefault="009D5EB2" w:rsidP="00F2417A">
            <w:pPr>
              <w:spacing w:after="0" w:line="240" w:lineRule="auto"/>
              <w:rPr>
                <w:rFonts w:ascii="Century" w:hAnsi="Century"/>
                <w:b/>
                <w:bCs/>
                <w:i/>
                <w:color w:val="000000"/>
                <w:sz w:val="20"/>
                <w:szCs w:val="20"/>
                <w:lang w:eastAsia="ru-RU"/>
              </w:rPr>
            </w:pPr>
            <w:r w:rsidRPr="001A5262">
              <w:rPr>
                <w:rFonts w:ascii="Century" w:hAnsi="Century"/>
                <w:bCs/>
                <w:i/>
                <w:sz w:val="20"/>
                <w:szCs w:val="20"/>
              </w:rPr>
              <w:t>Собственные доходы</w:t>
            </w:r>
          </w:p>
        </w:tc>
        <w:tc>
          <w:tcPr>
            <w:tcW w:w="1019" w:type="dxa"/>
            <w:shd w:val="clear" w:color="auto" w:fill="F2F2F2"/>
            <w:vAlign w:val="center"/>
          </w:tcPr>
          <w:p w:rsidR="009D5EB2" w:rsidRPr="001A5262" w:rsidRDefault="00DD6E8D" w:rsidP="008C695D">
            <w:pPr>
              <w:spacing w:after="0" w:line="240" w:lineRule="auto"/>
              <w:jc w:val="right"/>
              <w:rPr>
                <w:rFonts w:ascii="Century" w:hAnsi="Century"/>
                <w:sz w:val="20"/>
                <w:szCs w:val="20"/>
              </w:rPr>
            </w:pPr>
            <w:r>
              <w:rPr>
                <w:rFonts w:ascii="Century" w:hAnsi="Century"/>
                <w:sz w:val="20"/>
                <w:szCs w:val="20"/>
              </w:rPr>
              <w:t>58</w:t>
            </w:r>
            <w:r w:rsidR="008C695D">
              <w:rPr>
                <w:rFonts w:ascii="Century" w:hAnsi="Century"/>
                <w:sz w:val="20"/>
                <w:szCs w:val="20"/>
              </w:rPr>
              <w:t>0</w:t>
            </w:r>
          </w:p>
        </w:tc>
        <w:tc>
          <w:tcPr>
            <w:tcW w:w="1019" w:type="dxa"/>
            <w:shd w:val="clear" w:color="auto" w:fill="F2F2F2"/>
            <w:vAlign w:val="center"/>
          </w:tcPr>
          <w:p w:rsidR="009D5EB2" w:rsidRPr="001A5262" w:rsidRDefault="009D5EB2" w:rsidP="00F2417A">
            <w:pPr>
              <w:spacing w:after="0" w:line="240" w:lineRule="auto"/>
              <w:jc w:val="right"/>
              <w:rPr>
                <w:rFonts w:ascii="Century" w:hAnsi="Century"/>
                <w:sz w:val="20"/>
                <w:szCs w:val="20"/>
              </w:rPr>
            </w:pPr>
            <w:r>
              <w:rPr>
                <w:rFonts w:ascii="Century" w:hAnsi="Century"/>
                <w:sz w:val="20"/>
                <w:szCs w:val="20"/>
              </w:rPr>
              <w:t>644</w:t>
            </w:r>
          </w:p>
        </w:tc>
        <w:tc>
          <w:tcPr>
            <w:tcW w:w="1019" w:type="dxa"/>
            <w:shd w:val="clear" w:color="auto" w:fill="F2F2F2"/>
            <w:vAlign w:val="center"/>
          </w:tcPr>
          <w:p w:rsidR="009D5EB2" w:rsidRPr="001A5262" w:rsidRDefault="009D5EB2" w:rsidP="00F2417A">
            <w:pPr>
              <w:spacing w:after="0" w:line="240" w:lineRule="auto"/>
              <w:jc w:val="right"/>
              <w:rPr>
                <w:rFonts w:ascii="Century" w:hAnsi="Century"/>
                <w:sz w:val="20"/>
                <w:szCs w:val="20"/>
              </w:rPr>
            </w:pPr>
            <w:r>
              <w:rPr>
                <w:rFonts w:ascii="Century" w:hAnsi="Century"/>
                <w:sz w:val="20"/>
                <w:szCs w:val="20"/>
              </w:rPr>
              <w:t>690</w:t>
            </w:r>
          </w:p>
        </w:tc>
        <w:tc>
          <w:tcPr>
            <w:tcW w:w="1019" w:type="dxa"/>
            <w:shd w:val="clear" w:color="auto" w:fill="F2F2F2"/>
            <w:vAlign w:val="center"/>
          </w:tcPr>
          <w:p w:rsidR="009D5EB2" w:rsidRPr="001A5262" w:rsidRDefault="009D5EB2" w:rsidP="00F2417A">
            <w:pPr>
              <w:spacing w:after="0" w:line="240" w:lineRule="auto"/>
              <w:jc w:val="right"/>
              <w:rPr>
                <w:rFonts w:ascii="Century" w:hAnsi="Century"/>
                <w:sz w:val="20"/>
                <w:szCs w:val="20"/>
              </w:rPr>
            </w:pPr>
            <w:r>
              <w:rPr>
                <w:rFonts w:ascii="Century" w:hAnsi="Century"/>
                <w:sz w:val="20"/>
                <w:szCs w:val="20"/>
              </w:rPr>
              <w:t>724</w:t>
            </w:r>
          </w:p>
        </w:tc>
      </w:tr>
      <w:tr w:rsidR="009D5EB2" w:rsidRPr="001A5262" w:rsidTr="003C4A4E">
        <w:trPr>
          <w:trHeight w:val="340"/>
        </w:trPr>
        <w:tc>
          <w:tcPr>
            <w:tcW w:w="5014" w:type="dxa"/>
            <w:vAlign w:val="center"/>
          </w:tcPr>
          <w:p w:rsidR="009D5EB2" w:rsidRPr="001A5262" w:rsidRDefault="009D5EB2" w:rsidP="00F2417A">
            <w:pPr>
              <w:spacing w:after="0" w:line="240" w:lineRule="auto"/>
              <w:rPr>
                <w:rFonts w:ascii="Century" w:hAnsi="Century"/>
                <w:b/>
                <w:bCs/>
                <w:color w:val="000000"/>
                <w:sz w:val="20"/>
                <w:szCs w:val="20"/>
                <w:lang w:eastAsia="ru-RU"/>
              </w:rPr>
            </w:pPr>
            <w:r w:rsidRPr="001A5262">
              <w:rPr>
                <w:rFonts w:ascii="Century" w:hAnsi="Century"/>
                <w:b/>
                <w:bCs/>
                <w:sz w:val="20"/>
                <w:szCs w:val="20"/>
              </w:rPr>
              <w:t>Расходы</w:t>
            </w:r>
          </w:p>
        </w:tc>
        <w:tc>
          <w:tcPr>
            <w:tcW w:w="1019" w:type="dxa"/>
            <w:vAlign w:val="center"/>
          </w:tcPr>
          <w:p w:rsidR="009D5EB2" w:rsidRPr="001A5262" w:rsidRDefault="00DD6E8D" w:rsidP="009D5EB2">
            <w:pPr>
              <w:spacing w:after="0" w:line="240" w:lineRule="auto"/>
              <w:jc w:val="right"/>
              <w:rPr>
                <w:rFonts w:ascii="Century" w:hAnsi="Century"/>
                <w:b/>
                <w:sz w:val="20"/>
                <w:szCs w:val="20"/>
              </w:rPr>
            </w:pPr>
            <w:r>
              <w:rPr>
                <w:rFonts w:ascii="Century" w:hAnsi="Century"/>
                <w:b/>
                <w:bCs/>
                <w:sz w:val="20"/>
                <w:szCs w:val="20"/>
              </w:rPr>
              <w:t>685</w:t>
            </w:r>
          </w:p>
        </w:tc>
        <w:tc>
          <w:tcPr>
            <w:tcW w:w="1019" w:type="dxa"/>
            <w:vAlign w:val="center"/>
          </w:tcPr>
          <w:p w:rsidR="009D5EB2" w:rsidRPr="001A5262" w:rsidRDefault="009D5EB2" w:rsidP="00F2417A">
            <w:pPr>
              <w:spacing w:after="0" w:line="240" w:lineRule="auto"/>
              <w:jc w:val="right"/>
              <w:rPr>
                <w:rFonts w:ascii="Century" w:hAnsi="Century"/>
                <w:b/>
                <w:sz w:val="20"/>
                <w:szCs w:val="20"/>
              </w:rPr>
            </w:pPr>
            <w:r>
              <w:rPr>
                <w:rFonts w:ascii="Century" w:hAnsi="Century"/>
                <w:b/>
                <w:bCs/>
                <w:sz w:val="20"/>
                <w:szCs w:val="20"/>
              </w:rPr>
              <w:t>737</w:t>
            </w:r>
          </w:p>
        </w:tc>
        <w:tc>
          <w:tcPr>
            <w:tcW w:w="1019" w:type="dxa"/>
            <w:vAlign w:val="center"/>
          </w:tcPr>
          <w:p w:rsidR="009D5EB2" w:rsidRPr="001A5262" w:rsidRDefault="009D5EB2" w:rsidP="00F2417A">
            <w:pPr>
              <w:spacing w:after="0" w:line="240" w:lineRule="auto"/>
              <w:jc w:val="right"/>
              <w:rPr>
                <w:rFonts w:ascii="Century" w:hAnsi="Century"/>
                <w:b/>
                <w:sz w:val="20"/>
                <w:szCs w:val="20"/>
              </w:rPr>
            </w:pPr>
            <w:r>
              <w:rPr>
                <w:rFonts w:ascii="Century" w:hAnsi="Century"/>
                <w:b/>
                <w:bCs/>
                <w:sz w:val="20"/>
                <w:szCs w:val="20"/>
              </w:rPr>
              <w:t>776</w:t>
            </w:r>
          </w:p>
        </w:tc>
        <w:tc>
          <w:tcPr>
            <w:tcW w:w="1019" w:type="dxa"/>
            <w:vAlign w:val="center"/>
          </w:tcPr>
          <w:p w:rsidR="009D5EB2" w:rsidRPr="001A5262" w:rsidRDefault="009D5EB2" w:rsidP="00F2417A">
            <w:pPr>
              <w:spacing w:after="0" w:line="240" w:lineRule="auto"/>
              <w:jc w:val="right"/>
              <w:rPr>
                <w:rFonts w:ascii="Century" w:hAnsi="Century"/>
                <w:b/>
                <w:sz w:val="20"/>
                <w:szCs w:val="20"/>
              </w:rPr>
            </w:pPr>
            <w:r>
              <w:rPr>
                <w:rFonts w:ascii="Century" w:hAnsi="Century"/>
                <w:b/>
                <w:bCs/>
                <w:sz w:val="20"/>
                <w:szCs w:val="20"/>
              </w:rPr>
              <w:t>811</w:t>
            </w:r>
          </w:p>
        </w:tc>
      </w:tr>
      <w:tr w:rsidR="009D5EB2" w:rsidRPr="001A5262" w:rsidTr="003C4A4E">
        <w:trPr>
          <w:trHeight w:val="340"/>
        </w:trPr>
        <w:tc>
          <w:tcPr>
            <w:tcW w:w="5014" w:type="dxa"/>
            <w:tcBorders>
              <w:top w:val="nil"/>
              <w:left w:val="nil"/>
              <w:right w:val="nil"/>
            </w:tcBorders>
            <w:shd w:val="clear" w:color="auto" w:fill="F2F2F2"/>
            <w:vAlign w:val="center"/>
          </w:tcPr>
          <w:p w:rsidR="009D5EB2" w:rsidRPr="001A5262" w:rsidRDefault="009D5EB2" w:rsidP="00F2417A">
            <w:pPr>
              <w:spacing w:after="0" w:line="240" w:lineRule="auto"/>
              <w:rPr>
                <w:rFonts w:ascii="Century" w:hAnsi="Century"/>
                <w:b/>
                <w:bCs/>
                <w:i/>
                <w:iCs/>
                <w:color w:val="000000"/>
                <w:sz w:val="20"/>
                <w:szCs w:val="20"/>
                <w:lang w:eastAsia="ru-RU"/>
              </w:rPr>
            </w:pPr>
            <w:r w:rsidRPr="001A5262">
              <w:rPr>
                <w:rFonts w:ascii="Century" w:hAnsi="Century"/>
                <w:b/>
                <w:bCs/>
                <w:sz w:val="20"/>
                <w:szCs w:val="20"/>
              </w:rPr>
              <w:t>Дефицит/профицит</w:t>
            </w:r>
          </w:p>
        </w:tc>
        <w:tc>
          <w:tcPr>
            <w:tcW w:w="1019" w:type="dxa"/>
            <w:tcBorders>
              <w:top w:val="nil"/>
              <w:left w:val="nil"/>
              <w:right w:val="nil"/>
            </w:tcBorders>
            <w:shd w:val="clear" w:color="auto" w:fill="F2F2F2"/>
            <w:vAlign w:val="center"/>
          </w:tcPr>
          <w:p w:rsidR="009D5EB2" w:rsidRPr="001A5262" w:rsidRDefault="00483397" w:rsidP="006641BA">
            <w:pPr>
              <w:spacing w:after="0" w:line="240" w:lineRule="auto"/>
              <w:jc w:val="right"/>
              <w:rPr>
                <w:rFonts w:ascii="Century" w:hAnsi="Century"/>
                <w:b/>
                <w:iCs/>
                <w:color w:val="000000"/>
                <w:sz w:val="20"/>
                <w:szCs w:val="20"/>
              </w:rPr>
            </w:pPr>
            <w:r>
              <w:rPr>
                <w:rFonts w:ascii="Century" w:hAnsi="Century"/>
                <w:b/>
                <w:bCs/>
                <w:iCs/>
                <w:color w:val="000000"/>
                <w:sz w:val="20"/>
                <w:szCs w:val="20"/>
              </w:rPr>
              <w:t>-</w:t>
            </w:r>
            <w:r w:rsidR="006641BA">
              <w:rPr>
                <w:rFonts w:ascii="Century" w:hAnsi="Century"/>
                <w:b/>
                <w:bCs/>
                <w:iCs/>
                <w:color w:val="000000"/>
                <w:sz w:val="20"/>
                <w:szCs w:val="20"/>
              </w:rPr>
              <w:t>41</w:t>
            </w:r>
          </w:p>
        </w:tc>
        <w:tc>
          <w:tcPr>
            <w:tcW w:w="1019" w:type="dxa"/>
            <w:tcBorders>
              <w:top w:val="nil"/>
              <w:left w:val="nil"/>
              <w:right w:val="nil"/>
            </w:tcBorders>
            <w:shd w:val="clear" w:color="auto" w:fill="F2F2F2"/>
            <w:vAlign w:val="center"/>
          </w:tcPr>
          <w:p w:rsidR="009D5EB2" w:rsidRPr="001A5262" w:rsidRDefault="009D5EB2" w:rsidP="00F2417A">
            <w:pPr>
              <w:spacing w:after="0" w:line="240" w:lineRule="auto"/>
              <w:jc w:val="right"/>
              <w:rPr>
                <w:rFonts w:ascii="Century" w:hAnsi="Century"/>
                <w:b/>
                <w:sz w:val="20"/>
                <w:szCs w:val="20"/>
              </w:rPr>
            </w:pPr>
            <w:r>
              <w:rPr>
                <w:rFonts w:ascii="Century" w:hAnsi="Century"/>
                <w:b/>
                <w:bCs/>
                <w:color w:val="000000"/>
                <w:sz w:val="20"/>
                <w:szCs w:val="20"/>
              </w:rPr>
              <w:t>-28</w:t>
            </w:r>
          </w:p>
        </w:tc>
        <w:tc>
          <w:tcPr>
            <w:tcW w:w="1019" w:type="dxa"/>
            <w:tcBorders>
              <w:top w:val="nil"/>
              <w:left w:val="nil"/>
              <w:right w:val="nil"/>
            </w:tcBorders>
            <w:shd w:val="clear" w:color="auto" w:fill="F2F2F2"/>
            <w:vAlign w:val="center"/>
          </w:tcPr>
          <w:p w:rsidR="009D5EB2" w:rsidRPr="001A5262" w:rsidRDefault="009D5EB2" w:rsidP="00F2417A">
            <w:pPr>
              <w:spacing w:after="0" w:line="240" w:lineRule="auto"/>
              <w:jc w:val="right"/>
              <w:rPr>
                <w:rFonts w:ascii="Century" w:hAnsi="Century"/>
                <w:b/>
                <w:sz w:val="20"/>
                <w:szCs w:val="20"/>
              </w:rPr>
            </w:pPr>
            <w:r>
              <w:rPr>
                <w:rFonts w:ascii="Century" w:hAnsi="Century"/>
                <w:b/>
                <w:bCs/>
                <w:color w:val="000000"/>
                <w:sz w:val="20"/>
                <w:szCs w:val="20"/>
              </w:rPr>
              <w:t>-36</w:t>
            </w:r>
          </w:p>
        </w:tc>
        <w:tc>
          <w:tcPr>
            <w:tcW w:w="1019" w:type="dxa"/>
            <w:tcBorders>
              <w:top w:val="nil"/>
              <w:left w:val="nil"/>
              <w:right w:val="nil"/>
            </w:tcBorders>
            <w:shd w:val="clear" w:color="auto" w:fill="F2F2F2"/>
            <w:vAlign w:val="center"/>
          </w:tcPr>
          <w:p w:rsidR="009D5EB2" w:rsidRPr="001A5262" w:rsidRDefault="009D5EB2" w:rsidP="00F2417A">
            <w:pPr>
              <w:spacing w:after="0" w:line="240" w:lineRule="auto"/>
              <w:jc w:val="right"/>
              <w:rPr>
                <w:rFonts w:ascii="Century" w:hAnsi="Century"/>
                <w:b/>
                <w:sz w:val="20"/>
                <w:szCs w:val="20"/>
              </w:rPr>
            </w:pPr>
            <w:r>
              <w:rPr>
                <w:rFonts w:ascii="Century" w:hAnsi="Century"/>
                <w:b/>
                <w:bCs/>
                <w:color w:val="000000"/>
                <w:sz w:val="20"/>
                <w:szCs w:val="20"/>
              </w:rPr>
              <w:t>-37</w:t>
            </w:r>
          </w:p>
        </w:tc>
      </w:tr>
      <w:tr w:rsidR="009D5EB2" w:rsidRPr="001A5262" w:rsidTr="003C4A4E">
        <w:trPr>
          <w:trHeight w:val="340"/>
        </w:trPr>
        <w:tc>
          <w:tcPr>
            <w:tcW w:w="5014" w:type="dxa"/>
            <w:tcBorders>
              <w:top w:val="nil"/>
              <w:left w:val="nil"/>
              <w:bottom w:val="nil"/>
              <w:right w:val="nil"/>
            </w:tcBorders>
            <w:shd w:val="clear" w:color="auto" w:fill="auto"/>
            <w:vAlign w:val="center"/>
          </w:tcPr>
          <w:p w:rsidR="009D5EB2" w:rsidRPr="00D96022" w:rsidRDefault="009D5EB2" w:rsidP="00F2417A">
            <w:pPr>
              <w:spacing w:after="0" w:line="240" w:lineRule="auto"/>
              <w:rPr>
                <w:rFonts w:ascii="Century" w:hAnsi="Century"/>
                <w:bCs/>
                <w:sz w:val="20"/>
                <w:szCs w:val="20"/>
              </w:rPr>
            </w:pPr>
            <w:r w:rsidRPr="00D96022">
              <w:rPr>
                <w:rFonts w:ascii="Century" w:hAnsi="Century"/>
                <w:bCs/>
                <w:sz w:val="20"/>
                <w:szCs w:val="20"/>
              </w:rPr>
              <w:t>Остатки на начало года</w:t>
            </w:r>
          </w:p>
        </w:tc>
        <w:tc>
          <w:tcPr>
            <w:tcW w:w="1019" w:type="dxa"/>
            <w:tcBorders>
              <w:top w:val="nil"/>
              <w:left w:val="nil"/>
              <w:bottom w:val="nil"/>
              <w:right w:val="nil"/>
            </w:tcBorders>
            <w:shd w:val="clear" w:color="auto" w:fill="auto"/>
            <w:vAlign w:val="center"/>
          </w:tcPr>
          <w:p w:rsidR="009D5EB2" w:rsidRPr="009D5EB2" w:rsidRDefault="009D5EB2" w:rsidP="009D5EB2">
            <w:pPr>
              <w:spacing w:after="0" w:line="240" w:lineRule="auto"/>
              <w:jc w:val="right"/>
              <w:rPr>
                <w:rFonts w:ascii="Century" w:hAnsi="Century"/>
                <w:bCs/>
                <w:iCs/>
                <w:color w:val="000000"/>
                <w:sz w:val="20"/>
                <w:szCs w:val="20"/>
              </w:rPr>
            </w:pPr>
            <w:r w:rsidRPr="009D5EB2">
              <w:rPr>
                <w:rFonts w:ascii="Century" w:hAnsi="Century"/>
                <w:bCs/>
                <w:iCs/>
                <w:color w:val="000000"/>
                <w:sz w:val="20"/>
                <w:szCs w:val="20"/>
              </w:rPr>
              <w:t>143</w:t>
            </w:r>
          </w:p>
        </w:tc>
        <w:tc>
          <w:tcPr>
            <w:tcW w:w="1019" w:type="dxa"/>
            <w:tcBorders>
              <w:top w:val="nil"/>
              <w:left w:val="nil"/>
              <w:bottom w:val="nil"/>
              <w:right w:val="nil"/>
            </w:tcBorders>
            <w:shd w:val="clear" w:color="auto" w:fill="auto"/>
            <w:vAlign w:val="center"/>
          </w:tcPr>
          <w:p w:rsidR="009D5EB2" w:rsidRPr="009D5EB2" w:rsidRDefault="009D5EB2" w:rsidP="00F2417A">
            <w:pPr>
              <w:spacing w:after="0" w:line="240" w:lineRule="auto"/>
              <w:jc w:val="right"/>
              <w:rPr>
                <w:rFonts w:ascii="Century" w:hAnsi="Century"/>
                <w:bCs/>
                <w:color w:val="000000"/>
                <w:sz w:val="20"/>
                <w:szCs w:val="20"/>
              </w:rPr>
            </w:pPr>
            <w:r w:rsidRPr="009D5EB2">
              <w:rPr>
                <w:rFonts w:ascii="Century" w:hAnsi="Century"/>
                <w:bCs/>
                <w:color w:val="000000"/>
                <w:sz w:val="20"/>
                <w:szCs w:val="20"/>
              </w:rPr>
              <w:t>102</w:t>
            </w:r>
          </w:p>
        </w:tc>
        <w:tc>
          <w:tcPr>
            <w:tcW w:w="1019" w:type="dxa"/>
            <w:tcBorders>
              <w:top w:val="nil"/>
              <w:left w:val="nil"/>
              <w:bottom w:val="nil"/>
              <w:right w:val="nil"/>
            </w:tcBorders>
            <w:shd w:val="clear" w:color="auto" w:fill="auto"/>
            <w:vAlign w:val="center"/>
          </w:tcPr>
          <w:p w:rsidR="009D5EB2" w:rsidRPr="00D96022" w:rsidRDefault="009D5EB2" w:rsidP="00F2417A">
            <w:pPr>
              <w:spacing w:after="0" w:line="240" w:lineRule="auto"/>
              <w:jc w:val="right"/>
              <w:rPr>
                <w:rFonts w:ascii="Century" w:hAnsi="Century"/>
                <w:bCs/>
                <w:color w:val="000000"/>
                <w:sz w:val="20"/>
                <w:szCs w:val="20"/>
              </w:rPr>
            </w:pPr>
            <w:r w:rsidRPr="00D96022">
              <w:rPr>
                <w:rFonts w:ascii="Century" w:hAnsi="Century"/>
                <w:bCs/>
                <w:color w:val="000000"/>
                <w:sz w:val="20"/>
                <w:szCs w:val="20"/>
              </w:rPr>
              <w:t>74</w:t>
            </w:r>
          </w:p>
        </w:tc>
        <w:tc>
          <w:tcPr>
            <w:tcW w:w="1019" w:type="dxa"/>
            <w:tcBorders>
              <w:top w:val="nil"/>
              <w:left w:val="nil"/>
              <w:bottom w:val="nil"/>
              <w:right w:val="nil"/>
            </w:tcBorders>
            <w:shd w:val="clear" w:color="auto" w:fill="auto"/>
            <w:vAlign w:val="center"/>
          </w:tcPr>
          <w:p w:rsidR="009D5EB2" w:rsidRPr="00D96022" w:rsidRDefault="009D5EB2" w:rsidP="00F2417A">
            <w:pPr>
              <w:spacing w:after="0" w:line="240" w:lineRule="auto"/>
              <w:jc w:val="right"/>
              <w:rPr>
                <w:rFonts w:ascii="Century" w:hAnsi="Century"/>
                <w:bCs/>
                <w:color w:val="000000"/>
                <w:sz w:val="20"/>
                <w:szCs w:val="20"/>
              </w:rPr>
            </w:pPr>
            <w:r w:rsidRPr="00D96022">
              <w:rPr>
                <w:rFonts w:ascii="Century" w:hAnsi="Century"/>
                <w:bCs/>
                <w:color w:val="000000"/>
                <w:sz w:val="20"/>
                <w:szCs w:val="20"/>
              </w:rPr>
              <w:t>39</w:t>
            </w:r>
          </w:p>
        </w:tc>
      </w:tr>
      <w:tr w:rsidR="009D5EB2" w:rsidRPr="001A5262" w:rsidTr="003C4A4E">
        <w:trPr>
          <w:trHeight w:val="340"/>
        </w:trPr>
        <w:tc>
          <w:tcPr>
            <w:tcW w:w="5014" w:type="dxa"/>
            <w:tcBorders>
              <w:top w:val="nil"/>
              <w:left w:val="nil"/>
              <w:bottom w:val="single" w:sz="4" w:space="0" w:color="auto"/>
              <w:right w:val="nil"/>
            </w:tcBorders>
            <w:shd w:val="clear" w:color="auto" w:fill="F2F2F2"/>
            <w:vAlign w:val="center"/>
          </w:tcPr>
          <w:p w:rsidR="009D5EB2" w:rsidRPr="00D96022" w:rsidRDefault="009D5EB2" w:rsidP="00F2417A">
            <w:pPr>
              <w:spacing w:after="0" w:line="240" w:lineRule="auto"/>
              <w:rPr>
                <w:rFonts w:ascii="Century" w:hAnsi="Century"/>
                <w:bCs/>
                <w:sz w:val="20"/>
                <w:szCs w:val="20"/>
              </w:rPr>
            </w:pPr>
            <w:r w:rsidRPr="00D96022">
              <w:rPr>
                <w:rFonts w:ascii="Century" w:hAnsi="Century"/>
                <w:bCs/>
                <w:sz w:val="20"/>
                <w:szCs w:val="20"/>
              </w:rPr>
              <w:t>Остатки на конец года</w:t>
            </w:r>
          </w:p>
        </w:tc>
        <w:tc>
          <w:tcPr>
            <w:tcW w:w="1019" w:type="dxa"/>
            <w:tcBorders>
              <w:top w:val="nil"/>
              <w:left w:val="nil"/>
              <w:bottom w:val="single" w:sz="4" w:space="0" w:color="auto"/>
              <w:right w:val="nil"/>
            </w:tcBorders>
            <w:shd w:val="clear" w:color="auto" w:fill="F2F2F2"/>
            <w:vAlign w:val="center"/>
          </w:tcPr>
          <w:p w:rsidR="009D5EB2" w:rsidRPr="009D5EB2" w:rsidRDefault="009D5EB2" w:rsidP="009D5EB2">
            <w:pPr>
              <w:spacing w:after="0" w:line="240" w:lineRule="auto"/>
              <w:jc w:val="right"/>
              <w:rPr>
                <w:rFonts w:ascii="Century" w:hAnsi="Century"/>
                <w:bCs/>
                <w:iCs/>
                <w:color w:val="000000"/>
                <w:sz w:val="20"/>
                <w:szCs w:val="20"/>
              </w:rPr>
            </w:pPr>
            <w:r w:rsidRPr="009D5EB2">
              <w:rPr>
                <w:rFonts w:ascii="Century" w:hAnsi="Century"/>
                <w:bCs/>
                <w:iCs/>
                <w:color w:val="000000"/>
                <w:sz w:val="20"/>
                <w:szCs w:val="20"/>
              </w:rPr>
              <w:t>102</w:t>
            </w:r>
          </w:p>
        </w:tc>
        <w:tc>
          <w:tcPr>
            <w:tcW w:w="1019" w:type="dxa"/>
            <w:tcBorders>
              <w:top w:val="nil"/>
              <w:left w:val="nil"/>
              <w:bottom w:val="single" w:sz="4" w:space="0" w:color="auto"/>
              <w:right w:val="nil"/>
            </w:tcBorders>
            <w:shd w:val="clear" w:color="auto" w:fill="F2F2F2"/>
            <w:vAlign w:val="center"/>
          </w:tcPr>
          <w:p w:rsidR="009D5EB2" w:rsidRPr="009D5EB2" w:rsidRDefault="009D5EB2" w:rsidP="00F2417A">
            <w:pPr>
              <w:spacing w:after="0" w:line="240" w:lineRule="auto"/>
              <w:jc w:val="right"/>
              <w:rPr>
                <w:rFonts w:ascii="Century" w:hAnsi="Century"/>
                <w:bCs/>
                <w:color w:val="000000"/>
                <w:sz w:val="20"/>
                <w:szCs w:val="20"/>
              </w:rPr>
            </w:pPr>
            <w:r w:rsidRPr="009D5EB2">
              <w:rPr>
                <w:rFonts w:ascii="Century" w:hAnsi="Century"/>
                <w:bCs/>
                <w:color w:val="000000"/>
                <w:sz w:val="20"/>
                <w:szCs w:val="20"/>
              </w:rPr>
              <w:t>74</w:t>
            </w:r>
          </w:p>
        </w:tc>
        <w:tc>
          <w:tcPr>
            <w:tcW w:w="1019" w:type="dxa"/>
            <w:tcBorders>
              <w:top w:val="nil"/>
              <w:left w:val="nil"/>
              <w:bottom w:val="single" w:sz="4" w:space="0" w:color="auto"/>
              <w:right w:val="nil"/>
            </w:tcBorders>
            <w:shd w:val="clear" w:color="auto" w:fill="F2F2F2"/>
            <w:vAlign w:val="center"/>
          </w:tcPr>
          <w:p w:rsidR="009D5EB2" w:rsidRPr="00D96022" w:rsidRDefault="009D5EB2" w:rsidP="00F2417A">
            <w:pPr>
              <w:spacing w:after="0" w:line="240" w:lineRule="auto"/>
              <w:jc w:val="right"/>
              <w:rPr>
                <w:rFonts w:ascii="Century" w:hAnsi="Century"/>
                <w:bCs/>
                <w:color w:val="000000"/>
                <w:sz w:val="20"/>
                <w:szCs w:val="20"/>
              </w:rPr>
            </w:pPr>
            <w:r w:rsidRPr="00D96022">
              <w:rPr>
                <w:rFonts w:ascii="Century" w:hAnsi="Century"/>
                <w:bCs/>
                <w:color w:val="000000"/>
                <w:sz w:val="20"/>
                <w:szCs w:val="20"/>
              </w:rPr>
              <w:t>39</w:t>
            </w:r>
          </w:p>
        </w:tc>
        <w:tc>
          <w:tcPr>
            <w:tcW w:w="1019" w:type="dxa"/>
            <w:tcBorders>
              <w:top w:val="nil"/>
              <w:left w:val="nil"/>
              <w:bottom w:val="single" w:sz="4" w:space="0" w:color="auto"/>
              <w:right w:val="nil"/>
            </w:tcBorders>
            <w:shd w:val="clear" w:color="auto" w:fill="F2F2F2"/>
            <w:vAlign w:val="center"/>
          </w:tcPr>
          <w:p w:rsidR="009D5EB2" w:rsidRPr="00D96022" w:rsidRDefault="009D5EB2" w:rsidP="00F2417A">
            <w:pPr>
              <w:spacing w:after="0" w:line="240" w:lineRule="auto"/>
              <w:jc w:val="right"/>
              <w:rPr>
                <w:rFonts w:ascii="Century" w:hAnsi="Century"/>
                <w:bCs/>
                <w:color w:val="000000"/>
                <w:sz w:val="20"/>
                <w:szCs w:val="20"/>
              </w:rPr>
            </w:pPr>
            <w:r w:rsidRPr="00D96022">
              <w:rPr>
                <w:rFonts w:ascii="Century" w:hAnsi="Century"/>
                <w:bCs/>
                <w:color w:val="000000"/>
                <w:sz w:val="20"/>
                <w:szCs w:val="20"/>
              </w:rPr>
              <w:t>2</w:t>
            </w:r>
          </w:p>
        </w:tc>
      </w:tr>
    </w:tbl>
    <w:p w:rsidR="00A71D96" w:rsidRPr="006C7076" w:rsidRDefault="00A71D96" w:rsidP="00A71D96">
      <w:pPr>
        <w:spacing w:before="120" w:after="120"/>
        <w:jc w:val="both"/>
        <w:rPr>
          <w:rFonts w:ascii="Times New Roman" w:hAnsi="Times New Roman"/>
          <w:sz w:val="24"/>
          <w:szCs w:val="28"/>
        </w:rPr>
      </w:pPr>
      <w:r w:rsidRPr="006C7076">
        <w:rPr>
          <w:rFonts w:ascii="Times New Roman" w:hAnsi="Times New Roman"/>
          <w:b/>
          <w:sz w:val="24"/>
          <w:szCs w:val="28"/>
        </w:rPr>
        <w:t>Доходная часть</w:t>
      </w:r>
      <w:r w:rsidRPr="006C7076">
        <w:rPr>
          <w:rFonts w:ascii="Times New Roman" w:hAnsi="Times New Roman"/>
          <w:sz w:val="24"/>
          <w:szCs w:val="28"/>
        </w:rPr>
        <w:t xml:space="preserve"> бюджета Фонда социального страхования формируется по обязательному социальному страхованию на случай временной нетрудоспособности и в связи с материнством и по обязательному социальному страхованию от несчастных случаев на производстве и профессиональных заболеваний с учетом страховых взносов, поступающих в бюджет Фонда по названным видам обязательного социального страхования.</w:t>
      </w:r>
    </w:p>
    <w:p w:rsidR="00A71D96" w:rsidRDefault="00A71D96" w:rsidP="00A71D96">
      <w:pPr>
        <w:spacing w:before="120" w:after="120"/>
        <w:jc w:val="both"/>
        <w:rPr>
          <w:rFonts w:ascii="Times New Roman" w:hAnsi="Times New Roman"/>
          <w:sz w:val="24"/>
          <w:szCs w:val="28"/>
        </w:rPr>
      </w:pPr>
      <w:r w:rsidRPr="00626276">
        <w:rPr>
          <w:rFonts w:ascii="Times New Roman" w:hAnsi="Times New Roman"/>
          <w:sz w:val="24"/>
          <w:szCs w:val="28"/>
        </w:rPr>
        <w:t xml:space="preserve">Доходы от страховых взносов на обязательное социальное страхование на случай временной нетрудоспособности и в связи с материнством определяются исходя из тарифа 2,9% по основной категории плательщиков и по пониженным тарифам. </w:t>
      </w:r>
    </w:p>
    <w:p w:rsidR="00A71D96" w:rsidRDefault="00A71D96" w:rsidP="00A71D96">
      <w:pPr>
        <w:spacing w:before="120" w:after="120"/>
        <w:jc w:val="both"/>
        <w:rPr>
          <w:rFonts w:ascii="Times New Roman" w:hAnsi="Times New Roman"/>
          <w:sz w:val="24"/>
          <w:szCs w:val="28"/>
        </w:rPr>
      </w:pPr>
      <w:r w:rsidRPr="00626276">
        <w:rPr>
          <w:rFonts w:ascii="Times New Roman" w:hAnsi="Times New Roman"/>
          <w:sz w:val="24"/>
          <w:szCs w:val="28"/>
        </w:rPr>
        <w:t xml:space="preserve">Тарифы страховых взносов на обязательное социальное страхование от несчастных случаев на производстве и профессиональных заболеваний, дифференцированные по видам экономической деятельности в зависимости от класса профессионального риска, устанавливаются ежегодно. </w:t>
      </w:r>
    </w:p>
    <w:p w:rsidR="00A71D96" w:rsidRPr="00057368" w:rsidRDefault="00A71D96" w:rsidP="00A71D96">
      <w:pPr>
        <w:spacing w:before="120" w:after="120"/>
        <w:jc w:val="both"/>
        <w:rPr>
          <w:rFonts w:ascii="Times New Roman" w:hAnsi="Times New Roman"/>
          <w:sz w:val="24"/>
          <w:szCs w:val="28"/>
        </w:rPr>
      </w:pPr>
      <w:r w:rsidRPr="00057368">
        <w:rPr>
          <w:rFonts w:ascii="Times New Roman" w:hAnsi="Times New Roman"/>
          <w:sz w:val="24"/>
          <w:szCs w:val="28"/>
        </w:rPr>
        <w:t xml:space="preserve">Доходная часть бюджета Фонда социального страхования также формируется с учетом межбюджетных трансфертов из федерального бюджета, передаваемых на исполнение отдельных государственных полномочий. Их объем оценивается в 2018 году в </w:t>
      </w:r>
      <w:r>
        <w:rPr>
          <w:rFonts w:ascii="Times New Roman" w:hAnsi="Times New Roman"/>
          <w:sz w:val="24"/>
          <w:szCs w:val="28"/>
        </w:rPr>
        <w:t>46,3</w:t>
      </w:r>
      <w:r w:rsidRPr="00057368">
        <w:rPr>
          <w:rFonts w:ascii="Times New Roman" w:hAnsi="Times New Roman"/>
          <w:sz w:val="24"/>
          <w:szCs w:val="28"/>
        </w:rPr>
        <w:t xml:space="preserve"> </w:t>
      </w:r>
      <w:proofErr w:type="gramStart"/>
      <w:r w:rsidRPr="00057368">
        <w:rPr>
          <w:rFonts w:ascii="Times New Roman" w:hAnsi="Times New Roman"/>
          <w:sz w:val="24"/>
          <w:szCs w:val="28"/>
        </w:rPr>
        <w:t>млрд</w:t>
      </w:r>
      <w:proofErr w:type="gramEnd"/>
      <w:r w:rsidRPr="00057368">
        <w:rPr>
          <w:rFonts w:ascii="Times New Roman" w:hAnsi="Times New Roman"/>
          <w:sz w:val="24"/>
          <w:szCs w:val="28"/>
        </w:rPr>
        <w:t xml:space="preserve"> рублей, в 2019 году – </w:t>
      </w:r>
      <w:r>
        <w:rPr>
          <w:rFonts w:ascii="Times New Roman" w:hAnsi="Times New Roman"/>
          <w:sz w:val="24"/>
          <w:szCs w:val="28"/>
        </w:rPr>
        <w:t>32,4</w:t>
      </w:r>
      <w:r w:rsidRPr="00057368">
        <w:rPr>
          <w:rFonts w:ascii="Times New Roman" w:hAnsi="Times New Roman"/>
          <w:sz w:val="24"/>
          <w:szCs w:val="28"/>
        </w:rPr>
        <w:t xml:space="preserve"> млрд рублей, в 2020 году – </w:t>
      </w:r>
      <w:r>
        <w:rPr>
          <w:rFonts w:ascii="Times New Roman" w:hAnsi="Times New Roman"/>
          <w:sz w:val="24"/>
          <w:szCs w:val="28"/>
        </w:rPr>
        <w:t>32,7</w:t>
      </w:r>
      <w:r w:rsidRPr="00057368">
        <w:rPr>
          <w:rFonts w:ascii="Times New Roman" w:hAnsi="Times New Roman"/>
          <w:sz w:val="24"/>
          <w:szCs w:val="28"/>
        </w:rPr>
        <w:t xml:space="preserve"> млрд рублей.</w:t>
      </w:r>
    </w:p>
    <w:p w:rsidR="00A71D96" w:rsidRPr="00B0032C" w:rsidRDefault="00A71D96" w:rsidP="00A71D96">
      <w:pPr>
        <w:spacing w:before="120" w:after="120"/>
        <w:jc w:val="both"/>
        <w:rPr>
          <w:rFonts w:ascii="Times New Roman" w:hAnsi="Times New Roman"/>
          <w:sz w:val="24"/>
          <w:szCs w:val="28"/>
        </w:rPr>
      </w:pPr>
      <w:r w:rsidRPr="00057368">
        <w:rPr>
          <w:rFonts w:ascii="Times New Roman" w:hAnsi="Times New Roman"/>
          <w:sz w:val="24"/>
          <w:szCs w:val="28"/>
        </w:rPr>
        <w:t xml:space="preserve">При прогнозе </w:t>
      </w:r>
      <w:r w:rsidRPr="00057368">
        <w:rPr>
          <w:rFonts w:ascii="Times New Roman" w:hAnsi="Times New Roman"/>
          <w:b/>
          <w:sz w:val="24"/>
          <w:szCs w:val="28"/>
        </w:rPr>
        <w:t>расходов</w:t>
      </w:r>
      <w:r w:rsidRPr="00057368">
        <w:rPr>
          <w:rFonts w:ascii="Times New Roman" w:hAnsi="Times New Roman"/>
          <w:sz w:val="24"/>
          <w:szCs w:val="28"/>
        </w:rPr>
        <w:t xml:space="preserve"> бюджета Фонда социального страхования учитываются данные о численности получателей (количестве выплат) соответствующих социальных пособий и выплат, а также их размеров. Общий объем расходов увеличивается с </w:t>
      </w:r>
      <w:r w:rsidR="00DD6E8D">
        <w:rPr>
          <w:rFonts w:ascii="Times New Roman" w:hAnsi="Times New Roman"/>
          <w:sz w:val="24"/>
          <w:szCs w:val="28"/>
        </w:rPr>
        <w:t>685,0</w:t>
      </w:r>
      <w:r w:rsidRPr="00057368">
        <w:rPr>
          <w:rFonts w:ascii="Times New Roman" w:hAnsi="Times New Roman"/>
          <w:sz w:val="24"/>
          <w:szCs w:val="28"/>
        </w:rPr>
        <w:t xml:space="preserve"> </w:t>
      </w:r>
      <w:proofErr w:type="gramStart"/>
      <w:r w:rsidRPr="00057368">
        <w:rPr>
          <w:rFonts w:ascii="Times New Roman" w:hAnsi="Times New Roman"/>
          <w:sz w:val="24"/>
          <w:szCs w:val="28"/>
        </w:rPr>
        <w:t>млрд</w:t>
      </w:r>
      <w:proofErr w:type="gramEnd"/>
      <w:r w:rsidRPr="00057368">
        <w:rPr>
          <w:rFonts w:ascii="Times New Roman" w:hAnsi="Times New Roman"/>
          <w:sz w:val="24"/>
          <w:szCs w:val="28"/>
        </w:rPr>
        <w:t xml:space="preserve"> рублей в 2017 году до 736,</w:t>
      </w:r>
      <w:r w:rsidR="00720D0B">
        <w:rPr>
          <w:rFonts w:ascii="Times New Roman" w:hAnsi="Times New Roman"/>
          <w:sz w:val="24"/>
          <w:szCs w:val="28"/>
        </w:rPr>
        <w:t>6</w:t>
      </w:r>
      <w:r w:rsidRPr="00057368">
        <w:rPr>
          <w:rFonts w:ascii="Times New Roman" w:hAnsi="Times New Roman"/>
          <w:sz w:val="24"/>
          <w:szCs w:val="28"/>
        </w:rPr>
        <w:t xml:space="preserve"> млрд рублей в 2018 году, то есть на </w:t>
      </w:r>
      <w:r w:rsidR="00DD6E8D">
        <w:rPr>
          <w:rFonts w:ascii="Times New Roman" w:hAnsi="Times New Roman"/>
          <w:sz w:val="24"/>
          <w:szCs w:val="28"/>
        </w:rPr>
        <w:t>7,5</w:t>
      </w:r>
      <w:r w:rsidRPr="00057368">
        <w:rPr>
          <w:rFonts w:ascii="Times New Roman" w:hAnsi="Times New Roman"/>
          <w:sz w:val="24"/>
          <w:szCs w:val="28"/>
        </w:rPr>
        <w:t>%.</w:t>
      </w:r>
    </w:p>
    <w:p w:rsidR="00A71D96" w:rsidRPr="00DE1469" w:rsidRDefault="00A71D96" w:rsidP="00A71D96">
      <w:pPr>
        <w:spacing w:before="120" w:after="120"/>
        <w:jc w:val="both"/>
        <w:rPr>
          <w:rFonts w:ascii="Times New Roman" w:hAnsi="Times New Roman"/>
          <w:sz w:val="24"/>
          <w:szCs w:val="28"/>
        </w:rPr>
      </w:pPr>
      <w:r w:rsidRPr="006C7076">
        <w:rPr>
          <w:rFonts w:ascii="Times New Roman" w:hAnsi="Times New Roman"/>
          <w:sz w:val="24"/>
          <w:szCs w:val="28"/>
        </w:rPr>
        <w:t>Одновременно при расчете параметров бюджета Фонда социального страхования учи</w:t>
      </w:r>
      <w:r w:rsidRPr="00DE1469">
        <w:rPr>
          <w:rFonts w:ascii="Times New Roman" w:hAnsi="Times New Roman"/>
          <w:sz w:val="24"/>
          <w:szCs w:val="28"/>
        </w:rPr>
        <w:t xml:space="preserve">тываются расходы на обеспечение его деятельности, объем которых определяется на основе отчетных данных об исполнении бюджета. </w:t>
      </w:r>
    </w:p>
    <w:p w:rsidR="00A71D96" w:rsidRDefault="00A71D96" w:rsidP="00A71D96">
      <w:pPr>
        <w:spacing w:before="120" w:after="120"/>
        <w:jc w:val="both"/>
        <w:rPr>
          <w:rFonts w:ascii="Times New Roman" w:hAnsi="Times New Roman"/>
          <w:sz w:val="24"/>
          <w:szCs w:val="28"/>
        </w:rPr>
      </w:pPr>
      <w:r w:rsidRPr="005227AB">
        <w:rPr>
          <w:rFonts w:ascii="Times New Roman" w:hAnsi="Times New Roman"/>
          <w:sz w:val="24"/>
          <w:szCs w:val="28"/>
        </w:rPr>
        <w:t xml:space="preserve">Предполагается, что на покрытие дефицита бюджета Фонда в части обязательного социального страхования по случаю временной нетрудоспособности и в связи с материнством будет использован «резерв по обязательному социальному страхованию от несчастных случаев на производстве». </w:t>
      </w:r>
      <w:r w:rsidRPr="00EE20E6">
        <w:rPr>
          <w:rFonts w:ascii="Times New Roman" w:hAnsi="Times New Roman"/>
          <w:sz w:val="24"/>
          <w:szCs w:val="28"/>
        </w:rPr>
        <w:t>Данная мера является вынужденной и применяется как альтернатива повышения тарифа страховых взносов на обязательное социальное страхование на случай временной нетрудоспособности и в связи с материнством.</w:t>
      </w:r>
      <w:r>
        <w:rPr>
          <w:rFonts w:ascii="Times New Roman" w:hAnsi="Times New Roman"/>
          <w:sz w:val="24"/>
          <w:szCs w:val="28"/>
        </w:rPr>
        <w:t xml:space="preserve"> У</w:t>
      </w:r>
      <w:r w:rsidRPr="00EE20E6">
        <w:rPr>
          <w:rFonts w:ascii="Times New Roman" w:hAnsi="Times New Roman"/>
          <w:sz w:val="24"/>
          <w:szCs w:val="28"/>
        </w:rPr>
        <w:t>величение тарифов страховых взносов в целях обеспечения сбалансированности бюджета Фонда приведет к дополнительной фискальной нагрузке на фонд оплаты труда предприятий и организаций всех без исключений отраслей отечественной экономики, но в большей степени скажется на наиболее высокотехнологичных и высокопроизводительных компаниях, в которых уровень заработной платы превышает средний по экономике.</w:t>
      </w:r>
    </w:p>
    <w:p w:rsidR="00A71D96" w:rsidRDefault="00A71D96" w:rsidP="00A71D96">
      <w:pPr>
        <w:spacing w:before="120" w:after="120"/>
        <w:jc w:val="both"/>
        <w:rPr>
          <w:rFonts w:ascii="Times New Roman" w:hAnsi="Times New Roman"/>
          <w:sz w:val="24"/>
          <w:szCs w:val="28"/>
        </w:rPr>
      </w:pPr>
      <w:r w:rsidRPr="005227AB">
        <w:rPr>
          <w:rFonts w:ascii="Times New Roman" w:hAnsi="Times New Roman"/>
          <w:sz w:val="24"/>
          <w:szCs w:val="28"/>
        </w:rPr>
        <w:t xml:space="preserve">Также предполагается, что в целях снижения дефицита бюджета Фонда перенос срока перехода на «прямые» выплаты на </w:t>
      </w:r>
      <w:r w:rsidR="00720D0B">
        <w:rPr>
          <w:rFonts w:ascii="Times New Roman" w:hAnsi="Times New Roman"/>
          <w:sz w:val="24"/>
          <w:szCs w:val="28"/>
        </w:rPr>
        <w:t>3</w:t>
      </w:r>
      <w:r w:rsidRPr="005227AB">
        <w:rPr>
          <w:rFonts w:ascii="Times New Roman" w:hAnsi="Times New Roman"/>
          <w:sz w:val="24"/>
          <w:szCs w:val="28"/>
        </w:rPr>
        <w:t xml:space="preserve">1 </w:t>
      </w:r>
      <w:r w:rsidR="00720D0B">
        <w:rPr>
          <w:rFonts w:ascii="Times New Roman" w:hAnsi="Times New Roman"/>
          <w:sz w:val="24"/>
          <w:szCs w:val="28"/>
        </w:rPr>
        <w:t>декабря</w:t>
      </w:r>
      <w:r w:rsidRPr="005227AB">
        <w:rPr>
          <w:rFonts w:ascii="Times New Roman" w:hAnsi="Times New Roman"/>
          <w:sz w:val="24"/>
          <w:szCs w:val="28"/>
        </w:rPr>
        <w:t xml:space="preserve"> 202</w:t>
      </w:r>
      <w:r>
        <w:rPr>
          <w:rFonts w:ascii="Times New Roman" w:hAnsi="Times New Roman"/>
          <w:sz w:val="24"/>
          <w:szCs w:val="28"/>
        </w:rPr>
        <w:t>4</w:t>
      </w:r>
      <w:r w:rsidRPr="005227AB">
        <w:rPr>
          <w:rFonts w:ascii="Times New Roman" w:hAnsi="Times New Roman"/>
          <w:sz w:val="24"/>
          <w:szCs w:val="28"/>
        </w:rPr>
        <w:t xml:space="preserve"> года. Такие решения позволят обеспечить временную сбалансированность Фонда в течение планового периода, однако впоследствии потребуется реализация комплекса мер, направленных на обеспечение структурной сбалансированности в соответствие со страховыми принципами.</w:t>
      </w:r>
    </w:p>
    <w:p w:rsidR="00A71D96" w:rsidRPr="005227AB" w:rsidRDefault="00A71D96" w:rsidP="00A71D96">
      <w:pPr>
        <w:spacing w:before="120" w:after="120"/>
        <w:jc w:val="both"/>
        <w:rPr>
          <w:rFonts w:ascii="Times New Roman" w:hAnsi="Times New Roman"/>
          <w:sz w:val="24"/>
          <w:szCs w:val="28"/>
        </w:rPr>
      </w:pPr>
      <w:r w:rsidRPr="006C7076">
        <w:rPr>
          <w:rFonts w:ascii="Times New Roman" w:hAnsi="Times New Roman"/>
          <w:b/>
          <w:sz w:val="28"/>
          <w:szCs w:val="28"/>
        </w:rPr>
        <w:t>Федеральный фонд обязательного медицинского страхования</w:t>
      </w:r>
    </w:p>
    <w:p w:rsidR="00A71D96" w:rsidRPr="006C7076" w:rsidRDefault="00A71D96" w:rsidP="00A71D96">
      <w:pPr>
        <w:spacing w:before="120" w:after="120"/>
        <w:jc w:val="both"/>
        <w:rPr>
          <w:rFonts w:ascii="Times New Roman" w:hAnsi="Times New Roman"/>
          <w:sz w:val="24"/>
          <w:szCs w:val="28"/>
        </w:rPr>
      </w:pPr>
      <w:r w:rsidRPr="006C7076">
        <w:rPr>
          <w:rFonts w:ascii="Times New Roman" w:hAnsi="Times New Roman"/>
          <w:sz w:val="24"/>
          <w:szCs w:val="28"/>
        </w:rPr>
        <w:t xml:space="preserve">Формирование объема и структуры расходов бюджета Федерального фонда обязательного медицинского страхования на 2018-2020 годы осуществляется исходя из необходимости </w:t>
      </w:r>
      <w:r w:rsidRPr="00C17B5E">
        <w:rPr>
          <w:rFonts w:ascii="Times New Roman" w:hAnsi="Times New Roman"/>
          <w:sz w:val="24"/>
          <w:szCs w:val="28"/>
        </w:rPr>
        <w:t>обеспечения устойчивости финансовой системы обязательного медицинского страхования, обеспечиваемой на основе эквивалентности страхового обеспечения средствам обязательного медицинского страхования, источником которых являются страховые взносы на обязательное медицинское страхование, уплачиваемые страхователями.</w:t>
      </w:r>
      <w:r>
        <w:rPr>
          <w:rFonts w:ascii="Times New Roman" w:hAnsi="Times New Roman"/>
          <w:sz w:val="24"/>
          <w:szCs w:val="28"/>
        </w:rPr>
        <w:t xml:space="preserve"> </w:t>
      </w:r>
    </w:p>
    <w:p w:rsidR="00A71D96" w:rsidRDefault="00A71D96" w:rsidP="00A71D96">
      <w:pPr>
        <w:spacing w:before="120" w:after="120"/>
        <w:jc w:val="both"/>
        <w:rPr>
          <w:rFonts w:ascii="Times New Roman" w:hAnsi="Times New Roman"/>
          <w:sz w:val="24"/>
          <w:szCs w:val="28"/>
        </w:rPr>
      </w:pPr>
      <w:r w:rsidRPr="00F31180">
        <w:rPr>
          <w:rFonts w:ascii="Times New Roman" w:hAnsi="Times New Roman"/>
          <w:b/>
          <w:sz w:val="24"/>
          <w:szCs w:val="28"/>
        </w:rPr>
        <w:t xml:space="preserve">Таблица </w:t>
      </w:r>
      <w:r w:rsidRPr="002B72A8">
        <w:rPr>
          <w:rFonts w:ascii="Times New Roman" w:hAnsi="Times New Roman"/>
          <w:b/>
          <w:sz w:val="24"/>
          <w:szCs w:val="28"/>
        </w:rPr>
        <w:t>4</w:t>
      </w:r>
      <w:r w:rsidRPr="00F31180">
        <w:rPr>
          <w:rFonts w:ascii="Times New Roman" w:hAnsi="Times New Roman"/>
          <w:b/>
          <w:sz w:val="24"/>
          <w:szCs w:val="28"/>
        </w:rPr>
        <w:t>.3.3</w:t>
      </w:r>
      <w:r w:rsidRPr="00F31180">
        <w:rPr>
          <w:rFonts w:ascii="Times New Roman" w:hAnsi="Times New Roman"/>
          <w:b/>
          <w:sz w:val="24"/>
          <w:szCs w:val="24"/>
        </w:rPr>
        <w:t>.</w:t>
      </w:r>
      <w:r w:rsidRPr="00F31180">
        <w:rPr>
          <w:rFonts w:ascii="Times New Roman" w:hAnsi="Times New Roman"/>
          <w:sz w:val="24"/>
          <w:szCs w:val="28"/>
        </w:rPr>
        <w:t xml:space="preserve"> Основные характеристики бюджета Федерального фонда обязательного медицинского страхования в 2017-2020 гг.</w:t>
      </w:r>
    </w:p>
    <w:p w:rsidR="00A71D96" w:rsidRPr="006C7076" w:rsidRDefault="00A71D96" w:rsidP="00A71D96">
      <w:pPr>
        <w:spacing w:before="120" w:after="0"/>
        <w:jc w:val="right"/>
        <w:rPr>
          <w:rFonts w:ascii="Times New Roman" w:hAnsi="Times New Roman"/>
          <w:szCs w:val="28"/>
        </w:rPr>
      </w:pPr>
      <w:proofErr w:type="gramStart"/>
      <w:r w:rsidRPr="006C7076">
        <w:rPr>
          <w:rFonts w:ascii="Times New Roman" w:hAnsi="Times New Roman"/>
          <w:i/>
          <w:szCs w:val="28"/>
        </w:rPr>
        <w:t>млрд</w:t>
      </w:r>
      <w:proofErr w:type="gramEnd"/>
      <w:r w:rsidRPr="006C7076">
        <w:rPr>
          <w:rFonts w:ascii="Times New Roman" w:hAnsi="Times New Roman"/>
          <w:i/>
          <w:szCs w:val="28"/>
        </w:rPr>
        <w:t xml:space="preserve">  рублей</w:t>
      </w:r>
    </w:p>
    <w:tbl>
      <w:tblPr>
        <w:tblW w:w="9090" w:type="dxa"/>
        <w:tblLayout w:type="fixed"/>
        <w:tblLook w:val="00A0" w:firstRow="1" w:lastRow="0" w:firstColumn="1" w:lastColumn="0" w:noHBand="0" w:noVBand="0"/>
      </w:tblPr>
      <w:tblGrid>
        <w:gridCol w:w="5014"/>
        <w:gridCol w:w="1019"/>
        <w:gridCol w:w="1019"/>
        <w:gridCol w:w="1019"/>
        <w:gridCol w:w="1019"/>
      </w:tblGrid>
      <w:tr w:rsidR="00A71D96" w:rsidRPr="001A5262" w:rsidTr="00F2417A">
        <w:trPr>
          <w:trHeight w:val="340"/>
        </w:trPr>
        <w:tc>
          <w:tcPr>
            <w:tcW w:w="5014" w:type="dxa"/>
            <w:tcBorders>
              <w:top w:val="single" w:sz="4" w:space="0" w:color="auto"/>
              <w:left w:val="nil"/>
              <w:bottom w:val="single" w:sz="4" w:space="0" w:color="auto"/>
              <w:right w:val="nil"/>
            </w:tcBorders>
          </w:tcPr>
          <w:p w:rsidR="00A71D96" w:rsidRPr="001A5262" w:rsidRDefault="00A71D96" w:rsidP="00F2417A">
            <w:pPr>
              <w:spacing w:after="0" w:line="240" w:lineRule="auto"/>
              <w:rPr>
                <w:rFonts w:ascii="Century" w:hAnsi="Century"/>
                <w:b/>
                <w:bCs/>
                <w:szCs w:val="20"/>
              </w:rPr>
            </w:pPr>
            <w:r w:rsidRPr="001A5262">
              <w:rPr>
                <w:rFonts w:ascii="Century" w:hAnsi="Century"/>
                <w:b/>
                <w:bCs/>
                <w:szCs w:val="20"/>
              </w:rPr>
              <w:t>Показатель</w:t>
            </w:r>
          </w:p>
        </w:tc>
        <w:tc>
          <w:tcPr>
            <w:tcW w:w="1019" w:type="dxa"/>
            <w:tcBorders>
              <w:top w:val="single" w:sz="4" w:space="0" w:color="auto"/>
              <w:left w:val="nil"/>
              <w:bottom w:val="single" w:sz="4" w:space="0" w:color="auto"/>
              <w:right w:val="nil"/>
            </w:tcBorders>
          </w:tcPr>
          <w:p w:rsidR="00A71D96" w:rsidRPr="001A5262" w:rsidRDefault="00A71D96" w:rsidP="00F2417A">
            <w:pPr>
              <w:spacing w:after="0" w:line="240" w:lineRule="auto"/>
              <w:jc w:val="right"/>
              <w:rPr>
                <w:rFonts w:ascii="Century" w:hAnsi="Century"/>
                <w:b/>
                <w:bCs/>
                <w:szCs w:val="20"/>
              </w:rPr>
            </w:pPr>
            <w:r w:rsidRPr="001A5262">
              <w:rPr>
                <w:rFonts w:ascii="Century" w:hAnsi="Century"/>
                <w:b/>
                <w:bCs/>
                <w:szCs w:val="20"/>
              </w:rPr>
              <w:t>2017</w:t>
            </w:r>
          </w:p>
        </w:tc>
        <w:tc>
          <w:tcPr>
            <w:tcW w:w="1019" w:type="dxa"/>
            <w:tcBorders>
              <w:top w:val="single" w:sz="4" w:space="0" w:color="auto"/>
              <w:left w:val="nil"/>
              <w:bottom w:val="single" w:sz="4" w:space="0" w:color="auto"/>
              <w:right w:val="nil"/>
            </w:tcBorders>
          </w:tcPr>
          <w:p w:rsidR="00A71D96" w:rsidRPr="001A5262" w:rsidRDefault="00A71D96" w:rsidP="00F2417A">
            <w:pPr>
              <w:spacing w:after="0" w:line="240" w:lineRule="auto"/>
              <w:jc w:val="right"/>
              <w:rPr>
                <w:rFonts w:ascii="Century" w:hAnsi="Century"/>
                <w:b/>
                <w:bCs/>
                <w:szCs w:val="20"/>
              </w:rPr>
            </w:pPr>
            <w:r w:rsidRPr="001A5262">
              <w:rPr>
                <w:rFonts w:ascii="Century" w:hAnsi="Century"/>
                <w:b/>
                <w:bCs/>
                <w:szCs w:val="20"/>
              </w:rPr>
              <w:t>2018</w:t>
            </w:r>
          </w:p>
        </w:tc>
        <w:tc>
          <w:tcPr>
            <w:tcW w:w="1019" w:type="dxa"/>
            <w:tcBorders>
              <w:top w:val="single" w:sz="4" w:space="0" w:color="auto"/>
              <w:left w:val="nil"/>
              <w:bottom w:val="single" w:sz="4" w:space="0" w:color="auto"/>
              <w:right w:val="nil"/>
            </w:tcBorders>
          </w:tcPr>
          <w:p w:rsidR="00A71D96" w:rsidRPr="001A5262" w:rsidRDefault="00A71D96" w:rsidP="00F2417A">
            <w:pPr>
              <w:spacing w:after="0" w:line="240" w:lineRule="auto"/>
              <w:jc w:val="right"/>
              <w:rPr>
                <w:rFonts w:ascii="Century" w:hAnsi="Century"/>
                <w:b/>
                <w:bCs/>
                <w:szCs w:val="20"/>
              </w:rPr>
            </w:pPr>
            <w:r w:rsidRPr="001A5262">
              <w:rPr>
                <w:rFonts w:ascii="Century" w:hAnsi="Century"/>
                <w:b/>
                <w:bCs/>
                <w:szCs w:val="20"/>
              </w:rPr>
              <w:t>2019</w:t>
            </w:r>
          </w:p>
        </w:tc>
        <w:tc>
          <w:tcPr>
            <w:tcW w:w="1019" w:type="dxa"/>
            <w:tcBorders>
              <w:top w:val="single" w:sz="4" w:space="0" w:color="auto"/>
              <w:left w:val="nil"/>
              <w:bottom w:val="single" w:sz="4" w:space="0" w:color="auto"/>
              <w:right w:val="nil"/>
            </w:tcBorders>
          </w:tcPr>
          <w:p w:rsidR="00A71D96" w:rsidRPr="001A5262" w:rsidRDefault="00A71D96" w:rsidP="00F2417A">
            <w:pPr>
              <w:spacing w:after="0" w:line="240" w:lineRule="auto"/>
              <w:jc w:val="right"/>
              <w:rPr>
                <w:rFonts w:ascii="Century" w:hAnsi="Century"/>
                <w:b/>
                <w:bCs/>
                <w:szCs w:val="20"/>
              </w:rPr>
            </w:pPr>
            <w:r w:rsidRPr="001A5262">
              <w:rPr>
                <w:rFonts w:ascii="Century" w:hAnsi="Century"/>
                <w:b/>
                <w:bCs/>
                <w:szCs w:val="20"/>
              </w:rPr>
              <w:t>2020</w:t>
            </w:r>
          </w:p>
        </w:tc>
      </w:tr>
      <w:tr w:rsidR="00A71D96" w:rsidRPr="001A5262" w:rsidTr="003C4A4E">
        <w:trPr>
          <w:trHeight w:val="340"/>
        </w:trPr>
        <w:tc>
          <w:tcPr>
            <w:tcW w:w="5014" w:type="dxa"/>
            <w:shd w:val="clear" w:color="auto" w:fill="F2F2F2"/>
            <w:vAlign w:val="center"/>
          </w:tcPr>
          <w:p w:rsidR="00A71D96" w:rsidRPr="001A5262" w:rsidRDefault="00A71D96" w:rsidP="00F2417A">
            <w:pPr>
              <w:spacing w:after="0" w:line="240" w:lineRule="auto"/>
              <w:rPr>
                <w:rFonts w:ascii="Century" w:hAnsi="Century"/>
                <w:b/>
                <w:bCs/>
                <w:i/>
                <w:iCs/>
                <w:color w:val="000000"/>
                <w:sz w:val="20"/>
                <w:szCs w:val="20"/>
                <w:lang w:eastAsia="ru-RU"/>
              </w:rPr>
            </w:pPr>
            <w:r w:rsidRPr="001A5262">
              <w:rPr>
                <w:rFonts w:ascii="Century" w:hAnsi="Century"/>
                <w:b/>
                <w:bCs/>
                <w:sz w:val="20"/>
                <w:szCs w:val="20"/>
              </w:rPr>
              <w:t>Доходы</w:t>
            </w:r>
          </w:p>
        </w:tc>
        <w:tc>
          <w:tcPr>
            <w:tcW w:w="1019" w:type="dxa"/>
            <w:shd w:val="clear" w:color="auto" w:fill="F2F2F2"/>
            <w:vAlign w:val="center"/>
          </w:tcPr>
          <w:p w:rsidR="00A71D96" w:rsidRPr="00E503B1" w:rsidRDefault="00A71D96" w:rsidP="00F2417A">
            <w:pPr>
              <w:spacing w:after="0" w:line="240" w:lineRule="auto"/>
              <w:jc w:val="right"/>
              <w:rPr>
                <w:rFonts w:ascii="Century" w:hAnsi="Century"/>
                <w:b/>
                <w:i/>
                <w:iCs/>
                <w:sz w:val="20"/>
                <w:szCs w:val="20"/>
              </w:rPr>
            </w:pPr>
            <w:r w:rsidRPr="00E503B1">
              <w:rPr>
                <w:rFonts w:ascii="Century" w:hAnsi="Century" w:cs="Arial Cyr"/>
                <w:b/>
                <w:bCs/>
                <w:sz w:val="20"/>
                <w:szCs w:val="20"/>
              </w:rPr>
              <w:t>1 706</w:t>
            </w:r>
          </w:p>
        </w:tc>
        <w:tc>
          <w:tcPr>
            <w:tcW w:w="1019" w:type="dxa"/>
            <w:shd w:val="clear" w:color="auto" w:fill="F2F2F2"/>
            <w:vAlign w:val="center"/>
          </w:tcPr>
          <w:p w:rsidR="00A71D96" w:rsidRPr="00E503B1" w:rsidRDefault="00A71D96" w:rsidP="00F2417A">
            <w:pPr>
              <w:spacing w:after="0" w:line="240" w:lineRule="auto"/>
              <w:jc w:val="right"/>
              <w:rPr>
                <w:rFonts w:ascii="Century" w:hAnsi="Century"/>
                <w:b/>
                <w:i/>
                <w:iCs/>
                <w:sz w:val="20"/>
                <w:szCs w:val="20"/>
              </w:rPr>
            </w:pPr>
            <w:r w:rsidRPr="00E503B1">
              <w:rPr>
                <w:rFonts w:ascii="Century" w:hAnsi="Century"/>
                <w:b/>
                <w:bCs/>
                <w:sz w:val="20"/>
                <w:szCs w:val="20"/>
              </w:rPr>
              <w:t>1 888</w:t>
            </w:r>
          </w:p>
        </w:tc>
        <w:tc>
          <w:tcPr>
            <w:tcW w:w="1019" w:type="dxa"/>
            <w:shd w:val="clear" w:color="auto" w:fill="F2F2F2"/>
            <w:vAlign w:val="center"/>
          </w:tcPr>
          <w:p w:rsidR="00A71D96" w:rsidRPr="00E503B1" w:rsidRDefault="00A71D96" w:rsidP="00F2417A">
            <w:pPr>
              <w:spacing w:after="0" w:line="240" w:lineRule="auto"/>
              <w:jc w:val="right"/>
              <w:rPr>
                <w:rFonts w:ascii="Century" w:hAnsi="Century"/>
                <w:b/>
                <w:i/>
                <w:iCs/>
                <w:sz w:val="20"/>
                <w:szCs w:val="20"/>
              </w:rPr>
            </w:pPr>
            <w:r w:rsidRPr="00E503B1">
              <w:rPr>
                <w:rFonts w:ascii="Century" w:hAnsi="Century"/>
                <w:b/>
                <w:bCs/>
                <w:sz w:val="20"/>
                <w:szCs w:val="20"/>
              </w:rPr>
              <w:t>1 993</w:t>
            </w:r>
          </w:p>
        </w:tc>
        <w:tc>
          <w:tcPr>
            <w:tcW w:w="1019" w:type="dxa"/>
            <w:shd w:val="clear" w:color="auto" w:fill="F2F2F2"/>
            <w:vAlign w:val="center"/>
          </w:tcPr>
          <w:p w:rsidR="00A71D96" w:rsidRPr="00E503B1" w:rsidRDefault="00A71D96" w:rsidP="00F2417A">
            <w:pPr>
              <w:spacing w:after="0" w:line="240" w:lineRule="auto"/>
              <w:jc w:val="right"/>
              <w:rPr>
                <w:rFonts w:ascii="Century" w:hAnsi="Century"/>
                <w:b/>
                <w:i/>
                <w:iCs/>
                <w:sz w:val="20"/>
                <w:szCs w:val="20"/>
              </w:rPr>
            </w:pPr>
            <w:r w:rsidRPr="00E503B1">
              <w:rPr>
                <w:rFonts w:ascii="Century" w:hAnsi="Century"/>
                <w:b/>
                <w:bCs/>
                <w:sz w:val="20"/>
                <w:szCs w:val="20"/>
              </w:rPr>
              <w:t>2 139</w:t>
            </w:r>
          </w:p>
        </w:tc>
      </w:tr>
      <w:tr w:rsidR="00A71D96" w:rsidRPr="001A5262" w:rsidTr="003C4A4E">
        <w:trPr>
          <w:trHeight w:val="340"/>
        </w:trPr>
        <w:tc>
          <w:tcPr>
            <w:tcW w:w="5014" w:type="dxa"/>
            <w:vAlign w:val="center"/>
          </w:tcPr>
          <w:p w:rsidR="00A71D96" w:rsidRPr="001A5262" w:rsidRDefault="00A71D96" w:rsidP="00F2417A">
            <w:pPr>
              <w:spacing w:after="0" w:line="240" w:lineRule="auto"/>
              <w:rPr>
                <w:rFonts w:ascii="Century" w:hAnsi="Century"/>
                <w:b/>
                <w:bCs/>
                <w:i/>
                <w:iCs/>
                <w:color w:val="000000"/>
                <w:sz w:val="20"/>
                <w:szCs w:val="20"/>
                <w:lang w:eastAsia="ru-RU"/>
              </w:rPr>
            </w:pPr>
            <w:r w:rsidRPr="001A5262">
              <w:rPr>
                <w:rFonts w:ascii="Century" w:hAnsi="Century"/>
                <w:bCs/>
                <w:i/>
                <w:sz w:val="20"/>
                <w:szCs w:val="20"/>
              </w:rPr>
              <w:t>Страховые взносы на ОМС</w:t>
            </w:r>
          </w:p>
        </w:tc>
        <w:tc>
          <w:tcPr>
            <w:tcW w:w="1019" w:type="dxa"/>
            <w:vAlign w:val="center"/>
          </w:tcPr>
          <w:p w:rsidR="00A71D96" w:rsidRPr="00E503B1" w:rsidRDefault="00A71D96" w:rsidP="00F2417A">
            <w:pPr>
              <w:spacing w:after="0" w:line="240" w:lineRule="auto"/>
              <w:jc w:val="right"/>
              <w:rPr>
                <w:rFonts w:ascii="Century" w:hAnsi="Century"/>
                <w:i/>
                <w:iCs/>
                <w:sz w:val="20"/>
                <w:szCs w:val="20"/>
              </w:rPr>
            </w:pPr>
            <w:r w:rsidRPr="00E503B1">
              <w:rPr>
                <w:rFonts w:ascii="Century" w:hAnsi="Century" w:cs="Arial Cyr"/>
                <w:sz w:val="20"/>
                <w:szCs w:val="20"/>
              </w:rPr>
              <w:t>1 679</w:t>
            </w:r>
          </w:p>
        </w:tc>
        <w:tc>
          <w:tcPr>
            <w:tcW w:w="1019" w:type="dxa"/>
            <w:vAlign w:val="center"/>
          </w:tcPr>
          <w:p w:rsidR="00A71D96" w:rsidRPr="00E503B1" w:rsidRDefault="00A71D96" w:rsidP="00F2417A">
            <w:pPr>
              <w:spacing w:after="0" w:line="240" w:lineRule="auto"/>
              <w:jc w:val="right"/>
              <w:rPr>
                <w:rFonts w:ascii="Century" w:hAnsi="Century"/>
                <w:i/>
                <w:iCs/>
                <w:sz w:val="20"/>
                <w:szCs w:val="20"/>
              </w:rPr>
            </w:pPr>
            <w:r w:rsidRPr="00E503B1">
              <w:rPr>
                <w:rFonts w:ascii="Century" w:hAnsi="Century"/>
                <w:sz w:val="20"/>
                <w:szCs w:val="20"/>
              </w:rPr>
              <w:t>1 826</w:t>
            </w:r>
          </w:p>
        </w:tc>
        <w:tc>
          <w:tcPr>
            <w:tcW w:w="1019" w:type="dxa"/>
            <w:vAlign w:val="center"/>
          </w:tcPr>
          <w:p w:rsidR="00A71D96" w:rsidRPr="00E503B1" w:rsidRDefault="00A71D96" w:rsidP="00F2417A">
            <w:pPr>
              <w:spacing w:after="0" w:line="240" w:lineRule="auto"/>
              <w:jc w:val="right"/>
              <w:rPr>
                <w:rFonts w:ascii="Century" w:hAnsi="Century"/>
                <w:i/>
                <w:iCs/>
                <w:sz w:val="20"/>
                <w:szCs w:val="20"/>
              </w:rPr>
            </w:pPr>
            <w:r w:rsidRPr="00E503B1">
              <w:rPr>
                <w:rFonts w:ascii="Century" w:hAnsi="Century"/>
                <w:sz w:val="20"/>
                <w:szCs w:val="20"/>
              </w:rPr>
              <w:t>1 941</w:t>
            </w:r>
          </w:p>
        </w:tc>
        <w:tc>
          <w:tcPr>
            <w:tcW w:w="1019" w:type="dxa"/>
            <w:vAlign w:val="center"/>
          </w:tcPr>
          <w:p w:rsidR="00A71D96" w:rsidRPr="00E503B1" w:rsidRDefault="00720D0B" w:rsidP="00F2417A">
            <w:pPr>
              <w:spacing w:after="0" w:line="240" w:lineRule="auto"/>
              <w:jc w:val="right"/>
              <w:rPr>
                <w:rFonts w:ascii="Century" w:hAnsi="Century"/>
                <w:i/>
                <w:iCs/>
                <w:sz w:val="20"/>
                <w:szCs w:val="20"/>
              </w:rPr>
            </w:pPr>
            <w:r>
              <w:rPr>
                <w:rFonts w:ascii="Century" w:hAnsi="Century"/>
                <w:sz w:val="20"/>
                <w:szCs w:val="20"/>
              </w:rPr>
              <w:t>2 035</w:t>
            </w:r>
          </w:p>
        </w:tc>
      </w:tr>
      <w:tr w:rsidR="00A71D96" w:rsidRPr="001A5262" w:rsidTr="003C4A4E">
        <w:trPr>
          <w:trHeight w:val="340"/>
        </w:trPr>
        <w:tc>
          <w:tcPr>
            <w:tcW w:w="5014" w:type="dxa"/>
            <w:shd w:val="clear" w:color="auto" w:fill="F2F2F2"/>
            <w:vAlign w:val="center"/>
          </w:tcPr>
          <w:p w:rsidR="00A71D96" w:rsidRPr="001A5262" w:rsidRDefault="00A71D96" w:rsidP="00720D0B">
            <w:pPr>
              <w:spacing w:after="0" w:line="240" w:lineRule="auto"/>
              <w:rPr>
                <w:rFonts w:ascii="Century" w:hAnsi="Century"/>
                <w:b/>
                <w:bCs/>
                <w:color w:val="000000"/>
                <w:sz w:val="20"/>
                <w:szCs w:val="20"/>
                <w:lang w:eastAsia="ru-RU"/>
              </w:rPr>
            </w:pPr>
            <w:r w:rsidRPr="001A5262">
              <w:rPr>
                <w:rFonts w:ascii="Century" w:hAnsi="Century"/>
                <w:bCs/>
                <w:i/>
                <w:sz w:val="20"/>
                <w:szCs w:val="20"/>
              </w:rPr>
              <w:t xml:space="preserve">Трансферты из федерального бюджета </w:t>
            </w:r>
          </w:p>
        </w:tc>
        <w:tc>
          <w:tcPr>
            <w:tcW w:w="1019" w:type="dxa"/>
            <w:shd w:val="clear" w:color="auto" w:fill="F2F2F2"/>
            <w:vAlign w:val="center"/>
          </w:tcPr>
          <w:p w:rsidR="00A71D96" w:rsidRPr="00E503B1" w:rsidRDefault="00A71D96" w:rsidP="00F2417A">
            <w:pPr>
              <w:spacing w:after="0" w:line="240" w:lineRule="auto"/>
              <w:jc w:val="right"/>
              <w:rPr>
                <w:rFonts w:ascii="Century" w:hAnsi="Century"/>
                <w:sz w:val="20"/>
                <w:szCs w:val="20"/>
              </w:rPr>
            </w:pPr>
            <w:r w:rsidRPr="00E503B1">
              <w:rPr>
                <w:rFonts w:ascii="Century" w:hAnsi="Century" w:cs="Arial Cyr"/>
                <w:sz w:val="20"/>
                <w:szCs w:val="20"/>
              </w:rPr>
              <w:t>27</w:t>
            </w:r>
          </w:p>
        </w:tc>
        <w:tc>
          <w:tcPr>
            <w:tcW w:w="1019" w:type="dxa"/>
            <w:shd w:val="clear" w:color="auto" w:fill="F2F2F2"/>
            <w:vAlign w:val="center"/>
          </w:tcPr>
          <w:p w:rsidR="00A71D96" w:rsidRPr="00E503B1" w:rsidRDefault="00A71D96" w:rsidP="00F2417A">
            <w:pPr>
              <w:spacing w:after="0" w:line="240" w:lineRule="auto"/>
              <w:jc w:val="right"/>
              <w:rPr>
                <w:rFonts w:ascii="Century" w:hAnsi="Century"/>
                <w:sz w:val="20"/>
                <w:szCs w:val="20"/>
              </w:rPr>
            </w:pPr>
            <w:r w:rsidRPr="00E503B1">
              <w:rPr>
                <w:rFonts w:ascii="Century" w:hAnsi="Century"/>
                <w:sz w:val="20"/>
                <w:szCs w:val="20"/>
              </w:rPr>
              <w:t>32</w:t>
            </w:r>
          </w:p>
        </w:tc>
        <w:tc>
          <w:tcPr>
            <w:tcW w:w="1019" w:type="dxa"/>
            <w:shd w:val="clear" w:color="auto" w:fill="F2F2F2"/>
            <w:vAlign w:val="center"/>
          </w:tcPr>
          <w:p w:rsidR="00A71D96" w:rsidRPr="00E503B1" w:rsidRDefault="00A71D96" w:rsidP="00F2417A">
            <w:pPr>
              <w:spacing w:after="0" w:line="240" w:lineRule="auto"/>
              <w:jc w:val="right"/>
              <w:rPr>
                <w:rFonts w:ascii="Century" w:hAnsi="Century"/>
                <w:sz w:val="20"/>
                <w:szCs w:val="20"/>
              </w:rPr>
            </w:pPr>
            <w:r w:rsidRPr="00E503B1">
              <w:rPr>
                <w:rFonts w:ascii="Century" w:hAnsi="Century"/>
                <w:sz w:val="20"/>
                <w:szCs w:val="20"/>
              </w:rPr>
              <w:t>6</w:t>
            </w:r>
          </w:p>
        </w:tc>
        <w:tc>
          <w:tcPr>
            <w:tcW w:w="1019" w:type="dxa"/>
            <w:shd w:val="clear" w:color="auto" w:fill="F2F2F2"/>
            <w:vAlign w:val="center"/>
          </w:tcPr>
          <w:p w:rsidR="00A71D96" w:rsidRPr="00E503B1" w:rsidRDefault="00A71D96" w:rsidP="00F2417A">
            <w:pPr>
              <w:spacing w:after="0" w:line="240" w:lineRule="auto"/>
              <w:jc w:val="right"/>
              <w:rPr>
                <w:rFonts w:ascii="Century" w:hAnsi="Century"/>
                <w:sz w:val="20"/>
                <w:szCs w:val="20"/>
              </w:rPr>
            </w:pPr>
            <w:r>
              <w:rPr>
                <w:rFonts w:ascii="Century" w:hAnsi="Century"/>
                <w:sz w:val="20"/>
                <w:szCs w:val="20"/>
              </w:rPr>
              <w:t>83</w:t>
            </w:r>
          </w:p>
        </w:tc>
      </w:tr>
      <w:tr w:rsidR="00A71D96" w:rsidRPr="001A5262" w:rsidTr="0016000C">
        <w:trPr>
          <w:trHeight w:val="340"/>
        </w:trPr>
        <w:tc>
          <w:tcPr>
            <w:tcW w:w="5014" w:type="dxa"/>
            <w:vAlign w:val="center"/>
          </w:tcPr>
          <w:p w:rsidR="00A71D96" w:rsidRPr="00ED5C6E" w:rsidRDefault="00A71D96" w:rsidP="00F2417A">
            <w:pPr>
              <w:spacing w:after="0" w:line="240" w:lineRule="auto"/>
              <w:rPr>
                <w:rFonts w:ascii="Century" w:hAnsi="Century"/>
                <w:b/>
                <w:bCs/>
                <w:sz w:val="20"/>
                <w:szCs w:val="20"/>
              </w:rPr>
            </w:pPr>
            <w:r>
              <w:rPr>
                <w:rFonts w:ascii="Century" w:hAnsi="Century"/>
                <w:b/>
                <w:bCs/>
                <w:sz w:val="20"/>
                <w:szCs w:val="20"/>
              </w:rPr>
              <w:t>Расходы</w:t>
            </w:r>
          </w:p>
        </w:tc>
        <w:tc>
          <w:tcPr>
            <w:tcW w:w="1019" w:type="dxa"/>
            <w:vAlign w:val="center"/>
          </w:tcPr>
          <w:p w:rsidR="00A71D96" w:rsidRPr="00E503B1" w:rsidRDefault="00A71D96" w:rsidP="00F2417A">
            <w:pPr>
              <w:spacing w:after="0" w:line="240" w:lineRule="auto"/>
              <w:jc w:val="right"/>
              <w:rPr>
                <w:rFonts w:ascii="Century" w:hAnsi="Century"/>
                <w:sz w:val="20"/>
                <w:szCs w:val="20"/>
              </w:rPr>
            </w:pPr>
            <w:r w:rsidRPr="00E503B1">
              <w:rPr>
                <w:rFonts w:ascii="Century" w:hAnsi="Century" w:cs="Arial Cyr"/>
                <w:b/>
                <w:bCs/>
                <w:sz w:val="20"/>
                <w:szCs w:val="20"/>
              </w:rPr>
              <w:t>1 735</w:t>
            </w:r>
          </w:p>
        </w:tc>
        <w:tc>
          <w:tcPr>
            <w:tcW w:w="1019" w:type="dxa"/>
            <w:vAlign w:val="center"/>
          </w:tcPr>
          <w:p w:rsidR="00A71D96" w:rsidRPr="00E503B1" w:rsidRDefault="00A71D96" w:rsidP="00F2417A">
            <w:pPr>
              <w:spacing w:after="0" w:line="240" w:lineRule="auto"/>
              <w:jc w:val="right"/>
              <w:rPr>
                <w:rFonts w:ascii="Century" w:hAnsi="Century"/>
                <w:sz w:val="20"/>
                <w:szCs w:val="20"/>
              </w:rPr>
            </w:pPr>
            <w:r w:rsidRPr="00E503B1">
              <w:rPr>
                <w:rFonts w:ascii="Century" w:hAnsi="Century"/>
                <w:b/>
                <w:bCs/>
                <w:sz w:val="20"/>
                <w:szCs w:val="20"/>
              </w:rPr>
              <w:t>1 994</w:t>
            </w:r>
          </w:p>
        </w:tc>
        <w:tc>
          <w:tcPr>
            <w:tcW w:w="1019" w:type="dxa"/>
            <w:vAlign w:val="center"/>
          </w:tcPr>
          <w:p w:rsidR="00A71D96" w:rsidRPr="00E503B1" w:rsidRDefault="00A71D96" w:rsidP="00F2417A">
            <w:pPr>
              <w:spacing w:after="0" w:line="240" w:lineRule="auto"/>
              <w:jc w:val="right"/>
              <w:rPr>
                <w:rFonts w:ascii="Century" w:hAnsi="Century"/>
                <w:sz w:val="20"/>
                <w:szCs w:val="20"/>
              </w:rPr>
            </w:pPr>
            <w:r w:rsidRPr="00E503B1">
              <w:rPr>
                <w:rFonts w:ascii="Century" w:hAnsi="Century"/>
                <w:b/>
                <w:bCs/>
                <w:sz w:val="20"/>
                <w:szCs w:val="20"/>
              </w:rPr>
              <w:t>2 061</w:t>
            </w:r>
          </w:p>
        </w:tc>
        <w:tc>
          <w:tcPr>
            <w:tcW w:w="1019" w:type="dxa"/>
            <w:vAlign w:val="center"/>
          </w:tcPr>
          <w:p w:rsidR="00A71D96" w:rsidRPr="00E503B1" w:rsidRDefault="00A71D96" w:rsidP="00F2417A">
            <w:pPr>
              <w:spacing w:after="0" w:line="240" w:lineRule="auto"/>
              <w:jc w:val="right"/>
              <w:rPr>
                <w:rFonts w:ascii="Century" w:hAnsi="Century"/>
                <w:sz w:val="20"/>
                <w:szCs w:val="20"/>
              </w:rPr>
            </w:pPr>
            <w:r w:rsidRPr="00E503B1">
              <w:rPr>
                <w:rFonts w:ascii="Century" w:hAnsi="Century"/>
                <w:b/>
                <w:bCs/>
                <w:sz w:val="20"/>
                <w:szCs w:val="20"/>
              </w:rPr>
              <w:t>2 139</w:t>
            </w:r>
          </w:p>
        </w:tc>
      </w:tr>
      <w:tr w:rsidR="00A71D96" w:rsidRPr="001A5262" w:rsidTr="0016000C">
        <w:trPr>
          <w:trHeight w:val="340"/>
        </w:trPr>
        <w:tc>
          <w:tcPr>
            <w:tcW w:w="5014" w:type="dxa"/>
            <w:tcBorders>
              <w:top w:val="nil"/>
              <w:left w:val="nil"/>
              <w:bottom w:val="single" w:sz="4" w:space="0" w:color="auto"/>
              <w:right w:val="nil"/>
            </w:tcBorders>
            <w:shd w:val="clear" w:color="auto" w:fill="F2F2F2"/>
            <w:vAlign w:val="center"/>
          </w:tcPr>
          <w:p w:rsidR="00A71D96" w:rsidRPr="001A5262" w:rsidRDefault="00A71D96" w:rsidP="00F2417A">
            <w:pPr>
              <w:spacing w:after="0" w:line="240" w:lineRule="auto"/>
              <w:rPr>
                <w:rFonts w:ascii="Century" w:hAnsi="Century"/>
                <w:b/>
                <w:bCs/>
                <w:iCs/>
                <w:color w:val="000000"/>
                <w:sz w:val="20"/>
                <w:szCs w:val="20"/>
                <w:lang w:eastAsia="ru-RU"/>
              </w:rPr>
            </w:pPr>
            <w:r w:rsidRPr="001A5262">
              <w:rPr>
                <w:rFonts w:ascii="Century" w:hAnsi="Century"/>
                <w:b/>
                <w:bCs/>
                <w:sz w:val="20"/>
                <w:szCs w:val="20"/>
              </w:rPr>
              <w:t>Дефицит/профицит</w:t>
            </w:r>
          </w:p>
        </w:tc>
        <w:tc>
          <w:tcPr>
            <w:tcW w:w="1019" w:type="dxa"/>
            <w:tcBorders>
              <w:top w:val="nil"/>
              <w:left w:val="nil"/>
              <w:bottom w:val="single" w:sz="4" w:space="0" w:color="auto"/>
              <w:right w:val="nil"/>
            </w:tcBorders>
            <w:shd w:val="clear" w:color="auto" w:fill="F2F2F2"/>
            <w:vAlign w:val="center"/>
          </w:tcPr>
          <w:p w:rsidR="00A71D96" w:rsidRPr="00E503B1" w:rsidRDefault="00A71D96" w:rsidP="00F2417A">
            <w:pPr>
              <w:spacing w:after="0" w:line="240" w:lineRule="auto"/>
              <w:jc w:val="right"/>
              <w:rPr>
                <w:rFonts w:ascii="Century" w:hAnsi="Century"/>
                <w:b/>
                <w:i/>
                <w:iCs/>
                <w:sz w:val="20"/>
                <w:szCs w:val="20"/>
              </w:rPr>
            </w:pPr>
            <w:r w:rsidRPr="00E503B1">
              <w:rPr>
                <w:rFonts w:ascii="Century" w:hAnsi="Century" w:cs="Arial Cyr"/>
                <w:b/>
                <w:bCs/>
                <w:sz w:val="20"/>
                <w:szCs w:val="20"/>
              </w:rPr>
              <w:t>-29</w:t>
            </w:r>
          </w:p>
        </w:tc>
        <w:tc>
          <w:tcPr>
            <w:tcW w:w="1019" w:type="dxa"/>
            <w:tcBorders>
              <w:top w:val="nil"/>
              <w:left w:val="nil"/>
              <w:bottom w:val="single" w:sz="4" w:space="0" w:color="auto"/>
              <w:right w:val="nil"/>
            </w:tcBorders>
            <w:shd w:val="clear" w:color="auto" w:fill="F2F2F2"/>
            <w:vAlign w:val="center"/>
          </w:tcPr>
          <w:p w:rsidR="00A71D96" w:rsidRPr="00E503B1" w:rsidRDefault="00A71D96" w:rsidP="00F2417A">
            <w:pPr>
              <w:spacing w:after="0" w:line="240" w:lineRule="auto"/>
              <w:jc w:val="right"/>
              <w:rPr>
                <w:rFonts w:ascii="Century" w:hAnsi="Century"/>
                <w:b/>
                <w:i/>
                <w:iCs/>
                <w:sz w:val="20"/>
                <w:szCs w:val="20"/>
              </w:rPr>
            </w:pPr>
            <w:r w:rsidRPr="00E503B1">
              <w:rPr>
                <w:rFonts w:ascii="Century" w:hAnsi="Century"/>
                <w:b/>
                <w:bCs/>
                <w:sz w:val="20"/>
                <w:szCs w:val="20"/>
              </w:rPr>
              <w:t>-106</w:t>
            </w:r>
          </w:p>
        </w:tc>
        <w:tc>
          <w:tcPr>
            <w:tcW w:w="1019" w:type="dxa"/>
            <w:tcBorders>
              <w:top w:val="nil"/>
              <w:left w:val="nil"/>
              <w:bottom w:val="single" w:sz="4" w:space="0" w:color="auto"/>
              <w:right w:val="nil"/>
            </w:tcBorders>
            <w:shd w:val="clear" w:color="auto" w:fill="F2F2F2"/>
            <w:vAlign w:val="center"/>
          </w:tcPr>
          <w:p w:rsidR="00A71D96" w:rsidRPr="00E503B1" w:rsidRDefault="00A71D96" w:rsidP="00F2417A">
            <w:pPr>
              <w:spacing w:after="0" w:line="240" w:lineRule="auto"/>
              <w:jc w:val="right"/>
              <w:rPr>
                <w:rFonts w:ascii="Century" w:hAnsi="Century" w:cs="Arial Cyr"/>
                <w:b/>
                <w:bCs/>
                <w:sz w:val="20"/>
                <w:szCs w:val="20"/>
              </w:rPr>
            </w:pPr>
            <w:r w:rsidRPr="00E503B1">
              <w:rPr>
                <w:rFonts w:ascii="Century" w:hAnsi="Century"/>
                <w:b/>
                <w:bCs/>
                <w:sz w:val="20"/>
                <w:szCs w:val="20"/>
              </w:rPr>
              <w:t>-68</w:t>
            </w:r>
          </w:p>
        </w:tc>
        <w:tc>
          <w:tcPr>
            <w:tcW w:w="1019" w:type="dxa"/>
            <w:tcBorders>
              <w:top w:val="nil"/>
              <w:left w:val="nil"/>
              <w:bottom w:val="single" w:sz="4" w:space="0" w:color="auto"/>
              <w:right w:val="nil"/>
            </w:tcBorders>
            <w:shd w:val="clear" w:color="auto" w:fill="F2F2F2"/>
            <w:vAlign w:val="center"/>
          </w:tcPr>
          <w:p w:rsidR="00A71D96" w:rsidRPr="00E503B1" w:rsidRDefault="00A71D96" w:rsidP="00F2417A">
            <w:pPr>
              <w:spacing w:after="0" w:line="240" w:lineRule="auto"/>
              <w:jc w:val="right"/>
              <w:rPr>
                <w:rFonts w:ascii="Century" w:hAnsi="Century"/>
                <w:b/>
                <w:i/>
                <w:iCs/>
                <w:sz w:val="20"/>
                <w:szCs w:val="20"/>
              </w:rPr>
            </w:pPr>
            <w:r w:rsidRPr="00E503B1">
              <w:rPr>
                <w:rFonts w:ascii="Century" w:hAnsi="Century"/>
                <w:b/>
                <w:bCs/>
                <w:sz w:val="20"/>
                <w:szCs w:val="20"/>
              </w:rPr>
              <w:t>0</w:t>
            </w:r>
          </w:p>
        </w:tc>
      </w:tr>
    </w:tbl>
    <w:p w:rsidR="00A71D96" w:rsidRPr="006F1A44" w:rsidRDefault="00A71D96" w:rsidP="00A71D96">
      <w:pPr>
        <w:spacing w:before="120" w:after="120"/>
        <w:jc w:val="both"/>
        <w:rPr>
          <w:rFonts w:ascii="Times New Roman" w:hAnsi="Times New Roman"/>
          <w:sz w:val="24"/>
          <w:szCs w:val="28"/>
        </w:rPr>
      </w:pPr>
      <w:r w:rsidRPr="006F1A44">
        <w:rPr>
          <w:rFonts w:ascii="Times New Roman" w:hAnsi="Times New Roman"/>
          <w:sz w:val="24"/>
          <w:szCs w:val="28"/>
        </w:rPr>
        <w:t>Источник</w:t>
      </w:r>
      <w:r>
        <w:rPr>
          <w:rFonts w:ascii="Times New Roman" w:hAnsi="Times New Roman"/>
          <w:sz w:val="24"/>
          <w:szCs w:val="28"/>
        </w:rPr>
        <w:t>ом</w:t>
      </w:r>
      <w:r w:rsidRPr="006F1A44">
        <w:rPr>
          <w:rFonts w:ascii="Times New Roman" w:hAnsi="Times New Roman"/>
          <w:sz w:val="24"/>
          <w:szCs w:val="28"/>
        </w:rPr>
        <w:t xml:space="preserve"> покрытия дефицита бюджета Федерального фонда обязательного медицинского страхования в 2017-201</w:t>
      </w:r>
      <w:r>
        <w:rPr>
          <w:rFonts w:ascii="Times New Roman" w:hAnsi="Times New Roman"/>
          <w:sz w:val="24"/>
          <w:szCs w:val="28"/>
        </w:rPr>
        <w:t>9</w:t>
      </w:r>
      <w:r w:rsidRPr="006F1A44">
        <w:rPr>
          <w:rFonts w:ascii="Times New Roman" w:hAnsi="Times New Roman"/>
          <w:sz w:val="24"/>
          <w:szCs w:val="28"/>
        </w:rPr>
        <w:t xml:space="preserve"> годах являются остатки на начало года.</w:t>
      </w:r>
    </w:p>
    <w:p w:rsidR="000C4CF2" w:rsidRPr="006F1A44" w:rsidRDefault="000C4CF2" w:rsidP="000C4CF2">
      <w:pPr>
        <w:spacing w:before="120" w:after="120"/>
        <w:jc w:val="both"/>
        <w:rPr>
          <w:rFonts w:ascii="Times New Roman" w:hAnsi="Times New Roman"/>
          <w:sz w:val="24"/>
          <w:szCs w:val="28"/>
        </w:rPr>
      </w:pPr>
      <w:proofErr w:type="gramStart"/>
      <w:r w:rsidRPr="006F1A44">
        <w:rPr>
          <w:rFonts w:ascii="Times New Roman" w:hAnsi="Times New Roman"/>
          <w:sz w:val="24"/>
          <w:szCs w:val="28"/>
        </w:rPr>
        <w:t>В целях обеспечения долгосрочной сбалансированности бюджета Федерального фонда обязательного медицинского страхования в условиях безусловного достижения целевых показателей повышения оплаты труда медицинских работников, установленных Указом Президента Российской Федерации от 7 мая 2012 г. № 597 «О мероприятиях по реализации государственной социальной политики», предлагается увеличение доходов бюджета Федерального фонда обязательного медицинского страхования, в том числе за счет:</w:t>
      </w:r>
      <w:proofErr w:type="gramEnd"/>
    </w:p>
    <w:p w:rsidR="000C4CF2" w:rsidRPr="00493764" w:rsidRDefault="000C4CF2" w:rsidP="000C4CF2">
      <w:pPr>
        <w:pStyle w:val="a9"/>
        <w:numPr>
          <w:ilvl w:val="0"/>
          <w:numId w:val="12"/>
        </w:numPr>
        <w:spacing w:before="120" w:after="120"/>
        <w:contextualSpacing w:val="0"/>
        <w:jc w:val="both"/>
        <w:rPr>
          <w:rFonts w:ascii="Times New Roman" w:hAnsi="Times New Roman"/>
          <w:sz w:val="24"/>
          <w:szCs w:val="28"/>
        </w:rPr>
      </w:pPr>
      <w:r w:rsidRPr="006F1A44">
        <w:rPr>
          <w:rFonts w:ascii="Times New Roman" w:hAnsi="Times New Roman"/>
          <w:sz w:val="24"/>
          <w:szCs w:val="28"/>
          <w:lang w:eastAsia="ru-RU"/>
        </w:rPr>
        <w:t xml:space="preserve">индексации тарифа страхового взноса на </w:t>
      </w:r>
      <w:r w:rsidRPr="006F1A44">
        <w:rPr>
          <w:rFonts w:ascii="Times New Roman" w:hAnsi="Times New Roman"/>
          <w:sz w:val="24"/>
          <w:szCs w:val="28"/>
        </w:rPr>
        <w:t xml:space="preserve">обязательное медицинское страхование </w:t>
      </w:r>
      <w:r w:rsidRPr="00493764">
        <w:rPr>
          <w:rFonts w:ascii="Times New Roman" w:hAnsi="Times New Roman"/>
          <w:sz w:val="24"/>
          <w:szCs w:val="28"/>
        </w:rPr>
        <w:t xml:space="preserve">неработающего населения в 2018 году на </w:t>
      </w:r>
      <w:r>
        <w:rPr>
          <w:rFonts w:ascii="Times New Roman" w:hAnsi="Times New Roman"/>
          <w:sz w:val="24"/>
          <w:szCs w:val="28"/>
        </w:rPr>
        <w:t>7,3</w:t>
      </w:r>
      <w:r w:rsidRPr="00493764">
        <w:rPr>
          <w:rFonts w:ascii="Times New Roman" w:hAnsi="Times New Roman"/>
          <w:sz w:val="24"/>
          <w:szCs w:val="28"/>
        </w:rPr>
        <w:t xml:space="preserve"> %</w:t>
      </w:r>
      <w:r>
        <w:rPr>
          <w:rFonts w:ascii="Times New Roman" w:hAnsi="Times New Roman"/>
          <w:sz w:val="24"/>
          <w:szCs w:val="28"/>
        </w:rPr>
        <w:t>,</w:t>
      </w:r>
      <w:r w:rsidR="00A6003B">
        <w:rPr>
          <w:rFonts w:ascii="Times New Roman" w:hAnsi="Times New Roman"/>
          <w:sz w:val="24"/>
          <w:szCs w:val="28"/>
        </w:rPr>
        <w:t xml:space="preserve"> </w:t>
      </w:r>
      <w:r>
        <w:rPr>
          <w:rFonts w:ascii="Times New Roman" w:hAnsi="Times New Roman"/>
          <w:sz w:val="24"/>
          <w:szCs w:val="28"/>
        </w:rPr>
        <w:t>в 2019 году на 4</w:t>
      </w:r>
      <w:r w:rsidR="00A6003B">
        <w:rPr>
          <w:rFonts w:ascii="Times New Roman" w:hAnsi="Times New Roman"/>
          <w:sz w:val="24"/>
          <w:szCs w:val="28"/>
        </w:rPr>
        <w:t>,0</w:t>
      </w:r>
      <w:r>
        <w:rPr>
          <w:rFonts w:ascii="Times New Roman" w:hAnsi="Times New Roman"/>
          <w:sz w:val="24"/>
          <w:szCs w:val="28"/>
        </w:rPr>
        <w:t>%</w:t>
      </w:r>
      <w:r w:rsidRPr="00493764">
        <w:rPr>
          <w:rFonts w:ascii="Times New Roman" w:hAnsi="Times New Roman"/>
          <w:sz w:val="24"/>
          <w:szCs w:val="28"/>
        </w:rPr>
        <w:t xml:space="preserve"> и в 2020 году </w:t>
      </w:r>
      <w:proofErr w:type="gramStart"/>
      <w:r w:rsidRPr="00493764">
        <w:rPr>
          <w:rFonts w:ascii="Times New Roman" w:hAnsi="Times New Roman"/>
          <w:sz w:val="24"/>
          <w:szCs w:val="28"/>
        </w:rPr>
        <w:t>на</w:t>
      </w:r>
      <w:proofErr w:type="gramEnd"/>
      <w:r w:rsidRPr="00493764">
        <w:rPr>
          <w:rFonts w:ascii="Times New Roman" w:hAnsi="Times New Roman"/>
          <w:sz w:val="24"/>
          <w:szCs w:val="28"/>
        </w:rPr>
        <w:t xml:space="preserve"> 4,0%;</w:t>
      </w:r>
    </w:p>
    <w:p w:rsidR="000C4CF2" w:rsidRPr="00493764" w:rsidRDefault="000C4CF2" w:rsidP="000C4CF2">
      <w:pPr>
        <w:pStyle w:val="a9"/>
        <w:numPr>
          <w:ilvl w:val="0"/>
          <w:numId w:val="12"/>
        </w:numPr>
        <w:spacing w:before="120" w:after="120"/>
        <w:contextualSpacing w:val="0"/>
        <w:jc w:val="both"/>
        <w:rPr>
          <w:rFonts w:ascii="Times New Roman" w:hAnsi="Times New Roman"/>
          <w:sz w:val="24"/>
          <w:szCs w:val="28"/>
        </w:rPr>
      </w:pPr>
      <w:r w:rsidRPr="00493764">
        <w:rPr>
          <w:rFonts w:ascii="Times New Roman" w:hAnsi="Times New Roman"/>
          <w:sz w:val="24"/>
          <w:szCs w:val="28"/>
        </w:rPr>
        <w:t>предоставления и</w:t>
      </w:r>
      <w:r>
        <w:rPr>
          <w:rFonts w:ascii="Times New Roman" w:hAnsi="Times New Roman"/>
          <w:sz w:val="24"/>
          <w:szCs w:val="28"/>
        </w:rPr>
        <w:t>з</w:t>
      </w:r>
      <w:r w:rsidRPr="00493764">
        <w:rPr>
          <w:rFonts w:ascii="Times New Roman" w:hAnsi="Times New Roman"/>
          <w:sz w:val="24"/>
          <w:szCs w:val="28"/>
        </w:rPr>
        <w:t xml:space="preserve"> федеральн</w:t>
      </w:r>
      <w:r>
        <w:rPr>
          <w:rFonts w:ascii="Times New Roman" w:hAnsi="Times New Roman"/>
          <w:sz w:val="24"/>
          <w:szCs w:val="28"/>
        </w:rPr>
        <w:t>о</w:t>
      </w:r>
      <w:r w:rsidRPr="00493764">
        <w:rPr>
          <w:rFonts w:ascii="Times New Roman" w:hAnsi="Times New Roman"/>
          <w:sz w:val="24"/>
          <w:szCs w:val="28"/>
        </w:rPr>
        <w:t xml:space="preserve">го бюджета межбюджетного трансферта на финансовое обеспечение высокотехнологичной медицинской помощи, не включенной в базовую программу обязательного медицинского страхования </w:t>
      </w:r>
      <w:r>
        <w:rPr>
          <w:rFonts w:ascii="Times New Roman" w:hAnsi="Times New Roman"/>
          <w:sz w:val="24"/>
          <w:szCs w:val="28"/>
        </w:rPr>
        <w:t xml:space="preserve">(не относящейся к страховым случаям) </w:t>
      </w:r>
      <w:r w:rsidRPr="00493764">
        <w:rPr>
          <w:rFonts w:ascii="Times New Roman" w:hAnsi="Times New Roman"/>
          <w:sz w:val="24"/>
          <w:szCs w:val="28"/>
        </w:rPr>
        <w:t>в 2020 году в размере 77,1 млрд. рублей.</w:t>
      </w:r>
    </w:p>
    <w:p w:rsidR="00A71D96" w:rsidRPr="001B0EB9" w:rsidRDefault="00A71D96" w:rsidP="00A71D96">
      <w:pPr>
        <w:spacing w:before="120" w:after="120"/>
        <w:jc w:val="both"/>
        <w:rPr>
          <w:rFonts w:ascii="Times New Roman" w:hAnsi="Times New Roman"/>
          <w:sz w:val="24"/>
          <w:szCs w:val="28"/>
        </w:rPr>
      </w:pPr>
      <w:r w:rsidRPr="00C17B5E">
        <w:rPr>
          <w:rFonts w:ascii="Times New Roman" w:hAnsi="Times New Roman"/>
          <w:sz w:val="24"/>
          <w:szCs w:val="28"/>
        </w:rPr>
        <w:t xml:space="preserve">Индексация тарифа страхового взноса на обязательное медицинское страхование неработающего населения позволит увеличить доходы бюджета ФОМС в 2018 году к предыдущему году на 42,8 млрд. рублей, в 2019 году на 26,5 млрд. рублей, в 2020 году </w:t>
      </w:r>
      <w:proofErr w:type="gramStart"/>
      <w:r w:rsidRPr="00C17B5E">
        <w:rPr>
          <w:rFonts w:ascii="Times New Roman" w:hAnsi="Times New Roman"/>
          <w:sz w:val="24"/>
          <w:szCs w:val="28"/>
        </w:rPr>
        <w:t>на</w:t>
      </w:r>
      <w:proofErr w:type="gramEnd"/>
      <w:r w:rsidRPr="00C17B5E">
        <w:rPr>
          <w:rFonts w:ascii="Times New Roman" w:hAnsi="Times New Roman"/>
          <w:sz w:val="24"/>
          <w:szCs w:val="28"/>
        </w:rPr>
        <w:t xml:space="preserve"> 27,7 млрд. рублей. </w:t>
      </w:r>
      <w:r w:rsidRPr="001B0EB9">
        <w:rPr>
          <w:rFonts w:ascii="Times New Roman" w:hAnsi="Times New Roman"/>
          <w:sz w:val="24"/>
          <w:szCs w:val="28"/>
        </w:rPr>
        <w:t>Данное решение является оптимальным как с точки зрения обеспечения сбалансированности бюджета ФОМС исключительно на основе эквивалентности страхового обеспечения средствам обязательного медицинского страхования, так и с точки зрения допустимой финансовой нагрузки на бюджеты субъектов Российской Федерации.</w:t>
      </w:r>
    </w:p>
    <w:p w:rsidR="00A71D96" w:rsidRPr="001B0EB9" w:rsidRDefault="00A71D96" w:rsidP="00A71D96">
      <w:pPr>
        <w:spacing w:before="120" w:after="120"/>
        <w:jc w:val="both"/>
        <w:rPr>
          <w:rFonts w:ascii="Times New Roman" w:hAnsi="Times New Roman"/>
          <w:sz w:val="24"/>
          <w:szCs w:val="28"/>
        </w:rPr>
      </w:pPr>
      <w:r w:rsidRPr="001B0EB9">
        <w:rPr>
          <w:rFonts w:ascii="Times New Roman" w:hAnsi="Times New Roman"/>
          <w:b/>
          <w:sz w:val="24"/>
          <w:szCs w:val="28"/>
        </w:rPr>
        <w:t>Расходы</w:t>
      </w:r>
      <w:r w:rsidRPr="001B0EB9">
        <w:rPr>
          <w:rFonts w:ascii="Times New Roman" w:hAnsi="Times New Roman"/>
          <w:sz w:val="24"/>
          <w:szCs w:val="28"/>
        </w:rPr>
        <w:t xml:space="preserve"> бюджета Федерального фонда обязательного медицинского страхования и территориальных фондов обязательного медицинского страхования прогнозируются с учетом:</w:t>
      </w:r>
    </w:p>
    <w:p w:rsidR="00A71D96" w:rsidRPr="006F1A44" w:rsidRDefault="00A71D96" w:rsidP="00A71D96">
      <w:pPr>
        <w:pStyle w:val="a9"/>
        <w:numPr>
          <w:ilvl w:val="0"/>
          <w:numId w:val="10"/>
        </w:numPr>
        <w:spacing w:before="120" w:after="120"/>
        <w:ind w:left="357" w:hanging="357"/>
        <w:contextualSpacing w:val="0"/>
        <w:jc w:val="both"/>
        <w:rPr>
          <w:rFonts w:ascii="Times New Roman" w:hAnsi="Times New Roman"/>
          <w:sz w:val="24"/>
          <w:szCs w:val="28"/>
        </w:rPr>
      </w:pPr>
      <w:r w:rsidRPr="001B0EB9">
        <w:rPr>
          <w:rFonts w:ascii="Times New Roman" w:hAnsi="Times New Roman"/>
          <w:sz w:val="24"/>
          <w:szCs w:val="28"/>
        </w:rPr>
        <w:t xml:space="preserve">увеличения </w:t>
      </w:r>
      <w:proofErr w:type="spellStart"/>
      <w:r w:rsidRPr="001B0EB9">
        <w:rPr>
          <w:rFonts w:ascii="Times New Roman" w:hAnsi="Times New Roman"/>
          <w:sz w:val="24"/>
          <w:szCs w:val="28"/>
        </w:rPr>
        <w:t>подушевого</w:t>
      </w:r>
      <w:proofErr w:type="spellEnd"/>
      <w:r w:rsidRPr="001B0EB9">
        <w:rPr>
          <w:rFonts w:ascii="Times New Roman" w:hAnsi="Times New Roman"/>
          <w:sz w:val="24"/>
          <w:szCs w:val="28"/>
        </w:rPr>
        <w:t xml:space="preserve"> норматива финансового обеспечения базовой программы обязательного медицинского страхования в 2018 году на 21,5% к уровню</w:t>
      </w:r>
      <w:r w:rsidRPr="006F1A44">
        <w:rPr>
          <w:rFonts w:ascii="Times New Roman" w:hAnsi="Times New Roman"/>
          <w:sz w:val="24"/>
          <w:szCs w:val="28"/>
        </w:rPr>
        <w:t xml:space="preserve"> 2017 года, в 2019 году на </w:t>
      </w:r>
      <w:r>
        <w:rPr>
          <w:rFonts w:ascii="Times New Roman" w:hAnsi="Times New Roman"/>
          <w:sz w:val="24"/>
          <w:szCs w:val="28"/>
        </w:rPr>
        <w:t>3,7</w:t>
      </w:r>
      <w:r w:rsidRPr="006F1A44">
        <w:rPr>
          <w:rFonts w:ascii="Times New Roman" w:hAnsi="Times New Roman"/>
          <w:sz w:val="24"/>
          <w:szCs w:val="28"/>
        </w:rPr>
        <w:t xml:space="preserve">% к уровню 2018 года, в 2020 году </w:t>
      </w:r>
      <w:proofErr w:type="gramStart"/>
      <w:r w:rsidRPr="006F1A44">
        <w:rPr>
          <w:rFonts w:ascii="Times New Roman" w:hAnsi="Times New Roman"/>
          <w:sz w:val="24"/>
          <w:szCs w:val="28"/>
        </w:rPr>
        <w:t>на</w:t>
      </w:r>
      <w:proofErr w:type="gramEnd"/>
      <w:r w:rsidRPr="006F1A44">
        <w:rPr>
          <w:rFonts w:ascii="Times New Roman" w:hAnsi="Times New Roman"/>
          <w:sz w:val="24"/>
          <w:szCs w:val="28"/>
        </w:rPr>
        <w:t xml:space="preserve"> 4,0% к уровню 2019 года;</w:t>
      </w:r>
    </w:p>
    <w:p w:rsidR="00A71D96" w:rsidRPr="006F1A44" w:rsidRDefault="00A71D96" w:rsidP="00A71D96">
      <w:pPr>
        <w:spacing w:before="120" w:after="120"/>
        <w:jc w:val="both"/>
        <w:rPr>
          <w:rFonts w:ascii="Times New Roman" w:hAnsi="Times New Roman"/>
          <w:sz w:val="24"/>
          <w:szCs w:val="28"/>
        </w:rPr>
      </w:pPr>
      <w:r w:rsidRPr="006F1A44">
        <w:rPr>
          <w:rFonts w:ascii="Times New Roman" w:hAnsi="Times New Roman"/>
          <w:sz w:val="24"/>
          <w:szCs w:val="28"/>
        </w:rPr>
        <w:t xml:space="preserve">Объем межбюджетных трансфертов из Федерального фонда обязательного медицинского страхования в бюджеты территориальных фондов обязательного медицинского страхования составит: </w:t>
      </w:r>
    </w:p>
    <w:p w:rsidR="00A71D96" w:rsidRPr="001B0EB9" w:rsidRDefault="00A71D96" w:rsidP="00A71D96">
      <w:pPr>
        <w:pStyle w:val="a9"/>
        <w:numPr>
          <w:ilvl w:val="0"/>
          <w:numId w:val="9"/>
        </w:numPr>
        <w:spacing w:before="120" w:after="120"/>
        <w:ind w:left="357" w:hanging="357"/>
        <w:contextualSpacing w:val="0"/>
        <w:jc w:val="both"/>
        <w:rPr>
          <w:rFonts w:ascii="Times New Roman" w:hAnsi="Times New Roman"/>
          <w:sz w:val="24"/>
          <w:szCs w:val="28"/>
        </w:rPr>
      </w:pPr>
      <w:r w:rsidRPr="001B0EB9">
        <w:rPr>
          <w:rFonts w:ascii="Times New Roman" w:hAnsi="Times New Roman"/>
          <w:sz w:val="24"/>
          <w:szCs w:val="28"/>
        </w:rPr>
        <w:t xml:space="preserve">в 2018 году – 1 870,5 </w:t>
      </w:r>
      <w:proofErr w:type="gramStart"/>
      <w:r w:rsidRPr="001B0EB9">
        <w:rPr>
          <w:rFonts w:ascii="Times New Roman" w:hAnsi="Times New Roman"/>
          <w:sz w:val="24"/>
          <w:szCs w:val="28"/>
        </w:rPr>
        <w:t>млрд</w:t>
      </w:r>
      <w:proofErr w:type="gramEnd"/>
      <w:r w:rsidRPr="001B0EB9">
        <w:rPr>
          <w:rFonts w:ascii="Times New Roman" w:hAnsi="Times New Roman"/>
          <w:sz w:val="24"/>
          <w:szCs w:val="28"/>
        </w:rPr>
        <w:t xml:space="preserve"> рублей, с увеличением на 21,5% к уровню 2017 года;</w:t>
      </w:r>
    </w:p>
    <w:p w:rsidR="00A71D96" w:rsidRPr="001B0EB9" w:rsidRDefault="00A71D96" w:rsidP="00A71D96">
      <w:pPr>
        <w:pStyle w:val="a9"/>
        <w:numPr>
          <w:ilvl w:val="0"/>
          <w:numId w:val="9"/>
        </w:numPr>
        <w:spacing w:before="120" w:after="120"/>
        <w:ind w:left="357" w:hanging="357"/>
        <w:contextualSpacing w:val="0"/>
        <w:jc w:val="both"/>
        <w:rPr>
          <w:rFonts w:ascii="Times New Roman" w:hAnsi="Times New Roman"/>
          <w:sz w:val="24"/>
          <w:szCs w:val="28"/>
        </w:rPr>
      </w:pPr>
      <w:r w:rsidRPr="001B0EB9">
        <w:rPr>
          <w:rFonts w:ascii="Times New Roman" w:hAnsi="Times New Roman"/>
          <w:sz w:val="24"/>
          <w:szCs w:val="28"/>
        </w:rPr>
        <w:t>в 2019 году – 1 939,</w:t>
      </w:r>
      <w:r>
        <w:rPr>
          <w:rFonts w:ascii="Times New Roman" w:hAnsi="Times New Roman"/>
          <w:sz w:val="24"/>
          <w:szCs w:val="28"/>
        </w:rPr>
        <w:t>1</w:t>
      </w:r>
      <w:r w:rsidRPr="001B0EB9">
        <w:rPr>
          <w:rFonts w:ascii="Times New Roman" w:hAnsi="Times New Roman"/>
          <w:sz w:val="24"/>
          <w:szCs w:val="28"/>
        </w:rPr>
        <w:t xml:space="preserve"> </w:t>
      </w:r>
      <w:proofErr w:type="gramStart"/>
      <w:r w:rsidRPr="001B0EB9">
        <w:rPr>
          <w:rFonts w:ascii="Times New Roman" w:hAnsi="Times New Roman"/>
          <w:sz w:val="24"/>
          <w:szCs w:val="28"/>
        </w:rPr>
        <w:t>млрд</w:t>
      </w:r>
      <w:proofErr w:type="gramEnd"/>
      <w:r w:rsidRPr="001B0EB9">
        <w:rPr>
          <w:rFonts w:ascii="Times New Roman" w:hAnsi="Times New Roman"/>
          <w:sz w:val="24"/>
          <w:szCs w:val="28"/>
        </w:rPr>
        <w:t xml:space="preserve"> рублей, с увеличением на 3,7% к уровню 2018 года.</w:t>
      </w:r>
    </w:p>
    <w:p w:rsidR="00A71D96" w:rsidRPr="001B0EB9" w:rsidRDefault="00A71D96" w:rsidP="00A71D96">
      <w:pPr>
        <w:pStyle w:val="a9"/>
        <w:numPr>
          <w:ilvl w:val="0"/>
          <w:numId w:val="9"/>
        </w:numPr>
        <w:spacing w:before="120" w:after="120"/>
        <w:ind w:left="357" w:hanging="357"/>
        <w:contextualSpacing w:val="0"/>
        <w:jc w:val="both"/>
        <w:rPr>
          <w:rFonts w:ascii="Times New Roman" w:hAnsi="Times New Roman"/>
          <w:sz w:val="24"/>
          <w:szCs w:val="28"/>
        </w:rPr>
      </w:pPr>
      <w:r w:rsidRPr="001B0EB9">
        <w:rPr>
          <w:rFonts w:ascii="Times New Roman" w:hAnsi="Times New Roman"/>
          <w:sz w:val="24"/>
          <w:szCs w:val="28"/>
        </w:rPr>
        <w:t>в 2020 году – 2 016,</w:t>
      </w:r>
      <w:r>
        <w:rPr>
          <w:rFonts w:ascii="Times New Roman" w:hAnsi="Times New Roman"/>
          <w:sz w:val="24"/>
          <w:szCs w:val="28"/>
        </w:rPr>
        <w:t>6</w:t>
      </w:r>
      <w:r w:rsidRPr="001B0EB9">
        <w:rPr>
          <w:rFonts w:ascii="Times New Roman" w:hAnsi="Times New Roman"/>
          <w:sz w:val="24"/>
          <w:szCs w:val="28"/>
        </w:rPr>
        <w:t xml:space="preserve"> </w:t>
      </w:r>
      <w:proofErr w:type="gramStart"/>
      <w:r w:rsidRPr="001B0EB9">
        <w:rPr>
          <w:rFonts w:ascii="Times New Roman" w:hAnsi="Times New Roman"/>
          <w:sz w:val="24"/>
          <w:szCs w:val="28"/>
        </w:rPr>
        <w:t>млрд</w:t>
      </w:r>
      <w:proofErr w:type="gramEnd"/>
      <w:r w:rsidRPr="001B0EB9">
        <w:rPr>
          <w:rFonts w:ascii="Times New Roman" w:hAnsi="Times New Roman"/>
          <w:sz w:val="24"/>
          <w:szCs w:val="28"/>
        </w:rPr>
        <w:t xml:space="preserve"> рублей, с увеличением на 4,0% к уровню 2019 года;</w:t>
      </w:r>
    </w:p>
    <w:p w:rsidR="00A71D96" w:rsidRPr="003F0679" w:rsidRDefault="00A71D96" w:rsidP="00A71D96">
      <w:pPr>
        <w:spacing w:before="120" w:after="120"/>
        <w:jc w:val="both"/>
        <w:rPr>
          <w:rFonts w:ascii="Times New Roman" w:hAnsi="Times New Roman"/>
          <w:sz w:val="24"/>
          <w:szCs w:val="24"/>
          <w:highlight w:val="lightGray"/>
        </w:rPr>
      </w:pPr>
      <w:proofErr w:type="gramStart"/>
      <w:r>
        <w:rPr>
          <w:rFonts w:ascii="Times New Roman" w:hAnsi="Times New Roman"/>
          <w:sz w:val="24"/>
          <w:szCs w:val="28"/>
        </w:rPr>
        <w:t xml:space="preserve">Указанные средства обеспечат </w:t>
      </w:r>
      <w:r w:rsidRPr="006F1A44">
        <w:rPr>
          <w:rFonts w:ascii="Times New Roman" w:hAnsi="Times New Roman"/>
          <w:sz w:val="24"/>
          <w:szCs w:val="24"/>
        </w:rPr>
        <w:t xml:space="preserve">сбалансированность территориальных программ </w:t>
      </w:r>
      <w:r w:rsidRPr="006F1A44">
        <w:rPr>
          <w:rFonts w:ascii="Times New Roman" w:hAnsi="Times New Roman"/>
          <w:sz w:val="24"/>
          <w:szCs w:val="28"/>
        </w:rPr>
        <w:t>обязательного медицинского страхования</w:t>
      </w:r>
      <w:r w:rsidRPr="006F1A44">
        <w:rPr>
          <w:rFonts w:ascii="Times New Roman" w:hAnsi="Times New Roman"/>
          <w:sz w:val="24"/>
          <w:szCs w:val="24"/>
        </w:rPr>
        <w:t xml:space="preserve"> в рамках базовой программы обязательного медицинского страхования на весь трехлетний период и оплату медицинской помощи в соответствии с установленными финансовыми нормативами с учетом повышения оплаты труда медицинских работников в соответствии с Указом Президента </w:t>
      </w:r>
      <w:r w:rsidRPr="006F1A44">
        <w:rPr>
          <w:rFonts w:ascii="Times New Roman" w:hAnsi="Times New Roman"/>
          <w:sz w:val="24"/>
          <w:szCs w:val="28"/>
          <w:lang w:eastAsia="ru-RU"/>
        </w:rPr>
        <w:t>Российской Федерации от 7 мая 2012 г. № 597 «О мероприятиях по реализации государственной социальной политики»</w:t>
      </w:r>
      <w:r>
        <w:rPr>
          <w:rFonts w:ascii="Times New Roman" w:hAnsi="Times New Roman"/>
          <w:sz w:val="24"/>
          <w:szCs w:val="28"/>
          <w:lang w:eastAsia="ru-RU"/>
        </w:rPr>
        <w:t>.</w:t>
      </w:r>
      <w:proofErr w:type="gramEnd"/>
    </w:p>
    <w:p w:rsidR="00A71D96" w:rsidRPr="00280D75" w:rsidRDefault="00A71D96" w:rsidP="00A71D96">
      <w:pPr>
        <w:pStyle w:val="20"/>
        <w:numPr>
          <w:ilvl w:val="1"/>
          <w:numId w:val="3"/>
        </w:numPr>
        <w:spacing w:before="240" w:after="240"/>
        <w:rPr>
          <w:rFonts w:ascii="Times New Roman" w:hAnsi="Times New Roman"/>
          <w:sz w:val="28"/>
          <w:szCs w:val="28"/>
        </w:rPr>
      </w:pPr>
      <w:bookmarkStart w:id="30" w:name="_Toc463478163"/>
      <w:bookmarkStart w:id="31" w:name="_Toc494788044"/>
      <w:r w:rsidRPr="00280D75">
        <w:rPr>
          <w:rFonts w:ascii="Times New Roman" w:hAnsi="Times New Roman"/>
          <w:sz w:val="28"/>
          <w:szCs w:val="28"/>
        </w:rPr>
        <w:t>БЮДЖЕТЫ БЮДЖЕТНОЙ СИСТЕМЫ</w:t>
      </w:r>
      <w:bookmarkEnd w:id="30"/>
      <w:bookmarkEnd w:id="31"/>
    </w:p>
    <w:p w:rsidR="00A71D96" w:rsidRPr="003F0679" w:rsidRDefault="00A71D96" w:rsidP="00A71D96">
      <w:pPr>
        <w:spacing w:before="120" w:after="120"/>
        <w:jc w:val="both"/>
        <w:rPr>
          <w:rFonts w:ascii="Times New Roman" w:hAnsi="Times New Roman"/>
          <w:sz w:val="24"/>
          <w:szCs w:val="24"/>
          <w:highlight w:val="lightGray"/>
        </w:rPr>
      </w:pPr>
      <w:r w:rsidRPr="006170B0">
        <w:rPr>
          <w:rFonts w:ascii="Times New Roman" w:hAnsi="Times New Roman"/>
          <w:sz w:val="24"/>
          <w:szCs w:val="24"/>
        </w:rPr>
        <w:t xml:space="preserve">Динамика основных параметров бюджетной системы Российской Федерации в 2018-2020 годах характеризуется снижением доходов и расходов по отношению к ВВП при снижении уровня </w:t>
      </w:r>
      <w:r w:rsidRPr="009015C0">
        <w:rPr>
          <w:rFonts w:ascii="Times New Roman" w:hAnsi="Times New Roman"/>
          <w:sz w:val="24"/>
          <w:szCs w:val="24"/>
        </w:rPr>
        <w:t>дефицита с 2,</w:t>
      </w:r>
      <w:r w:rsidR="009D5EB2">
        <w:rPr>
          <w:rFonts w:ascii="Times New Roman" w:hAnsi="Times New Roman"/>
          <w:sz w:val="24"/>
          <w:szCs w:val="24"/>
        </w:rPr>
        <w:t>3</w:t>
      </w:r>
      <w:r w:rsidRPr="009015C0">
        <w:rPr>
          <w:rFonts w:ascii="Times New Roman" w:hAnsi="Times New Roman"/>
          <w:sz w:val="24"/>
          <w:szCs w:val="24"/>
        </w:rPr>
        <w:t xml:space="preserve">% ВВП в 2017 году до </w:t>
      </w:r>
      <w:r>
        <w:rPr>
          <w:rFonts w:ascii="Times New Roman" w:hAnsi="Times New Roman"/>
          <w:sz w:val="24"/>
          <w:szCs w:val="24"/>
        </w:rPr>
        <w:t>0,</w:t>
      </w:r>
      <w:r w:rsidR="009D5EB2">
        <w:rPr>
          <w:rFonts w:ascii="Times New Roman" w:hAnsi="Times New Roman"/>
          <w:sz w:val="24"/>
          <w:szCs w:val="24"/>
        </w:rPr>
        <w:t>8</w:t>
      </w:r>
      <w:r w:rsidRPr="009015C0">
        <w:rPr>
          <w:rFonts w:ascii="Times New Roman" w:hAnsi="Times New Roman"/>
          <w:sz w:val="24"/>
          <w:szCs w:val="24"/>
        </w:rPr>
        <w:t>% ВВП</w:t>
      </w:r>
      <w:r w:rsidRPr="006170B0">
        <w:rPr>
          <w:rFonts w:ascii="Times New Roman" w:hAnsi="Times New Roman"/>
          <w:sz w:val="24"/>
          <w:szCs w:val="24"/>
        </w:rPr>
        <w:t xml:space="preserve"> к 2020 году.</w:t>
      </w:r>
    </w:p>
    <w:p w:rsidR="00A71D96" w:rsidRPr="006170B0" w:rsidRDefault="00A71D96" w:rsidP="00A71D96">
      <w:pPr>
        <w:spacing w:before="120" w:after="120"/>
        <w:jc w:val="both"/>
        <w:rPr>
          <w:rFonts w:ascii="Times New Roman" w:hAnsi="Times New Roman"/>
          <w:sz w:val="24"/>
          <w:szCs w:val="24"/>
        </w:rPr>
      </w:pPr>
      <w:r w:rsidRPr="006170B0">
        <w:rPr>
          <w:rFonts w:ascii="Times New Roman" w:hAnsi="Times New Roman"/>
          <w:b/>
          <w:sz w:val="24"/>
          <w:szCs w:val="24"/>
        </w:rPr>
        <w:t xml:space="preserve">Таблица </w:t>
      </w:r>
      <w:r w:rsidRPr="002B72A8">
        <w:rPr>
          <w:rFonts w:ascii="Times New Roman" w:hAnsi="Times New Roman"/>
          <w:b/>
          <w:sz w:val="24"/>
          <w:szCs w:val="24"/>
        </w:rPr>
        <w:t>4</w:t>
      </w:r>
      <w:r w:rsidRPr="006170B0">
        <w:rPr>
          <w:rFonts w:ascii="Times New Roman" w:hAnsi="Times New Roman"/>
          <w:b/>
          <w:sz w:val="24"/>
          <w:szCs w:val="24"/>
        </w:rPr>
        <w:t>.4.1.</w:t>
      </w:r>
      <w:r w:rsidRPr="006170B0">
        <w:rPr>
          <w:rFonts w:ascii="Times New Roman" w:hAnsi="Times New Roman"/>
          <w:sz w:val="24"/>
          <w:szCs w:val="24"/>
        </w:rPr>
        <w:t xml:space="preserve"> Основные параметры бюджетов бюджетной системы в 20</w:t>
      </w:r>
      <w:r>
        <w:rPr>
          <w:rFonts w:ascii="Times New Roman" w:hAnsi="Times New Roman"/>
          <w:sz w:val="24"/>
          <w:szCs w:val="24"/>
        </w:rPr>
        <w:t>17</w:t>
      </w:r>
      <w:r w:rsidRPr="006170B0">
        <w:rPr>
          <w:rFonts w:ascii="Times New Roman" w:hAnsi="Times New Roman"/>
          <w:sz w:val="24"/>
          <w:szCs w:val="24"/>
        </w:rPr>
        <w:t>-20</w:t>
      </w:r>
      <w:r>
        <w:rPr>
          <w:rFonts w:ascii="Times New Roman" w:hAnsi="Times New Roman"/>
          <w:sz w:val="24"/>
          <w:szCs w:val="24"/>
        </w:rPr>
        <w:t>20</w:t>
      </w:r>
      <w:r w:rsidRPr="006170B0">
        <w:rPr>
          <w:rFonts w:ascii="Times New Roman" w:hAnsi="Times New Roman"/>
          <w:sz w:val="24"/>
          <w:szCs w:val="24"/>
        </w:rPr>
        <w:t xml:space="preserve"> гг.</w:t>
      </w:r>
    </w:p>
    <w:p w:rsidR="00A71D96" w:rsidRPr="006170B0" w:rsidRDefault="00A71D96" w:rsidP="00A71D96">
      <w:pPr>
        <w:spacing w:after="120"/>
        <w:jc w:val="right"/>
        <w:rPr>
          <w:rFonts w:ascii="Times New Roman" w:hAnsi="Times New Roman"/>
          <w:i/>
          <w:sz w:val="24"/>
          <w:szCs w:val="24"/>
        </w:rPr>
      </w:pPr>
      <w:proofErr w:type="gramStart"/>
      <w:r w:rsidRPr="006170B0">
        <w:rPr>
          <w:rFonts w:ascii="Times New Roman" w:hAnsi="Times New Roman"/>
          <w:i/>
          <w:sz w:val="24"/>
          <w:szCs w:val="24"/>
        </w:rPr>
        <w:t>млрд</w:t>
      </w:r>
      <w:proofErr w:type="gramEnd"/>
      <w:r w:rsidRPr="006170B0">
        <w:rPr>
          <w:rFonts w:ascii="Times New Roman" w:hAnsi="Times New Roman"/>
          <w:i/>
          <w:sz w:val="24"/>
          <w:szCs w:val="24"/>
        </w:rPr>
        <w:t xml:space="preserve"> рублей</w:t>
      </w:r>
    </w:p>
    <w:tbl>
      <w:tblPr>
        <w:tblW w:w="9297" w:type="dxa"/>
        <w:tblLayout w:type="fixed"/>
        <w:tblLook w:val="00A0" w:firstRow="1" w:lastRow="0" w:firstColumn="1" w:lastColumn="0" w:noHBand="0" w:noVBand="0"/>
      </w:tblPr>
      <w:tblGrid>
        <w:gridCol w:w="5329"/>
        <w:gridCol w:w="992"/>
        <w:gridCol w:w="992"/>
        <w:gridCol w:w="992"/>
        <w:gridCol w:w="992"/>
      </w:tblGrid>
      <w:tr w:rsidR="00A71D96" w:rsidRPr="004436AC" w:rsidTr="00F2417A">
        <w:trPr>
          <w:trHeight w:val="340"/>
        </w:trPr>
        <w:tc>
          <w:tcPr>
            <w:tcW w:w="5329" w:type="dxa"/>
            <w:tcBorders>
              <w:top w:val="single" w:sz="4" w:space="0" w:color="auto"/>
              <w:bottom w:val="single" w:sz="4" w:space="0" w:color="auto"/>
            </w:tcBorders>
          </w:tcPr>
          <w:p w:rsidR="00A71D96" w:rsidRPr="00F2417A" w:rsidRDefault="00A71D96" w:rsidP="00F2417A">
            <w:pPr>
              <w:spacing w:after="0" w:line="240" w:lineRule="auto"/>
              <w:contextualSpacing/>
              <w:rPr>
                <w:rFonts w:ascii="Century" w:hAnsi="Century"/>
                <w:b/>
                <w:bCs/>
                <w:szCs w:val="24"/>
              </w:rPr>
            </w:pPr>
            <w:r w:rsidRPr="00F2417A">
              <w:rPr>
                <w:rFonts w:ascii="Century" w:hAnsi="Century"/>
                <w:b/>
                <w:bCs/>
                <w:szCs w:val="24"/>
              </w:rPr>
              <w:t>Показатель</w:t>
            </w:r>
          </w:p>
        </w:tc>
        <w:tc>
          <w:tcPr>
            <w:tcW w:w="992" w:type="dxa"/>
            <w:tcBorders>
              <w:top w:val="single" w:sz="4" w:space="0" w:color="auto"/>
              <w:bottom w:val="single" w:sz="4" w:space="0" w:color="auto"/>
            </w:tcBorders>
          </w:tcPr>
          <w:p w:rsidR="00A71D96" w:rsidRPr="00F2417A" w:rsidRDefault="00A71D96" w:rsidP="00F2417A">
            <w:pPr>
              <w:spacing w:after="0" w:line="240" w:lineRule="auto"/>
              <w:contextualSpacing/>
              <w:jc w:val="right"/>
              <w:rPr>
                <w:rFonts w:ascii="Century" w:hAnsi="Century"/>
                <w:b/>
                <w:bCs/>
                <w:szCs w:val="24"/>
              </w:rPr>
            </w:pPr>
            <w:r w:rsidRPr="00F2417A">
              <w:rPr>
                <w:rFonts w:ascii="Century" w:hAnsi="Century"/>
                <w:b/>
                <w:bCs/>
                <w:szCs w:val="24"/>
              </w:rPr>
              <w:t>2017</w:t>
            </w:r>
          </w:p>
        </w:tc>
        <w:tc>
          <w:tcPr>
            <w:tcW w:w="992" w:type="dxa"/>
            <w:tcBorders>
              <w:top w:val="single" w:sz="4" w:space="0" w:color="auto"/>
              <w:bottom w:val="single" w:sz="4" w:space="0" w:color="auto"/>
            </w:tcBorders>
          </w:tcPr>
          <w:p w:rsidR="00A71D96" w:rsidRPr="00F2417A" w:rsidRDefault="00A71D96" w:rsidP="00F2417A">
            <w:pPr>
              <w:spacing w:after="0" w:line="240" w:lineRule="auto"/>
              <w:contextualSpacing/>
              <w:jc w:val="right"/>
              <w:rPr>
                <w:rFonts w:ascii="Century" w:hAnsi="Century"/>
                <w:b/>
                <w:bCs/>
                <w:szCs w:val="24"/>
              </w:rPr>
            </w:pPr>
            <w:r w:rsidRPr="00F2417A">
              <w:rPr>
                <w:rFonts w:ascii="Century" w:hAnsi="Century"/>
                <w:b/>
                <w:bCs/>
                <w:szCs w:val="24"/>
              </w:rPr>
              <w:t>2018</w:t>
            </w:r>
          </w:p>
        </w:tc>
        <w:tc>
          <w:tcPr>
            <w:tcW w:w="992" w:type="dxa"/>
            <w:tcBorders>
              <w:top w:val="single" w:sz="4" w:space="0" w:color="auto"/>
              <w:bottom w:val="single" w:sz="4" w:space="0" w:color="auto"/>
            </w:tcBorders>
          </w:tcPr>
          <w:p w:rsidR="00A71D96" w:rsidRPr="00F2417A" w:rsidRDefault="00A71D96" w:rsidP="00F2417A">
            <w:pPr>
              <w:spacing w:after="0" w:line="240" w:lineRule="auto"/>
              <w:contextualSpacing/>
              <w:jc w:val="right"/>
              <w:rPr>
                <w:rFonts w:ascii="Century" w:hAnsi="Century"/>
                <w:b/>
                <w:bCs/>
                <w:szCs w:val="24"/>
              </w:rPr>
            </w:pPr>
            <w:r w:rsidRPr="00F2417A">
              <w:rPr>
                <w:rFonts w:ascii="Century" w:hAnsi="Century"/>
                <w:b/>
                <w:bCs/>
                <w:szCs w:val="24"/>
              </w:rPr>
              <w:t>2019</w:t>
            </w:r>
          </w:p>
        </w:tc>
        <w:tc>
          <w:tcPr>
            <w:tcW w:w="992" w:type="dxa"/>
            <w:tcBorders>
              <w:top w:val="single" w:sz="4" w:space="0" w:color="auto"/>
              <w:bottom w:val="single" w:sz="4" w:space="0" w:color="auto"/>
            </w:tcBorders>
          </w:tcPr>
          <w:p w:rsidR="00A71D96" w:rsidRPr="00F2417A" w:rsidRDefault="00A71D96" w:rsidP="00F2417A">
            <w:pPr>
              <w:spacing w:after="0" w:line="240" w:lineRule="auto"/>
              <w:contextualSpacing/>
              <w:jc w:val="right"/>
              <w:rPr>
                <w:rFonts w:ascii="Century" w:hAnsi="Century"/>
                <w:b/>
                <w:bCs/>
                <w:szCs w:val="24"/>
              </w:rPr>
            </w:pPr>
            <w:r w:rsidRPr="00F2417A">
              <w:rPr>
                <w:rFonts w:ascii="Century" w:hAnsi="Century"/>
                <w:b/>
                <w:bCs/>
                <w:szCs w:val="24"/>
              </w:rPr>
              <w:t>2020</w:t>
            </w:r>
          </w:p>
        </w:tc>
      </w:tr>
      <w:tr w:rsidR="00B620E1" w:rsidRPr="004436AC" w:rsidTr="003C4A4E">
        <w:trPr>
          <w:trHeight w:val="340"/>
        </w:trPr>
        <w:tc>
          <w:tcPr>
            <w:tcW w:w="5329" w:type="dxa"/>
            <w:tcBorders>
              <w:top w:val="single" w:sz="4" w:space="0" w:color="auto"/>
            </w:tcBorders>
            <w:shd w:val="clear" w:color="auto" w:fill="F2F2F2"/>
            <w:vAlign w:val="center"/>
          </w:tcPr>
          <w:p w:rsidR="00B620E1" w:rsidRPr="00A71D96" w:rsidRDefault="00B620E1" w:rsidP="00F2417A">
            <w:pPr>
              <w:spacing w:after="0" w:line="240" w:lineRule="auto"/>
              <w:contextualSpacing/>
              <w:jc w:val="both"/>
              <w:rPr>
                <w:rFonts w:ascii="Century" w:hAnsi="Century"/>
                <w:b/>
                <w:bCs/>
                <w:sz w:val="20"/>
                <w:szCs w:val="20"/>
              </w:rPr>
            </w:pPr>
            <w:r w:rsidRPr="00A71D96">
              <w:rPr>
                <w:rFonts w:ascii="Century" w:hAnsi="Century"/>
                <w:b/>
                <w:color w:val="000000"/>
                <w:sz w:val="20"/>
                <w:szCs w:val="20"/>
              </w:rPr>
              <w:t>Доходы, всего</w:t>
            </w:r>
          </w:p>
        </w:tc>
        <w:tc>
          <w:tcPr>
            <w:tcW w:w="992" w:type="dxa"/>
            <w:tcBorders>
              <w:top w:val="single" w:sz="4" w:space="0" w:color="auto"/>
            </w:tcBorders>
            <w:shd w:val="clear" w:color="auto" w:fill="F2F2F2"/>
            <w:vAlign w:val="center"/>
          </w:tcPr>
          <w:p w:rsidR="00B620E1" w:rsidRDefault="00B620E1" w:rsidP="00B620E1">
            <w:pPr>
              <w:spacing w:after="0" w:line="240" w:lineRule="auto"/>
              <w:jc w:val="right"/>
              <w:rPr>
                <w:rFonts w:ascii="Century" w:hAnsi="Century"/>
                <w:b/>
                <w:bCs/>
                <w:sz w:val="20"/>
                <w:szCs w:val="20"/>
              </w:rPr>
            </w:pPr>
            <w:r>
              <w:rPr>
                <w:rFonts w:ascii="Century" w:hAnsi="Century"/>
                <w:b/>
                <w:bCs/>
                <w:sz w:val="20"/>
                <w:szCs w:val="20"/>
              </w:rPr>
              <w:t>30 397</w:t>
            </w:r>
          </w:p>
        </w:tc>
        <w:tc>
          <w:tcPr>
            <w:tcW w:w="992" w:type="dxa"/>
            <w:tcBorders>
              <w:top w:val="single" w:sz="4" w:space="0" w:color="auto"/>
            </w:tcBorders>
            <w:shd w:val="clear" w:color="auto" w:fill="F2F2F2"/>
            <w:vAlign w:val="center"/>
          </w:tcPr>
          <w:p w:rsidR="00B620E1" w:rsidRDefault="00B620E1" w:rsidP="003C4A4E">
            <w:pPr>
              <w:spacing w:after="0" w:line="240" w:lineRule="auto"/>
              <w:jc w:val="right"/>
              <w:rPr>
                <w:rFonts w:ascii="Century" w:hAnsi="Century"/>
                <w:b/>
                <w:bCs/>
                <w:sz w:val="20"/>
                <w:szCs w:val="20"/>
              </w:rPr>
            </w:pPr>
            <w:r>
              <w:rPr>
                <w:rFonts w:ascii="Century" w:hAnsi="Century"/>
                <w:b/>
                <w:bCs/>
                <w:sz w:val="20"/>
                <w:szCs w:val="20"/>
              </w:rPr>
              <w:t>32 246</w:t>
            </w:r>
          </w:p>
        </w:tc>
        <w:tc>
          <w:tcPr>
            <w:tcW w:w="992" w:type="dxa"/>
            <w:tcBorders>
              <w:top w:val="single" w:sz="4" w:space="0" w:color="auto"/>
            </w:tcBorders>
            <w:shd w:val="clear" w:color="auto" w:fill="F2F2F2"/>
            <w:vAlign w:val="center"/>
          </w:tcPr>
          <w:p w:rsidR="00B620E1" w:rsidRDefault="00B620E1" w:rsidP="003C4A4E">
            <w:pPr>
              <w:spacing w:after="0" w:line="240" w:lineRule="auto"/>
              <w:jc w:val="right"/>
              <w:rPr>
                <w:rFonts w:ascii="Century" w:hAnsi="Century"/>
                <w:b/>
                <w:bCs/>
                <w:sz w:val="20"/>
                <w:szCs w:val="20"/>
              </w:rPr>
            </w:pPr>
            <w:r>
              <w:rPr>
                <w:rFonts w:ascii="Century" w:hAnsi="Century"/>
                <w:b/>
                <w:bCs/>
                <w:sz w:val="20"/>
                <w:szCs w:val="20"/>
              </w:rPr>
              <w:t>33 574</w:t>
            </w:r>
          </w:p>
        </w:tc>
        <w:tc>
          <w:tcPr>
            <w:tcW w:w="992" w:type="dxa"/>
            <w:tcBorders>
              <w:top w:val="single" w:sz="4" w:space="0" w:color="auto"/>
            </w:tcBorders>
            <w:shd w:val="clear" w:color="auto" w:fill="F2F2F2"/>
            <w:vAlign w:val="center"/>
          </w:tcPr>
          <w:p w:rsidR="00B620E1" w:rsidRDefault="00B620E1" w:rsidP="003C4A4E">
            <w:pPr>
              <w:spacing w:after="0" w:line="240" w:lineRule="auto"/>
              <w:jc w:val="right"/>
              <w:rPr>
                <w:rFonts w:ascii="Century" w:hAnsi="Century"/>
                <w:b/>
                <w:bCs/>
                <w:sz w:val="20"/>
                <w:szCs w:val="20"/>
              </w:rPr>
            </w:pPr>
            <w:r>
              <w:rPr>
                <w:rFonts w:ascii="Century" w:hAnsi="Century"/>
                <w:b/>
                <w:bCs/>
                <w:sz w:val="20"/>
                <w:szCs w:val="20"/>
              </w:rPr>
              <w:t>35 266</w:t>
            </w:r>
          </w:p>
        </w:tc>
      </w:tr>
      <w:tr w:rsidR="00B620E1" w:rsidRPr="004436AC" w:rsidTr="003C4A4E">
        <w:trPr>
          <w:trHeight w:val="340"/>
        </w:trPr>
        <w:tc>
          <w:tcPr>
            <w:tcW w:w="5329" w:type="dxa"/>
            <w:vAlign w:val="center"/>
          </w:tcPr>
          <w:p w:rsidR="00B620E1" w:rsidRPr="00A71D96" w:rsidRDefault="00B620E1" w:rsidP="00F2417A">
            <w:pPr>
              <w:spacing w:after="0" w:line="240" w:lineRule="auto"/>
              <w:contextualSpacing/>
              <w:rPr>
                <w:rFonts w:ascii="Century" w:hAnsi="Century"/>
                <w:b/>
                <w:bCs/>
                <w:i/>
                <w:iCs/>
                <w:color w:val="000000"/>
                <w:sz w:val="20"/>
                <w:szCs w:val="20"/>
                <w:lang w:eastAsia="ru-RU"/>
              </w:rPr>
            </w:pPr>
            <w:r w:rsidRPr="00A71D96">
              <w:rPr>
                <w:rFonts w:ascii="Century" w:hAnsi="Century"/>
                <w:bCs/>
                <w:i/>
                <w:iCs/>
                <w:color w:val="000000"/>
                <w:sz w:val="20"/>
                <w:szCs w:val="20"/>
                <w:lang w:eastAsia="ru-RU"/>
              </w:rPr>
              <w:t>%% ВВП</w:t>
            </w:r>
          </w:p>
        </w:tc>
        <w:tc>
          <w:tcPr>
            <w:tcW w:w="992" w:type="dxa"/>
            <w:vAlign w:val="center"/>
          </w:tcPr>
          <w:p w:rsidR="00B620E1" w:rsidRDefault="00B620E1" w:rsidP="00B620E1">
            <w:pPr>
              <w:spacing w:after="0" w:line="240" w:lineRule="auto"/>
              <w:jc w:val="right"/>
              <w:rPr>
                <w:rFonts w:ascii="Century" w:hAnsi="Century"/>
                <w:i/>
                <w:iCs/>
                <w:sz w:val="20"/>
                <w:szCs w:val="20"/>
              </w:rPr>
            </w:pPr>
            <w:r>
              <w:rPr>
                <w:rFonts w:ascii="Century" w:hAnsi="Century"/>
                <w:i/>
                <w:iCs/>
                <w:sz w:val="20"/>
                <w:szCs w:val="20"/>
              </w:rPr>
              <w:t>33,0</w:t>
            </w:r>
          </w:p>
        </w:tc>
        <w:tc>
          <w:tcPr>
            <w:tcW w:w="992" w:type="dxa"/>
            <w:vAlign w:val="center"/>
          </w:tcPr>
          <w:p w:rsidR="00B620E1" w:rsidRDefault="00B620E1" w:rsidP="003C4A4E">
            <w:pPr>
              <w:spacing w:after="0" w:line="240" w:lineRule="auto"/>
              <w:jc w:val="right"/>
              <w:rPr>
                <w:rFonts w:ascii="Century" w:hAnsi="Century"/>
                <w:i/>
                <w:iCs/>
                <w:sz w:val="20"/>
                <w:szCs w:val="20"/>
              </w:rPr>
            </w:pPr>
            <w:r>
              <w:rPr>
                <w:rFonts w:ascii="Century" w:hAnsi="Century"/>
                <w:i/>
                <w:iCs/>
                <w:sz w:val="20"/>
                <w:szCs w:val="20"/>
              </w:rPr>
              <w:t>33,1</w:t>
            </w:r>
          </w:p>
        </w:tc>
        <w:tc>
          <w:tcPr>
            <w:tcW w:w="992" w:type="dxa"/>
            <w:vAlign w:val="center"/>
          </w:tcPr>
          <w:p w:rsidR="00B620E1" w:rsidRDefault="00B620E1" w:rsidP="003C4A4E">
            <w:pPr>
              <w:spacing w:after="0" w:line="240" w:lineRule="auto"/>
              <w:jc w:val="right"/>
              <w:rPr>
                <w:rFonts w:ascii="Century" w:hAnsi="Century"/>
                <w:i/>
                <w:iCs/>
                <w:sz w:val="20"/>
                <w:szCs w:val="20"/>
              </w:rPr>
            </w:pPr>
            <w:r>
              <w:rPr>
                <w:rFonts w:ascii="Century" w:hAnsi="Century"/>
                <w:i/>
                <w:iCs/>
                <w:sz w:val="20"/>
                <w:szCs w:val="20"/>
              </w:rPr>
              <w:t>32,5</w:t>
            </w:r>
          </w:p>
        </w:tc>
        <w:tc>
          <w:tcPr>
            <w:tcW w:w="992" w:type="dxa"/>
            <w:vAlign w:val="center"/>
          </w:tcPr>
          <w:p w:rsidR="00B620E1" w:rsidRDefault="00B620E1" w:rsidP="003C4A4E">
            <w:pPr>
              <w:spacing w:after="0" w:line="240" w:lineRule="auto"/>
              <w:jc w:val="right"/>
              <w:rPr>
                <w:rFonts w:ascii="Century" w:hAnsi="Century"/>
                <w:i/>
                <w:iCs/>
                <w:sz w:val="20"/>
                <w:szCs w:val="20"/>
              </w:rPr>
            </w:pPr>
            <w:r>
              <w:rPr>
                <w:rFonts w:ascii="Century" w:hAnsi="Century"/>
                <w:i/>
                <w:iCs/>
                <w:sz w:val="20"/>
                <w:szCs w:val="20"/>
              </w:rPr>
              <w:t>32,0</w:t>
            </w:r>
          </w:p>
        </w:tc>
      </w:tr>
      <w:tr w:rsidR="00B620E1" w:rsidRPr="004436AC" w:rsidTr="003C4A4E">
        <w:trPr>
          <w:trHeight w:val="340"/>
        </w:trPr>
        <w:tc>
          <w:tcPr>
            <w:tcW w:w="5329" w:type="dxa"/>
            <w:shd w:val="clear" w:color="auto" w:fill="F2F2F2"/>
            <w:vAlign w:val="center"/>
          </w:tcPr>
          <w:p w:rsidR="00B620E1" w:rsidRPr="00A71D96" w:rsidRDefault="00B620E1" w:rsidP="00F2417A">
            <w:pPr>
              <w:spacing w:after="0" w:line="240" w:lineRule="auto"/>
              <w:contextualSpacing/>
              <w:jc w:val="both"/>
              <w:rPr>
                <w:rFonts w:ascii="Century" w:hAnsi="Century"/>
                <w:b/>
                <w:bCs/>
                <w:sz w:val="20"/>
                <w:szCs w:val="20"/>
                <w:u w:val="single"/>
              </w:rPr>
            </w:pPr>
            <w:r w:rsidRPr="00A71D96">
              <w:rPr>
                <w:rFonts w:ascii="Century" w:hAnsi="Century"/>
                <w:bCs/>
                <w:color w:val="000000"/>
                <w:sz w:val="20"/>
                <w:szCs w:val="20"/>
              </w:rPr>
              <w:t>Федеральный бюджет</w:t>
            </w:r>
          </w:p>
        </w:tc>
        <w:tc>
          <w:tcPr>
            <w:tcW w:w="992" w:type="dxa"/>
            <w:shd w:val="clear" w:color="auto" w:fill="F2F2F2"/>
            <w:vAlign w:val="center"/>
          </w:tcPr>
          <w:p w:rsidR="00B620E1" w:rsidRDefault="00B620E1" w:rsidP="00B620E1">
            <w:pPr>
              <w:spacing w:after="0" w:line="240" w:lineRule="auto"/>
              <w:jc w:val="right"/>
              <w:rPr>
                <w:rFonts w:ascii="Century" w:hAnsi="Century"/>
                <w:sz w:val="20"/>
                <w:szCs w:val="20"/>
              </w:rPr>
            </w:pPr>
            <w:r>
              <w:rPr>
                <w:rFonts w:ascii="Century" w:hAnsi="Century"/>
                <w:sz w:val="20"/>
                <w:szCs w:val="20"/>
              </w:rPr>
              <w:t>14 720</w:t>
            </w:r>
          </w:p>
        </w:tc>
        <w:tc>
          <w:tcPr>
            <w:tcW w:w="992" w:type="dxa"/>
            <w:shd w:val="clear" w:color="auto" w:fill="F2F2F2"/>
            <w:vAlign w:val="center"/>
          </w:tcPr>
          <w:p w:rsidR="00B620E1" w:rsidRDefault="00B620E1" w:rsidP="003C4A4E">
            <w:pPr>
              <w:spacing w:after="0" w:line="240" w:lineRule="auto"/>
              <w:jc w:val="right"/>
              <w:rPr>
                <w:rFonts w:ascii="Century" w:hAnsi="Century"/>
                <w:sz w:val="20"/>
                <w:szCs w:val="20"/>
              </w:rPr>
            </w:pPr>
            <w:r>
              <w:rPr>
                <w:rFonts w:ascii="Century" w:hAnsi="Century"/>
                <w:sz w:val="20"/>
                <w:szCs w:val="20"/>
              </w:rPr>
              <w:t>15 258</w:t>
            </w:r>
          </w:p>
        </w:tc>
        <w:tc>
          <w:tcPr>
            <w:tcW w:w="992" w:type="dxa"/>
            <w:shd w:val="clear" w:color="auto" w:fill="F2F2F2"/>
            <w:vAlign w:val="center"/>
          </w:tcPr>
          <w:p w:rsidR="00B620E1" w:rsidRDefault="00B620E1" w:rsidP="003C4A4E">
            <w:pPr>
              <w:spacing w:after="0" w:line="240" w:lineRule="auto"/>
              <w:jc w:val="right"/>
              <w:rPr>
                <w:rFonts w:ascii="Century" w:hAnsi="Century"/>
                <w:sz w:val="20"/>
                <w:szCs w:val="20"/>
              </w:rPr>
            </w:pPr>
            <w:r>
              <w:rPr>
                <w:rFonts w:ascii="Century" w:hAnsi="Century"/>
                <w:sz w:val="20"/>
                <w:szCs w:val="20"/>
              </w:rPr>
              <w:t>15 555</w:t>
            </w:r>
          </w:p>
        </w:tc>
        <w:tc>
          <w:tcPr>
            <w:tcW w:w="992" w:type="dxa"/>
            <w:shd w:val="clear" w:color="auto" w:fill="F2F2F2"/>
            <w:vAlign w:val="center"/>
          </w:tcPr>
          <w:p w:rsidR="00B620E1" w:rsidRDefault="00B620E1" w:rsidP="003C4A4E">
            <w:pPr>
              <w:spacing w:after="0" w:line="240" w:lineRule="auto"/>
              <w:jc w:val="right"/>
              <w:rPr>
                <w:rFonts w:ascii="Century" w:hAnsi="Century"/>
                <w:sz w:val="20"/>
                <w:szCs w:val="20"/>
              </w:rPr>
            </w:pPr>
            <w:r>
              <w:rPr>
                <w:rFonts w:ascii="Century" w:hAnsi="Century"/>
                <w:sz w:val="20"/>
                <w:szCs w:val="20"/>
              </w:rPr>
              <w:t>16 285</w:t>
            </w:r>
          </w:p>
        </w:tc>
      </w:tr>
      <w:tr w:rsidR="00B620E1" w:rsidRPr="004436AC" w:rsidTr="003C4A4E">
        <w:trPr>
          <w:trHeight w:val="340"/>
        </w:trPr>
        <w:tc>
          <w:tcPr>
            <w:tcW w:w="5329" w:type="dxa"/>
            <w:vAlign w:val="center"/>
          </w:tcPr>
          <w:p w:rsidR="00B620E1" w:rsidRPr="00A71D96" w:rsidRDefault="00B620E1" w:rsidP="00F2417A">
            <w:pPr>
              <w:spacing w:after="0" w:line="240" w:lineRule="auto"/>
              <w:ind w:left="176"/>
              <w:contextualSpacing/>
              <w:rPr>
                <w:rFonts w:ascii="Century" w:hAnsi="Century"/>
                <w:b/>
                <w:bCs/>
                <w:i/>
                <w:sz w:val="18"/>
                <w:szCs w:val="18"/>
              </w:rPr>
            </w:pPr>
            <w:r w:rsidRPr="00A71D96">
              <w:rPr>
                <w:rFonts w:ascii="Century" w:hAnsi="Century"/>
                <w:bCs/>
                <w:i/>
                <w:color w:val="000000"/>
                <w:sz w:val="18"/>
                <w:szCs w:val="18"/>
              </w:rPr>
              <w:t>без учета межбюджетных трансфертов</w:t>
            </w:r>
          </w:p>
        </w:tc>
        <w:tc>
          <w:tcPr>
            <w:tcW w:w="992" w:type="dxa"/>
            <w:vAlign w:val="center"/>
          </w:tcPr>
          <w:p w:rsidR="00B620E1" w:rsidRDefault="00B620E1" w:rsidP="00B620E1">
            <w:pPr>
              <w:spacing w:after="0" w:line="240" w:lineRule="auto"/>
              <w:jc w:val="right"/>
              <w:rPr>
                <w:rFonts w:ascii="Century" w:hAnsi="Century"/>
                <w:i/>
                <w:iCs/>
                <w:sz w:val="18"/>
                <w:szCs w:val="18"/>
              </w:rPr>
            </w:pPr>
            <w:r>
              <w:rPr>
                <w:rFonts w:ascii="Century" w:hAnsi="Century"/>
                <w:i/>
                <w:iCs/>
                <w:sz w:val="18"/>
                <w:szCs w:val="18"/>
              </w:rPr>
              <w:t>14 720</w:t>
            </w:r>
          </w:p>
        </w:tc>
        <w:tc>
          <w:tcPr>
            <w:tcW w:w="992" w:type="dxa"/>
            <w:vAlign w:val="center"/>
          </w:tcPr>
          <w:p w:rsidR="00B620E1" w:rsidRDefault="00B620E1" w:rsidP="003C4A4E">
            <w:pPr>
              <w:spacing w:after="0" w:line="240" w:lineRule="auto"/>
              <w:jc w:val="right"/>
              <w:rPr>
                <w:rFonts w:ascii="Century" w:hAnsi="Century"/>
                <w:i/>
                <w:iCs/>
                <w:sz w:val="18"/>
                <w:szCs w:val="18"/>
              </w:rPr>
            </w:pPr>
            <w:r>
              <w:rPr>
                <w:rFonts w:ascii="Century" w:hAnsi="Century"/>
                <w:i/>
                <w:iCs/>
                <w:sz w:val="18"/>
                <w:szCs w:val="18"/>
              </w:rPr>
              <w:t>15 252</w:t>
            </w:r>
          </w:p>
        </w:tc>
        <w:tc>
          <w:tcPr>
            <w:tcW w:w="992" w:type="dxa"/>
            <w:vAlign w:val="center"/>
          </w:tcPr>
          <w:p w:rsidR="00B620E1" w:rsidRDefault="00B620E1" w:rsidP="003C4A4E">
            <w:pPr>
              <w:spacing w:after="0" w:line="240" w:lineRule="auto"/>
              <w:jc w:val="right"/>
              <w:rPr>
                <w:rFonts w:ascii="Century" w:hAnsi="Century"/>
                <w:i/>
                <w:iCs/>
                <w:sz w:val="18"/>
                <w:szCs w:val="18"/>
              </w:rPr>
            </w:pPr>
            <w:r>
              <w:rPr>
                <w:rFonts w:ascii="Century" w:hAnsi="Century"/>
                <w:i/>
                <w:iCs/>
                <w:sz w:val="18"/>
                <w:szCs w:val="18"/>
              </w:rPr>
              <w:t>15 549</w:t>
            </w:r>
          </w:p>
        </w:tc>
        <w:tc>
          <w:tcPr>
            <w:tcW w:w="992" w:type="dxa"/>
            <w:vAlign w:val="center"/>
          </w:tcPr>
          <w:p w:rsidR="00B620E1" w:rsidRDefault="00B620E1" w:rsidP="003C4A4E">
            <w:pPr>
              <w:spacing w:after="0" w:line="240" w:lineRule="auto"/>
              <w:jc w:val="right"/>
              <w:rPr>
                <w:rFonts w:ascii="Century" w:hAnsi="Century"/>
                <w:i/>
                <w:iCs/>
                <w:sz w:val="18"/>
                <w:szCs w:val="18"/>
              </w:rPr>
            </w:pPr>
            <w:r>
              <w:rPr>
                <w:rFonts w:ascii="Century" w:hAnsi="Century"/>
                <w:i/>
                <w:iCs/>
                <w:sz w:val="18"/>
                <w:szCs w:val="18"/>
              </w:rPr>
              <w:t>16 279</w:t>
            </w:r>
          </w:p>
        </w:tc>
      </w:tr>
      <w:tr w:rsidR="00B620E1" w:rsidRPr="004436AC" w:rsidTr="003C4A4E">
        <w:trPr>
          <w:trHeight w:val="340"/>
        </w:trPr>
        <w:tc>
          <w:tcPr>
            <w:tcW w:w="5329" w:type="dxa"/>
            <w:shd w:val="clear" w:color="auto" w:fill="F2F2F2"/>
            <w:vAlign w:val="center"/>
          </w:tcPr>
          <w:p w:rsidR="00B620E1" w:rsidRPr="00A71D96" w:rsidRDefault="00B620E1" w:rsidP="00F2417A">
            <w:pPr>
              <w:spacing w:after="0" w:line="240" w:lineRule="auto"/>
              <w:contextualSpacing/>
              <w:jc w:val="both"/>
              <w:rPr>
                <w:rFonts w:ascii="Century" w:hAnsi="Century"/>
                <w:b/>
                <w:bCs/>
                <w:sz w:val="20"/>
                <w:szCs w:val="20"/>
              </w:rPr>
            </w:pPr>
            <w:r w:rsidRPr="00A71D96">
              <w:rPr>
                <w:rFonts w:ascii="Century" w:hAnsi="Century"/>
                <w:bCs/>
                <w:color w:val="000000"/>
                <w:sz w:val="20"/>
                <w:szCs w:val="20"/>
              </w:rPr>
              <w:t xml:space="preserve">Консолидированные бюджеты субъектов </w:t>
            </w:r>
          </w:p>
        </w:tc>
        <w:tc>
          <w:tcPr>
            <w:tcW w:w="992" w:type="dxa"/>
            <w:shd w:val="clear" w:color="auto" w:fill="F2F2F2"/>
            <w:vAlign w:val="center"/>
          </w:tcPr>
          <w:p w:rsidR="00B620E1" w:rsidRDefault="00B620E1" w:rsidP="00B620E1">
            <w:pPr>
              <w:spacing w:after="0" w:line="240" w:lineRule="auto"/>
              <w:jc w:val="right"/>
              <w:rPr>
                <w:rFonts w:ascii="Century" w:hAnsi="Century"/>
                <w:sz w:val="20"/>
                <w:szCs w:val="20"/>
              </w:rPr>
            </w:pPr>
            <w:r>
              <w:rPr>
                <w:rFonts w:ascii="Century" w:hAnsi="Century"/>
                <w:sz w:val="20"/>
                <w:szCs w:val="20"/>
              </w:rPr>
              <w:t>10 641</w:t>
            </w:r>
          </w:p>
        </w:tc>
        <w:tc>
          <w:tcPr>
            <w:tcW w:w="992" w:type="dxa"/>
            <w:shd w:val="clear" w:color="auto" w:fill="F2F2F2"/>
            <w:vAlign w:val="center"/>
          </w:tcPr>
          <w:p w:rsidR="00B620E1" w:rsidRDefault="00B620E1" w:rsidP="003C4A4E">
            <w:pPr>
              <w:spacing w:after="0" w:line="240" w:lineRule="auto"/>
              <w:jc w:val="right"/>
              <w:rPr>
                <w:rFonts w:ascii="Century" w:hAnsi="Century"/>
                <w:sz w:val="20"/>
                <w:szCs w:val="20"/>
              </w:rPr>
            </w:pPr>
            <w:r>
              <w:rPr>
                <w:rFonts w:ascii="Century" w:hAnsi="Century"/>
                <w:sz w:val="20"/>
                <w:szCs w:val="20"/>
              </w:rPr>
              <w:t>11 259</w:t>
            </w:r>
          </w:p>
        </w:tc>
        <w:tc>
          <w:tcPr>
            <w:tcW w:w="992" w:type="dxa"/>
            <w:shd w:val="clear" w:color="auto" w:fill="F2F2F2"/>
            <w:vAlign w:val="center"/>
          </w:tcPr>
          <w:p w:rsidR="00B620E1" w:rsidRDefault="00B620E1" w:rsidP="003C4A4E">
            <w:pPr>
              <w:spacing w:after="0" w:line="240" w:lineRule="auto"/>
              <w:jc w:val="right"/>
              <w:rPr>
                <w:rFonts w:ascii="Century" w:hAnsi="Century"/>
                <w:sz w:val="20"/>
                <w:szCs w:val="20"/>
              </w:rPr>
            </w:pPr>
            <w:r>
              <w:rPr>
                <w:rFonts w:ascii="Century" w:hAnsi="Century"/>
                <w:sz w:val="20"/>
                <w:szCs w:val="20"/>
              </w:rPr>
              <w:t>11 749</w:t>
            </w:r>
          </w:p>
        </w:tc>
        <w:tc>
          <w:tcPr>
            <w:tcW w:w="992" w:type="dxa"/>
            <w:shd w:val="clear" w:color="auto" w:fill="F2F2F2"/>
            <w:vAlign w:val="center"/>
          </w:tcPr>
          <w:p w:rsidR="00B620E1" w:rsidRDefault="00B620E1" w:rsidP="003C4A4E">
            <w:pPr>
              <w:spacing w:after="0" w:line="240" w:lineRule="auto"/>
              <w:jc w:val="right"/>
              <w:rPr>
                <w:rFonts w:ascii="Century" w:hAnsi="Century"/>
                <w:sz w:val="20"/>
                <w:szCs w:val="20"/>
              </w:rPr>
            </w:pPr>
            <w:r>
              <w:rPr>
                <w:rFonts w:ascii="Century" w:hAnsi="Century"/>
                <w:sz w:val="20"/>
                <w:szCs w:val="20"/>
              </w:rPr>
              <w:t>12 406</w:t>
            </w:r>
          </w:p>
        </w:tc>
      </w:tr>
      <w:tr w:rsidR="00B620E1" w:rsidRPr="004436AC" w:rsidTr="003C4A4E">
        <w:trPr>
          <w:trHeight w:val="340"/>
        </w:trPr>
        <w:tc>
          <w:tcPr>
            <w:tcW w:w="5329" w:type="dxa"/>
            <w:vAlign w:val="center"/>
          </w:tcPr>
          <w:p w:rsidR="00B620E1" w:rsidRPr="00A71D96" w:rsidRDefault="00B620E1" w:rsidP="00F2417A">
            <w:pPr>
              <w:spacing w:after="0" w:line="240" w:lineRule="auto"/>
              <w:ind w:left="176"/>
              <w:contextualSpacing/>
              <w:rPr>
                <w:rFonts w:ascii="Century" w:hAnsi="Century"/>
                <w:b/>
                <w:bCs/>
                <w:i/>
                <w:sz w:val="18"/>
                <w:szCs w:val="18"/>
              </w:rPr>
            </w:pPr>
            <w:r w:rsidRPr="00A71D96">
              <w:rPr>
                <w:rFonts w:ascii="Century" w:hAnsi="Century"/>
                <w:bCs/>
                <w:i/>
                <w:color w:val="000000"/>
                <w:sz w:val="18"/>
                <w:szCs w:val="18"/>
              </w:rPr>
              <w:t>без учета межбюджетных трансфертов</w:t>
            </w:r>
          </w:p>
        </w:tc>
        <w:tc>
          <w:tcPr>
            <w:tcW w:w="992" w:type="dxa"/>
            <w:vAlign w:val="center"/>
          </w:tcPr>
          <w:p w:rsidR="00B620E1" w:rsidRDefault="00B620E1" w:rsidP="00B620E1">
            <w:pPr>
              <w:spacing w:after="0" w:line="240" w:lineRule="auto"/>
              <w:jc w:val="right"/>
              <w:rPr>
                <w:rFonts w:ascii="Century" w:hAnsi="Century"/>
                <w:i/>
                <w:iCs/>
                <w:sz w:val="18"/>
                <w:szCs w:val="18"/>
              </w:rPr>
            </w:pPr>
            <w:r>
              <w:rPr>
                <w:rFonts w:ascii="Century" w:hAnsi="Century"/>
                <w:i/>
                <w:iCs/>
                <w:sz w:val="18"/>
                <w:szCs w:val="18"/>
              </w:rPr>
              <w:t>8 972</w:t>
            </w:r>
          </w:p>
        </w:tc>
        <w:tc>
          <w:tcPr>
            <w:tcW w:w="992" w:type="dxa"/>
            <w:vAlign w:val="center"/>
          </w:tcPr>
          <w:p w:rsidR="00B620E1" w:rsidRDefault="00B620E1" w:rsidP="003C4A4E">
            <w:pPr>
              <w:spacing w:after="0" w:line="240" w:lineRule="auto"/>
              <w:jc w:val="right"/>
              <w:rPr>
                <w:rFonts w:ascii="Century" w:hAnsi="Century"/>
                <w:i/>
                <w:iCs/>
                <w:sz w:val="18"/>
                <w:szCs w:val="18"/>
              </w:rPr>
            </w:pPr>
            <w:r>
              <w:rPr>
                <w:rFonts w:ascii="Century" w:hAnsi="Century"/>
                <w:i/>
                <w:iCs/>
                <w:sz w:val="18"/>
                <w:szCs w:val="18"/>
              </w:rPr>
              <w:t>9 607</w:t>
            </w:r>
          </w:p>
        </w:tc>
        <w:tc>
          <w:tcPr>
            <w:tcW w:w="992" w:type="dxa"/>
            <w:vAlign w:val="center"/>
          </w:tcPr>
          <w:p w:rsidR="00B620E1" w:rsidRDefault="00B620E1" w:rsidP="003C4A4E">
            <w:pPr>
              <w:spacing w:after="0" w:line="240" w:lineRule="auto"/>
              <w:jc w:val="right"/>
              <w:rPr>
                <w:rFonts w:ascii="Century" w:hAnsi="Century"/>
                <w:i/>
                <w:iCs/>
                <w:sz w:val="18"/>
                <w:szCs w:val="18"/>
              </w:rPr>
            </w:pPr>
            <w:r>
              <w:rPr>
                <w:rFonts w:ascii="Century" w:hAnsi="Century"/>
                <w:i/>
                <w:iCs/>
                <w:sz w:val="18"/>
                <w:szCs w:val="18"/>
              </w:rPr>
              <w:t>10 172</w:t>
            </w:r>
          </w:p>
        </w:tc>
        <w:tc>
          <w:tcPr>
            <w:tcW w:w="992" w:type="dxa"/>
            <w:vAlign w:val="center"/>
          </w:tcPr>
          <w:p w:rsidR="00B620E1" w:rsidRDefault="00B620E1" w:rsidP="003C4A4E">
            <w:pPr>
              <w:spacing w:after="0" w:line="240" w:lineRule="auto"/>
              <w:jc w:val="right"/>
              <w:rPr>
                <w:rFonts w:ascii="Century" w:hAnsi="Century"/>
                <w:i/>
                <w:iCs/>
                <w:sz w:val="18"/>
                <w:szCs w:val="18"/>
              </w:rPr>
            </w:pPr>
            <w:r>
              <w:rPr>
                <w:rFonts w:ascii="Century" w:hAnsi="Century"/>
                <w:i/>
                <w:iCs/>
                <w:sz w:val="18"/>
                <w:szCs w:val="18"/>
              </w:rPr>
              <w:t>10 815</w:t>
            </w:r>
          </w:p>
        </w:tc>
      </w:tr>
      <w:tr w:rsidR="00B620E1" w:rsidRPr="004436AC" w:rsidTr="003C4A4E">
        <w:trPr>
          <w:trHeight w:val="340"/>
        </w:trPr>
        <w:tc>
          <w:tcPr>
            <w:tcW w:w="5329" w:type="dxa"/>
            <w:shd w:val="clear" w:color="auto" w:fill="F2F2F2"/>
            <w:vAlign w:val="center"/>
          </w:tcPr>
          <w:p w:rsidR="00B620E1" w:rsidRPr="00A71D96" w:rsidRDefault="00B620E1" w:rsidP="00F2417A">
            <w:pPr>
              <w:spacing w:after="0" w:line="240" w:lineRule="auto"/>
              <w:contextualSpacing/>
              <w:rPr>
                <w:rFonts w:ascii="Century" w:hAnsi="Century"/>
                <w:b/>
                <w:bCs/>
                <w:sz w:val="20"/>
                <w:szCs w:val="20"/>
              </w:rPr>
            </w:pPr>
            <w:r w:rsidRPr="00A71D96">
              <w:rPr>
                <w:rFonts w:ascii="Century" w:hAnsi="Century"/>
                <w:bCs/>
                <w:color w:val="000000"/>
                <w:sz w:val="20"/>
                <w:szCs w:val="20"/>
              </w:rPr>
              <w:t>Государственные внебюджетные фонды</w:t>
            </w:r>
          </w:p>
        </w:tc>
        <w:tc>
          <w:tcPr>
            <w:tcW w:w="992" w:type="dxa"/>
            <w:shd w:val="clear" w:color="auto" w:fill="F2F2F2"/>
            <w:vAlign w:val="center"/>
          </w:tcPr>
          <w:p w:rsidR="00B620E1" w:rsidRDefault="00B620E1" w:rsidP="00B620E1">
            <w:pPr>
              <w:spacing w:after="0" w:line="240" w:lineRule="auto"/>
              <w:jc w:val="right"/>
              <w:rPr>
                <w:rFonts w:ascii="Century" w:hAnsi="Century"/>
                <w:sz w:val="20"/>
                <w:szCs w:val="20"/>
              </w:rPr>
            </w:pPr>
            <w:r>
              <w:rPr>
                <w:rFonts w:ascii="Century" w:hAnsi="Century"/>
                <w:sz w:val="20"/>
                <w:szCs w:val="20"/>
              </w:rPr>
              <w:t>10 550</w:t>
            </w:r>
          </w:p>
        </w:tc>
        <w:tc>
          <w:tcPr>
            <w:tcW w:w="992" w:type="dxa"/>
            <w:shd w:val="clear" w:color="auto" w:fill="F2F2F2"/>
            <w:vAlign w:val="center"/>
          </w:tcPr>
          <w:p w:rsidR="00B620E1" w:rsidRDefault="00B620E1" w:rsidP="003C4A4E">
            <w:pPr>
              <w:spacing w:after="0" w:line="240" w:lineRule="auto"/>
              <w:jc w:val="right"/>
              <w:rPr>
                <w:rFonts w:ascii="Century" w:hAnsi="Century"/>
                <w:sz w:val="20"/>
                <w:szCs w:val="20"/>
              </w:rPr>
            </w:pPr>
            <w:r>
              <w:rPr>
                <w:rFonts w:ascii="Century" w:hAnsi="Century"/>
                <w:sz w:val="20"/>
                <w:szCs w:val="20"/>
              </w:rPr>
              <w:t>10 833</w:t>
            </w:r>
          </w:p>
        </w:tc>
        <w:tc>
          <w:tcPr>
            <w:tcW w:w="992" w:type="dxa"/>
            <w:shd w:val="clear" w:color="auto" w:fill="F2F2F2"/>
            <w:vAlign w:val="center"/>
          </w:tcPr>
          <w:p w:rsidR="00B620E1" w:rsidRDefault="00B620E1" w:rsidP="003C4A4E">
            <w:pPr>
              <w:spacing w:after="0" w:line="240" w:lineRule="auto"/>
              <w:jc w:val="right"/>
              <w:rPr>
                <w:rFonts w:ascii="Century" w:hAnsi="Century"/>
                <w:sz w:val="20"/>
                <w:szCs w:val="20"/>
              </w:rPr>
            </w:pPr>
            <w:r>
              <w:rPr>
                <w:rFonts w:ascii="Century" w:hAnsi="Century"/>
                <w:sz w:val="20"/>
                <w:szCs w:val="20"/>
              </w:rPr>
              <w:t>11 251</w:t>
            </w:r>
          </w:p>
        </w:tc>
        <w:tc>
          <w:tcPr>
            <w:tcW w:w="992" w:type="dxa"/>
            <w:shd w:val="clear" w:color="auto" w:fill="F2F2F2"/>
            <w:vAlign w:val="center"/>
          </w:tcPr>
          <w:p w:rsidR="00B620E1" w:rsidRDefault="00B620E1" w:rsidP="003C4A4E">
            <w:pPr>
              <w:spacing w:after="0" w:line="240" w:lineRule="auto"/>
              <w:jc w:val="right"/>
              <w:rPr>
                <w:rFonts w:ascii="Century" w:hAnsi="Century"/>
                <w:sz w:val="20"/>
                <w:szCs w:val="20"/>
              </w:rPr>
            </w:pPr>
            <w:r>
              <w:rPr>
                <w:rFonts w:ascii="Century" w:hAnsi="Century"/>
                <w:sz w:val="20"/>
                <w:szCs w:val="20"/>
              </w:rPr>
              <w:t>11 741</w:t>
            </w:r>
          </w:p>
        </w:tc>
      </w:tr>
      <w:tr w:rsidR="00B620E1" w:rsidRPr="004436AC" w:rsidTr="003C4A4E">
        <w:trPr>
          <w:trHeight w:val="340"/>
        </w:trPr>
        <w:tc>
          <w:tcPr>
            <w:tcW w:w="5329" w:type="dxa"/>
            <w:vAlign w:val="center"/>
          </w:tcPr>
          <w:p w:rsidR="00B620E1" w:rsidRPr="00A71D96" w:rsidRDefault="00B620E1" w:rsidP="00F2417A">
            <w:pPr>
              <w:spacing w:after="0" w:line="240" w:lineRule="auto"/>
              <w:ind w:left="176"/>
              <w:contextualSpacing/>
              <w:jc w:val="both"/>
              <w:rPr>
                <w:rFonts w:ascii="Century" w:hAnsi="Century"/>
                <w:b/>
                <w:bCs/>
                <w:i/>
                <w:sz w:val="18"/>
                <w:szCs w:val="18"/>
              </w:rPr>
            </w:pPr>
            <w:r w:rsidRPr="00A71D96">
              <w:rPr>
                <w:rFonts w:ascii="Century" w:hAnsi="Century"/>
                <w:bCs/>
                <w:i/>
                <w:color w:val="000000"/>
                <w:sz w:val="18"/>
                <w:szCs w:val="18"/>
              </w:rPr>
              <w:t>без учета межбюджетных трансфертов</w:t>
            </w:r>
          </w:p>
        </w:tc>
        <w:tc>
          <w:tcPr>
            <w:tcW w:w="992" w:type="dxa"/>
            <w:vAlign w:val="center"/>
          </w:tcPr>
          <w:p w:rsidR="00B620E1" w:rsidRDefault="00B620E1" w:rsidP="00B620E1">
            <w:pPr>
              <w:spacing w:after="0" w:line="240" w:lineRule="auto"/>
              <w:jc w:val="right"/>
              <w:rPr>
                <w:rFonts w:ascii="Century" w:hAnsi="Century"/>
                <w:i/>
                <w:iCs/>
                <w:sz w:val="18"/>
                <w:szCs w:val="18"/>
              </w:rPr>
            </w:pPr>
            <w:r>
              <w:rPr>
                <w:rFonts w:ascii="Century" w:hAnsi="Century"/>
                <w:i/>
                <w:iCs/>
                <w:sz w:val="18"/>
                <w:szCs w:val="18"/>
              </w:rPr>
              <w:t>6 704</w:t>
            </w:r>
          </w:p>
        </w:tc>
        <w:tc>
          <w:tcPr>
            <w:tcW w:w="992" w:type="dxa"/>
            <w:vAlign w:val="center"/>
          </w:tcPr>
          <w:p w:rsidR="00B620E1" w:rsidRDefault="00B620E1" w:rsidP="003C4A4E">
            <w:pPr>
              <w:spacing w:after="0" w:line="240" w:lineRule="auto"/>
              <w:jc w:val="right"/>
              <w:rPr>
                <w:rFonts w:ascii="Century" w:hAnsi="Century"/>
                <w:i/>
                <w:iCs/>
                <w:sz w:val="18"/>
                <w:szCs w:val="18"/>
              </w:rPr>
            </w:pPr>
            <w:r>
              <w:rPr>
                <w:rFonts w:ascii="Century" w:hAnsi="Century"/>
                <w:i/>
                <w:iCs/>
                <w:sz w:val="18"/>
                <w:szCs w:val="18"/>
              </w:rPr>
              <w:t>7 387</w:t>
            </w:r>
          </w:p>
        </w:tc>
        <w:tc>
          <w:tcPr>
            <w:tcW w:w="992" w:type="dxa"/>
            <w:vAlign w:val="center"/>
          </w:tcPr>
          <w:p w:rsidR="00B620E1" w:rsidRDefault="00B620E1" w:rsidP="003C4A4E">
            <w:pPr>
              <w:spacing w:after="0" w:line="240" w:lineRule="auto"/>
              <w:jc w:val="right"/>
              <w:rPr>
                <w:rFonts w:ascii="Century" w:hAnsi="Century"/>
                <w:i/>
                <w:iCs/>
                <w:sz w:val="18"/>
                <w:szCs w:val="18"/>
              </w:rPr>
            </w:pPr>
            <w:r>
              <w:rPr>
                <w:rFonts w:ascii="Century" w:hAnsi="Century"/>
                <w:i/>
                <w:iCs/>
                <w:sz w:val="18"/>
                <w:szCs w:val="18"/>
              </w:rPr>
              <w:t>7 853</w:t>
            </w:r>
          </w:p>
        </w:tc>
        <w:tc>
          <w:tcPr>
            <w:tcW w:w="992" w:type="dxa"/>
            <w:vAlign w:val="center"/>
          </w:tcPr>
          <w:p w:rsidR="00B620E1" w:rsidRDefault="00B620E1" w:rsidP="003C4A4E">
            <w:pPr>
              <w:spacing w:after="0" w:line="240" w:lineRule="auto"/>
              <w:jc w:val="right"/>
              <w:rPr>
                <w:rFonts w:ascii="Century" w:hAnsi="Century"/>
                <w:i/>
                <w:iCs/>
                <w:sz w:val="18"/>
                <w:szCs w:val="18"/>
              </w:rPr>
            </w:pPr>
            <w:r>
              <w:rPr>
                <w:rFonts w:ascii="Century" w:hAnsi="Century"/>
                <w:i/>
                <w:iCs/>
                <w:sz w:val="18"/>
                <w:szCs w:val="18"/>
              </w:rPr>
              <w:t>8 171</w:t>
            </w:r>
          </w:p>
        </w:tc>
      </w:tr>
      <w:tr w:rsidR="00B620E1" w:rsidRPr="004436AC" w:rsidTr="003C4A4E">
        <w:trPr>
          <w:trHeight w:val="340"/>
        </w:trPr>
        <w:tc>
          <w:tcPr>
            <w:tcW w:w="5329" w:type="dxa"/>
            <w:shd w:val="clear" w:color="auto" w:fill="F2F2F2"/>
            <w:vAlign w:val="center"/>
          </w:tcPr>
          <w:p w:rsidR="00B620E1" w:rsidRPr="00A71D96" w:rsidRDefault="00B620E1" w:rsidP="00F2417A">
            <w:pPr>
              <w:spacing w:after="0" w:line="240" w:lineRule="auto"/>
              <w:ind w:left="459"/>
              <w:contextualSpacing/>
              <w:jc w:val="both"/>
              <w:rPr>
                <w:rFonts w:ascii="Century" w:hAnsi="Century"/>
                <w:b/>
                <w:bCs/>
                <w:sz w:val="20"/>
                <w:szCs w:val="20"/>
              </w:rPr>
            </w:pPr>
            <w:r w:rsidRPr="00A71D96">
              <w:rPr>
                <w:rFonts w:ascii="Century" w:hAnsi="Century"/>
                <w:bCs/>
                <w:color w:val="000000"/>
                <w:sz w:val="20"/>
                <w:szCs w:val="20"/>
              </w:rPr>
              <w:t>Пенсионный фонд</w:t>
            </w:r>
          </w:p>
        </w:tc>
        <w:tc>
          <w:tcPr>
            <w:tcW w:w="992" w:type="dxa"/>
            <w:shd w:val="clear" w:color="auto" w:fill="F2F2F2"/>
            <w:vAlign w:val="center"/>
          </w:tcPr>
          <w:p w:rsidR="00B620E1" w:rsidRDefault="00B620E1" w:rsidP="00B620E1">
            <w:pPr>
              <w:spacing w:after="0" w:line="240" w:lineRule="auto"/>
              <w:jc w:val="right"/>
              <w:rPr>
                <w:rFonts w:ascii="Century" w:hAnsi="Century"/>
                <w:sz w:val="20"/>
                <w:szCs w:val="20"/>
              </w:rPr>
            </w:pPr>
            <w:r>
              <w:rPr>
                <w:rFonts w:ascii="Century" w:hAnsi="Century"/>
                <w:sz w:val="20"/>
                <w:szCs w:val="20"/>
              </w:rPr>
              <w:t>8 201</w:t>
            </w:r>
          </w:p>
        </w:tc>
        <w:tc>
          <w:tcPr>
            <w:tcW w:w="992" w:type="dxa"/>
            <w:shd w:val="clear" w:color="auto" w:fill="F2F2F2"/>
            <w:vAlign w:val="center"/>
          </w:tcPr>
          <w:p w:rsidR="00B620E1" w:rsidRDefault="00B620E1" w:rsidP="003C4A4E">
            <w:pPr>
              <w:spacing w:after="0" w:line="240" w:lineRule="auto"/>
              <w:jc w:val="right"/>
              <w:rPr>
                <w:rFonts w:ascii="Century" w:hAnsi="Century"/>
                <w:sz w:val="20"/>
                <w:szCs w:val="20"/>
              </w:rPr>
            </w:pPr>
            <w:r>
              <w:rPr>
                <w:rFonts w:ascii="Century" w:hAnsi="Century"/>
                <w:sz w:val="20"/>
                <w:szCs w:val="20"/>
              </w:rPr>
              <w:t>8 236</w:t>
            </w:r>
          </w:p>
        </w:tc>
        <w:tc>
          <w:tcPr>
            <w:tcW w:w="992" w:type="dxa"/>
            <w:shd w:val="clear" w:color="auto" w:fill="F2F2F2"/>
            <w:vAlign w:val="center"/>
          </w:tcPr>
          <w:p w:rsidR="00B620E1" w:rsidRDefault="00B620E1" w:rsidP="003C4A4E">
            <w:pPr>
              <w:spacing w:after="0" w:line="240" w:lineRule="auto"/>
              <w:jc w:val="right"/>
              <w:rPr>
                <w:rFonts w:ascii="Century" w:hAnsi="Century"/>
                <w:sz w:val="20"/>
                <w:szCs w:val="20"/>
              </w:rPr>
            </w:pPr>
            <w:r>
              <w:rPr>
                <w:rFonts w:ascii="Century" w:hAnsi="Century"/>
                <w:sz w:val="20"/>
                <w:szCs w:val="20"/>
              </w:rPr>
              <w:t>8 519</w:t>
            </w:r>
          </w:p>
        </w:tc>
        <w:tc>
          <w:tcPr>
            <w:tcW w:w="992" w:type="dxa"/>
            <w:shd w:val="clear" w:color="auto" w:fill="F2F2F2"/>
            <w:vAlign w:val="center"/>
          </w:tcPr>
          <w:p w:rsidR="00B620E1" w:rsidRDefault="00B620E1" w:rsidP="003C4A4E">
            <w:pPr>
              <w:spacing w:after="0" w:line="240" w:lineRule="auto"/>
              <w:jc w:val="right"/>
              <w:rPr>
                <w:rFonts w:ascii="Century" w:hAnsi="Century"/>
                <w:sz w:val="20"/>
                <w:szCs w:val="20"/>
              </w:rPr>
            </w:pPr>
            <w:r>
              <w:rPr>
                <w:rFonts w:ascii="Century" w:hAnsi="Century"/>
                <w:sz w:val="20"/>
                <w:szCs w:val="20"/>
              </w:rPr>
              <w:t>8 829</w:t>
            </w:r>
          </w:p>
        </w:tc>
      </w:tr>
      <w:tr w:rsidR="00B620E1" w:rsidRPr="004436AC" w:rsidTr="003C4A4E">
        <w:trPr>
          <w:trHeight w:val="340"/>
        </w:trPr>
        <w:tc>
          <w:tcPr>
            <w:tcW w:w="5329" w:type="dxa"/>
            <w:vAlign w:val="center"/>
          </w:tcPr>
          <w:p w:rsidR="00B620E1" w:rsidRPr="00A71D96" w:rsidRDefault="00B620E1" w:rsidP="00F2417A">
            <w:pPr>
              <w:spacing w:after="0" w:line="240" w:lineRule="auto"/>
              <w:ind w:left="601"/>
              <w:contextualSpacing/>
              <w:rPr>
                <w:rFonts w:ascii="Century" w:hAnsi="Century"/>
                <w:b/>
                <w:bCs/>
                <w:i/>
                <w:sz w:val="18"/>
                <w:szCs w:val="18"/>
              </w:rPr>
            </w:pPr>
            <w:r w:rsidRPr="00A71D96">
              <w:rPr>
                <w:rFonts w:ascii="Century" w:hAnsi="Century"/>
                <w:bCs/>
                <w:i/>
                <w:color w:val="000000"/>
                <w:sz w:val="18"/>
                <w:szCs w:val="18"/>
              </w:rPr>
              <w:t>без учета межбюджетных трансфертов</w:t>
            </w:r>
          </w:p>
        </w:tc>
        <w:tc>
          <w:tcPr>
            <w:tcW w:w="992" w:type="dxa"/>
            <w:vAlign w:val="center"/>
          </w:tcPr>
          <w:p w:rsidR="00B620E1" w:rsidRDefault="00B620E1" w:rsidP="00B620E1">
            <w:pPr>
              <w:spacing w:after="0" w:line="240" w:lineRule="auto"/>
              <w:jc w:val="right"/>
              <w:rPr>
                <w:rFonts w:ascii="Century" w:hAnsi="Century"/>
                <w:i/>
                <w:iCs/>
                <w:sz w:val="18"/>
                <w:szCs w:val="18"/>
              </w:rPr>
            </w:pPr>
            <w:r>
              <w:rPr>
                <w:rFonts w:ascii="Century" w:hAnsi="Century"/>
                <w:i/>
                <w:iCs/>
                <w:sz w:val="18"/>
                <w:szCs w:val="18"/>
              </w:rPr>
              <w:t>4 446</w:t>
            </w:r>
          </w:p>
        </w:tc>
        <w:tc>
          <w:tcPr>
            <w:tcW w:w="992" w:type="dxa"/>
            <w:vAlign w:val="center"/>
          </w:tcPr>
          <w:p w:rsidR="00B620E1" w:rsidRDefault="00B620E1" w:rsidP="003C4A4E">
            <w:pPr>
              <w:spacing w:after="0" w:line="240" w:lineRule="auto"/>
              <w:jc w:val="right"/>
              <w:rPr>
                <w:rFonts w:ascii="Century" w:hAnsi="Century"/>
                <w:i/>
                <w:iCs/>
                <w:sz w:val="18"/>
                <w:szCs w:val="18"/>
              </w:rPr>
            </w:pPr>
            <w:r>
              <w:rPr>
                <w:rFonts w:ascii="Century" w:hAnsi="Century"/>
                <w:i/>
                <w:iCs/>
                <w:sz w:val="18"/>
                <w:szCs w:val="18"/>
              </w:rPr>
              <w:t>4 887</w:t>
            </w:r>
          </w:p>
        </w:tc>
        <w:tc>
          <w:tcPr>
            <w:tcW w:w="992" w:type="dxa"/>
            <w:vAlign w:val="center"/>
          </w:tcPr>
          <w:p w:rsidR="00B620E1" w:rsidRDefault="00B620E1" w:rsidP="003C4A4E">
            <w:pPr>
              <w:spacing w:after="0" w:line="240" w:lineRule="auto"/>
              <w:jc w:val="right"/>
              <w:rPr>
                <w:rFonts w:ascii="Century" w:hAnsi="Century"/>
                <w:i/>
                <w:iCs/>
                <w:sz w:val="18"/>
                <w:szCs w:val="18"/>
              </w:rPr>
            </w:pPr>
            <w:r>
              <w:rPr>
                <w:rFonts w:ascii="Century" w:hAnsi="Century"/>
                <w:i/>
                <w:iCs/>
                <w:sz w:val="18"/>
                <w:szCs w:val="18"/>
              </w:rPr>
              <w:t>5 176</w:t>
            </w:r>
          </w:p>
        </w:tc>
        <w:tc>
          <w:tcPr>
            <w:tcW w:w="992" w:type="dxa"/>
            <w:vAlign w:val="center"/>
          </w:tcPr>
          <w:p w:rsidR="00B620E1" w:rsidRDefault="00B620E1" w:rsidP="003C4A4E">
            <w:pPr>
              <w:spacing w:after="0" w:line="240" w:lineRule="auto"/>
              <w:jc w:val="right"/>
              <w:rPr>
                <w:rFonts w:ascii="Century" w:hAnsi="Century"/>
                <w:i/>
                <w:iCs/>
                <w:sz w:val="18"/>
                <w:szCs w:val="18"/>
              </w:rPr>
            </w:pPr>
            <w:r>
              <w:rPr>
                <w:rFonts w:ascii="Century" w:hAnsi="Century"/>
                <w:i/>
                <w:iCs/>
                <w:sz w:val="18"/>
                <w:szCs w:val="18"/>
              </w:rPr>
              <w:t>5 392</w:t>
            </w:r>
          </w:p>
        </w:tc>
      </w:tr>
      <w:tr w:rsidR="00B620E1" w:rsidRPr="004436AC" w:rsidTr="003C4A4E">
        <w:trPr>
          <w:trHeight w:val="340"/>
        </w:trPr>
        <w:tc>
          <w:tcPr>
            <w:tcW w:w="5329" w:type="dxa"/>
            <w:shd w:val="clear" w:color="auto" w:fill="F2F2F2"/>
            <w:vAlign w:val="center"/>
          </w:tcPr>
          <w:p w:rsidR="00B620E1" w:rsidRPr="00A71D96" w:rsidRDefault="00B620E1" w:rsidP="00F2417A">
            <w:pPr>
              <w:spacing w:after="0" w:line="240" w:lineRule="auto"/>
              <w:ind w:left="459"/>
              <w:contextualSpacing/>
              <w:rPr>
                <w:rFonts w:ascii="Century" w:hAnsi="Century"/>
                <w:b/>
                <w:bCs/>
                <w:sz w:val="20"/>
                <w:szCs w:val="20"/>
              </w:rPr>
            </w:pPr>
            <w:r w:rsidRPr="00A71D96">
              <w:rPr>
                <w:rFonts w:ascii="Century" w:hAnsi="Century"/>
                <w:bCs/>
                <w:color w:val="000000"/>
                <w:sz w:val="20"/>
                <w:szCs w:val="20"/>
              </w:rPr>
              <w:t>Фонд социального страхования</w:t>
            </w:r>
          </w:p>
        </w:tc>
        <w:tc>
          <w:tcPr>
            <w:tcW w:w="992" w:type="dxa"/>
            <w:shd w:val="clear" w:color="auto" w:fill="F2F2F2"/>
            <w:vAlign w:val="center"/>
          </w:tcPr>
          <w:p w:rsidR="00B620E1" w:rsidRDefault="00B620E1" w:rsidP="00B620E1">
            <w:pPr>
              <w:spacing w:after="0" w:line="240" w:lineRule="auto"/>
              <w:jc w:val="right"/>
              <w:rPr>
                <w:rFonts w:ascii="Century" w:hAnsi="Century"/>
                <w:sz w:val="20"/>
                <w:szCs w:val="20"/>
              </w:rPr>
            </w:pPr>
            <w:r>
              <w:rPr>
                <w:rFonts w:ascii="Century" w:hAnsi="Century"/>
                <w:sz w:val="20"/>
                <w:szCs w:val="20"/>
              </w:rPr>
              <w:t>644</w:t>
            </w:r>
          </w:p>
        </w:tc>
        <w:tc>
          <w:tcPr>
            <w:tcW w:w="992" w:type="dxa"/>
            <w:shd w:val="clear" w:color="auto" w:fill="F2F2F2"/>
            <w:vAlign w:val="center"/>
          </w:tcPr>
          <w:p w:rsidR="00B620E1" w:rsidRDefault="00B620E1" w:rsidP="003C4A4E">
            <w:pPr>
              <w:spacing w:after="0" w:line="240" w:lineRule="auto"/>
              <w:jc w:val="right"/>
              <w:rPr>
                <w:rFonts w:ascii="Century" w:hAnsi="Century"/>
                <w:sz w:val="20"/>
                <w:szCs w:val="20"/>
              </w:rPr>
            </w:pPr>
            <w:r>
              <w:rPr>
                <w:rFonts w:ascii="Century" w:hAnsi="Century"/>
                <w:sz w:val="20"/>
                <w:szCs w:val="20"/>
              </w:rPr>
              <w:t>709</w:t>
            </w:r>
          </w:p>
        </w:tc>
        <w:tc>
          <w:tcPr>
            <w:tcW w:w="992" w:type="dxa"/>
            <w:shd w:val="clear" w:color="auto" w:fill="F2F2F2"/>
            <w:vAlign w:val="center"/>
          </w:tcPr>
          <w:p w:rsidR="00B620E1" w:rsidRDefault="00B620E1" w:rsidP="003C4A4E">
            <w:pPr>
              <w:spacing w:after="0" w:line="240" w:lineRule="auto"/>
              <w:jc w:val="right"/>
              <w:rPr>
                <w:rFonts w:ascii="Century" w:hAnsi="Century"/>
                <w:sz w:val="20"/>
                <w:szCs w:val="20"/>
              </w:rPr>
            </w:pPr>
            <w:r>
              <w:rPr>
                <w:rFonts w:ascii="Century" w:hAnsi="Century"/>
                <w:sz w:val="20"/>
                <w:szCs w:val="20"/>
              </w:rPr>
              <w:t>740</w:t>
            </w:r>
          </w:p>
        </w:tc>
        <w:tc>
          <w:tcPr>
            <w:tcW w:w="992" w:type="dxa"/>
            <w:shd w:val="clear" w:color="auto" w:fill="F2F2F2"/>
            <w:vAlign w:val="center"/>
          </w:tcPr>
          <w:p w:rsidR="00B620E1" w:rsidRDefault="00B620E1" w:rsidP="003C4A4E">
            <w:pPr>
              <w:spacing w:after="0" w:line="240" w:lineRule="auto"/>
              <w:jc w:val="right"/>
              <w:rPr>
                <w:rFonts w:ascii="Century" w:hAnsi="Century"/>
                <w:sz w:val="20"/>
                <w:szCs w:val="20"/>
              </w:rPr>
            </w:pPr>
            <w:r>
              <w:rPr>
                <w:rFonts w:ascii="Century" w:hAnsi="Century"/>
                <w:sz w:val="20"/>
                <w:szCs w:val="20"/>
              </w:rPr>
              <w:t>774</w:t>
            </w:r>
          </w:p>
        </w:tc>
      </w:tr>
      <w:tr w:rsidR="00B620E1" w:rsidRPr="004436AC" w:rsidTr="003C4A4E">
        <w:trPr>
          <w:trHeight w:val="340"/>
        </w:trPr>
        <w:tc>
          <w:tcPr>
            <w:tcW w:w="5329" w:type="dxa"/>
            <w:vAlign w:val="center"/>
          </w:tcPr>
          <w:p w:rsidR="00B620E1" w:rsidRPr="00A71D96" w:rsidRDefault="00B620E1" w:rsidP="00F2417A">
            <w:pPr>
              <w:spacing w:after="0" w:line="240" w:lineRule="auto"/>
              <w:ind w:left="601"/>
              <w:contextualSpacing/>
              <w:jc w:val="both"/>
              <w:rPr>
                <w:rFonts w:ascii="Century" w:hAnsi="Century"/>
                <w:b/>
                <w:bCs/>
                <w:i/>
                <w:sz w:val="18"/>
                <w:szCs w:val="18"/>
              </w:rPr>
            </w:pPr>
            <w:r w:rsidRPr="00A71D96">
              <w:rPr>
                <w:rFonts w:ascii="Century" w:hAnsi="Century"/>
                <w:bCs/>
                <w:i/>
                <w:color w:val="000000"/>
                <w:sz w:val="18"/>
                <w:szCs w:val="18"/>
              </w:rPr>
              <w:t>без учета межбюджетных трансфертов</w:t>
            </w:r>
          </w:p>
        </w:tc>
        <w:tc>
          <w:tcPr>
            <w:tcW w:w="992" w:type="dxa"/>
            <w:vAlign w:val="center"/>
          </w:tcPr>
          <w:p w:rsidR="00B620E1" w:rsidRDefault="00B620E1" w:rsidP="00B620E1">
            <w:pPr>
              <w:spacing w:after="0" w:line="240" w:lineRule="auto"/>
              <w:jc w:val="right"/>
              <w:rPr>
                <w:rFonts w:ascii="Century" w:hAnsi="Century"/>
                <w:i/>
                <w:iCs/>
                <w:sz w:val="18"/>
                <w:szCs w:val="18"/>
              </w:rPr>
            </w:pPr>
            <w:r>
              <w:rPr>
                <w:rFonts w:ascii="Century" w:hAnsi="Century"/>
                <w:i/>
                <w:iCs/>
                <w:sz w:val="18"/>
                <w:szCs w:val="18"/>
              </w:rPr>
              <w:t>580</w:t>
            </w:r>
          </w:p>
        </w:tc>
        <w:tc>
          <w:tcPr>
            <w:tcW w:w="992" w:type="dxa"/>
            <w:vAlign w:val="center"/>
          </w:tcPr>
          <w:p w:rsidR="00B620E1" w:rsidRDefault="00B620E1" w:rsidP="003C4A4E">
            <w:pPr>
              <w:spacing w:after="0" w:line="240" w:lineRule="auto"/>
              <w:jc w:val="right"/>
              <w:rPr>
                <w:rFonts w:ascii="Century" w:hAnsi="Century"/>
                <w:i/>
                <w:iCs/>
                <w:sz w:val="18"/>
                <w:szCs w:val="18"/>
              </w:rPr>
            </w:pPr>
            <w:r>
              <w:rPr>
                <w:rFonts w:ascii="Century" w:hAnsi="Century"/>
                <w:i/>
                <w:iCs/>
                <w:sz w:val="18"/>
                <w:szCs w:val="18"/>
              </w:rPr>
              <w:t>644</w:t>
            </w:r>
          </w:p>
        </w:tc>
        <w:tc>
          <w:tcPr>
            <w:tcW w:w="992" w:type="dxa"/>
            <w:vAlign w:val="center"/>
          </w:tcPr>
          <w:p w:rsidR="00B620E1" w:rsidRDefault="00B620E1" w:rsidP="003C4A4E">
            <w:pPr>
              <w:spacing w:after="0" w:line="240" w:lineRule="auto"/>
              <w:jc w:val="right"/>
              <w:rPr>
                <w:rFonts w:ascii="Century" w:hAnsi="Century"/>
                <w:i/>
                <w:iCs/>
                <w:sz w:val="18"/>
                <w:szCs w:val="18"/>
              </w:rPr>
            </w:pPr>
            <w:r>
              <w:rPr>
                <w:rFonts w:ascii="Century" w:hAnsi="Century"/>
                <w:i/>
                <w:iCs/>
                <w:sz w:val="18"/>
                <w:szCs w:val="18"/>
              </w:rPr>
              <w:t>690</w:t>
            </w:r>
          </w:p>
        </w:tc>
        <w:tc>
          <w:tcPr>
            <w:tcW w:w="992" w:type="dxa"/>
            <w:vAlign w:val="center"/>
          </w:tcPr>
          <w:p w:rsidR="00B620E1" w:rsidRDefault="00B620E1" w:rsidP="003C4A4E">
            <w:pPr>
              <w:spacing w:after="0" w:line="240" w:lineRule="auto"/>
              <w:jc w:val="right"/>
              <w:rPr>
                <w:rFonts w:ascii="Century" w:hAnsi="Century"/>
                <w:i/>
                <w:iCs/>
                <w:sz w:val="18"/>
                <w:szCs w:val="18"/>
              </w:rPr>
            </w:pPr>
            <w:r>
              <w:rPr>
                <w:rFonts w:ascii="Century" w:hAnsi="Century"/>
                <w:i/>
                <w:iCs/>
                <w:sz w:val="18"/>
                <w:szCs w:val="18"/>
              </w:rPr>
              <w:t>725</w:t>
            </w:r>
          </w:p>
        </w:tc>
      </w:tr>
      <w:tr w:rsidR="00B620E1" w:rsidRPr="004436AC" w:rsidTr="003C4A4E">
        <w:trPr>
          <w:trHeight w:val="340"/>
        </w:trPr>
        <w:tc>
          <w:tcPr>
            <w:tcW w:w="5329" w:type="dxa"/>
            <w:shd w:val="clear" w:color="auto" w:fill="F2F2F2"/>
            <w:vAlign w:val="center"/>
          </w:tcPr>
          <w:p w:rsidR="00B620E1" w:rsidRPr="00A71D96" w:rsidRDefault="00B620E1" w:rsidP="00F2417A">
            <w:pPr>
              <w:spacing w:after="0" w:line="240" w:lineRule="auto"/>
              <w:ind w:left="459"/>
              <w:contextualSpacing/>
              <w:rPr>
                <w:rFonts w:ascii="Century" w:hAnsi="Century"/>
                <w:b/>
                <w:bCs/>
                <w:sz w:val="20"/>
                <w:szCs w:val="20"/>
              </w:rPr>
            </w:pPr>
            <w:r w:rsidRPr="00A71D96">
              <w:rPr>
                <w:rFonts w:ascii="Century" w:hAnsi="Century"/>
                <w:bCs/>
                <w:color w:val="000000"/>
                <w:sz w:val="20"/>
                <w:szCs w:val="20"/>
              </w:rPr>
              <w:t>Фонд обязательного медицинского страхования</w:t>
            </w:r>
          </w:p>
        </w:tc>
        <w:tc>
          <w:tcPr>
            <w:tcW w:w="992" w:type="dxa"/>
            <w:shd w:val="clear" w:color="auto" w:fill="F2F2F2"/>
            <w:vAlign w:val="center"/>
          </w:tcPr>
          <w:p w:rsidR="00B620E1" w:rsidRDefault="00B620E1" w:rsidP="00B620E1">
            <w:pPr>
              <w:spacing w:after="0" w:line="240" w:lineRule="auto"/>
              <w:jc w:val="right"/>
              <w:rPr>
                <w:rFonts w:ascii="Century" w:hAnsi="Century"/>
                <w:sz w:val="20"/>
                <w:szCs w:val="20"/>
              </w:rPr>
            </w:pPr>
            <w:r>
              <w:rPr>
                <w:rFonts w:ascii="Century" w:hAnsi="Century"/>
                <w:sz w:val="20"/>
                <w:szCs w:val="20"/>
              </w:rPr>
              <w:t>1 706</w:t>
            </w:r>
          </w:p>
        </w:tc>
        <w:tc>
          <w:tcPr>
            <w:tcW w:w="992" w:type="dxa"/>
            <w:shd w:val="clear" w:color="auto" w:fill="F2F2F2"/>
            <w:vAlign w:val="center"/>
          </w:tcPr>
          <w:p w:rsidR="00B620E1" w:rsidRDefault="00B620E1" w:rsidP="003C4A4E">
            <w:pPr>
              <w:spacing w:after="0" w:line="240" w:lineRule="auto"/>
              <w:jc w:val="right"/>
              <w:rPr>
                <w:rFonts w:ascii="Century" w:hAnsi="Century"/>
                <w:sz w:val="20"/>
                <w:szCs w:val="20"/>
              </w:rPr>
            </w:pPr>
            <w:r>
              <w:rPr>
                <w:rFonts w:ascii="Century" w:hAnsi="Century"/>
                <w:sz w:val="20"/>
                <w:szCs w:val="20"/>
              </w:rPr>
              <w:t>1 888</w:t>
            </w:r>
          </w:p>
        </w:tc>
        <w:tc>
          <w:tcPr>
            <w:tcW w:w="992" w:type="dxa"/>
            <w:shd w:val="clear" w:color="auto" w:fill="F2F2F2"/>
            <w:vAlign w:val="center"/>
          </w:tcPr>
          <w:p w:rsidR="00B620E1" w:rsidRDefault="00B620E1" w:rsidP="003C4A4E">
            <w:pPr>
              <w:spacing w:after="0" w:line="240" w:lineRule="auto"/>
              <w:jc w:val="right"/>
              <w:rPr>
                <w:rFonts w:ascii="Century" w:hAnsi="Century"/>
                <w:sz w:val="20"/>
                <w:szCs w:val="20"/>
              </w:rPr>
            </w:pPr>
            <w:r>
              <w:rPr>
                <w:rFonts w:ascii="Century" w:hAnsi="Century"/>
                <w:sz w:val="20"/>
                <w:szCs w:val="20"/>
              </w:rPr>
              <w:t>1 993</w:t>
            </w:r>
          </w:p>
        </w:tc>
        <w:tc>
          <w:tcPr>
            <w:tcW w:w="992" w:type="dxa"/>
            <w:shd w:val="clear" w:color="auto" w:fill="F2F2F2"/>
            <w:vAlign w:val="center"/>
          </w:tcPr>
          <w:p w:rsidR="00B620E1" w:rsidRDefault="00B620E1" w:rsidP="003C4A4E">
            <w:pPr>
              <w:spacing w:after="0" w:line="240" w:lineRule="auto"/>
              <w:jc w:val="right"/>
              <w:rPr>
                <w:rFonts w:ascii="Century" w:hAnsi="Century"/>
                <w:sz w:val="20"/>
                <w:szCs w:val="20"/>
              </w:rPr>
            </w:pPr>
            <w:r>
              <w:rPr>
                <w:rFonts w:ascii="Century" w:hAnsi="Century"/>
                <w:sz w:val="20"/>
                <w:szCs w:val="20"/>
              </w:rPr>
              <w:t>2 139</w:t>
            </w:r>
          </w:p>
        </w:tc>
      </w:tr>
      <w:tr w:rsidR="00B620E1" w:rsidRPr="004436AC" w:rsidTr="003C4A4E">
        <w:trPr>
          <w:trHeight w:val="340"/>
        </w:trPr>
        <w:tc>
          <w:tcPr>
            <w:tcW w:w="5329" w:type="dxa"/>
            <w:vAlign w:val="center"/>
          </w:tcPr>
          <w:p w:rsidR="00B620E1" w:rsidRPr="00A71D96" w:rsidRDefault="00B620E1" w:rsidP="00F2417A">
            <w:pPr>
              <w:spacing w:after="0" w:line="240" w:lineRule="auto"/>
              <w:ind w:left="601"/>
              <w:contextualSpacing/>
              <w:rPr>
                <w:rFonts w:ascii="Century" w:hAnsi="Century"/>
                <w:b/>
                <w:bCs/>
                <w:i/>
                <w:sz w:val="18"/>
                <w:szCs w:val="18"/>
              </w:rPr>
            </w:pPr>
            <w:r w:rsidRPr="00A71D96">
              <w:rPr>
                <w:rFonts w:ascii="Century" w:hAnsi="Century"/>
                <w:bCs/>
                <w:i/>
                <w:color w:val="000000"/>
                <w:sz w:val="18"/>
                <w:szCs w:val="18"/>
              </w:rPr>
              <w:t>без учета межбюджетных трансфертов</w:t>
            </w:r>
          </w:p>
        </w:tc>
        <w:tc>
          <w:tcPr>
            <w:tcW w:w="992" w:type="dxa"/>
            <w:vAlign w:val="center"/>
          </w:tcPr>
          <w:p w:rsidR="00B620E1" w:rsidRDefault="00B620E1" w:rsidP="00B620E1">
            <w:pPr>
              <w:spacing w:after="0" w:line="240" w:lineRule="auto"/>
              <w:jc w:val="right"/>
              <w:rPr>
                <w:rFonts w:ascii="Century" w:hAnsi="Century"/>
                <w:i/>
                <w:iCs/>
                <w:sz w:val="18"/>
                <w:szCs w:val="18"/>
              </w:rPr>
            </w:pPr>
            <w:r>
              <w:rPr>
                <w:rFonts w:ascii="Century" w:hAnsi="Century"/>
                <w:i/>
                <w:iCs/>
                <w:sz w:val="18"/>
                <w:szCs w:val="18"/>
              </w:rPr>
              <w:t>1 679</w:t>
            </w:r>
          </w:p>
        </w:tc>
        <w:tc>
          <w:tcPr>
            <w:tcW w:w="992" w:type="dxa"/>
            <w:vAlign w:val="center"/>
          </w:tcPr>
          <w:p w:rsidR="00B620E1" w:rsidRDefault="00B620E1" w:rsidP="003C4A4E">
            <w:pPr>
              <w:spacing w:after="0" w:line="240" w:lineRule="auto"/>
              <w:jc w:val="right"/>
              <w:rPr>
                <w:rFonts w:ascii="Century" w:hAnsi="Century"/>
                <w:i/>
                <w:iCs/>
                <w:sz w:val="18"/>
                <w:szCs w:val="18"/>
              </w:rPr>
            </w:pPr>
            <w:r>
              <w:rPr>
                <w:rFonts w:ascii="Century" w:hAnsi="Century"/>
                <w:i/>
                <w:iCs/>
                <w:sz w:val="18"/>
                <w:szCs w:val="18"/>
              </w:rPr>
              <w:t>1 856</w:t>
            </w:r>
          </w:p>
        </w:tc>
        <w:tc>
          <w:tcPr>
            <w:tcW w:w="992" w:type="dxa"/>
            <w:vAlign w:val="center"/>
          </w:tcPr>
          <w:p w:rsidR="00B620E1" w:rsidRDefault="00B620E1" w:rsidP="003C4A4E">
            <w:pPr>
              <w:spacing w:after="0" w:line="240" w:lineRule="auto"/>
              <w:jc w:val="right"/>
              <w:rPr>
                <w:rFonts w:ascii="Century" w:hAnsi="Century"/>
                <w:i/>
                <w:iCs/>
                <w:sz w:val="18"/>
                <w:szCs w:val="18"/>
              </w:rPr>
            </w:pPr>
            <w:r>
              <w:rPr>
                <w:rFonts w:ascii="Century" w:hAnsi="Century"/>
                <w:i/>
                <w:iCs/>
                <w:sz w:val="18"/>
                <w:szCs w:val="18"/>
              </w:rPr>
              <w:t>1 987</w:t>
            </w:r>
          </w:p>
        </w:tc>
        <w:tc>
          <w:tcPr>
            <w:tcW w:w="992" w:type="dxa"/>
            <w:vAlign w:val="center"/>
          </w:tcPr>
          <w:p w:rsidR="00B620E1" w:rsidRDefault="00B620E1" w:rsidP="003C4A4E">
            <w:pPr>
              <w:spacing w:after="0" w:line="240" w:lineRule="auto"/>
              <w:jc w:val="right"/>
              <w:rPr>
                <w:rFonts w:ascii="Century" w:hAnsi="Century"/>
                <w:i/>
                <w:iCs/>
                <w:sz w:val="18"/>
                <w:szCs w:val="18"/>
              </w:rPr>
            </w:pPr>
            <w:r>
              <w:rPr>
                <w:rFonts w:ascii="Century" w:hAnsi="Century"/>
                <w:i/>
                <w:iCs/>
                <w:sz w:val="18"/>
                <w:szCs w:val="18"/>
              </w:rPr>
              <w:t>2 055</w:t>
            </w:r>
          </w:p>
        </w:tc>
      </w:tr>
      <w:tr w:rsidR="00B620E1" w:rsidRPr="004436AC" w:rsidTr="003C4A4E">
        <w:trPr>
          <w:trHeight w:val="340"/>
        </w:trPr>
        <w:tc>
          <w:tcPr>
            <w:tcW w:w="5329" w:type="dxa"/>
            <w:shd w:val="clear" w:color="auto" w:fill="F2F2F2"/>
            <w:vAlign w:val="center"/>
          </w:tcPr>
          <w:p w:rsidR="00B620E1" w:rsidRPr="00A71D96" w:rsidRDefault="00B620E1" w:rsidP="00F2417A">
            <w:pPr>
              <w:spacing w:after="0" w:line="240" w:lineRule="auto"/>
              <w:contextualSpacing/>
              <w:jc w:val="both"/>
              <w:rPr>
                <w:rFonts w:ascii="Century" w:hAnsi="Century"/>
                <w:b/>
                <w:bCs/>
                <w:sz w:val="20"/>
                <w:szCs w:val="20"/>
              </w:rPr>
            </w:pPr>
            <w:r w:rsidRPr="00A71D96">
              <w:rPr>
                <w:rFonts w:ascii="Century" w:hAnsi="Century"/>
                <w:b/>
                <w:color w:val="000000"/>
                <w:sz w:val="20"/>
                <w:szCs w:val="20"/>
              </w:rPr>
              <w:t>Расходы, всего</w:t>
            </w:r>
          </w:p>
        </w:tc>
        <w:tc>
          <w:tcPr>
            <w:tcW w:w="992" w:type="dxa"/>
            <w:shd w:val="clear" w:color="auto" w:fill="F2F2F2"/>
            <w:vAlign w:val="center"/>
          </w:tcPr>
          <w:p w:rsidR="00B620E1" w:rsidRDefault="00B620E1" w:rsidP="00B620E1">
            <w:pPr>
              <w:spacing w:after="0" w:line="240" w:lineRule="auto"/>
              <w:jc w:val="right"/>
              <w:rPr>
                <w:rFonts w:ascii="Century" w:hAnsi="Century"/>
                <w:b/>
                <w:bCs/>
                <w:sz w:val="20"/>
                <w:szCs w:val="20"/>
              </w:rPr>
            </w:pPr>
            <w:r>
              <w:rPr>
                <w:rFonts w:ascii="Century" w:hAnsi="Century"/>
                <w:b/>
                <w:bCs/>
                <w:sz w:val="20"/>
                <w:szCs w:val="20"/>
              </w:rPr>
              <w:t>32 490</w:t>
            </w:r>
          </w:p>
        </w:tc>
        <w:tc>
          <w:tcPr>
            <w:tcW w:w="992" w:type="dxa"/>
            <w:shd w:val="clear" w:color="auto" w:fill="F2F2F2"/>
            <w:vAlign w:val="center"/>
          </w:tcPr>
          <w:p w:rsidR="00B620E1" w:rsidRDefault="00B620E1" w:rsidP="003C4A4E">
            <w:pPr>
              <w:spacing w:after="0" w:line="240" w:lineRule="auto"/>
              <w:jc w:val="right"/>
              <w:rPr>
                <w:rFonts w:ascii="Century" w:hAnsi="Century"/>
                <w:b/>
                <w:bCs/>
                <w:sz w:val="20"/>
                <w:szCs w:val="20"/>
              </w:rPr>
            </w:pPr>
            <w:r>
              <w:rPr>
                <w:rFonts w:ascii="Century" w:hAnsi="Century"/>
                <w:b/>
                <w:bCs/>
                <w:sz w:val="20"/>
                <w:szCs w:val="20"/>
              </w:rPr>
              <w:t>33 703</w:t>
            </w:r>
          </w:p>
        </w:tc>
        <w:tc>
          <w:tcPr>
            <w:tcW w:w="992" w:type="dxa"/>
            <w:shd w:val="clear" w:color="auto" w:fill="F2F2F2"/>
            <w:vAlign w:val="center"/>
          </w:tcPr>
          <w:p w:rsidR="00B620E1" w:rsidRDefault="00B620E1" w:rsidP="003C4A4E">
            <w:pPr>
              <w:spacing w:after="0" w:line="240" w:lineRule="auto"/>
              <w:jc w:val="right"/>
              <w:rPr>
                <w:rFonts w:ascii="Century" w:hAnsi="Century"/>
                <w:b/>
                <w:bCs/>
                <w:sz w:val="20"/>
                <w:szCs w:val="20"/>
              </w:rPr>
            </w:pPr>
            <w:r>
              <w:rPr>
                <w:rFonts w:ascii="Century" w:hAnsi="Century"/>
                <w:b/>
                <w:bCs/>
                <w:sz w:val="20"/>
                <w:szCs w:val="20"/>
              </w:rPr>
              <w:t>34 522</w:t>
            </w:r>
          </w:p>
        </w:tc>
        <w:tc>
          <w:tcPr>
            <w:tcW w:w="992" w:type="dxa"/>
            <w:shd w:val="clear" w:color="auto" w:fill="F2F2F2"/>
            <w:vAlign w:val="center"/>
          </w:tcPr>
          <w:p w:rsidR="00B620E1" w:rsidRDefault="00B620E1" w:rsidP="003C4A4E">
            <w:pPr>
              <w:spacing w:after="0" w:line="240" w:lineRule="auto"/>
              <w:jc w:val="right"/>
              <w:rPr>
                <w:rFonts w:ascii="Century" w:hAnsi="Century"/>
                <w:b/>
                <w:bCs/>
                <w:sz w:val="20"/>
                <w:szCs w:val="20"/>
              </w:rPr>
            </w:pPr>
            <w:r>
              <w:rPr>
                <w:rFonts w:ascii="Century" w:hAnsi="Century"/>
                <w:b/>
                <w:bCs/>
                <w:sz w:val="20"/>
                <w:szCs w:val="20"/>
              </w:rPr>
              <w:t>36 187</w:t>
            </w:r>
          </w:p>
        </w:tc>
      </w:tr>
      <w:tr w:rsidR="00B620E1" w:rsidRPr="004436AC" w:rsidTr="003C4A4E">
        <w:trPr>
          <w:trHeight w:val="340"/>
        </w:trPr>
        <w:tc>
          <w:tcPr>
            <w:tcW w:w="5329" w:type="dxa"/>
            <w:vAlign w:val="center"/>
          </w:tcPr>
          <w:p w:rsidR="00B620E1" w:rsidRPr="00A71D96" w:rsidRDefault="00B620E1" w:rsidP="00F2417A">
            <w:pPr>
              <w:spacing w:after="0" w:line="240" w:lineRule="auto"/>
              <w:contextualSpacing/>
              <w:jc w:val="both"/>
              <w:rPr>
                <w:rFonts w:ascii="Century" w:hAnsi="Century"/>
                <w:b/>
                <w:bCs/>
                <w:sz w:val="20"/>
                <w:szCs w:val="20"/>
              </w:rPr>
            </w:pPr>
            <w:r w:rsidRPr="00A71D96">
              <w:rPr>
                <w:rFonts w:ascii="Century" w:hAnsi="Century"/>
                <w:bCs/>
                <w:color w:val="000000"/>
                <w:sz w:val="20"/>
                <w:szCs w:val="20"/>
              </w:rPr>
              <w:t>%% ВВП</w:t>
            </w:r>
          </w:p>
        </w:tc>
        <w:tc>
          <w:tcPr>
            <w:tcW w:w="992" w:type="dxa"/>
            <w:vAlign w:val="center"/>
          </w:tcPr>
          <w:p w:rsidR="00B620E1" w:rsidRDefault="00B620E1" w:rsidP="00B620E1">
            <w:pPr>
              <w:spacing w:after="0" w:line="240" w:lineRule="auto"/>
              <w:jc w:val="right"/>
              <w:rPr>
                <w:rFonts w:ascii="Century" w:hAnsi="Century"/>
                <w:i/>
                <w:iCs/>
                <w:sz w:val="20"/>
                <w:szCs w:val="20"/>
              </w:rPr>
            </w:pPr>
            <w:r>
              <w:rPr>
                <w:rFonts w:ascii="Century" w:hAnsi="Century"/>
                <w:i/>
                <w:iCs/>
                <w:sz w:val="20"/>
                <w:szCs w:val="20"/>
              </w:rPr>
              <w:t>35,2</w:t>
            </w:r>
          </w:p>
        </w:tc>
        <w:tc>
          <w:tcPr>
            <w:tcW w:w="992" w:type="dxa"/>
            <w:vAlign w:val="center"/>
          </w:tcPr>
          <w:p w:rsidR="00B620E1" w:rsidRDefault="00B620E1" w:rsidP="003C4A4E">
            <w:pPr>
              <w:spacing w:after="0" w:line="240" w:lineRule="auto"/>
              <w:jc w:val="right"/>
              <w:rPr>
                <w:rFonts w:ascii="Century" w:hAnsi="Century"/>
                <w:i/>
                <w:iCs/>
                <w:sz w:val="20"/>
                <w:szCs w:val="20"/>
              </w:rPr>
            </w:pPr>
            <w:r>
              <w:rPr>
                <w:rFonts w:ascii="Century" w:hAnsi="Century"/>
                <w:i/>
                <w:iCs/>
                <w:sz w:val="20"/>
                <w:szCs w:val="20"/>
              </w:rPr>
              <w:t>34,6</w:t>
            </w:r>
          </w:p>
        </w:tc>
        <w:tc>
          <w:tcPr>
            <w:tcW w:w="992" w:type="dxa"/>
            <w:vAlign w:val="center"/>
          </w:tcPr>
          <w:p w:rsidR="00B620E1" w:rsidRDefault="00B620E1" w:rsidP="003C4A4E">
            <w:pPr>
              <w:spacing w:after="0" w:line="240" w:lineRule="auto"/>
              <w:jc w:val="right"/>
              <w:rPr>
                <w:rFonts w:ascii="Century" w:hAnsi="Century"/>
                <w:i/>
                <w:iCs/>
                <w:sz w:val="20"/>
                <w:szCs w:val="20"/>
              </w:rPr>
            </w:pPr>
            <w:r>
              <w:rPr>
                <w:rFonts w:ascii="Century" w:hAnsi="Century"/>
                <w:i/>
                <w:iCs/>
                <w:sz w:val="20"/>
                <w:szCs w:val="20"/>
              </w:rPr>
              <w:t>33,4</w:t>
            </w:r>
          </w:p>
        </w:tc>
        <w:tc>
          <w:tcPr>
            <w:tcW w:w="992" w:type="dxa"/>
            <w:vAlign w:val="center"/>
          </w:tcPr>
          <w:p w:rsidR="00B620E1" w:rsidRDefault="00B620E1" w:rsidP="003C4A4E">
            <w:pPr>
              <w:spacing w:after="0" w:line="240" w:lineRule="auto"/>
              <w:jc w:val="right"/>
              <w:rPr>
                <w:rFonts w:ascii="Century" w:hAnsi="Century"/>
                <w:i/>
                <w:iCs/>
                <w:sz w:val="20"/>
                <w:szCs w:val="20"/>
              </w:rPr>
            </w:pPr>
            <w:r>
              <w:rPr>
                <w:rFonts w:ascii="Century" w:hAnsi="Century"/>
                <w:i/>
                <w:iCs/>
                <w:sz w:val="20"/>
                <w:szCs w:val="20"/>
              </w:rPr>
              <w:t>32,8</w:t>
            </w:r>
          </w:p>
        </w:tc>
      </w:tr>
      <w:tr w:rsidR="00B620E1" w:rsidRPr="004436AC" w:rsidTr="003C4A4E">
        <w:trPr>
          <w:trHeight w:val="340"/>
        </w:trPr>
        <w:tc>
          <w:tcPr>
            <w:tcW w:w="5329" w:type="dxa"/>
            <w:shd w:val="clear" w:color="auto" w:fill="F2F2F2"/>
            <w:vAlign w:val="center"/>
          </w:tcPr>
          <w:p w:rsidR="00B620E1" w:rsidRPr="00A71D96" w:rsidRDefault="00B620E1" w:rsidP="00F2417A">
            <w:pPr>
              <w:spacing w:after="0" w:line="240" w:lineRule="auto"/>
              <w:contextualSpacing/>
              <w:jc w:val="both"/>
              <w:rPr>
                <w:rFonts w:ascii="Century" w:hAnsi="Century"/>
                <w:b/>
                <w:bCs/>
                <w:sz w:val="20"/>
                <w:szCs w:val="20"/>
              </w:rPr>
            </w:pPr>
            <w:r w:rsidRPr="00A71D96">
              <w:rPr>
                <w:rFonts w:ascii="Century" w:hAnsi="Century"/>
                <w:bCs/>
                <w:color w:val="000000"/>
                <w:sz w:val="20"/>
                <w:szCs w:val="20"/>
              </w:rPr>
              <w:t>Федеральный бюджет</w:t>
            </w:r>
          </w:p>
        </w:tc>
        <w:tc>
          <w:tcPr>
            <w:tcW w:w="992" w:type="dxa"/>
            <w:shd w:val="clear" w:color="auto" w:fill="F2F2F2"/>
            <w:vAlign w:val="center"/>
          </w:tcPr>
          <w:p w:rsidR="00B620E1" w:rsidRDefault="00B620E1" w:rsidP="00B620E1">
            <w:pPr>
              <w:spacing w:after="0" w:line="240" w:lineRule="auto"/>
              <w:jc w:val="right"/>
              <w:rPr>
                <w:rFonts w:ascii="Century" w:hAnsi="Century"/>
                <w:sz w:val="20"/>
                <w:szCs w:val="20"/>
              </w:rPr>
            </w:pPr>
            <w:r>
              <w:rPr>
                <w:rFonts w:ascii="Century" w:hAnsi="Century"/>
                <w:sz w:val="20"/>
                <w:szCs w:val="20"/>
              </w:rPr>
              <w:t>16 728</w:t>
            </w:r>
          </w:p>
        </w:tc>
        <w:tc>
          <w:tcPr>
            <w:tcW w:w="992" w:type="dxa"/>
            <w:shd w:val="clear" w:color="auto" w:fill="F2F2F2"/>
            <w:vAlign w:val="center"/>
          </w:tcPr>
          <w:p w:rsidR="00B620E1" w:rsidRDefault="00B620E1" w:rsidP="003C4A4E">
            <w:pPr>
              <w:spacing w:after="0" w:line="240" w:lineRule="auto"/>
              <w:jc w:val="right"/>
              <w:rPr>
                <w:rFonts w:ascii="Century" w:hAnsi="Century"/>
                <w:sz w:val="20"/>
                <w:szCs w:val="20"/>
              </w:rPr>
            </w:pPr>
            <w:r>
              <w:rPr>
                <w:rFonts w:ascii="Century" w:hAnsi="Century"/>
                <w:sz w:val="20"/>
                <w:szCs w:val="20"/>
              </w:rPr>
              <w:t>16 529</w:t>
            </w:r>
          </w:p>
        </w:tc>
        <w:tc>
          <w:tcPr>
            <w:tcW w:w="992" w:type="dxa"/>
            <w:shd w:val="clear" w:color="auto" w:fill="F2F2F2"/>
            <w:vAlign w:val="center"/>
          </w:tcPr>
          <w:p w:rsidR="00B620E1" w:rsidRDefault="00B620E1" w:rsidP="003C4A4E">
            <w:pPr>
              <w:spacing w:after="0" w:line="240" w:lineRule="auto"/>
              <w:jc w:val="right"/>
              <w:rPr>
                <w:rFonts w:ascii="Century" w:hAnsi="Century"/>
                <w:sz w:val="20"/>
                <w:szCs w:val="20"/>
              </w:rPr>
            </w:pPr>
            <w:r>
              <w:rPr>
                <w:rFonts w:ascii="Century" w:hAnsi="Century"/>
                <w:sz w:val="20"/>
                <w:szCs w:val="20"/>
              </w:rPr>
              <w:t>16 374</w:t>
            </w:r>
          </w:p>
        </w:tc>
        <w:tc>
          <w:tcPr>
            <w:tcW w:w="992" w:type="dxa"/>
            <w:shd w:val="clear" w:color="auto" w:fill="F2F2F2"/>
            <w:vAlign w:val="center"/>
          </w:tcPr>
          <w:p w:rsidR="00B620E1" w:rsidRDefault="00B620E1" w:rsidP="003C4A4E">
            <w:pPr>
              <w:spacing w:after="0" w:line="240" w:lineRule="auto"/>
              <w:jc w:val="right"/>
              <w:rPr>
                <w:rFonts w:ascii="Century" w:hAnsi="Century"/>
                <w:sz w:val="20"/>
                <w:szCs w:val="20"/>
              </w:rPr>
            </w:pPr>
            <w:r>
              <w:rPr>
                <w:rFonts w:ascii="Century" w:hAnsi="Century"/>
                <w:sz w:val="20"/>
                <w:szCs w:val="20"/>
              </w:rPr>
              <w:t>17 155</w:t>
            </w:r>
          </w:p>
        </w:tc>
      </w:tr>
      <w:tr w:rsidR="00B620E1" w:rsidRPr="004436AC" w:rsidTr="003C4A4E">
        <w:trPr>
          <w:trHeight w:val="340"/>
        </w:trPr>
        <w:tc>
          <w:tcPr>
            <w:tcW w:w="5329" w:type="dxa"/>
            <w:vAlign w:val="center"/>
          </w:tcPr>
          <w:p w:rsidR="00B620E1" w:rsidRPr="00A71D96" w:rsidRDefault="00B620E1" w:rsidP="00F2417A">
            <w:pPr>
              <w:spacing w:after="0" w:line="240" w:lineRule="auto"/>
              <w:ind w:left="176"/>
              <w:contextualSpacing/>
              <w:rPr>
                <w:rFonts w:ascii="Century" w:hAnsi="Century"/>
                <w:b/>
                <w:bCs/>
                <w:i/>
                <w:sz w:val="18"/>
                <w:szCs w:val="18"/>
              </w:rPr>
            </w:pPr>
            <w:r w:rsidRPr="00A71D96">
              <w:rPr>
                <w:rFonts w:ascii="Century" w:hAnsi="Century"/>
                <w:bCs/>
                <w:i/>
                <w:color w:val="000000"/>
                <w:sz w:val="18"/>
                <w:szCs w:val="18"/>
              </w:rPr>
              <w:t>без учета межбюджетных трансфертов</w:t>
            </w:r>
          </w:p>
        </w:tc>
        <w:tc>
          <w:tcPr>
            <w:tcW w:w="992" w:type="dxa"/>
            <w:vAlign w:val="center"/>
          </w:tcPr>
          <w:p w:rsidR="00B620E1" w:rsidRDefault="00B620E1" w:rsidP="00B620E1">
            <w:pPr>
              <w:spacing w:after="0" w:line="240" w:lineRule="auto"/>
              <w:jc w:val="right"/>
              <w:rPr>
                <w:rFonts w:ascii="Century" w:hAnsi="Century"/>
                <w:i/>
                <w:iCs/>
                <w:sz w:val="18"/>
                <w:szCs w:val="18"/>
              </w:rPr>
            </w:pPr>
            <w:r>
              <w:rPr>
                <w:rFonts w:ascii="Century" w:hAnsi="Century"/>
                <w:i/>
                <w:iCs/>
                <w:sz w:val="18"/>
                <w:szCs w:val="18"/>
              </w:rPr>
              <w:t>11 234</w:t>
            </w:r>
          </w:p>
        </w:tc>
        <w:tc>
          <w:tcPr>
            <w:tcW w:w="992" w:type="dxa"/>
            <w:vAlign w:val="center"/>
          </w:tcPr>
          <w:p w:rsidR="00B620E1" w:rsidRDefault="00B620E1" w:rsidP="003C4A4E">
            <w:pPr>
              <w:spacing w:after="0" w:line="240" w:lineRule="auto"/>
              <w:jc w:val="right"/>
              <w:rPr>
                <w:rFonts w:ascii="Century" w:hAnsi="Century"/>
                <w:i/>
                <w:iCs/>
                <w:sz w:val="18"/>
                <w:szCs w:val="18"/>
              </w:rPr>
            </w:pPr>
            <w:r>
              <w:rPr>
                <w:rFonts w:ascii="Century" w:hAnsi="Century"/>
                <w:i/>
                <w:iCs/>
                <w:sz w:val="18"/>
                <w:szCs w:val="18"/>
              </w:rPr>
              <w:t>11 453</w:t>
            </w:r>
          </w:p>
        </w:tc>
        <w:tc>
          <w:tcPr>
            <w:tcW w:w="992" w:type="dxa"/>
            <w:vAlign w:val="center"/>
          </w:tcPr>
          <w:p w:rsidR="00B620E1" w:rsidRDefault="00B620E1" w:rsidP="003C4A4E">
            <w:pPr>
              <w:spacing w:after="0" w:line="240" w:lineRule="auto"/>
              <w:jc w:val="right"/>
              <w:rPr>
                <w:rFonts w:ascii="Century" w:hAnsi="Century"/>
                <w:i/>
                <w:iCs/>
                <w:sz w:val="18"/>
                <w:szCs w:val="18"/>
              </w:rPr>
            </w:pPr>
            <w:r>
              <w:rPr>
                <w:rFonts w:ascii="Century" w:hAnsi="Century"/>
                <w:i/>
                <w:iCs/>
                <w:sz w:val="18"/>
                <w:szCs w:val="18"/>
              </w:rPr>
              <w:t>11 419</w:t>
            </w:r>
          </w:p>
        </w:tc>
        <w:tc>
          <w:tcPr>
            <w:tcW w:w="992" w:type="dxa"/>
            <w:vAlign w:val="center"/>
          </w:tcPr>
          <w:p w:rsidR="00B620E1" w:rsidRDefault="00B620E1" w:rsidP="003C4A4E">
            <w:pPr>
              <w:spacing w:after="0" w:line="240" w:lineRule="auto"/>
              <w:jc w:val="right"/>
              <w:rPr>
                <w:rFonts w:ascii="Century" w:hAnsi="Century"/>
                <w:i/>
                <w:iCs/>
                <w:sz w:val="18"/>
                <w:szCs w:val="18"/>
              </w:rPr>
            </w:pPr>
            <w:r>
              <w:rPr>
                <w:rFonts w:ascii="Century" w:hAnsi="Century"/>
                <w:i/>
                <w:iCs/>
                <w:sz w:val="18"/>
                <w:szCs w:val="18"/>
              </w:rPr>
              <w:t>12 015</w:t>
            </w:r>
          </w:p>
        </w:tc>
      </w:tr>
      <w:tr w:rsidR="00B620E1" w:rsidRPr="004436AC" w:rsidTr="003C4A4E">
        <w:trPr>
          <w:trHeight w:val="340"/>
        </w:trPr>
        <w:tc>
          <w:tcPr>
            <w:tcW w:w="5329" w:type="dxa"/>
            <w:shd w:val="clear" w:color="auto" w:fill="F2F2F2"/>
            <w:vAlign w:val="center"/>
          </w:tcPr>
          <w:p w:rsidR="00B620E1" w:rsidRPr="00A71D96" w:rsidRDefault="00B620E1" w:rsidP="00F2417A">
            <w:pPr>
              <w:spacing w:after="0" w:line="240" w:lineRule="auto"/>
              <w:contextualSpacing/>
              <w:jc w:val="both"/>
              <w:rPr>
                <w:rFonts w:ascii="Century" w:hAnsi="Century"/>
                <w:b/>
                <w:bCs/>
                <w:sz w:val="20"/>
                <w:szCs w:val="20"/>
              </w:rPr>
            </w:pPr>
            <w:r w:rsidRPr="00A71D96">
              <w:rPr>
                <w:rFonts w:ascii="Century" w:hAnsi="Century"/>
                <w:bCs/>
                <w:color w:val="000000"/>
                <w:sz w:val="20"/>
                <w:szCs w:val="20"/>
              </w:rPr>
              <w:t>Консолидированные бюджеты субъектов</w:t>
            </w:r>
          </w:p>
        </w:tc>
        <w:tc>
          <w:tcPr>
            <w:tcW w:w="992" w:type="dxa"/>
            <w:shd w:val="clear" w:color="auto" w:fill="F2F2F2"/>
            <w:vAlign w:val="center"/>
          </w:tcPr>
          <w:p w:rsidR="00B620E1" w:rsidRDefault="00B620E1" w:rsidP="00B620E1">
            <w:pPr>
              <w:spacing w:after="0" w:line="240" w:lineRule="auto"/>
              <w:jc w:val="right"/>
              <w:rPr>
                <w:rFonts w:ascii="Century" w:hAnsi="Century"/>
                <w:sz w:val="20"/>
                <w:szCs w:val="20"/>
              </w:rPr>
            </w:pPr>
            <w:r>
              <w:rPr>
                <w:rFonts w:ascii="Century" w:hAnsi="Century"/>
                <w:sz w:val="20"/>
                <w:szCs w:val="20"/>
              </w:rPr>
              <w:t>10 656</w:t>
            </w:r>
          </w:p>
        </w:tc>
        <w:tc>
          <w:tcPr>
            <w:tcW w:w="992" w:type="dxa"/>
            <w:shd w:val="clear" w:color="auto" w:fill="F2F2F2"/>
            <w:vAlign w:val="center"/>
          </w:tcPr>
          <w:p w:rsidR="00B620E1" w:rsidRDefault="00B620E1" w:rsidP="003C4A4E">
            <w:pPr>
              <w:spacing w:after="0" w:line="240" w:lineRule="auto"/>
              <w:jc w:val="right"/>
              <w:rPr>
                <w:rFonts w:ascii="Century" w:hAnsi="Century"/>
                <w:sz w:val="20"/>
                <w:szCs w:val="20"/>
              </w:rPr>
            </w:pPr>
            <w:r>
              <w:rPr>
                <w:rFonts w:ascii="Century" w:hAnsi="Century"/>
                <w:sz w:val="20"/>
                <w:szCs w:val="20"/>
              </w:rPr>
              <w:t>11 312</w:t>
            </w:r>
          </w:p>
        </w:tc>
        <w:tc>
          <w:tcPr>
            <w:tcW w:w="992" w:type="dxa"/>
            <w:shd w:val="clear" w:color="auto" w:fill="F2F2F2"/>
            <w:vAlign w:val="center"/>
          </w:tcPr>
          <w:p w:rsidR="00B620E1" w:rsidRDefault="00B620E1" w:rsidP="003C4A4E">
            <w:pPr>
              <w:spacing w:after="0" w:line="240" w:lineRule="auto"/>
              <w:jc w:val="right"/>
              <w:rPr>
                <w:rFonts w:ascii="Century" w:hAnsi="Century"/>
                <w:sz w:val="20"/>
                <w:szCs w:val="20"/>
              </w:rPr>
            </w:pPr>
            <w:r>
              <w:rPr>
                <w:rFonts w:ascii="Century" w:hAnsi="Century"/>
                <w:sz w:val="20"/>
                <w:szCs w:val="20"/>
              </w:rPr>
              <w:t>11 774</w:t>
            </w:r>
          </w:p>
        </w:tc>
        <w:tc>
          <w:tcPr>
            <w:tcW w:w="992" w:type="dxa"/>
            <w:shd w:val="clear" w:color="auto" w:fill="F2F2F2"/>
            <w:vAlign w:val="center"/>
          </w:tcPr>
          <w:p w:rsidR="00B620E1" w:rsidRDefault="00B620E1" w:rsidP="003C4A4E">
            <w:pPr>
              <w:spacing w:after="0" w:line="240" w:lineRule="auto"/>
              <w:jc w:val="right"/>
              <w:rPr>
                <w:rFonts w:ascii="Century" w:hAnsi="Century"/>
                <w:sz w:val="20"/>
                <w:szCs w:val="20"/>
              </w:rPr>
            </w:pPr>
            <w:r>
              <w:rPr>
                <w:rFonts w:ascii="Century" w:hAnsi="Century"/>
                <w:sz w:val="20"/>
                <w:szCs w:val="20"/>
              </w:rPr>
              <w:t>12 421</w:t>
            </w:r>
          </w:p>
        </w:tc>
      </w:tr>
      <w:tr w:rsidR="00B620E1" w:rsidRPr="004436AC" w:rsidTr="003C4A4E">
        <w:trPr>
          <w:trHeight w:val="340"/>
        </w:trPr>
        <w:tc>
          <w:tcPr>
            <w:tcW w:w="5329" w:type="dxa"/>
            <w:vAlign w:val="center"/>
          </w:tcPr>
          <w:p w:rsidR="00B620E1" w:rsidRPr="00A71D96" w:rsidRDefault="00B620E1" w:rsidP="00F2417A">
            <w:pPr>
              <w:spacing w:after="0" w:line="240" w:lineRule="auto"/>
              <w:ind w:left="176"/>
              <w:contextualSpacing/>
              <w:rPr>
                <w:rFonts w:ascii="Century" w:hAnsi="Century"/>
                <w:b/>
                <w:bCs/>
                <w:i/>
                <w:sz w:val="18"/>
                <w:szCs w:val="18"/>
              </w:rPr>
            </w:pPr>
            <w:r w:rsidRPr="00A71D96">
              <w:rPr>
                <w:rFonts w:ascii="Century" w:hAnsi="Century"/>
                <w:bCs/>
                <w:i/>
                <w:color w:val="000000"/>
                <w:sz w:val="18"/>
                <w:szCs w:val="18"/>
              </w:rPr>
              <w:t>без учета межбюджетных трансфертов</w:t>
            </w:r>
          </w:p>
        </w:tc>
        <w:tc>
          <w:tcPr>
            <w:tcW w:w="992" w:type="dxa"/>
            <w:vAlign w:val="center"/>
          </w:tcPr>
          <w:p w:rsidR="00B620E1" w:rsidRDefault="00B620E1" w:rsidP="00B620E1">
            <w:pPr>
              <w:spacing w:after="0" w:line="240" w:lineRule="auto"/>
              <w:jc w:val="right"/>
              <w:rPr>
                <w:rFonts w:ascii="Century" w:hAnsi="Century"/>
                <w:i/>
                <w:iCs/>
                <w:sz w:val="18"/>
                <w:szCs w:val="18"/>
              </w:rPr>
            </w:pPr>
            <w:r>
              <w:rPr>
                <w:rFonts w:ascii="Century" w:hAnsi="Century"/>
                <w:i/>
                <w:iCs/>
                <w:sz w:val="18"/>
                <w:szCs w:val="18"/>
              </w:rPr>
              <w:t>10 653</w:t>
            </w:r>
          </w:p>
        </w:tc>
        <w:tc>
          <w:tcPr>
            <w:tcW w:w="992" w:type="dxa"/>
            <w:vAlign w:val="center"/>
          </w:tcPr>
          <w:p w:rsidR="00B620E1" w:rsidRDefault="00B620E1" w:rsidP="003C4A4E">
            <w:pPr>
              <w:spacing w:after="0" w:line="240" w:lineRule="auto"/>
              <w:jc w:val="right"/>
              <w:rPr>
                <w:rFonts w:ascii="Century" w:hAnsi="Century"/>
                <w:i/>
                <w:iCs/>
                <w:sz w:val="18"/>
                <w:szCs w:val="18"/>
              </w:rPr>
            </w:pPr>
            <w:r>
              <w:rPr>
                <w:rFonts w:ascii="Century" w:hAnsi="Century"/>
                <w:i/>
                <w:iCs/>
                <w:sz w:val="18"/>
                <w:szCs w:val="18"/>
              </w:rPr>
              <w:t>11 308</w:t>
            </w:r>
          </w:p>
        </w:tc>
        <w:tc>
          <w:tcPr>
            <w:tcW w:w="992" w:type="dxa"/>
            <w:vAlign w:val="center"/>
          </w:tcPr>
          <w:p w:rsidR="00B620E1" w:rsidRDefault="00B620E1" w:rsidP="003C4A4E">
            <w:pPr>
              <w:spacing w:after="0" w:line="240" w:lineRule="auto"/>
              <w:jc w:val="right"/>
              <w:rPr>
                <w:rFonts w:ascii="Century" w:hAnsi="Century"/>
                <w:i/>
                <w:iCs/>
                <w:sz w:val="18"/>
                <w:szCs w:val="18"/>
              </w:rPr>
            </w:pPr>
            <w:r>
              <w:rPr>
                <w:rFonts w:ascii="Century" w:hAnsi="Century"/>
                <w:i/>
                <w:iCs/>
                <w:sz w:val="18"/>
                <w:szCs w:val="18"/>
              </w:rPr>
              <w:t>11 771</w:t>
            </w:r>
          </w:p>
        </w:tc>
        <w:tc>
          <w:tcPr>
            <w:tcW w:w="992" w:type="dxa"/>
            <w:vAlign w:val="center"/>
          </w:tcPr>
          <w:p w:rsidR="00B620E1" w:rsidRDefault="00B620E1" w:rsidP="003C4A4E">
            <w:pPr>
              <w:spacing w:after="0" w:line="240" w:lineRule="auto"/>
              <w:jc w:val="right"/>
              <w:rPr>
                <w:rFonts w:ascii="Century" w:hAnsi="Century"/>
                <w:i/>
                <w:iCs/>
                <w:sz w:val="18"/>
                <w:szCs w:val="18"/>
              </w:rPr>
            </w:pPr>
            <w:r>
              <w:rPr>
                <w:rFonts w:ascii="Century" w:hAnsi="Century"/>
                <w:i/>
                <w:iCs/>
                <w:sz w:val="18"/>
                <w:szCs w:val="18"/>
              </w:rPr>
              <w:t>12 417</w:t>
            </w:r>
          </w:p>
        </w:tc>
      </w:tr>
      <w:tr w:rsidR="00B620E1" w:rsidRPr="004436AC" w:rsidTr="003C4A4E">
        <w:trPr>
          <w:trHeight w:val="340"/>
        </w:trPr>
        <w:tc>
          <w:tcPr>
            <w:tcW w:w="5329" w:type="dxa"/>
            <w:shd w:val="clear" w:color="auto" w:fill="F2F2F2"/>
            <w:vAlign w:val="center"/>
          </w:tcPr>
          <w:p w:rsidR="00B620E1" w:rsidRPr="00A71D96" w:rsidRDefault="00B620E1" w:rsidP="00F2417A">
            <w:pPr>
              <w:spacing w:after="0" w:line="240" w:lineRule="auto"/>
              <w:contextualSpacing/>
              <w:rPr>
                <w:rFonts w:ascii="Century" w:hAnsi="Century"/>
                <w:b/>
                <w:bCs/>
                <w:sz w:val="20"/>
                <w:szCs w:val="20"/>
              </w:rPr>
            </w:pPr>
            <w:r w:rsidRPr="00A71D96">
              <w:rPr>
                <w:rFonts w:ascii="Century" w:hAnsi="Century"/>
                <w:bCs/>
                <w:color w:val="000000"/>
                <w:sz w:val="20"/>
                <w:szCs w:val="20"/>
              </w:rPr>
              <w:t>Государственные внебюджетные фонды</w:t>
            </w:r>
          </w:p>
        </w:tc>
        <w:tc>
          <w:tcPr>
            <w:tcW w:w="992" w:type="dxa"/>
            <w:shd w:val="clear" w:color="auto" w:fill="F2F2F2"/>
            <w:vAlign w:val="center"/>
          </w:tcPr>
          <w:p w:rsidR="00B620E1" w:rsidRDefault="00B620E1" w:rsidP="00B620E1">
            <w:pPr>
              <w:spacing w:after="0" w:line="240" w:lineRule="auto"/>
              <w:jc w:val="right"/>
              <w:rPr>
                <w:rFonts w:ascii="Century" w:hAnsi="Century"/>
                <w:sz w:val="20"/>
                <w:szCs w:val="20"/>
              </w:rPr>
            </w:pPr>
            <w:r>
              <w:rPr>
                <w:rFonts w:ascii="Century" w:hAnsi="Century"/>
                <w:sz w:val="20"/>
                <w:szCs w:val="20"/>
              </w:rPr>
              <w:t>10 621</w:t>
            </w:r>
          </w:p>
        </w:tc>
        <w:tc>
          <w:tcPr>
            <w:tcW w:w="992" w:type="dxa"/>
            <w:shd w:val="clear" w:color="auto" w:fill="F2F2F2"/>
            <w:vAlign w:val="center"/>
          </w:tcPr>
          <w:p w:rsidR="00B620E1" w:rsidRDefault="00B620E1" w:rsidP="003C4A4E">
            <w:pPr>
              <w:spacing w:after="0" w:line="240" w:lineRule="auto"/>
              <w:jc w:val="right"/>
              <w:rPr>
                <w:rFonts w:ascii="Century" w:hAnsi="Century"/>
                <w:sz w:val="20"/>
                <w:szCs w:val="20"/>
              </w:rPr>
            </w:pPr>
            <w:r>
              <w:rPr>
                <w:rFonts w:ascii="Century" w:hAnsi="Century"/>
                <w:sz w:val="20"/>
                <w:szCs w:val="20"/>
              </w:rPr>
              <w:t>10 967</w:t>
            </w:r>
          </w:p>
        </w:tc>
        <w:tc>
          <w:tcPr>
            <w:tcW w:w="992" w:type="dxa"/>
            <w:shd w:val="clear" w:color="auto" w:fill="F2F2F2"/>
            <w:vAlign w:val="center"/>
          </w:tcPr>
          <w:p w:rsidR="00B620E1" w:rsidRDefault="00B620E1" w:rsidP="003C4A4E">
            <w:pPr>
              <w:spacing w:after="0" w:line="240" w:lineRule="auto"/>
              <w:jc w:val="right"/>
              <w:rPr>
                <w:rFonts w:ascii="Century" w:hAnsi="Century"/>
                <w:sz w:val="20"/>
                <w:szCs w:val="20"/>
              </w:rPr>
            </w:pPr>
            <w:r>
              <w:rPr>
                <w:rFonts w:ascii="Century" w:hAnsi="Century"/>
                <w:sz w:val="20"/>
                <w:szCs w:val="20"/>
              </w:rPr>
              <w:t>11 356</w:t>
            </w:r>
          </w:p>
        </w:tc>
        <w:tc>
          <w:tcPr>
            <w:tcW w:w="992" w:type="dxa"/>
            <w:shd w:val="clear" w:color="auto" w:fill="F2F2F2"/>
            <w:vAlign w:val="center"/>
          </w:tcPr>
          <w:p w:rsidR="00B620E1" w:rsidRDefault="00B620E1" w:rsidP="003C4A4E">
            <w:pPr>
              <w:spacing w:after="0" w:line="240" w:lineRule="auto"/>
              <w:jc w:val="right"/>
              <w:rPr>
                <w:rFonts w:ascii="Century" w:hAnsi="Century"/>
                <w:sz w:val="20"/>
                <w:szCs w:val="20"/>
              </w:rPr>
            </w:pPr>
            <w:r>
              <w:rPr>
                <w:rFonts w:ascii="Century" w:hAnsi="Century"/>
                <w:sz w:val="20"/>
                <w:szCs w:val="20"/>
              </w:rPr>
              <w:t>11 778</w:t>
            </w:r>
          </w:p>
        </w:tc>
      </w:tr>
      <w:tr w:rsidR="00B620E1" w:rsidRPr="004436AC" w:rsidTr="003C4A4E">
        <w:trPr>
          <w:trHeight w:val="340"/>
        </w:trPr>
        <w:tc>
          <w:tcPr>
            <w:tcW w:w="5329" w:type="dxa"/>
            <w:vAlign w:val="center"/>
          </w:tcPr>
          <w:p w:rsidR="00B620E1" w:rsidRPr="00A71D96" w:rsidRDefault="00B620E1" w:rsidP="00F2417A">
            <w:pPr>
              <w:spacing w:after="0" w:line="240" w:lineRule="auto"/>
              <w:ind w:left="176"/>
              <w:contextualSpacing/>
              <w:jc w:val="both"/>
              <w:rPr>
                <w:rFonts w:ascii="Century" w:hAnsi="Century"/>
                <w:b/>
                <w:bCs/>
                <w:i/>
                <w:sz w:val="18"/>
                <w:szCs w:val="18"/>
              </w:rPr>
            </w:pPr>
            <w:r w:rsidRPr="00A71D96">
              <w:rPr>
                <w:rFonts w:ascii="Century" w:hAnsi="Century"/>
                <w:bCs/>
                <w:i/>
                <w:color w:val="000000"/>
                <w:sz w:val="18"/>
                <w:szCs w:val="18"/>
              </w:rPr>
              <w:t>без учета межбюджетных трансфертов</w:t>
            </w:r>
          </w:p>
        </w:tc>
        <w:tc>
          <w:tcPr>
            <w:tcW w:w="992" w:type="dxa"/>
            <w:vAlign w:val="center"/>
          </w:tcPr>
          <w:p w:rsidR="00B620E1" w:rsidRDefault="00B620E1" w:rsidP="00B620E1">
            <w:pPr>
              <w:spacing w:after="0" w:line="240" w:lineRule="auto"/>
              <w:jc w:val="right"/>
              <w:rPr>
                <w:rFonts w:ascii="Century" w:hAnsi="Century"/>
                <w:i/>
                <w:iCs/>
                <w:sz w:val="18"/>
                <w:szCs w:val="18"/>
              </w:rPr>
            </w:pPr>
            <w:r>
              <w:rPr>
                <w:rFonts w:ascii="Century" w:hAnsi="Century"/>
                <w:i/>
                <w:iCs/>
                <w:sz w:val="18"/>
                <w:szCs w:val="18"/>
              </w:rPr>
              <w:t>10 602</w:t>
            </w:r>
          </w:p>
        </w:tc>
        <w:tc>
          <w:tcPr>
            <w:tcW w:w="992" w:type="dxa"/>
            <w:vAlign w:val="center"/>
          </w:tcPr>
          <w:p w:rsidR="00B620E1" w:rsidRDefault="00B620E1" w:rsidP="003C4A4E">
            <w:pPr>
              <w:spacing w:after="0" w:line="240" w:lineRule="auto"/>
              <w:jc w:val="right"/>
              <w:rPr>
                <w:rFonts w:ascii="Century" w:hAnsi="Century"/>
                <w:i/>
                <w:iCs/>
                <w:sz w:val="18"/>
                <w:szCs w:val="18"/>
              </w:rPr>
            </w:pPr>
            <w:r>
              <w:rPr>
                <w:rFonts w:ascii="Century" w:hAnsi="Century"/>
                <w:i/>
                <w:iCs/>
                <w:sz w:val="18"/>
                <w:szCs w:val="18"/>
              </w:rPr>
              <w:t>10 942</w:t>
            </w:r>
          </w:p>
        </w:tc>
        <w:tc>
          <w:tcPr>
            <w:tcW w:w="992" w:type="dxa"/>
            <w:vAlign w:val="center"/>
          </w:tcPr>
          <w:p w:rsidR="00B620E1" w:rsidRDefault="00B620E1" w:rsidP="003C4A4E">
            <w:pPr>
              <w:spacing w:after="0" w:line="240" w:lineRule="auto"/>
              <w:jc w:val="right"/>
              <w:rPr>
                <w:rFonts w:ascii="Century" w:hAnsi="Century"/>
                <w:i/>
                <w:iCs/>
                <w:sz w:val="18"/>
                <w:szCs w:val="18"/>
              </w:rPr>
            </w:pPr>
            <w:r>
              <w:rPr>
                <w:rFonts w:ascii="Century" w:hAnsi="Century"/>
                <w:i/>
                <w:iCs/>
                <w:sz w:val="18"/>
                <w:szCs w:val="18"/>
              </w:rPr>
              <w:t>11 332</w:t>
            </w:r>
          </w:p>
        </w:tc>
        <w:tc>
          <w:tcPr>
            <w:tcW w:w="992" w:type="dxa"/>
            <w:vAlign w:val="center"/>
          </w:tcPr>
          <w:p w:rsidR="00B620E1" w:rsidRDefault="00B620E1" w:rsidP="003C4A4E">
            <w:pPr>
              <w:spacing w:after="0" w:line="240" w:lineRule="auto"/>
              <w:jc w:val="right"/>
              <w:rPr>
                <w:rFonts w:ascii="Century" w:hAnsi="Century"/>
                <w:i/>
                <w:iCs/>
                <w:sz w:val="18"/>
                <w:szCs w:val="18"/>
              </w:rPr>
            </w:pPr>
            <w:r>
              <w:rPr>
                <w:rFonts w:ascii="Century" w:hAnsi="Century"/>
                <w:i/>
                <w:iCs/>
                <w:sz w:val="18"/>
                <w:szCs w:val="18"/>
              </w:rPr>
              <w:t>11 755</w:t>
            </w:r>
          </w:p>
        </w:tc>
      </w:tr>
      <w:tr w:rsidR="00B620E1" w:rsidRPr="004436AC" w:rsidTr="003C4A4E">
        <w:trPr>
          <w:trHeight w:val="340"/>
        </w:trPr>
        <w:tc>
          <w:tcPr>
            <w:tcW w:w="5329" w:type="dxa"/>
            <w:shd w:val="clear" w:color="auto" w:fill="F2F2F2" w:themeFill="background1" w:themeFillShade="F2"/>
            <w:vAlign w:val="center"/>
          </w:tcPr>
          <w:p w:rsidR="00B620E1" w:rsidRPr="00A71D96" w:rsidRDefault="00B620E1" w:rsidP="00F2417A">
            <w:pPr>
              <w:spacing w:after="0" w:line="240" w:lineRule="auto"/>
              <w:ind w:left="459"/>
              <w:contextualSpacing/>
              <w:jc w:val="both"/>
              <w:rPr>
                <w:rFonts w:ascii="Century" w:hAnsi="Century"/>
                <w:b/>
                <w:bCs/>
                <w:sz w:val="20"/>
                <w:szCs w:val="20"/>
              </w:rPr>
            </w:pPr>
            <w:r w:rsidRPr="00A71D96">
              <w:rPr>
                <w:rFonts w:ascii="Century" w:hAnsi="Century"/>
                <w:bCs/>
                <w:color w:val="000000"/>
                <w:sz w:val="20"/>
                <w:szCs w:val="20"/>
              </w:rPr>
              <w:t>Пенсионный фонд</w:t>
            </w:r>
          </w:p>
        </w:tc>
        <w:tc>
          <w:tcPr>
            <w:tcW w:w="992" w:type="dxa"/>
            <w:shd w:val="clear" w:color="auto" w:fill="F2F2F2" w:themeFill="background1" w:themeFillShade="F2"/>
            <w:vAlign w:val="center"/>
          </w:tcPr>
          <w:p w:rsidR="00B620E1" w:rsidRDefault="00B620E1" w:rsidP="00B620E1">
            <w:pPr>
              <w:spacing w:after="0" w:line="240" w:lineRule="auto"/>
              <w:jc w:val="right"/>
              <w:rPr>
                <w:rFonts w:ascii="Century" w:hAnsi="Century"/>
                <w:sz w:val="20"/>
                <w:szCs w:val="20"/>
              </w:rPr>
            </w:pPr>
            <w:r>
              <w:rPr>
                <w:rFonts w:ascii="Century" w:hAnsi="Century"/>
                <w:sz w:val="20"/>
                <w:szCs w:val="20"/>
              </w:rPr>
              <w:t>8 201</w:t>
            </w:r>
          </w:p>
        </w:tc>
        <w:tc>
          <w:tcPr>
            <w:tcW w:w="992" w:type="dxa"/>
            <w:shd w:val="clear" w:color="auto" w:fill="F2F2F2" w:themeFill="background1" w:themeFillShade="F2"/>
            <w:vAlign w:val="center"/>
          </w:tcPr>
          <w:p w:rsidR="00B620E1" w:rsidRDefault="00B620E1" w:rsidP="003C4A4E">
            <w:pPr>
              <w:spacing w:after="0" w:line="240" w:lineRule="auto"/>
              <w:jc w:val="right"/>
              <w:rPr>
                <w:rFonts w:ascii="Century" w:hAnsi="Century"/>
                <w:sz w:val="20"/>
                <w:szCs w:val="20"/>
              </w:rPr>
            </w:pPr>
            <w:r>
              <w:rPr>
                <w:rFonts w:ascii="Century" w:hAnsi="Century"/>
                <w:sz w:val="20"/>
                <w:szCs w:val="20"/>
              </w:rPr>
              <w:t>8 236</w:t>
            </w:r>
          </w:p>
        </w:tc>
        <w:tc>
          <w:tcPr>
            <w:tcW w:w="992" w:type="dxa"/>
            <w:shd w:val="clear" w:color="auto" w:fill="F2F2F2" w:themeFill="background1" w:themeFillShade="F2"/>
            <w:vAlign w:val="center"/>
          </w:tcPr>
          <w:p w:rsidR="00B620E1" w:rsidRDefault="00B620E1" w:rsidP="003C4A4E">
            <w:pPr>
              <w:spacing w:after="0" w:line="240" w:lineRule="auto"/>
              <w:jc w:val="right"/>
              <w:rPr>
                <w:rFonts w:ascii="Century" w:hAnsi="Century"/>
                <w:sz w:val="20"/>
                <w:szCs w:val="20"/>
              </w:rPr>
            </w:pPr>
            <w:r>
              <w:rPr>
                <w:rFonts w:ascii="Century" w:hAnsi="Century"/>
                <w:sz w:val="20"/>
                <w:szCs w:val="20"/>
              </w:rPr>
              <w:t>8 519</w:t>
            </w:r>
          </w:p>
        </w:tc>
        <w:tc>
          <w:tcPr>
            <w:tcW w:w="992" w:type="dxa"/>
            <w:shd w:val="clear" w:color="auto" w:fill="F2F2F2" w:themeFill="background1" w:themeFillShade="F2"/>
            <w:vAlign w:val="center"/>
          </w:tcPr>
          <w:p w:rsidR="00B620E1" w:rsidRDefault="00B620E1" w:rsidP="003C4A4E">
            <w:pPr>
              <w:spacing w:after="0" w:line="240" w:lineRule="auto"/>
              <w:jc w:val="right"/>
              <w:rPr>
                <w:rFonts w:ascii="Century" w:hAnsi="Century"/>
                <w:sz w:val="20"/>
                <w:szCs w:val="20"/>
              </w:rPr>
            </w:pPr>
            <w:r>
              <w:rPr>
                <w:rFonts w:ascii="Century" w:hAnsi="Century"/>
                <w:sz w:val="20"/>
                <w:szCs w:val="20"/>
              </w:rPr>
              <w:t>8 829</w:t>
            </w:r>
          </w:p>
        </w:tc>
      </w:tr>
      <w:tr w:rsidR="00B620E1" w:rsidRPr="004436AC" w:rsidTr="003C4A4E">
        <w:trPr>
          <w:trHeight w:val="340"/>
        </w:trPr>
        <w:tc>
          <w:tcPr>
            <w:tcW w:w="5329" w:type="dxa"/>
            <w:shd w:val="clear" w:color="auto" w:fill="FFFFFF" w:themeFill="background1"/>
            <w:vAlign w:val="center"/>
          </w:tcPr>
          <w:p w:rsidR="00B620E1" w:rsidRPr="00A71D96" w:rsidRDefault="00B620E1" w:rsidP="00F2417A">
            <w:pPr>
              <w:spacing w:after="0" w:line="240" w:lineRule="auto"/>
              <w:ind w:left="459"/>
              <w:contextualSpacing/>
              <w:jc w:val="both"/>
              <w:rPr>
                <w:rFonts w:ascii="Century" w:hAnsi="Century"/>
                <w:b/>
                <w:bCs/>
                <w:sz w:val="20"/>
                <w:szCs w:val="20"/>
              </w:rPr>
            </w:pPr>
            <w:r w:rsidRPr="00A71D96">
              <w:rPr>
                <w:rFonts w:ascii="Century" w:hAnsi="Century"/>
                <w:bCs/>
                <w:color w:val="000000"/>
                <w:sz w:val="20"/>
                <w:szCs w:val="20"/>
              </w:rPr>
              <w:t>Фонд социального страхования</w:t>
            </w:r>
          </w:p>
        </w:tc>
        <w:tc>
          <w:tcPr>
            <w:tcW w:w="992" w:type="dxa"/>
            <w:shd w:val="clear" w:color="auto" w:fill="FFFFFF" w:themeFill="background1"/>
            <w:vAlign w:val="center"/>
          </w:tcPr>
          <w:p w:rsidR="00B620E1" w:rsidRDefault="00B620E1" w:rsidP="00B620E1">
            <w:pPr>
              <w:spacing w:after="0" w:line="240" w:lineRule="auto"/>
              <w:jc w:val="right"/>
              <w:rPr>
                <w:rFonts w:ascii="Century" w:hAnsi="Century"/>
                <w:sz w:val="20"/>
                <w:szCs w:val="20"/>
              </w:rPr>
            </w:pPr>
            <w:r>
              <w:rPr>
                <w:rFonts w:ascii="Century" w:hAnsi="Century"/>
                <w:sz w:val="20"/>
                <w:szCs w:val="20"/>
              </w:rPr>
              <w:t>685</w:t>
            </w:r>
          </w:p>
        </w:tc>
        <w:tc>
          <w:tcPr>
            <w:tcW w:w="992" w:type="dxa"/>
            <w:shd w:val="clear" w:color="auto" w:fill="FFFFFF" w:themeFill="background1"/>
            <w:vAlign w:val="center"/>
          </w:tcPr>
          <w:p w:rsidR="00B620E1" w:rsidRDefault="00B620E1" w:rsidP="003C4A4E">
            <w:pPr>
              <w:spacing w:after="0" w:line="240" w:lineRule="auto"/>
              <w:jc w:val="right"/>
              <w:rPr>
                <w:rFonts w:ascii="Century" w:hAnsi="Century"/>
                <w:sz w:val="20"/>
                <w:szCs w:val="20"/>
              </w:rPr>
            </w:pPr>
            <w:r>
              <w:rPr>
                <w:rFonts w:ascii="Century" w:hAnsi="Century"/>
                <w:sz w:val="20"/>
                <w:szCs w:val="20"/>
              </w:rPr>
              <w:t>737</w:t>
            </w:r>
          </w:p>
        </w:tc>
        <w:tc>
          <w:tcPr>
            <w:tcW w:w="992" w:type="dxa"/>
            <w:shd w:val="clear" w:color="auto" w:fill="FFFFFF" w:themeFill="background1"/>
            <w:vAlign w:val="center"/>
          </w:tcPr>
          <w:p w:rsidR="00B620E1" w:rsidRDefault="00B620E1" w:rsidP="003C4A4E">
            <w:pPr>
              <w:spacing w:after="0" w:line="240" w:lineRule="auto"/>
              <w:jc w:val="right"/>
              <w:rPr>
                <w:rFonts w:ascii="Century" w:hAnsi="Century"/>
                <w:sz w:val="20"/>
                <w:szCs w:val="20"/>
              </w:rPr>
            </w:pPr>
            <w:r>
              <w:rPr>
                <w:rFonts w:ascii="Century" w:hAnsi="Century"/>
                <w:sz w:val="20"/>
                <w:szCs w:val="20"/>
              </w:rPr>
              <w:t>775</w:t>
            </w:r>
          </w:p>
        </w:tc>
        <w:tc>
          <w:tcPr>
            <w:tcW w:w="992" w:type="dxa"/>
            <w:shd w:val="clear" w:color="auto" w:fill="FFFFFF" w:themeFill="background1"/>
            <w:vAlign w:val="center"/>
          </w:tcPr>
          <w:p w:rsidR="00B620E1" w:rsidRDefault="00B620E1" w:rsidP="003C4A4E">
            <w:pPr>
              <w:spacing w:after="0" w:line="240" w:lineRule="auto"/>
              <w:jc w:val="right"/>
              <w:rPr>
                <w:rFonts w:ascii="Century" w:hAnsi="Century"/>
                <w:sz w:val="20"/>
                <w:szCs w:val="20"/>
              </w:rPr>
            </w:pPr>
            <w:r>
              <w:rPr>
                <w:rFonts w:ascii="Century" w:hAnsi="Century"/>
                <w:sz w:val="20"/>
                <w:szCs w:val="20"/>
              </w:rPr>
              <w:t>811</w:t>
            </w:r>
          </w:p>
        </w:tc>
      </w:tr>
      <w:tr w:rsidR="00B620E1" w:rsidRPr="004436AC" w:rsidTr="003C4A4E">
        <w:trPr>
          <w:trHeight w:val="340"/>
        </w:trPr>
        <w:tc>
          <w:tcPr>
            <w:tcW w:w="5329" w:type="dxa"/>
            <w:shd w:val="clear" w:color="auto" w:fill="F2F2F2" w:themeFill="background1" w:themeFillShade="F2"/>
            <w:vAlign w:val="center"/>
          </w:tcPr>
          <w:p w:rsidR="00B620E1" w:rsidRPr="00A71D96" w:rsidRDefault="00B620E1" w:rsidP="00F2417A">
            <w:pPr>
              <w:spacing w:after="0" w:line="240" w:lineRule="auto"/>
              <w:ind w:left="459"/>
              <w:contextualSpacing/>
              <w:rPr>
                <w:rFonts w:ascii="Century" w:hAnsi="Century"/>
                <w:b/>
                <w:bCs/>
                <w:sz w:val="20"/>
                <w:szCs w:val="20"/>
              </w:rPr>
            </w:pPr>
            <w:r w:rsidRPr="00A71D96">
              <w:rPr>
                <w:rFonts w:ascii="Century" w:hAnsi="Century"/>
                <w:bCs/>
                <w:color w:val="000000"/>
                <w:sz w:val="20"/>
                <w:szCs w:val="20"/>
              </w:rPr>
              <w:t>Фонд обязательного медицинского страхования</w:t>
            </w:r>
          </w:p>
        </w:tc>
        <w:tc>
          <w:tcPr>
            <w:tcW w:w="992" w:type="dxa"/>
            <w:shd w:val="clear" w:color="auto" w:fill="F2F2F2" w:themeFill="background1" w:themeFillShade="F2"/>
            <w:vAlign w:val="center"/>
          </w:tcPr>
          <w:p w:rsidR="00B620E1" w:rsidRDefault="00B620E1" w:rsidP="00B620E1">
            <w:pPr>
              <w:spacing w:after="0" w:line="240" w:lineRule="auto"/>
              <w:jc w:val="right"/>
              <w:rPr>
                <w:rFonts w:ascii="Century" w:hAnsi="Century"/>
                <w:sz w:val="20"/>
                <w:szCs w:val="20"/>
              </w:rPr>
            </w:pPr>
            <w:r>
              <w:rPr>
                <w:rFonts w:ascii="Century" w:hAnsi="Century"/>
                <w:sz w:val="20"/>
                <w:szCs w:val="20"/>
              </w:rPr>
              <w:t>1 735</w:t>
            </w:r>
          </w:p>
        </w:tc>
        <w:tc>
          <w:tcPr>
            <w:tcW w:w="992" w:type="dxa"/>
            <w:shd w:val="clear" w:color="auto" w:fill="F2F2F2" w:themeFill="background1" w:themeFillShade="F2"/>
            <w:vAlign w:val="center"/>
          </w:tcPr>
          <w:p w:rsidR="00B620E1" w:rsidRDefault="00B620E1" w:rsidP="003C4A4E">
            <w:pPr>
              <w:spacing w:after="0" w:line="240" w:lineRule="auto"/>
              <w:jc w:val="right"/>
              <w:rPr>
                <w:rFonts w:ascii="Century" w:hAnsi="Century"/>
                <w:sz w:val="20"/>
                <w:szCs w:val="20"/>
              </w:rPr>
            </w:pPr>
            <w:r>
              <w:rPr>
                <w:rFonts w:ascii="Century" w:hAnsi="Century"/>
                <w:sz w:val="20"/>
                <w:szCs w:val="20"/>
              </w:rPr>
              <w:t>1 994</w:t>
            </w:r>
          </w:p>
        </w:tc>
        <w:tc>
          <w:tcPr>
            <w:tcW w:w="992" w:type="dxa"/>
            <w:shd w:val="clear" w:color="auto" w:fill="F2F2F2" w:themeFill="background1" w:themeFillShade="F2"/>
            <w:vAlign w:val="center"/>
          </w:tcPr>
          <w:p w:rsidR="00B620E1" w:rsidRDefault="00B620E1" w:rsidP="003C4A4E">
            <w:pPr>
              <w:spacing w:after="0" w:line="240" w:lineRule="auto"/>
              <w:jc w:val="right"/>
              <w:rPr>
                <w:rFonts w:ascii="Century" w:hAnsi="Century"/>
                <w:sz w:val="20"/>
                <w:szCs w:val="20"/>
              </w:rPr>
            </w:pPr>
            <w:r>
              <w:rPr>
                <w:rFonts w:ascii="Century" w:hAnsi="Century"/>
                <w:sz w:val="20"/>
                <w:szCs w:val="20"/>
              </w:rPr>
              <w:t>2 061</w:t>
            </w:r>
          </w:p>
        </w:tc>
        <w:tc>
          <w:tcPr>
            <w:tcW w:w="992" w:type="dxa"/>
            <w:shd w:val="clear" w:color="auto" w:fill="F2F2F2" w:themeFill="background1" w:themeFillShade="F2"/>
            <w:vAlign w:val="center"/>
          </w:tcPr>
          <w:p w:rsidR="00B620E1" w:rsidRDefault="00B620E1" w:rsidP="003C4A4E">
            <w:pPr>
              <w:spacing w:after="0" w:line="240" w:lineRule="auto"/>
              <w:jc w:val="right"/>
              <w:rPr>
                <w:rFonts w:ascii="Century" w:hAnsi="Century"/>
                <w:sz w:val="20"/>
                <w:szCs w:val="20"/>
              </w:rPr>
            </w:pPr>
            <w:r>
              <w:rPr>
                <w:rFonts w:ascii="Century" w:hAnsi="Century"/>
                <w:sz w:val="20"/>
                <w:szCs w:val="20"/>
              </w:rPr>
              <w:t>2 139</w:t>
            </w:r>
          </w:p>
        </w:tc>
      </w:tr>
      <w:tr w:rsidR="00B620E1" w:rsidRPr="004436AC" w:rsidTr="003C4A4E">
        <w:trPr>
          <w:trHeight w:val="340"/>
        </w:trPr>
        <w:tc>
          <w:tcPr>
            <w:tcW w:w="5329" w:type="dxa"/>
            <w:shd w:val="clear" w:color="auto" w:fill="FFFFFF" w:themeFill="background1"/>
            <w:vAlign w:val="center"/>
          </w:tcPr>
          <w:p w:rsidR="00B620E1" w:rsidRPr="00A71D96" w:rsidRDefault="00B620E1" w:rsidP="00F2417A">
            <w:pPr>
              <w:spacing w:after="0" w:line="240" w:lineRule="auto"/>
              <w:ind w:left="567"/>
              <w:contextualSpacing/>
              <w:rPr>
                <w:rFonts w:ascii="Century" w:hAnsi="Century"/>
                <w:b/>
                <w:color w:val="000000"/>
                <w:sz w:val="20"/>
                <w:szCs w:val="20"/>
              </w:rPr>
            </w:pPr>
            <w:r w:rsidRPr="00A71D96">
              <w:rPr>
                <w:rFonts w:ascii="Century" w:hAnsi="Century"/>
                <w:bCs/>
                <w:i/>
                <w:color w:val="000000"/>
                <w:sz w:val="18"/>
                <w:szCs w:val="18"/>
              </w:rPr>
              <w:t>без учета межбюджетных трансфертов</w:t>
            </w:r>
          </w:p>
        </w:tc>
        <w:tc>
          <w:tcPr>
            <w:tcW w:w="992" w:type="dxa"/>
            <w:shd w:val="clear" w:color="auto" w:fill="FFFFFF" w:themeFill="background1"/>
            <w:vAlign w:val="center"/>
          </w:tcPr>
          <w:p w:rsidR="00B620E1" w:rsidRDefault="00B620E1" w:rsidP="00B620E1">
            <w:pPr>
              <w:spacing w:after="0" w:line="240" w:lineRule="auto"/>
              <w:jc w:val="right"/>
              <w:rPr>
                <w:rFonts w:ascii="Century" w:hAnsi="Century"/>
                <w:i/>
                <w:iCs/>
                <w:sz w:val="18"/>
                <w:szCs w:val="18"/>
              </w:rPr>
            </w:pPr>
            <w:r>
              <w:rPr>
                <w:rFonts w:ascii="Century" w:hAnsi="Century"/>
                <w:i/>
                <w:iCs/>
                <w:sz w:val="18"/>
                <w:szCs w:val="18"/>
              </w:rPr>
              <w:t>1 717</w:t>
            </w:r>
          </w:p>
        </w:tc>
        <w:tc>
          <w:tcPr>
            <w:tcW w:w="992" w:type="dxa"/>
            <w:shd w:val="clear" w:color="auto" w:fill="FFFFFF" w:themeFill="background1"/>
            <w:vAlign w:val="center"/>
          </w:tcPr>
          <w:p w:rsidR="00B620E1" w:rsidRDefault="00B620E1" w:rsidP="003C4A4E">
            <w:pPr>
              <w:spacing w:after="0" w:line="240" w:lineRule="auto"/>
              <w:jc w:val="right"/>
              <w:rPr>
                <w:rFonts w:ascii="Century" w:hAnsi="Century"/>
                <w:i/>
                <w:iCs/>
                <w:sz w:val="18"/>
                <w:szCs w:val="18"/>
              </w:rPr>
            </w:pPr>
            <w:r>
              <w:rPr>
                <w:rFonts w:ascii="Century" w:hAnsi="Century"/>
                <w:i/>
                <w:iCs/>
                <w:sz w:val="18"/>
                <w:szCs w:val="18"/>
              </w:rPr>
              <w:t>1 970</w:t>
            </w:r>
          </w:p>
        </w:tc>
        <w:tc>
          <w:tcPr>
            <w:tcW w:w="992" w:type="dxa"/>
            <w:shd w:val="clear" w:color="auto" w:fill="FFFFFF" w:themeFill="background1"/>
            <w:vAlign w:val="center"/>
          </w:tcPr>
          <w:p w:rsidR="00B620E1" w:rsidRDefault="00B620E1" w:rsidP="003C4A4E">
            <w:pPr>
              <w:spacing w:after="0" w:line="240" w:lineRule="auto"/>
              <w:jc w:val="right"/>
              <w:rPr>
                <w:rFonts w:ascii="Century" w:hAnsi="Century"/>
                <w:i/>
                <w:iCs/>
                <w:sz w:val="18"/>
                <w:szCs w:val="18"/>
              </w:rPr>
            </w:pPr>
            <w:r>
              <w:rPr>
                <w:rFonts w:ascii="Century" w:hAnsi="Century"/>
                <w:i/>
                <w:iCs/>
                <w:sz w:val="18"/>
                <w:szCs w:val="18"/>
              </w:rPr>
              <w:t>2 038</w:t>
            </w:r>
          </w:p>
        </w:tc>
        <w:tc>
          <w:tcPr>
            <w:tcW w:w="992" w:type="dxa"/>
            <w:shd w:val="clear" w:color="auto" w:fill="FFFFFF" w:themeFill="background1"/>
            <w:vAlign w:val="center"/>
          </w:tcPr>
          <w:p w:rsidR="00B620E1" w:rsidRDefault="00B620E1" w:rsidP="003C4A4E">
            <w:pPr>
              <w:spacing w:after="0" w:line="240" w:lineRule="auto"/>
              <w:jc w:val="right"/>
              <w:rPr>
                <w:rFonts w:ascii="Century" w:hAnsi="Century"/>
                <w:i/>
                <w:iCs/>
                <w:sz w:val="18"/>
                <w:szCs w:val="18"/>
              </w:rPr>
            </w:pPr>
            <w:r>
              <w:rPr>
                <w:rFonts w:ascii="Century" w:hAnsi="Century"/>
                <w:i/>
                <w:iCs/>
                <w:sz w:val="18"/>
                <w:szCs w:val="18"/>
              </w:rPr>
              <w:t>2 115</w:t>
            </w:r>
          </w:p>
        </w:tc>
      </w:tr>
      <w:tr w:rsidR="00B620E1" w:rsidRPr="004436AC" w:rsidTr="003C4A4E">
        <w:trPr>
          <w:trHeight w:val="340"/>
        </w:trPr>
        <w:tc>
          <w:tcPr>
            <w:tcW w:w="5329" w:type="dxa"/>
            <w:shd w:val="clear" w:color="auto" w:fill="F2F2F2"/>
            <w:vAlign w:val="center"/>
          </w:tcPr>
          <w:p w:rsidR="00B620E1" w:rsidRPr="00A71D96" w:rsidRDefault="00B620E1" w:rsidP="00F2417A">
            <w:pPr>
              <w:spacing w:after="0" w:line="240" w:lineRule="auto"/>
              <w:contextualSpacing/>
              <w:rPr>
                <w:rFonts w:ascii="Century" w:hAnsi="Century"/>
                <w:b/>
                <w:bCs/>
                <w:sz w:val="20"/>
                <w:szCs w:val="20"/>
              </w:rPr>
            </w:pPr>
            <w:r w:rsidRPr="00A71D96">
              <w:rPr>
                <w:rFonts w:ascii="Century" w:hAnsi="Century"/>
                <w:b/>
                <w:color w:val="000000"/>
                <w:sz w:val="20"/>
                <w:szCs w:val="20"/>
              </w:rPr>
              <w:t>Дефицит</w:t>
            </w:r>
            <w:proofErr w:type="gramStart"/>
            <w:r w:rsidRPr="00A71D96">
              <w:rPr>
                <w:rFonts w:ascii="Century" w:hAnsi="Century"/>
                <w:b/>
                <w:color w:val="000000"/>
                <w:sz w:val="20"/>
                <w:szCs w:val="20"/>
              </w:rPr>
              <w:t xml:space="preserve"> (-)/</w:t>
            </w:r>
            <w:proofErr w:type="gramEnd"/>
            <w:r w:rsidRPr="00A71D96">
              <w:rPr>
                <w:rFonts w:ascii="Century" w:hAnsi="Century"/>
                <w:b/>
                <w:color w:val="000000"/>
                <w:sz w:val="20"/>
                <w:szCs w:val="20"/>
              </w:rPr>
              <w:t>профицит (+), всего</w:t>
            </w:r>
          </w:p>
        </w:tc>
        <w:tc>
          <w:tcPr>
            <w:tcW w:w="992" w:type="dxa"/>
            <w:shd w:val="clear" w:color="auto" w:fill="F2F2F2"/>
            <w:vAlign w:val="center"/>
          </w:tcPr>
          <w:p w:rsidR="00B620E1" w:rsidRDefault="00B620E1" w:rsidP="00B620E1">
            <w:pPr>
              <w:spacing w:after="0" w:line="240" w:lineRule="auto"/>
              <w:jc w:val="right"/>
              <w:rPr>
                <w:rFonts w:ascii="Century" w:hAnsi="Century"/>
                <w:b/>
                <w:bCs/>
                <w:sz w:val="20"/>
                <w:szCs w:val="20"/>
              </w:rPr>
            </w:pPr>
            <w:r>
              <w:rPr>
                <w:rFonts w:ascii="Century" w:hAnsi="Century"/>
                <w:b/>
                <w:bCs/>
                <w:sz w:val="20"/>
                <w:szCs w:val="20"/>
              </w:rPr>
              <w:t>-2 093</w:t>
            </w:r>
          </w:p>
        </w:tc>
        <w:tc>
          <w:tcPr>
            <w:tcW w:w="992" w:type="dxa"/>
            <w:shd w:val="clear" w:color="auto" w:fill="F2F2F2"/>
            <w:vAlign w:val="center"/>
          </w:tcPr>
          <w:p w:rsidR="00B620E1" w:rsidRDefault="00B620E1" w:rsidP="003C4A4E">
            <w:pPr>
              <w:spacing w:after="0" w:line="240" w:lineRule="auto"/>
              <w:jc w:val="right"/>
              <w:rPr>
                <w:rFonts w:ascii="Century" w:hAnsi="Century"/>
                <w:b/>
                <w:bCs/>
                <w:sz w:val="20"/>
                <w:szCs w:val="20"/>
              </w:rPr>
            </w:pPr>
            <w:r>
              <w:rPr>
                <w:rFonts w:ascii="Century" w:hAnsi="Century"/>
                <w:b/>
                <w:bCs/>
                <w:sz w:val="20"/>
                <w:szCs w:val="20"/>
              </w:rPr>
              <w:t>-1 458</w:t>
            </w:r>
          </w:p>
        </w:tc>
        <w:tc>
          <w:tcPr>
            <w:tcW w:w="992" w:type="dxa"/>
            <w:shd w:val="clear" w:color="auto" w:fill="F2F2F2"/>
            <w:vAlign w:val="center"/>
          </w:tcPr>
          <w:p w:rsidR="00B620E1" w:rsidRDefault="00B620E1" w:rsidP="003C4A4E">
            <w:pPr>
              <w:spacing w:after="0" w:line="240" w:lineRule="auto"/>
              <w:jc w:val="right"/>
              <w:rPr>
                <w:rFonts w:ascii="Century" w:hAnsi="Century"/>
                <w:b/>
                <w:bCs/>
                <w:sz w:val="20"/>
                <w:szCs w:val="20"/>
              </w:rPr>
            </w:pPr>
            <w:r>
              <w:rPr>
                <w:rFonts w:ascii="Century" w:hAnsi="Century"/>
                <w:b/>
                <w:bCs/>
                <w:sz w:val="20"/>
                <w:szCs w:val="20"/>
              </w:rPr>
              <w:t>-948</w:t>
            </w:r>
          </w:p>
        </w:tc>
        <w:tc>
          <w:tcPr>
            <w:tcW w:w="992" w:type="dxa"/>
            <w:shd w:val="clear" w:color="auto" w:fill="F2F2F2"/>
            <w:vAlign w:val="center"/>
          </w:tcPr>
          <w:p w:rsidR="00B620E1" w:rsidRDefault="00B620E1" w:rsidP="003C4A4E">
            <w:pPr>
              <w:spacing w:after="0" w:line="240" w:lineRule="auto"/>
              <w:jc w:val="right"/>
              <w:rPr>
                <w:rFonts w:ascii="Century" w:hAnsi="Century"/>
                <w:b/>
                <w:bCs/>
                <w:sz w:val="20"/>
                <w:szCs w:val="20"/>
              </w:rPr>
            </w:pPr>
            <w:r>
              <w:rPr>
                <w:rFonts w:ascii="Century" w:hAnsi="Century"/>
                <w:b/>
                <w:bCs/>
                <w:sz w:val="20"/>
                <w:szCs w:val="20"/>
              </w:rPr>
              <w:t>-921</w:t>
            </w:r>
          </w:p>
        </w:tc>
      </w:tr>
      <w:tr w:rsidR="00B620E1" w:rsidRPr="00E11E0D" w:rsidTr="003C4A4E">
        <w:trPr>
          <w:trHeight w:val="340"/>
        </w:trPr>
        <w:tc>
          <w:tcPr>
            <w:tcW w:w="5329" w:type="dxa"/>
            <w:tcBorders>
              <w:bottom w:val="single" w:sz="4" w:space="0" w:color="auto"/>
            </w:tcBorders>
            <w:vAlign w:val="center"/>
          </w:tcPr>
          <w:p w:rsidR="00B620E1" w:rsidRPr="00A71D96" w:rsidRDefault="00B620E1" w:rsidP="00F2417A">
            <w:pPr>
              <w:spacing w:after="0" w:line="240" w:lineRule="auto"/>
              <w:contextualSpacing/>
              <w:rPr>
                <w:rFonts w:ascii="Century" w:hAnsi="Century"/>
                <w:b/>
                <w:bCs/>
                <w:i/>
                <w:sz w:val="20"/>
                <w:szCs w:val="20"/>
              </w:rPr>
            </w:pPr>
            <w:r w:rsidRPr="00A71D96">
              <w:rPr>
                <w:rFonts w:ascii="Century" w:hAnsi="Century"/>
                <w:bCs/>
                <w:i/>
                <w:color w:val="000000"/>
                <w:sz w:val="20"/>
                <w:szCs w:val="20"/>
              </w:rPr>
              <w:t>%% ВВП</w:t>
            </w:r>
          </w:p>
        </w:tc>
        <w:tc>
          <w:tcPr>
            <w:tcW w:w="992" w:type="dxa"/>
            <w:tcBorders>
              <w:bottom w:val="single" w:sz="4" w:space="0" w:color="auto"/>
            </w:tcBorders>
            <w:vAlign w:val="center"/>
          </w:tcPr>
          <w:p w:rsidR="00B620E1" w:rsidRDefault="00B620E1" w:rsidP="00B620E1">
            <w:pPr>
              <w:spacing w:after="0" w:line="240" w:lineRule="auto"/>
              <w:jc w:val="right"/>
              <w:rPr>
                <w:rFonts w:ascii="Century" w:hAnsi="Century"/>
                <w:i/>
                <w:iCs/>
                <w:sz w:val="20"/>
                <w:szCs w:val="20"/>
              </w:rPr>
            </w:pPr>
            <w:r>
              <w:rPr>
                <w:rFonts w:ascii="Century" w:hAnsi="Century"/>
                <w:i/>
                <w:iCs/>
                <w:sz w:val="20"/>
                <w:szCs w:val="20"/>
              </w:rPr>
              <w:t>-2,3</w:t>
            </w:r>
          </w:p>
        </w:tc>
        <w:tc>
          <w:tcPr>
            <w:tcW w:w="992" w:type="dxa"/>
            <w:tcBorders>
              <w:bottom w:val="single" w:sz="4" w:space="0" w:color="auto"/>
            </w:tcBorders>
            <w:vAlign w:val="center"/>
          </w:tcPr>
          <w:p w:rsidR="00B620E1" w:rsidRDefault="00B620E1" w:rsidP="003C4A4E">
            <w:pPr>
              <w:spacing w:after="0" w:line="240" w:lineRule="auto"/>
              <w:jc w:val="right"/>
              <w:rPr>
                <w:rFonts w:ascii="Century" w:hAnsi="Century"/>
                <w:i/>
                <w:iCs/>
                <w:sz w:val="20"/>
                <w:szCs w:val="20"/>
              </w:rPr>
            </w:pPr>
            <w:r>
              <w:rPr>
                <w:rFonts w:ascii="Century" w:hAnsi="Century"/>
                <w:i/>
                <w:iCs/>
                <w:sz w:val="20"/>
                <w:szCs w:val="20"/>
              </w:rPr>
              <w:t>-1,5</w:t>
            </w:r>
          </w:p>
        </w:tc>
        <w:tc>
          <w:tcPr>
            <w:tcW w:w="992" w:type="dxa"/>
            <w:tcBorders>
              <w:bottom w:val="single" w:sz="4" w:space="0" w:color="auto"/>
            </w:tcBorders>
            <w:vAlign w:val="center"/>
          </w:tcPr>
          <w:p w:rsidR="00B620E1" w:rsidRDefault="00B620E1" w:rsidP="003C4A4E">
            <w:pPr>
              <w:spacing w:after="0" w:line="240" w:lineRule="auto"/>
              <w:jc w:val="right"/>
              <w:rPr>
                <w:rFonts w:ascii="Century" w:hAnsi="Century"/>
                <w:i/>
                <w:iCs/>
                <w:sz w:val="20"/>
                <w:szCs w:val="20"/>
              </w:rPr>
            </w:pPr>
            <w:r>
              <w:rPr>
                <w:rFonts w:ascii="Century" w:hAnsi="Century"/>
                <w:i/>
                <w:iCs/>
                <w:sz w:val="20"/>
                <w:szCs w:val="20"/>
              </w:rPr>
              <w:t>-0,9</w:t>
            </w:r>
          </w:p>
        </w:tc>
        <w:tc>
          <w:tcPr>
            <w:tcW w:w="992" w:type="dxa"/>
            <w:tcBorders>
              <w:bottom w:val="single" w:sz="4" w:space="0" w:color="auto"/>
            </w:tcBorders>
            <w:vAlign w:val="center"/>
          </w:tcPr>
          <w:p w:rsidR="00B620E1" w:rsidRDefault="00B620E1" w:rsidP="003C4A4E">
            <w:pPr>
              <w:spacing w:after="0" w:line="240" w:lineRule="auto"/>
              <w:jc w:val="right"/>
              <w:rPr>
                <w:rFonts w:ascii="Century" w:hAnsi="Century"/>
                <w:i/>
                <w:iCs/>
                <w:sz w:val="20"/>
                <w:szCs w:val="20"/>
              </w:rPr>
            </w:pPr>
            <w:r>
              <w:rPr>
                <w:rFonts w:ascii="Century" w:hAnsi="Century"/>
                <w:i/>
                <w:iCs/>
                <w:sz w:val="20"/>
                <w:szCs w:val="20"/>
              </w:rPr>
              <w:t>-0,8</w:t>
            </w:r>
          </w:p>
        </w:tc>
      </w:tr>
    </w:tbl>
    <w:p w:rsidR="00A71D96" w:rsidRPr="00F31180" w:rsidRDefault="00A71D96" w:rsidP="00A71D96">
      <w:pPr>
        <w:spacing w:after="120" w:line="240" w:lineRule="auto"/>
        <w:rPr>
          <w:rFonts w:ascii="Times New Roman" w:hAnsi="Times New Roman"/>
          <w:i/>
          <w:sz w:val="20"/>
          <w:szCs w:val="20"/>
        </w:rPr>
      </w:pPr>
      <w:r w:rsidRPr="00F31180">
        <w:rPr>
          <w:rFonts w:ascii="Times New Roman" w:hAnsi="Times New Roman"/>
          <w:i/>
          <w:sz w:val="20"/>
          <w:szCs w:val="20"/>
        </w:rPr>
        <w:t>*</w:t>
      </w:r>
      <w:r>
        <w:rPr>
          <w:rFonts w:ascii="Times New Roman" w:hAnsi="Times New Roman"/>
          <w:i/>
          <w:sz w:val="20"/>
          <w:szCs w:val="20"/>
        </w:rPr>
        <w:t>Без учета</w:t>
      </w:r>
      <w:r w:rsidRPr="00F31180">
        <w:rPr>
          <w:rFonts w:ascii="Times New Roman" w:hAnsi="Times New Roman"/>
          <w:i/>
          <w:sz w:val="20"/>
          <w:szCs w:val="20"/>
        </w:rPr>
        <w:t xml:space="preserve"> накопительной составляющей пенсионной системы</w:t>
      </w:r>
    </w:p>
    <w:p w:rsidR="00A71D96" w:rsidRPr="00101F1F" w:rsidRDefault="00A71D96" w:rsidP="00A71D96">
      <w:pPr>
        <w:spacing w:before="120" w:after="120"/>
        <w:jc w:val="both"/>
        <w:rPr>
          <w:rFonts w:ascii="Times New Roman" w:hAnsi="Times New Roman"/>
          <w:color w:val="FF0000"/>
          <w:sz w:val="24"/>
          <w:szCs w:val="24"/>
        </w:rPr>
      </w:pPr>
      <w:r w:rsidRPr="00101F1F">
        <w:rPr>
          <w:rFonts w:ascii="Times New Roman" w:hAnsi="Times New Roman"/>
          <w:sz w:val="24"/>
          <w:szCs w:val="24"/>
        </w:rPr>
        <w:t>В структуре расходов бюджетов бюджетной системы по разделам функциональной классификации в 2018-2020 гг. основную долю расходов продолжат занимать расходы на социальную политику (</w:t>
      </w:r>
      <w:r>
        <w:rPr>
          <w:rFonts w:ascii="Times New Roman" w:hAnsi="Times New Roman"/>
          <w:sz w:val="24"/>
          <w:szCs w:val="24"/>
        </w:rPr>
        <w:t>11,8</w:t>
      </w:r>
      <w:r w:rsidRPr="00101F1F">
        <w:rPr>
          <w:rFonts w:ascii="Times New Roman" w:hAnsi="Times New Roman"/>
          <w:sz w:val="24"/>
          <w:szCs w:val="24"/>
        </w:rPr>
        <w:t>% В</w:t>
      </w:r>
      <w:proofErr w:type="gramStart"/>
      <w:r w:rsidRPr="00101F1F">
        <w:rPr>
          <w:rFonts w:ascii="Times New Roman" w:hAnsi="Times New Roman"/>
          <w:sz w:val="24"/>
          <w:szCs w:val="24"/>
        </w:rPr>
        <w:t>ВП в ср</w:t>
      </w:r>
      <w:proofErr w:type="gramEnd"/>
      <w:r w:rsidRPr="00101F1F">
        <w:rPr>
          <w:rFonts w:ascii="Times New Roman" w:hAnsi="Times New Roman"/>
          <w:sz w:val="24"/>
          <w:szCs w:val="24"/>
        </w:rPr>
        <w:t xml:space="preserve">еднем за 2018-2020 гг.), национальную оборону и национальную безопасность (совокупно </w:t>
      </w:r>
      <w:r>
        <w:rPr>
          <w:rFonts w:ascii="Times New Roman" w:hAnsi="Times New Roman"/>
          <w:sz w:val="24"/>
          <w:szCs w:val="24"/>
        </w:rPr>
        <w:t>4,6%-5,1%</w:t>
      </w:r>
      <w:r w:rsidRPr="00101F1F">
        <w:rPr>
          <w:rFonts w:ascii="Times New Roman" w:hAnsi="Times New Roman"/>
          <w:sz w:val="24"/>
          <w:szCs w:val="24"/>
        </w:rPr>
        <w:t xml:space="preserve"> ВВП в 2018-2020 гг.). Тем не менее</w:t>
      </w:r>
      <w:r>
        <w:rPr>
          <w:rFonts w:ascii="Times New Roman" w:hAnsi="Times New Roman"/>
          <w:sz w:val="24"/>
          <w:szCs w:val="24"/>
        </w:rPr>
        <w:t>,</w:t>
      </w:r>
      <w:r w:rsidRPr="00101F1F">
        <w:rPr>
          <w:rFonts w:ascii="Times New Roman" w:hAnsi="Times New Roman"/>
          <w:sz w:val="24"/>
          <w:szCs w:val="24"/>
        </w:rPr>
        <w:t xml:space="preserve"> по мере постепенной консолидации бюджета, оптимизации расходов и повышения их эффективности в течение </w:t>
      </w:r>
      <w:r w:rsidRPr="0042449F">
        <w:rPr>
          <w:rFonts w:ascii="Times New Roman" w:hAnsi="Times New Roman"/>
          <w:sz w:val="24"/>
          <w:szCs w:val="24"/>
        </w:rPr>
        <w:t>планового периода ожидается постепенное сокращение доли этих расходов при одновременной стабилизации расходов на человеческий капитал (образование, здравоохранение) на уровне 7,3%</w:t>
      </w:r>
      <w:r>
        <w:rPr>
          <w:rFonts w:ascii="Times New Roman" w:hAnsi="Times New Roman"/>
          <w:sz w:val="24"/>
          <w:szCs w:val="24"/>
        </w:rPr>
        <w:t>-7,7%</w:t>
      </w:r>
      <w:r w:rsidRPr="0042449F">
        <w:rPr>
          <w:rFonts w:ascii="Times New Roman" w:hAnsi="Times New Roman"/>
          <w:sz w:val="24"/>
          <w:szCs w:val="24"/>
        </w:rPr>
        <w:t xml:space="preserve"> ВВП.</w:t>
      </w:r>
      <w:r w:rsidRPr="00101F1F">
        <w:rPr>
          <w:rFonts w:ascii="Times New Roman" w:hAnsi="Times New Roman"/>
          <w:sz w:val="24"/>
          <w:szCs w:val="24"/>
        </w:rPr>
        <w:t xml:space="preserve"> </w:t>
      </w:r>
    </w:p>
    <w:p w:rsidR="00A71D96" w:rsidRDefault="00A71D96" w:rsidP="00A71D96">
      <w:pPr>
        <w:spacing w:before="120" w:after="0"/>
        <w:jc w:val="both"/>
        <w:rPr>
          <w:rFonts w:ascii="Times New Roman" w:hAnsi="Times New Roman"/>
          <w:sz w:val="24"/>
          <w:szCs w:val="24"/>
        </w:rPr>
      </w:pPr>
      <w:r>
        <w:rPr>
          <w:rFonts w:ascii="Times New Roman" w:hAnsi="Times New Roman"/>
          <w:b/>
          <w:sz w:val="24"/>
          <w:szCs w:val="24"/>
        </w:rPr>
        <w:t xml:space="preserve">Таблица </w:t>
      </w:r>
      <w:r w:rsidRPr="002B72A8">
        <w:rPr>
          <w:rFonts w:ascii="Times New Roman" w:hAnsi="Times New Roman"/>
          <w:b/>
          <w:sz w:val="24"/>
          <w:szCs w:val="24"/>
        </w:rPr>
        <w:t>4</w:t>
      </w:r>
      <w:r>
        <w:rPr>
          <w:rFonts w:ascii="Times New Roman" w:hAnsi="Times New Roman"/>
          <w:b/>
          <w:sz w:val="24"/>
          <w:szCs w:val="24"/>
        </w:rPr>
        <w:t>.4.2.</w:t>
      </w:r>
      <w:r>
        <w:rPr>
          <w:rFonts w:ascii="Times New Roman" w:hAnsi="Times New Roman"/>
          <w:sz w:val="24"/>
          <w:szCs w:val="24"/>
        </w:rPr>
        <w:t xml:space="preserve"> Расходы бюджетов бюджетной системы по разделам функциональной классификации в 2017-2020 гг.</w:t>
      </w:r>
    </w:p>
    <w:p w:rsidR="00A71D96" w:rsidRDefault="00A71D96" w:rsidP="00A71D96">
      <w:pPr>
        <w:spacing w:after="120"/>
        <w:jc w:val="right"/>
        <w:rPr>
          <w:rFonts w:ascii="Times New Roman" w:hAnsi="Times New Roman"/>
          <w:i/>
          <w:sz w:val="24"/>
          <w:szCs w:val="24"/>
        </w:rPr>
      </w:pPr>
      <w:proofErr w:type="gramStart"/>
      <w:r>
        <w:rPr>
          <w:rFonts w:ascii="Times New Roman" w:hAnsi="Times New Roman"/>
          <w:i/>
          <w:sz w:val="24"/>
          <w:szCs w:val="24"/>
        </w:rPr>
        <w:t>млрд</w:t>
      </w:r>
      <w:proofErr w:type="gramEnd"/>
      <w:r>
        <w:rPr>
          <w:rFonts w:ascii="Times New Roman" w:hAnsi="Times New Roman"/>
          <w:i/>
          <w:sz w:val="24"/>
          <w:szCs w:val="24"/>
        </w:rPr>
        <w:t xml:space="preserve"> рублей</w:t>
      </w:r>
    </w:p>
    <w:tbl>
      <w:tblPr>
        <w:tblW w:w="10425" w:type="dxa"/>
        <w:tblInd w:w="-578" w:type="dxa"/>
        <w:tblLayout w:type="fixed"/>
        <w:tblLook w:val="00A0" w:firstRow="1" w:lastRow="0" w:firstColumn="1" w:lastColumn="0" w:noHBand="0" w:noVBand="0"/>
      </w:tblPr>
      <w:tblGrid>
        <w:gridCol w:w="3622"/>
        <w:gridCol w:w="849"/>
        <w:gridCol w:w="850"/>
        <w:gridCol w:w="850"/>
        <w:gridCol w:w="851"/>
        <w:gridCol w:w="850"/>
        <w:gridCol w:w="851"/>
        <w:gridCol w:w="852"/>
        <w:gridCol w:w="850"/>
      </w:tblGrid>
      <w:tr w:rsidR="00A71D96" w:rsidRPr="002119E8" w:rsidTr="00F2417A">
        <w:trPr>
          <w:trHeight w:val="340"/>
        </w:trPr>
        <w:tc>
          <w:tcPr>
            <w:tcW w:w="3622" w:type="dxa"/>
            <w:tcBorders>
              <w:top w:val="single" w:sz="4" w:space="0" w:color="auto"/>
              <w:left w:val="nil"/>
              <w:bottom w:val="single" w:sz="4" w:space="0" w:color="auto"/>
              <w:right w:val="nil"/>
            </w:tcBorders>
            <w:hideMark/>
          </w:tcPr>
          <w:p w:rsidR="00A71D96" w:rsidRPr="00F2417A" w:rsidRDefault="00A71D96" w:rsidP="00F2417A">
            <w:pPr>
              <w:spacing w:after="120" w:line="240" w:lineRule="auto"/>
              <w:contextualSpacing/>
              <w:rPr>
                <w:rFonts w:ascii="Century" w:hAnsi="Century"/>
                <w:b/>
                <w:bCs/>
                <w:szCs w:val="24"/>
              </w:rPr>
            </w:pPr>
            <w:r w:rsidRPr="00F2417A">
              <w:rPr>
                <w:rFonts w:ascii="Century" w:hAnsi="Century"/>
                <w:b/>
                <w:bCs/>
                <w:szCs w:val="24"/>
              </w:rPr>
              <w:t>Показатель</w:t>
            </w:r>
          </w:p>
        </w:tc>
        <w:tc>
          <w:tcPr>
            <w:tcW w:w="1699" w:type="dxa"/>
            <w:gridSpan w:val="2"/>
            <w:tcBorders>
              <w:top w:val="single" w:sz="4" w:space="0" w:color="auto"/>
              <w:left w:val="nil"/>
              <w:bottom w:val="single" w:sz="4" w:space="0" w:color="auto"/>
              <w:right w:val="nil"/>
            </w:tcBorders>
            <w:hideMark/>
          </w:tcPr>
          <w:p w:rsidR="00A71D96" w:rsidRPr="00F2417A" w:rsidRDefault="00A71D96" w:rsidP="003C4A4E">
            <w:pPr>
              <w:spacing w:after="120" w:line="240" w:lineRule="auto"/>
              <w:contextualSpacing/>
              <w:jc w:val="center"/>
              <w:rPr>
                <w:rFonts w:ascii="Century" w:hAnsi="Century"/>
                <w:b/>
                <w:bCs/>
                <w:szCs w:val="24"/>
              </w:rPr>
            </w:pPr>
            <w:r w:rsidRPr="00F2417A">
              <w:rPr>
                <w:rFonts w:ascii="Century" w:hAnsi="Century"/>
                <w:b/>
                <w:bCs/>
                <w:szCs w:val="24"/>
              </w:rPr>
              <w:t>2017</w:t>
            </w:r>
          </w:p>
        </w:tc>
        <w:tc>
          <w:tcPr>
            <w:tcW w:w="1701" w:type="dxa"/>
            <w:gridSpan w:val="2"/>
            <w:tcBorders>
              <w:top w:val="single" w:sz="4" w:space="0" w:color="auto"/>
              <w:left w:val="nil"/>
              <w:bottom w:val="single" w:sz="4" w:space="0" w:color="auto"/>
              <w:right w:val="nil"/>
            </w:tcBorders>
            <w:hideMark/>
          </w:tcPr>
          <w:p w:rsidR="00A71D96" w:rsidRPr="00F2417A" w:rsidRDefault="00A71D96" w:rsidP="003C4A4E">
            <w:pPr>
              <w:spacing w:after="120" w:line="240" w:lineRule="auto"/>
              <w:contextualSpacing/>
              <w:jc w:val="center"/>
              <w:rPr>
                <w:rFonts w:ascii="Century" w:hAnsi="Century"/>
                <w:b/>
                <w:bCs/>
                <w:szCs w:val="24"/>
              </w:rPr>
            </w:pPr>
            <w:r w:rsidRPr="00F2417A">
              <w:rPr>
                <w:rFonts w:ascii="Century" w:hAnsi="Century"/>
                <w:b/>
                <w:bCs/>
                <w:szCs w:val="24"/>
              </w:rPr>
              <w:t>2018</w:t>
            </w:r>
          </w:p>
        </w:tc>
        <w:tc>
          <w:tcPr>
            <w:tcW w:w="1701" w:type="dxa"/>
            <w:gridSpan w:val="2"/>
            <w:tcBorders>
              <w:top w:val="single" w:sz="4" w:space="0" w:color="auto"/>
              <w:left w:val="nil"/>
              <w:bottom w:val="single" w:sz="4" w:space="0" w:color="auto"/>
              <w:right w:val="nil"/>
            </w:tcBorders>
            <w:hideMark/>
          </w:tcPr>
          <w:p w:rsidR="00A71D96" w:rsidRPr="00F2417A" w:rsidRDefault="00A71D96" w:rsidP="003C4A4E">
            <w:pPr>
              <w:spacing w:after="120" w:line="240" w:lineRule="auto"/>
              <w:contextualSpacing/>
              <w:jc w:val="center"/>
              <w:rPr>
                <w:rFonts w:ascii="Century" w:hAnsi="Century"/>
                <w:b/>
                <w:bCs/>
                <w:szCs w:val="24"/>
              </w:rPr>
            </w:pPr>
            <w:r w:rsidRPr="00F2417A">
              <w:rPr>
                <w:rFonts w:ascii="Century" w:hAnsi="Century"/>
                <w:b/>
                <w:bCs/>
                <w:szCs w:val="24"/>
              </w:rPr>
              <w:t>2019</w:t>
            </w:r>
          </w:p>
        </w:tc>
        <w:tc>
          <w:tcPr>
            <w:tcW w:w="1702" w:type="dxa"/>
            <w:gridSpan w:val="2"/>
            <w:tcBorders>
              <w:top w:val="single" w:sz="4" w:space="0" w:color="auto"/>
              <w:left w:val="nil"/>
              <w:bottom w:val="single" w:sz="4" w:space="0" w:color="auto"/>
              <w:right w:val="nil"/>
            </w:tcBorders>
            <w:hideMark/>
          </w:tcPr>
          <w:p w:rsidR="00A71D96" w:rsidRPr="00F2417A" w:rsidRDefault="00A71D96" w:rsidP="003C4A4E">
            <w:pPr>
              <w:spacing w:after="120" w:line="240" w:lineRule="auto"/>
              <w:contextualSpacing/>
              <w:jc w:val="center"/>
              <w:rPr>
                <w:rFonts w:ascii="Century" w:hAnsi="Century"/>
                <w:b/>
                <w:bCs/>
                <w:szCs w:val="24"/>
              </w:rPr>
            </w:pPr>
            <w:r w:rsidRPr="00F2417A">
              <w:rPr>
                <w:rFonts w:ascii="Century" w:hAnsi="Century"/>
                <w:b/>
                <w:bCs/>
                <w:szCs w:val="24"/>
              </w:rPr>
              <w:t>2020</w:t>
            </w:r>
          </w:p>
        </w:tc>
      </w:tr>
      <w:tr w:rsidR="00A71D96" w:rsidRPr="002119E8" w:rsidTr="003C4A4E">
        <w:trPr>
          <w:trHeight w:val="340"/>
        </w:trPr>
        <w:tc>
          <w:tcPr>
            <w:tcW w:w="3622" w:type="dxa"/>
            <w:tcBorders>
              <w:top w:val="single" w:sz="4" w:space="0" w:color="auto"/>
              <w:left w:val="nil"/>
              <w:bottom w:val="nil"/>
              <w:right w:val="nil"/>
            </w:tcBorders>
            <w:shd w:val="clear" w:color="auto" w:fill="F2F2F2"/>
            <w:vAlign w:val="center"/>
          </w:tcPr>
          <w:p w:rsidR="00A71D96" w:rsidRPr="002119E8" w:rsidRDefault="00A71D96" w:rsidP="003C4A4E">
            <w:pPr>
              <w:spacing w:after="0" w:line="240" w:lineRule="auto"/>
              <w:contextualSpacing/>
              <w:jc w:val="both"/>
              <w:rPr>
                <w:rFonts w:ascii="Century" w:hAnsi="Century"/>
                <w:b/>
                <w:bCs/>
                <w:sz w:val="20"/>
                <w:szCs w:val="20"/>
              </w:rPr>
            </w:pPr>
          </w:p>
        </w:tc>
        <w:tc>
          <w:tcPr>
            <w:tcW w:w="849" w:type="dxa"/>
            <w:tcBorders>
              <w:top w:val="single" w:sz="4" w:space="0" w:color="auto"/>
              <w:left w:val="nil"/>
              <w:bottom w:val="nil"/>
              <w:right w:val="nil"/>
            </w:tcBorders>
            <w:shd w:val="clear" w:color="auto" w:fill="F2F2F2"/>
            <w:vAlign w:val="center"/>
          </w:tcPr>
          <w:p w:rsidR="00A71D96" w:rsidRPr="002119E8" w:rsidRDefault="00A71D96" w:rsidP="003C4A4E">
            <w:pPr>
              <w:spacing w:after="0" w:line="240" w:lineRule="auto"/>
              <w:contextualSpacing/>
              <w:jc w:val="right"/>
              <w:rPr>
                <w:rFonts w:ascii="Century" w:hAnsi="Century"/>
                <w:b/>
                <w:bCs/>
                <w:sz w:val="20"/>
                <w:szCs w:val="20"/>
              </w:rPr>
            </w:pPr>
          </w:p>
        </w:tc>
        <w:tc>
          <w:tcPr>
            <w:tcW w:w="850" w:type="dxa"/>
            <w:tcBorders>
              <w:top w:val="single" w:sz="4" w:space="0" w:color="auto"/>
              <w:left w:val="nil"/>
              <w:bottom w:val="nil"/>
              <w:right w:val="nil"/>
            </w:tcBorders>
            <w:shd w:val="clear" w:color="auto" w:fill="F2F2F2"/>
            <w:vAlign w:val="center"/>
            <w:hideMark/>
          </w:tcPr>
          <w:p w:rsidR="00A71D96" w:rsidRPr="002119E8" w:rsidRDefault="00A71D96" w:rsidP="003C4A4E">
            <w:pPr>
              <w:spacing w:after="0" w:line="240" w:lineRule="auto"/>
              <w:contextualSpacing/>
              <w:jc w:val="right"/>
              <w:rPr>
                <w:rFonts w:ascii="Century" w:hAnsi="Century"/>
                <w:b/>
                <w:bCs/>
                <w:i/>
                <w:sz w:val="20"/>
                <w:szCs w:val="20"/>
              </w:rPr>
            </w:pPr>
            <w:r w:rsidRPr="002119E8">
              <w:rPr>
                <w:rFonts w:ascii="Times New Roman" w:hAnsi="Times New Roman"/>
                <w:i/>
                <w:szCs w:val="24"/>
              </w:rPr>
              <w:t>%ВВП</w:t>
            </w:r>
          </w:p>
        </w:tc>
        <w:tc>
          <w:tcPr>
            <w:tcW w:w="850" w:type="dxa"/>
            <w:tcBorders>
              <w:top w:val="single" w:sz="4" w:space="0" w:color="auto"/>
              <w:left w:val="nil"/>
              <w:bottom w:val="nil"/>
              <w:right w:val="nil"/>
            </w:tcBorders>
            <w:shd w:val="clear" w:color="auto" w:fill="F2F2F2"/>
            <w:vAlign w:val="center"/>
          </w:tcPr>
          <w:p w:rsidR="00A71D96" w:rsidRPr="002119E8" w:rsidRDefault="00A71D96" w:rsidP="003C4A4E">
            <w:pPr>
              <w:spacing w:after="0" w:line="240" w:lineRule="auto"/>
              <w:contextualSpacing/>
              <w:jc w:val="right"/>
              <w:rPr>
                <w:rFonts w:ascii="Century" w:hAnsi="Century"/>
                <w:b/>
                <w:bCs/>
                <w:sz w:val="20"/>
                <w:szCs w:val="20"/>
              </w:rPr>
            </w:pPr>
          </w:p>
        </w:tc>
        <w:tc>
          <w:tcPr>
            <w:tcW w:w="851" w:type="dxa"/>
            <w:tcBorders>
              <w:top w:val="single" w:sz="4" w:space="0" w:color="auto"/>
              <w:left w:val="nil"/>
              <w:bottom w:val="nil"/>
              <w:right w:val="nil"/>
            </w:tcBorders>
            <w:shd w:val="clear" w:color="auto" w:fill="F2F2F2"/>
            <w:vAlign w:val="center"/>
            <w:hideMark/>
          </w:tcPr>
          <w:p w:rsidR="00A71D96" w:rsidRPr="002119E8" w:rsidRDefault="00A71D96" w:rsidP="003C4A4E">
            <w:pPr>
              <w:spacing w:after="0" w:line="240" w:lineRule="auto"/>
              <w:contextualSpacing/>
              <w:jc w:val="right"/>
              <w:rPr>
                <w:rFonts w:ascii="Century" w:hAnsi="Century"/>
                <w:b/>
                <w:bCs/>
                <w:i/>
                <w:sz w:val="20"/>
                <w:szCs w:val="20"/>
              </w:rPr>
            </w:pPr>
            <w:r w:rsidRPr="002119E8">
              <w:rPr>
                <w:rFonts w:ascii="Times New Roman" w:hAnsi="Times New Roman"/>
                <w:i/>
                <w:szCs w:val="24"/>
              </w:rPr>
              <w:t>%ВВП</w:t>
            </w:r>
          </w:p>
        </w:tc>
        <w:tc>
          <w:tcPr>
            <w:tcW w:w="850" w:type="dxa"/>
            <w:tcBorders>
              <w:top w:val="single" w:sz="4" w:space="0" w:color="auto"/>
              <w:left w:val="nil"/>
              <w:bottom w:val="nil"/>
              <w:right w:val="nil"/>
            </w:tcBorders>
            <w:shd w:val="clear" w:color="auto" w:fill="F2F2F2"/>
            <w:vAlign w:val="center"/>
          </w:tcPr>
          <w:p w:rsidR="00A71D96" w:rsidRPr="002119E8" w:rsidRDefault="00A71D96" w:rsidP="003C4A4E">
            <w:pPr>
              <w:spacing w:after="0" w:line="240" w:lineRule="auto"/>
              <w:contextualSpacing/>
              <w:jc w:val="right"/>
              <w:rPr>
                <w:rFonts w:ascii="Century" w:hAnsi="Century"/>
                <w:b/>
                <w:bCs/>
                <w:sz w:val="20"/>
                <w:szCs w:val="20"/>
              </w:rPr>
            </w:pPr>
          </w:p>
        </w:tc>
        <w:tc>
          <w:tcPr>
            <w:tcW w:w="851" w:type="dxa"/>
            <w:tcBorders>
              <w:top w:val="single" w:sz="4" w:space="0" w:color="auto"/>
              <w:left w:val="nil"/>
              <w:bottom w:val="nil"/>
              <w:right w:val="nil"/>
            </w:tcBorders>
            <w:shd w:val="clear" w:color="auto" w:fill="F2F2F2"/>
            <w:vAlign w:val="center"/>
            <w:hideMark/>
          </w:tcPr>
          <w:p w:rsidR="00A71D96" w:rsidRPr="002119E8" w:rsidRDefault="00A71D96" w:rsidP="003C4A4E">
            <w:pPr>
              <w:spacing w:after="0" w:line="240" w:lineRule="auto"/>
              <w:contextualSpacing/>
              <w:jc w:val="right"/>
              <w:rPr>
                <w:rFonts w:ascii="Century" w:hAnsi="Century"/>
                <w:b/>
                <w:bCs/>
                <w:i/>
                <w:sz w:val="20"/>
                <w:szCs w:val="20"/>
              </w:rPr>
            </w:pPr>
            <w:r w:rsidRPr="002119E8">
              <w:rPr>
                <w:rFonts w:ascii="Times New Roman" w:hAnsi="Times New Roman"/>
                <w:i/>
                <w:szCs w:val="24"/>
              </w:rPr>
              <w:t>%ВВП</w:t>
            </w:r>
          </w:p>
        </w:tc>
        <w:tc>
          <w:tcPr>
            <w:tcW w:w="852" w:type="dxa"/>
            <w:tcBorders>
              <w:top w:val="single" w:sz="4" w:space="0" w:color="auto"/>
              <w:left w:val="nil"/>
              <w:bottom w:val="nil"/>
              <w:right w:val="nil"/>
            </w:tcBorders>
            <w:shd w:val="clear" w:color="auto" w:fill="F2F2F2"/>
            <w:vAlign w:val="center"/>
          </w:tcPr>
          <w:p w:rsidR="00A71D96" w:rsidRPr="002119E8" w:rsidRDefault="00A71D96" w:rsidP="003C4A4E">
            <w:pPr>
              <w:spacing w:after="0" w:line="240" w:lineRule="auto"/>
              <w:contextualSpacing/>
              <w:jc w:val="right"/>
              <w:rPr>
                <w:rFonts w:ascii="Century" w:hAnsi="Century"/>
                <w:b/>
                <w:bCs/>
                <w:sz w:val="20"/>
                <w:szCs w:val="20"/>
              </w:rPr>
            </w:pPr>
          </w:p>
        </w:tc>
        <w:tc>
          <w:tcPr>
            <w:tcW w:w="850" w:type="dxa"/>
            <w:tcBorders>
              <w:top w:val="single" w:sz="4" w:space="0" w:color="auto"/>
              <w:left w:val="nil"/>
              <w:bottom w:val="nil"/>
              <w:right w:val="nil"/>
            </w:tcBorders>
            <w:shd w:val="clear" w:color="auto" w:fill="F2F2F2"/>
            <w:vAlign w:val="center"/>
            <w:hideMark/>
          </w:tcPr>
          <w:p w:rsidR="00A71D96" w:rsidRPr="002119E8" w:rsidRDefault="00A71D96" w:rsidP="003C4A4E">
            <w:pPr>
              <w:spacing w:after="0" w:line="240" w:lineRule="auto"/>
              <w:contextualSpacing/>
              <w:jc w:val="right"/>
              <w:rPr>
                <w:rFonts w:ascii="Century" w:hAnsi="Century"/>
                <w:b/>
                <w:bCs/>
                <w:i/>
                <w:sz w:val="20"/>
                <w:szCs w:val="20"/>
              </w:rPr>
            </w:pPr>
            <w:r w:rsidRPr="002119E8">
              <w:rPr>
                <w:rFonts w:ascii="Times New Roman" w:hAnsi="Times New Roman"/>
                <w:i/>
                <w:szCs w:val="24"/>
              </w:rPr>
              <w:t>%ВВП</w:t>
            </w:r>
          </w:p>
        </w:tc>
      </w:tr>
      <w:tr w:rsidR="00B620E1" w:rsidRPr="002119E8" w:rsidTr="003C4A4E">
        <w:trPr>
          <w:trHeight w:val="340"/>
        </w:trPr>
        <w:tc>
          <w:tcPr>
            <w:tcW w:w="3622" w:type="dxa"/>
            <w:vAlign w:val="center"/>
            <w:hideMark/>
          </w:tcPr>
          <w:p w:rsidR="00B620E1" w:rsidRPr="002119E8" w:rsidRDefault="00B620E1" w:rsidP="003C4A4E">
            <w:pPr>
              <w:spacing w:after="0" w:line="240" w:lineRule="auto"/>
              <w:contextualSpacing/>
              <w:rPr>
                <w:rFonts w:ascii="Century" w:hAnsi="Century"/>
                <w:b/>
                <w:bCs/>
                <w:sz w:val="20"/>
                <w:szCs w:val="20"/>
              </w:rPr>
            </w:pPr>
            <w:r w:rsidRPr="002119E8">
              <w:rPr>
                <w:rFonts w:ascii="Century" w:hAnsi="Century"/>
                <w:b/>
                <w:bCs/>
                <w:sz w:val="20"/>
                <w:szCs w:val="20"/>
              </w:rPr>
              <w:t>Всего</w:t>
            </w:r>
          </w:p>
        </w:tc>
        <w:tc>
          <w:tcPr>
            <w:tcW w:w="849" w:type="dxa"/>
            <w:vAlign w:val="center"/>
            <w:hideMark/>
          </w:tcPr>
          <w:p w:rsidR="00B620E1" w:rsidRDefault="00B620E1" w:rsidP="00B620E1">
            <w:pPr>
              <w:spacing w:after="0" w:line="240" w:lineRule="auto"/>
              <w:jc w:val="right"/>
              <w:rPr>
                <w:rFonts w:ascii="Century" w:hAnsi="Century"/>
                <w:b/>
                <w:bCs/>
                <w:sz w:val="20"/>
                <w:szCs w:val="20"/>
              </w:rPr>
            </w:pPr>
            <w:r>
              <w:rPr>
                <w:rFonts w:ascii="Century" w:hAnsi="Century"/>
                <w:b/>
                <w:bCs/>
                <w:sz w:val="20"/>
                <w:szCs w:val="20"/>
              </w:rPr>
              <w:t>32 490</w:t>
            </w:r>
          </w:p>
        </w:tc>
        <w:tc>
          <w:tcPr>
            <w:tcW w:w="850" w:type="dxa"/>
            <w:vAlign w:val="center"/>
            <w:hideMark/>
          </w:tcPr>
          <w:p w:rsidR="00B620E1" w:rsidRDefault="00B620E1" w:rsidP="00B620E1">
            <w:pPr>
              <w:spacing w:after="0" w:line="240" w:lineRule="auto"/>
              <w:jc w:val="right"/>
              <w:rPr>
                <w:rFonts w:ascii="Century" w:hAnsi="Century"/>
                <w:b/>
                <w:bCs/>
                <w:i/>
                <w:iCs/>
                <w:sz w:val="20"/>
                <w:szCs w:val="20"/>
              </w:rPr>
            </w:pPr>
            <w:r>
              <w:rPr>
                <w:rFonts w:ascii="Century" w:hAnsi="Century"/>
                <w:b/>
                <w:bCs/>
                <w:i/>
                <w:iCs/>
                <w:sz w:val="20"/>
                <w:szCs w:val="20"/>
              </w:rPr>
              <w:t>35,2</w:t>
            </w:r>
          </w:p>
        </w:tc>
        <w:tc>
          <w:tcPr>
            <w:tcW w:w="850" w:type="dxa"/>
            <w:vAlign w:val="center"/>
            <w:hideMark/>
          </w:tcPr>
          <w:p w:rsidR="00B620E1" w:rsidRDefault="00B620E1" w:rsidP="00A27236">
            <w:pPr>
              <w:spacing w:after="0" w:line="240" w:lineRule="auto"/>
              <w:jc w:val="right"/>
              <w:rPr>
                <w:rFonts w:ascii="Century" w:hAnsi="Century"/>
                <w:b/>
                <w:bCs/>
                <w:sz w:val="20"/>
                <w:szCs w:val="20"/>
              </w:rPr>
            </w:pPr>
            <w:r>
              <w:rPr>
                <w:rFonts w:ascii="Century" w:hAnsi="Century"/>
                <w:b/>
                <w:bCs/>
                <w:sz w:val="20"/>
                <w:szCs w:val="20"/>
              </w:rPr>
              <w:t>33 703</w:t>
            </w:r>
          </w:p>
        </w:tc>
        <w:tc>
          <w:tcPr>
            <w:tcW w:w="851" w:type="dxa"/>
            <w:vAlign w:val="center"/>
            <w:hideMark/>
          </w:tcPr>
          <w:p w:rsidR="00B620E1" w:rsidRDefault="00B620E1" w:rsidP="00A27236">
            <w:pPr>
              <w:spacing w:after="0" w:line="240" w:lineRule="auto"/>
              <w:jc w:val="right"/>
              <w:rPr>
                <w:rFonts w:ascii="Century" w:hAnsi="Century"/>
                <w:b/>
                <w:bCs/>
                <w:i/>
                <w:iCs/>
                <w:sz w:val="20"/>
                <w:szCs w:val="20"/>
              </w:rPr>
            </w:pPr>
            <w:r>
              <w:rPr>
                <w:rFonts w:ascii="Century" w:hAnsi="Century"/>
                <w:b/>
                <w:bCs/>
                <w:i/>
                <w:iCs/>
                <w:sz w:val="20"/>
                <w:szCs w:val="20"/>
              </w:rPr>
              <w:t>34,6</w:t>
            </w:r>
          </w:p>
        </w:tc>
        <w:tc>
          <w:tcPr>
            <w:tcW w:w="850" w:type="dxa"/>
            <w:vAlign w:val="center"/>
            <w:hideMark/>
          </w:tcPr>
          <w:p w:rsidR="00B620E1" w:rsidRDefault="00B620E1" w:rsidP="00A27236">
            <w:pPr>
              <w:spacing w:after="0" w:line="240" w:lineRule="auto"/>
              <w:jc w:val="right"/>
              <w:rPr>
                <w:rFonts w:ascii="Century" w:hAnsi="Century"/>
                <w:b/>
                <w:bCs/>
                <w:sz w:val="20"/>
                <w:szCs w:val="20"/>
              </w:rPr>
            </w:pPr>
            <w:r>
              <w:rPr>
                <w:rFonts w:ascii="Century" w:hAnsi="Century"/>
                <w:b/>
                <w:bCs/>
                <w:sz w:val="20"/>
                <w:szCs w:val="20"/>
              </w:rPr>
              <w:t>34 522</w:t>
            </w:r>
          </w:p>
        </w:tc>
        <w:tc>
          <w:tcPr>
            <w:tcW w:w="851" w:type="dxa"/>
            <w:vAlign w:val="center"/>
            <w:hideMark/>
          </w:tcPr>
          <w:p w:rsidR="00B620E1" w:rsidRDefault="00B620E1" w:rsidP="00A27236">
            <w:pPr>
              <w:spacing w:after="0" w:line="240" w:lineRule="auto"/>
              <w:jc w:val="right"/>
              <w:rPr>
                <w:rFonts w:ascii="Century" w:hAnsi="Century"/>
                <w:b/>
                <w:bCs/>
                <w:i/>
                <w:iCs/>
                <w:sz w:val="20"/>
                <w:szCs w:val="20"/>
              </w:rPr>
            </w:pPr>
            <w:r>
              <w:rPr>
                <w:rFonts w:ascii="Century" w:hAnsi="Century"/>
                <w:b/>
                <w:bCs/>
                <w:i/>
                <w:iCs/>
                <w:sz w:val="20"/>
                <w:szCs w:val="20"/>
              </w:rPr>
              <w:t>33,4</w:t>
            </w:r>
          </w:p>
        </w:tc>
        <w:tc>
          <w:tcPr>
            <w:tcW w:w="852" w:type="dxa"/>
            <w:vAlign w:val="center"/>
            <w:hideMark/>
          </w:tcPr>
          <w:p w:rsidR="00B620E1" w:rsidRDefault="00B620E1" w:rsidP="00A27236">
            <w:pPr>
              <w:spacing w:after="0" w:line="240" w:lineRule="auto"/>
              <w:jc w:val="right"/>
              <w:rPr>
                <w:rFonts w:ascii="Century" w:hAnsi="Century"/>
                <w:b/>
                <w:bCs/>
                <w:sz w:val="20"/>
                <w:szCs w:val="20"/>
              </w:rPr>
            </w:pPr>
            <w:r>
              <w:rPr>
                <w:rFonts w:ascii="Century" w:hAnsi="Century"/>
                <w:b/>
                <w:bCs/>
                <w:sz w:val="20"/>
                <w:szCs w:val="20"/>
              </w:rPr>
              <w:t>36 187</w:t>
            </w:r>
          </w:p>
        </w:tc>
        <w:tc>
          <w:tcPr>
            <w:tcW w:w="850" w:type="dxa"/>
            <w:vAlign w:val="center"/>
            <w:hideMark/>
          </w:tcPr>
          <w:p w:rsidR="00B620E1" w:rsidRDefault="00B620E1" w:rsidP="00A27236">
            <w:pPr>
              <w:spacing w:after="0" w:line="240" w:lineRule="auto"/>
              <w:jc w:val="right"/>
              <w:rPr>
                <w:rFonts w:ascii="Century" w:hAnsi="Century"/>
                <w:b/>
                <w:bCs/>
                <w:i/>
                <w:iCs/>
                <w:sz w:val="20"/>
                <w:szCs w:val="20"/>
              </w:rPr>
            </w:pPr>
            <w:r>
              <w:rPr>
                <w:rFonts w:ascii="Century" w:hAnsi="Century"/>
                <w:b/>
                <w:bCs/>
                <w:i/>
                <w:iCs/>
                <w:sz w:val="20"/>
                <w:szCs w:val="20"/>
              </w:rPr>
              <w:t>32,8</w:t>
            </w:r>
          </w:p>
        </w:tc>
      </w:tr>
      <w:tr w:rsidR="00B620E1" w:rsidRPr="002119E8" w:rsidTr="003C4A4E">
        <w:trPr>
          <w:trHeight w:val="340"/>
        </w:trPr>
        <w:tc>
          <w:tcPr>
            <w:tcW w:w="3622" w:type="dxa"/>
            <w:shd w:val="clear" w:color="auto" w:fill="F2F2F2"/>
            <w:vAlign w:val="center"/>
            <w:hideMark/>
          </w:tcPr>
          <w:p w:rsidR="00B620E1" w:rsidRPr="002119E8" w:rsidRDefault="00B620E1" w:rsidP="003C4A4E">
            <w:pPr>
              <w:spacing w:after="0" w:line="240" w:lineRule="auto"/>
              <w:contextualSpacing/>
              <w:rPr>
                <w:rFonts w:ascii="Century" w:hAnsi="Century"/>
                <w:b/>
                <w:bCs/>
                <w:i/>
                <w:iCs/>
                <w:sz w:val="20"/>
                <w:szCs w:val="20"/>
                <w:lang w:eastAsia="ru-RU"/>
              </w:rPr>
            </w:pPr>
            <w:r w:rsidRPr="002119E8">
              <w:rPr>
                <w:rFonts w:ascii="Century" w:hAnsi="Century"/>
                <w:bCs/>
                <w:sz w:val="20"/>
                <w:szCs w:val="20"/>
              </w:rPr>
              <w:t>Общегосударственные вопросы</w:t>
            </w:r>
          </w:p>
        </w:tc>
        <w:tc>
          <w:tcPr>
            <w:tcW w:w="849" w:type="dxa"/>
            <w:shd w:val="clear" w:color="auto" w:fill="F2F2F2"/>
            <w:vAlign w:val="center"/>
            <w:hideMark/>
          </w:tcPr>
          <w:p w:rsidR="00B620E1" w:rsidRDefault="00B620E1" w:rsidP="00B620E1">
            <w:pPr>
              <w:spacing w:after="0" w:line="240" w:lineRule="auto"/>
              <w:jc w:val="right"/>
              <w:rPr>
                <w:rFonts w:ascii="Century" w:hAnsi="Century"/>
                <w:sz w:val="20"/>
                <w:szCs w:val="20"/>
              </w:rPr>
            </w:pPr>
            <w:r>
              <w:rPr>
                <w:rFonts w:ascii="Century" w:hAnsi="Century"/>
                <w:sz w:val="20"/>
                <w:szCs w:val="20"/>
              </w:rPr>
              <w:t>1 922</w:t>
            </w:r>
          </w:p>
        </w:tc>
        <w:tc>
          <w:tcPr>
            <w:tcW w:w="850" w:type="dxa"/>
            <w:shd w:val="clear" w:color="auto" w:fill="F2F2F2"/>
            <w:vAlign w:val="center"/>
            <w:hideMark/>
          </w:tcPr>
          <w:p w:rsidR="00B620E1" w:rsidRDefault="00B620E1" w:rsidP="00B620E1">
            <w:pPr>
              <w:spacing w:after="0" w:line="240" w:lineRule="auto"/>
              <w:jc w:val="right"/>
              <w:rPr>
                <w:rFonts w:ascii="Century" w:hAnsi="Century"/>
                <w:i/>
                <w:iCs/>
                <w:sz w:val="20"/>
                <w:szCs w:val="20"/>
              </w:rPr>
            </w:pPr>
            <w:r>
              <w:rPr>
                <w:rFonts w:ascii="Century" w:hAnsi="Century"/>
                <w:i/>
                <w:iCs/>
                <w:sz w:val="20"/>
                <w:szCs w:val="20"/>
              </w:rPr>
              <w:t>2,1</w:t>
            </w:r>
          </w:p>
        </w:tc>
        <w:tc>
          <w:tcPr>
            <w:tcW w:w="850" w:type="dxa"/>
            <w:shd w:val="clear" w:color="auto" w:fill="F2F2F2"/>
            <w:vAlign w:val="center"/>
            <w:hideMark/>
          </w:tcPr>
          <w:p w:rsidR="00B620E1" w:rsidRDefault="00B620E1" w:rsidP="00A27236">
            <w:pPr>
              <w:spacing w:after="0" w:line="240" w:lineRule="auto"/>
              <w:jc w:val="right"/>
              <w:rPr>
                <w:rFonts w:ascii="Century" w:hAnsi="Century"/>
                <w:sz w:val="20"/>
                <w:szCs w:val="20"/>
              </w:rPr>
            </w:pPr>
            <w:r>
              <w:rPr>
                <w:rFonts w:ascii="Century" w:hAnsi="Century"/>
                <w:sz w:val="20"/>
                <w:szCs w:val="20"/>
              </w:rPr>
              <w:t>2 026</w:t>
            </w:r>
          </w:p>
        </w:tc>
        <w:tc>
          <w:tcPr>
            <w:tcW w:w="851" w:type="dxa"/>
            <w:shd w:val="clear" w:color="auto" w:fill="F2F2F2"/>
            <w:vAlign w:val="center"/>
            <w:hideMark/>
          </w:tcPr>
          <w:p w:rsidR="00B620E1" w:rsidRDefault="00B620E1" w:rsidP="00A27236">
            <w:pPr>
              <w:spacing w:after="0" w:line="240" w:lineRule="auto"/>
              <w:jc w:val="right"/>
              <w:rPr>
                <w:rFonts w:ascii="Century" w:hAnsi="Century"/>
                <w:i/>
                <w:iCs/>
                <w:sz w:val="20"/>
                <w:szCs w:val="20"/>
              </w:rPr>
            </w:pPr>
            <w:r>
              <w:rPr>
                <w:rFonts w:ascii="Century" w:hAnsi="Century"/>
                <w:i/>
                <w:iCs/>
                <w:sz w:val="20"/>
                <w:szCs w:val="20"/>
              </w:rPr>
              <w:t>2,1</w:t>
            </w:r>
          </w:p>
        </w:tc>
        <w:tc>
          <w:tcPr>
            <w:tcW w:w="850" w:type="dxa"/>
            <w:shd w:val="clear" w:color="auto" w:fill="F2F2F2"/>
            <w:vAlign w:val="center"/>
            <w:hideMark/>
          </w:tcPr>
          <w:p w:rsidR="00B620E1" w:rsidRDefault="00B620E1" w:rsidP="00A27236">
            <w:pPr>
              <w:spacing w:after="0" w:line="240" w:lineRule="auto"/>
              <w:jc w:val="right"/>
              <w:rPr>
                <w:rFonts w:ascii="Century" w:hAnsi="Century"/>
                <w:sz w:val="20"/>
                <w:szCs w:val="20"/>
              </w:rPr>
            </w:pPr>
            <w:r>
              <w:rPr>
                <w:rFonts w:ascii="Century" w:hAnsi="Century"/>
                <w:sz w:val="20"/>
                <w:szCs w:val="20"/>
              </w:rPr>
              <w:t>1 998</w:t>
            </w:r>
          </w:p>
        </w:tc>
        <w:tc>
          <w:tcPr>
            <w:tcW w:w="851" w:type="dxa"/>
            <w:shd w:val="clear" w:color="auto" w:fill="F2F2F2"/>
            <w:vAlign w:val="center"/>
            <w:hideMark/>
          </w:tcPr>
          <w:p w:rsidR="00B620E1" w:rsidRDefault="00B620E1" w:rsidP="00A27236">
            <w:pPr>
              <w:spacing w:after="0" w:line="240" w:lineRule="auto"/>
              <w:jc w:val="right"/>
              <w:rPr>
                <w:rFonts w:ascii="Century" w:hAnsi="Century"/>
                <w:i/>
                <w:iCs/>
                <w:sz w:val="20"/>
                <w:szCs w:val="20"/>
              </w:rPr>
            </w:pPr>
            <w:r>
              <w:rPr>
                <w:rFonts w:ascii="Century" w:hAnsi="Century"/>
                <w:i/>
                <w:iCs/>
                <w:sz w:val="20"/>
                <w:szCs w:val="20"/>
              </w:rPr>
              <w:t>1,9</w:t>
            </w:r>
          </w:p>
        </w:tc>
        <w:tc>
          <w:tcPr>
            <w:tcW w:w="852" w:type="dxa"/>
            <w:shd w:val="clear" w:color="auto" w:fill="F2F2F2"/>
            <w:vAlign w:val="center"/>
            <w:hideMark/>
          </w:tcPr>
          <w:p w:rsidR="00B620E1" w:rsidRDefault="00B620E1" w:rsidP="00A27236">
            <w:pPr>
              <w:spacing w:after="0" w:line="240" w:lineRule="auto"/>
              <w:jc w:val="right"/>
              <w:rPr>
                <w:rFonts w:ascii="Century" w:hAnsi="Century"/>
                <w:sz w:val="20"/>
                <w:szCs w:val="20"/>
              </w:rPr>
            </w:pPr>
            <w:r>
              <w:rPr>
                <w:rFonts w:ascii="Century" w:hAnsi="Century"/>
                <w:sz w:val="20"/>
                <w:szCs w:val="20"/>
              </w:rPr>
              <w:t>2 049</w:t>
            </w:r>
          </w:p>
        </w:tc>
        <w:tc>
          <w:tcPr>
            <w:tcW w:w="850" w:type="dxa"/>
            <w:shd w:val="clear" w:color="auto" w:fill="F2F2F2"/>
            <w:vAlign w:val="center"/>
            <w:hideMark/>
          </w:tcPr>
          <w:p w:rsidR="00B620E1" w:rsidRDefault="00B620E1" w:rsidP="00A27236">
            <w:pPr>
              <w:spacing w:after="0" w:line="240" w:lineRule="auto"/>
              <w:jc w:val="right"/>
              <w:rPr>
                <w:rFonts w:ascii="Century" w:hAnsi="Century"/>
                <w:i/>
                <w:iCs/>
                <w:sz w:val="20"/>
                <w:szCs w:val="20"/>
              </w:rPr>
            </w:pPr>
            <w:r>
              <w:rPr>
                <w:rFonts w:ascii="Century" w:hAnsi="Century"/>
                <w:i/>
                <w:iCs/>
                <w:sz w:val="20"/>
                <w:szCs w:val="20"/>
              </w:rPr>
              <w:t>1,9</w:t>
            </w:r>
          </w:p>
        </w:tc>
      </w:tr>
      <w:tr w:rsidR="00B620E1" w:rsidRPr="002119E8" w:rsidTr="003C4A4E">
        <w:trPr>
          <w:trHeight w:val="340"/>
        </w:trPr>
        <w:tc>
          <w:tcPr>
            <w:tcW w:w="3622" w:type="dxa"/>
            <w:vAlign w:val="center"/>
            <w:hideMark/>
          </w:tcPr>
          <w:p w:rsidR="00B620E1" w:rsidRPr="002119E8" w:rsidRDefault="00B620E1" w:rsidP="003C4A4E">
            <w:pPr>
              <w:spacing w:after="0" w:line="240" w:lineRule="auto"/>
              <w:contextualSpacing/>
              <w:jc w:val="both"/>
              <w:rPr>
                <w:rFonts w:ascii="Century" w:hAnsi="Century"/>
                <w:b/>
                <w:bCs/>
                <w:sz w:val="20"/>
                <w:szCs w:val="20"/>
                <w:u w:val="single"/>
              </w:rPr>
            </w:pPr>
            <w:r w:rsidRPr="002119E8">
              <w:rPr>
                <w:rFonts w:ascii="Century" w:hAnsi="Century"/>
                <w:bCs/>
                <w:sz w:val="20"/>
                <w:szCs w:val="20"/>
              </w:rPr>
              <w:t>Национальная оборона</w:t>
            </w:r>
          </w:p>
        </w:tc>
        <w:tc>
          <w:tcPr>
            <w:tcW w:w="849" w:type="dxa"/>
            <w:vAlign w:val="center"/>
            <w:hideMark/>
          </w:tcPr>
          <w:p w:rsidR="00B620E1" w:rsidRDefault="00B620E1" w:rsidP="00B620E1">
            <w:pPr>
              <w:spacing w:after="0" w:line="240" w:lineRule="auto"/>
              <w:jc w:val="right"/>
              <w:rPr>
                <w:rFonts w:ascii="Century" w:hAnsi="Century"/>
                <w:sz w:val="20"/>
                <w:szCs w:val="20"/>
              </w:rPr>
            </w:pPr>
            <w:r>
              <w:rPr>
                <w:rFonts w:ascii="Century" w:hAnsi="Century"/>
                <w:sz w:val="20"/>
                <w:szCs w:val="20"/>
              </w:rPr>
              <w:t>3 057</w:t>
            </w:r>
          </w:p>
        </w:tc>
        <w:tc>
          <w:tcPr>
            <w:tcW w:w="850" w:type="dxa"/>
            <w:vAlign w:val="center"/>
            <w:hideMark/>
          </w:tcPr>
          <w:p w:rsidR="00B620E1" w:rsidRDefault="00B620E1" w:rsidP="00B620E1">
            <w:pPr>
              <w:spacing w:after="0" w:line="240" w:lineRule="auto"/>
              <w:jc w:val="right"/>
              <w:rPr>
                <w:rFonts w:ascii="Century" w:hAnsi="Century"/>
                <w:i/>
                <w:iCs/>
                <w:sz w:val="20"/>
                <w:szCs w:val="20"/>
              </w:rPr>
            </w:pPr>
            <w:r>
              <w:rPr>
                <w:rFonts w:ascii="Century" w:hAnsi="Century"/>
                <w:i/>
                <w:iCs/>
                <w:sz w:val="20"/>
                <w:szCs w:val="20"/>
              </w:rPr>
              <w:t>3,3</w:t>
            </w:r>
          </w:p>
        </w:tc>
        <w:tc>
          <w:tcPr>
            <w:tcW w:w="850" w:type="dxa"/>
            <w:vAlign w:val="center"/>
            <w:hideMark/>
          </w:tcPr>
          <w:p w:rsidR="00B620E1" w:rsidRDefault="00B620E1" w:rsidP="00A27236">
            <w:pPr>
              <w:spacing w:after="0" w:line="240" w:lineRule="auto"/>
              <w:jc w:val="right"/>
              <w:rPr>
                <w:rFonts w:ascii="Century" w:hAnsi="Century"/>
                <w:sz w:val="20"/>
                <w:szCs w:val="20"/>
              </w:rPr>
            </w:pPr>
            <w:r>
              <w:rPr>
                <w:rFonts w:ascii="Century" w:hAnsi="Century"/>
                <w:sz w:val="20"/>
                <w:szCs w:val="20"/>
              </w:rPr>
              <w:t>2 774</w:t>
            </w:r>
          </w:p>
        </w:tc>
        <w:tc>
          <w:tcPr>
            <w:tcW w:w="851" w:type="dxa"/>
            <w:vAlign w:val="center"/>
            <w:hideMark/>
          </w:tcPr>
          <w:p w:rsidR="00B620E1" w:rsidRDefault="00B620E1" w:rsidP="00A27236">
            <w:pPr>
              <w:spacing w:after="0" w:line="240" w:lineRule="auto"/>
              <w:jc w:val="right"/>
              <w:rPr>
                <w:rFonts w:ascii="Century" w:hAnsi="Century"/>
                <w:i/>
                <w:iCs/>
                <w:sz w:val="20"/>
                <w:szCs w:val="20"/>
              </w:rPr>
            </w:pPr>
            <w:r>
              <w:rPr>
                <w:rFonts w:ascii="Century" w:hAnsi="Century"/>
                <w:i/>
                <w:iCs/>
                <w:sz w:val="20"/>
                <w:szCs w:val="20"/>
              </w:rPr>
              <w:t>2,8</w:t>
            </w:r>
          </w:p>
        </w:tc>
        <w:tc>
          <w:tcPr>
            <w:tcW w:w="850" w:type="dxa"/>
            <w:vAlign w:val="center"/>
            <w:hideMark/>
          </w:tcPr>
          <w:p w:rsidR="00B620E1" w:rsidRDefault="00B620E1" w:rsidP="00A27236">
            <w:pPr>
              <w:spacing w:after="0" w:line="240" w:lineRule="auto"/>
              <w:jc w:val="right"/>
              <w:rPr>
                <w:rFonts w:ascii="Century" w:hAnsi="Century"/>
                <w:sz w:val="20"/>
                <w:szCs w:val="20"/>
              </w:rPr>
            </w:pPr>
            <w:r>
              <w:rPr>
                <w:rFonts w:ascii="Century" w:hAnsi="Century"/>
                <w:sz w:val="20"/>
                <w:szCs w:val="20"/>
              </w:rPr>
              <w:t>2 801</w:t>
            </w:r>
          </w:p>
        </w:tc>
        <w:tc>
          <w:tcPr>
            <w:tcW w:w="851" w:type="dxa"/>
            <w:vAlign w:val="center"/>
            <w:hideMark/>
          </w:tcPr>
          <w:p w:rsidR="00B620E1" w:rsidRDefault="00B620E1" w:rsidP="00A27236">
            <w:pPr>
              <w:spacing w:after="0" w:line="240" w:lineRule="auto"/>
              <w:jc w:val="right"/>
              <w:rPr>
                <w:rFonts w:ascii="Century" w:hAnsi="Century"/>
                <w:i/>
                <w:iCs/>
                <w:sz w:val="20"/>
                <w:szCs w:val="20"/>
              </w:rPr>
            </w:pPr>
            <w:r>
              <w:rPr>
                <w:rFonts w:ascii="Century" w:hAnsi="Century"/>
                <w:i/>
                <w:iCs/>
                <w:sz w:val="20"/>
                <w:szCs w:val="20"/>
              </w:rPr>
              <w:t>2,7</w:t>
            </w:r>
          </w:p>
        </w:tc>
        <w:tc>
          <w:tcPr>
            <w:tcW w:w="852" w:type="dxa"/>
            <w:vAlign w:val="center"/>
            <w:hideMark/>
          </w:tcPr>
          <w:p w:rsidR="00B620E1" w:rsidRDefault="00B620E1" w:rsidP="00A27236">
            <w:pPr>
              <w:spacing w:after="0" w:line="240" w:lineRule="auto"/>
              <w:jc w:val="right"/>
              <w:rPr>
                <w:rFonts w:ascii="Century" w:hAnsi="Century"/>
                <w:sz w:val="20"/>
                <w:szCs w:val="20"/>
              </w:rPr>
            </w:pPr>
            <w:r>
              <w:rPr>
                <w:rFonts w:ascii="Century" w:hAnsi="Century"/>
                <w:sz w:val="20"/>
                <w:szCs w:val="20"/>
              </w:rPr>
              <w:t>2 811</w:t>
            </w:r>
          </w:p>
        </w:tc>
        <w:tc>
          <w:tcPr>
            <w:tcW w:w="850" w:type="dxa"/>
            <w:vAlign w:val="center"/>
            <w:hideMark/>
          </w:tcPr>
          <w:p w:rsidR="00B620E1" w:rsidRDefault="00B620E1" w:rsidP="00A27236">
            <w:pPr>
              <w:spacing w:after="0" w:line="240" w:lineRule="auto"/>
              <w:jc w:val="right"/>
              <w:rPr>
                <w:rFonts w:ascii="Century" w:hAnsi="Century"/>
                <w:i/>
                <w:iCs/>
                <w:sz w:val="20"/>
                <w:szCs w:val="20"/>
              </w:rPr>
            </w:pPr>
            <w:r>
              <w:rPr>
                <w:rFonts w:ascii="Century" w:hAnsi="Century"/>
                <w:i/>
                <w:iCs/>
                <w:sz w:val="20"/>
                <w:szCs w:val="20"/>
              </w:rPr>
              <w:t>2,5</w:t>
            </w:r>
          </w:p>
        </w:tc>
      </w:tr>
      <w:tr w:rsidR="00B620E1" w:rsidRPr="002119E8" w:rsidTr="003C4A4E">
        <w:trPr>
          <w:trHeight w:val="340"/>
        </w:trPr>
        <w:tc>
          <w:tcPr>
            <w:tcW w:w="3622" w:type="dxa"/>
            <w:shd w:val="clear" w:color="auto" w:fill="F2F2F2"/>
            <w:vAlign w:val="center"/>
            <w:hideMark/>
          </w:tcPr>
          <w:p w:rsidR="00B620E1" w:rsidRPr="002119E8" w:rsidRDefault="00B620E1" w:rsidP="003C4A4E">
            <w:pPr>
              <w:spacing w:after="0" w:line="240" w:lineRule="auto"/>
              <w:contextualSpacing/>
              <w:rPr>
                <w:rFonts w:ascii="Century" w:hAnsi="Century"/>
                <w:b/>
                <w:bCs/>
                <w:i/>
                <w:sz w:val="18"/>
                <w:szCs w:val="20"/>
              </w:rPr>
            </w:pPr>
            <w:r w:rsidRPr="002119E8">
              <w:rPr>
                <w:rFonts w:ascii="Century" w:hAnsi="Century"/>
                <w:bCs/>
                <w:sz w:val="20"/>
                <w:szCs w:val="20"/>
              </w:rPr>
              <w:t>Национальная безопасность и правоохранительная деятельность</w:t>
            </w:r>
          </w:p>
        </w:tc>
        <w:tc>
          <w:tcPr>
            <w:tcW w:w="849" w:type="dxa"/>
            <w:shd w:val="clear" w:color="auto" w:fill="F2F2F2"/>
            <w:vAlign w:val="center"/>
            <w:hideMark/>
          </w:tcPr>
          <w:p w:rsidR="00B620E1" w:rsidRDefault="00B620E1" w:rsidP="00B620E1">
            <w:pPr>
              <w:spacing w:after="0" w:line="240" w:lineRule="auto"/>
              <w:jc w:val="right"/>
              <w:rPr>
                <w:rFonts w:ascii="Century" w:hAnsi="Century"/>
                <w:sz w:val="20"/>
                <w:szCs w:val="20"/>
              </w:rPr>
            </w:pPr>
            <w:r>
              <w:rPr>
                <w:rFonts w:ascii="Century" w:hAnsi="Century"/>
                <w:sz w:val="20"/>
                <w:szCs w:val="20"/>
              </w:rPr>
              <w:t>2 151</w:t>
            </w:r>
          </w:p>
        </w:tc>
        <w:tc>
          <w:tcPr>
            <w:tcW w:w="850" w:type="dxa"/>
            <w:shd w:val="clear" w:color="auto" w:fill="F2F2F2"/>
            <w:vAlign w:val="center"/>
            <w:hideMark/>
          </w:tcPr>
          <w:p w:rsidR="00B620E1" w:rsidRDefault="00B620E1" w:rsidP="00B620E1">
            <w:pPr>
              <w:spacing w:after="0" w:line="240" w:lineRule="auto"/>
              <w:jc w:val="right"/>
              <w:rPr>
                <w:rFonts w:ascii="Century" w:hAnsi="Century"/>
                <w:i/>
                <w:iCs/>
                <w:sz w:val="20"/>
                <w:szCs w:val="20"/>
              </w:rPr>
            </w:pPr>
            <w:r>
              <w:rPr>
                <w:rFonts w:ascii="Century" w:hAnsi="Century"/>
                <w:i/>
                <w:iCs/>
                <w:sz w:val="20"/>
                <w:szCs w:val="20"/>
              </w:rPr>
              <w:t>2,3</w:t>
            </w:r>
          </w:p>
        </w:tc>
        <w:tc>
          <w:tcPr>
            <w:tcW w:w="850" w:type="dxa"/>
            <w:shd w:val="clear" w:color="auto" w:fill="F2F2F2"/>
            <w:vAlign w:val="center"/>
            <w:hideMark/>
          </w:tcPr>
          <w:p w:rsidR="00B620E1" w:rsidRDefault="00B620E1" w:rsidP="00A27236">
            <w:pPr>
              <w:spacing w:after="0" w:line="240" w:lineRule="auto"/>
              <w:jc w:val="right"/>
              <w:rPr>
                <w:rFonts w:ascii="Century" w:hAnsi="Century"/>
                <w:sz w:val="20"/>
                <w:szCs w:val="20"/>
              </w:rPr>
            </w:pPr>
            <w:r>
              <w:rPr>
                <w:rFonts w:ascii="Century" w:hAnsi="Century"/>
                <w:sz w:val="20"/>
                <w:szCs w:val="20"/>
              </w:rPr>
              <w:t>2 239</w:t>
            </w:r>
          </w:p>
        </w:tc>
        <w:tc>
          <w:tcPr>
            <w:tcW w:w="851" w:type="dxa"/>
            <w:shd w:val="clear" w:color="auto" w:fill="F2F2F2"/>
            <w:vAlign w:val="center"/>
            <w:hideMark/>
          </w:tcPr>
          <w:p w:rsidR="00B620E1" w:rsidRDefault="00B620E1" w:rsidP="00A27236">
            <w:pPr>
              <w:spacing w:after="0" w:line="240" w:lineRule="auto"/>
              <w:jc w:val="right"/>
              <w:rPr>
                <w:rFonts w:ascii="Century" w:hAnsi="Century"/>
                <w:i/>
                <w:iCs/>
                <w:sz w:val="20"/>
                <w:szCs w:val="20"/>
              </w:rPr>
            </w:pPr>
            <w:r>
              <w:rPr>
                <w:rFonts w:ascii="Century" w:hAnsi="Century"/>
                <w:i/>
                <w:iCs/>
                <w:sz w:val="20"/>
                <w:szCs w:val="20"/>
              </w:rPr>
              <w:t>2,3</w:t>
            </w:r>
          </w:p>
        </w:tc>
        <w:tc>
          <w:tcPr>
            <w:tcW w:w="850" w:type="dxa"/>
            <w:shd w:val="clear" w:color="auto" w:fill="F2F2F2"/>
            <w:vAlign w:val="center"/>
            <w:hideMark/>
          </w:tcPr>
          <w:p w:rsidR="00B620E1" w:rsidRDefault="00B620E1" w:rsidP="00A27236">
            <w:pPr>
              <w:spacing w:after="0" w:line="240" w:lineRule="auto"/>
              <w:jc w:val="right"/>
              <w:rPr>
                <w:rFonts w:ascii="Century" w:hAnsi="Century"/>
                <w:sz w:val="20"/>
                <w:szCs w:val="20"/>
              </w:rPr>
            </w:pPr>
            <w:r>
              <w:rPr>
                <w:rFonts w:ascii="Century" w:hAnsi="Century"/>
                <w:sz w:val="20"/>
                <w:szCs w:val="20"/>
              </w:rPr>
              <w:t>2 269</w:t>
            </w:r>
          </w:p>
        </w:tc>
        <w:tc>
          <w:tcPr>
            <w:tcW w:w="851" w:type="dxa"/>
            <w:shd w:val="clear" w:color="auto" w:fill="F2F2F2"/>
            <w:vAlign w:val="center"/>
            <w:hideMark/>
          </w:tcPr>
          <w:p w:rsidR="00B620E1" w:rsidRDefault="00B620E1" w:rsidP="00A27236">
            <w:pPr>
              <w:spacing w:after="0" w:line="240" w:lineRule="auto"/>
              <w:jc w:val="right"/>
              <w:rPr>
                <w:rFonts w:ascii="Century" w:hAnsi="Century"/>
                <w:i/>
                <w:iCs/>
                <w:sz w:val="20"/>
                <w:szCs w:val="20"/>
              </w:rPr>
            </w:pPr>
            <w:r>
              <w:rPr>
                <w:rFonts w:ascii="Century" w:hAnsi="Century"/>
                <w:i/>
                <w:iCs/>
                <w:sz w:val="20"/>
                <w:szCs w:val="20"/>
              </w:rPr>
              <w:t>2,2</w:t>
            </w:r>
          </w:p>
        </w:tc>
        <w:tc>
          <w:tcPr>
            <w:tcW w:w="852" w:type="dxa"/>
            <w:shd w:val="clear" w:color="auto" w:fill="F2F2F2"/>
            <w:vAlign w:val="center"/>
            <w:hideMark/>
          </w:tcPr>
          <w:p w:rsidR="00B620E1" w:rsidRDefault="00B620E1" w:rsidP="00A27236">
            <w:pPr>
              <w:spacing w:after="0" w:line="240" w:lineRule="auto"/>
              <w:jc w:val="right"/>
              <w:rPr>
                <w:rFonts w:ascii="Century" w:hAnsi="Century"/>
                <w:sz w:val="20"/>
                <w:szCs w:val="20"/>
              </w:rPr>
            </w:pPr>
            <w:r>
              <w:rPr>
                <w:rFonts w:ascii="Century" w:hAnsi="Century"/>
                <w:sz w:val="20"/>
                <w:szCs w:val="20"/>
              </w:rPr>
              <w:t>2 289</w:t>
            </w:r>
          </w:p>
        </w:tc>
        <w:tc>
          <w:tcPr>
            <w:tcW w:w="850" w:type="dxa"/>
            <w:shd w:val="clear" w:color="auto" w:fill="F2F2F2"/>
            <w:vAlign w:val="center"/>
            <w:hideMark/>
          </w:tcPr>
          <w:p w:rsidR="00B620E1" w:rsidRDefault="00B620E1" w:rsidP="00A27236">
            <w:pPr>
              <w:spacing w:after="0" w:line="240" w:lineRule="auto"/>
              <w:jc w:val="right"/>
              <w:rPr>
                <w:rFonts w:ascii="Century" w:hAnsi="Century"/>
                <w:i/>
                <w:iCs/>
                <w:sz w:val="20"/>
                <w:szCs w:val="20"/>
              </w:rPr>
            </w:pPr>
            <w:r>
              <w:rPr>
                <w:rFonts w:ascii="Century" w:hAnsi="Century"/>
                <w:i/>
                <w:iCs/>
                <w:sz w:val="20"/>
                <w:szCs w:val="20"/>
              </w:rPr>
              <w:t>2,1</w:t>
            </w:r>
          </w:p>
        </w:tc>
      </w:tr>
      <w:tr w:rsidR="00B620E1" w:rsidRPr="002119E8" w:rsidTr="003C4A4E">
        <w:trPr>
          <w:trHeight w:val="340"/>
        </w:trPr>
        <w:tc>
          <w:tcPr>
            <w:tcW w:w="3622" w:type="dxa"/>
            <w:vAlign w:val="center"/>
            <w:hideMark/>
          </w:tcPr>
          <w:p w:rsidR="00B620E1" w:rsidRPr="002119E8" w:rsidRDefault="00B620E1" w:rsidP="003C4A4E">
            <w:pPr>
              <w:spacing w:after="0" w:line="240" w:lineRule="auto"/>
              <w:contextualSpacing/>
              <w:jc w:val="both"/>
              <w:rPr>
                <w:rFonts w:ascii="Century" w:hAnsi="Century"/>
                <w:b/>
                <w:bCs/>
                <w:sz w:val="20"/>
                <w:szCs w:val="20"/>
              </w:rPr>
            </w:pPr>
            <w:r w:rsidRPr="002119E8">
              <w:rPr>
                <w:rFonts w:ascii="Century" w:hAnsi="Century"/>
                <w:bCs/>
                <w:sz w:val="20"/>
                <w:szCs w:val="20"/>
              </w:rPr>
              <w:t>Национальная экономика</w:t>
            </w:r>
          </w:p>
        </w:tc>
        <w:tc>
          <w:tcPr>
            <w:tcW w:w="849" w:type="dxa"/>
            <w:vAlign w:val="center"/>
            <w:hideMark/>
          </w:tcPr>
          <w:p w:rsidR="00B620E1" w:rsidRDefault="00B620E1" w:rsidP="00B620E1">
            <w:pPr>
              <w:spacing w:after="0" w:line="240" w:lineRule="auto"/>
              <w:jc w:val="right"/>
              <w:rPr>
                <w:rFonts w:ascii="Century" w:hAnsi="Century"/>
                <w:sz w:val="20"/>
                <w:szCs w:val="20"/>
              </w:rPr>
            </w:pPr>
            <w:r>
              <w:rPr>
                <w:rFonts w:ascii="Century" w:hAnsi="Century"/>
                <w:sz w:val="20"/>
                <w:szCs w:val="20"/>
              </w:rPr>
              <w:t>4 012</w:t>
            </w:r>
          </w:p>
        </w:tc>
        <w:tc>
          <w:tcPr>
            <w:tcW w:w="850" w:type="dxa"/>
            <w:vAlign w:val="center"/>
            <w:hideMark/>
          </w:tcPr>
          <w:p w:rsidR="00B620E1" w:rsidRDefault="00B620E1" w:rsidP="00B620E1">
            <w:pPr>
              <w:spacing w:after="0" w:line="240" w:lineRule="auto"/>
              <w:jc w:val="right"/>
              <w:rPr>
                <w:rFonts w:ascii="Century" w:hAnsi="Century"/>
                <w:i/>
                <w:iCs/>
                <w:sz w:val="20"/>
                <w:szCs w:val="20"/>
              </w:rPr>
            </w:pPr>
            <w:r>
              <w:rPr>
                <w:rFonts w:ascii="Century" w:hAnsi="Century"/>
                <w:i/>
                <w:iCs/>
                <w:sz w:val="20"/>
                <w:szCs w:val="20"/>
              </w:rPr>
              <w:t>4,3</w:t>
            </w:r>
          </w:p>
        </w:tc>
        <w:tc>
          <w:tcPr>
            <w:tcW w:w="850" w:type="dxa"/>
            <w:vAlign w:val="center"/>
            <w:hideMark/>
          </w:tcPr>
          <w:p w:rsidR="00B620E1" w:rsidRDefault="00B620E1" w:rsidP="00A27236">
            <w:pPr>
              <w:spacing w:after="0" w:line="240" w:lineRule="auto"/>
              <w:jc w:val="right"/>
              <w:rPr>
                <w:rFonts w:ascii="Century" w:hAnsi="Century"/>
                <w:sz w:val="20"/>
                <w:szCs w:val="20"/>
              </w:rPr>
            </w:pPr>
            <w:r>
              <w:rPr>
                <w:rFonts w:ascii="Century" w:hAnsi="Century"/>
                <w:sz w:val="20"/>
                <w:szCs w:val="20"/>
              </w:rPr>
              <w:t>4 127</w:t>
            </w:r>
          </w:p>
        </w:tc>
        <w:tc>
          <w:tcPr>
            <w:tcW w:w="851" w:type="dxa"/>
            <w:vAlign w:val="center"/>
            <w:hideMark/>
          </w:tcPr>
          <w:p w:rsidR="00B620E1" w:rsidRDefault="00B620E1" w:rsidP="00A27236">
            <w:pPr>
              <w:spacing w:after="0" w:line="240" w:lineRule="auto"/>
              <w:jc w:val="right"/>
              <w:rPr>
                <w:rFonts w:ascii="Century" w:hAnsi="Century"/>
                <w:i/>
                <w:iCs/>
                <w:sz w:val="20"/>
                <w:szCs w:val="20"/>
              </w:rPr>
            </w:pPr>
            <w:r>
              <w:rPr>
                <w:rFonts w:ascii="Century" w:hAnsi="Century"/>
                <w:i/>
                <w:iCs/>
                <w:sz w:val="20"/>
                <w:szCs w:val="20"/>
              </w:rPr>
              <w:t>4,2</w:t>
            </w:r>
          </w:p>
        </w:tc>
        <w:tc>
          <w:tcPr>
            <w:tcW w:w="850" w:type="dxa"/>
            <w:vAlign w:val="center"/>
            <w:hideMark/>
          </w:tcPr>
          <w:p w:rsidR="00B620E1" w:rsidRDefault="00B620E1" w:rsidP="00A27236">
            <w:pPr>
              <w:spacing w:after="0" w:line="240" w:lineRule="auto"/>
              <w:jc w:val="right"/>
              <w:rPr>
                <w:rFonts w:ascii="Century" w:hAnsi="Century"/>
                <w:sz w:val="20"/>
                <w:szCs w:val="20"/>
              </w:rPr>
            </w:pPr>
            <w:r>
              <w:rPr>
                <w:rFonts w:ascii="Century" w:hAnsi="Century"/>
                <w:sz w:val="20"/>
                <w:szCs w:val="20"/>
              </w:rPr>
              <w:t>4 233</w:t>
            </w:r>
          </w:p>
        </w:tc>
        <w:tc>
          <w:tcPr>
            <w:tcW w:w="851" w:type="dxa"/>
            <w:vAlign w:val="center"/>
            <w:hideMark/>
          </w:tcPr>
          <w:p w:rsidR="00B620E1" w:rsidRDefault="00B620E1" w:rsidP="00A27236">
            <w:pPr>
              <w:spacing w:after="0" w:line="240" w:lineRule="auto"/>
              <w:jc w:val="right"/>
              <w:rPr>
                <w:rFonts w:ascii="Century" w:hAnsi="Century"/>
                <w:i/>
                <w:iCs/>
                <w:sz w:val="20"/>
                <w:szCs w:val="20"/>
              </w:rPr>
            </w:pPr>
            <w:r>
              <w:rPr>
                <w:rFonts w:ascii="Century" w:hAnsi="Century"/>
                <w:i/>
                <w:iCs/>
                <w:sz w:val="20"/>
                <w:szCs w:val="20"/>
              </w:rPr>
              <w:t>4,1</w:t>
            </w:r>
          </w:p>
        </w:tc>
        <w:tc>
          <w:tcPr>
            <w:tcW w:w="852" w:type="dxa"/>
            <w:vAlign w:val="center"/>
            <w:hideMark/>
          </w:tcPr>
          <w:p w:rsidR="00B620E1" w:rsidRDefault="00B620E1" w:rsidP="00A27236">
            <w:pPr>
              <w:spacing w:after="0" w:line="240" w:lineRule="auto"/>
              <w:jc w:val="right"/>
              <w:rPr>
                <w:rFonts w:ascii="Century" w:hAnsi="Century"/>
                <w:sz w:val="20"/>
                <w:szCs w:val="20"/>
              </w:rPr>
            </w:pPr>
            <w:r>
              <w:rPr>
                <w:rFonts w:ascii="Century" w:hAnsi="Century"/>
                <w:sz w:val="20"/>
                <w:szCs w:val="20"/>
              </w:rPr>
              <w:t>4 412</w:t>
            </w:r>
          </w:p>
        </w:tc>
        <w:tc>
          <w:tcPr>
            <w:tcW w:w="850" w:type="dxa"/>
            <w:vAlign w:val="center"/>
            <w:hideMark/>
          </w:tcPr>
          <w:p w:rsidR="00B620E1" w:rsidRDefault="00B620E1" w:rsidP="00A27236">
            <w:pPr>
              <w:spacing w:after="0" w:line="240" w:lineRule="auto"/>
              <w:jc w:val="right"/>
              <w:rPr>
                <w:rFonts w:ascii="Century" w:hAnsi="Century"/>
                <w:i/>
                <w:iCs/>
                <w:sz w:val="20"/>
                <w:szCs w:val="20"/>
              </w:rPr>
            </w:pPr>
            <w:r>
              <w:rPr>
                <w:rFonts w:ascii="Century" w:hAnsi="Century"/>
                <w:i/>
                <w:iCs/>
                <w:sz w:val="20"/>
                <w:szCs w:val="20"/>
              </w:rPr>
              <w:t>4,0</w:t>
            </w:r>
          </w:p>
        </w:tc>
      </w:tr>
      <w:tr w:rsidR="00B620E1" w:rsidRPr="002119E8" w:rsidTr="003C4A4E">
        <w:trPr>
          <w:trHeight w:val="340"/>
        </w:trPr>
        <w:tc>
          <w:tcPr>
            <w:tcW w:w="3622" w:type="dxa"/>
            <w:shd w:val="clear" w:color="auto" w:fill="F2F2F2"/>
            <w:vAlign w:val="center"/>
            <w:hideMark/>
          </w:tcPr>
          <w:p w:rsidR="00B620E1" w:rsidRPr="002119E8" w:rsidRDefault="00B620E1" w:rsidP="003C4A4E">
            <w:pPr>
              <w:spacing w:after="0" w:line="240" w:lineRule="auto"/>
              <w:contextualSpacing/>
              <w:rPr>
                <w:rFonts w:ascii="Century" w:hAnsi="Century"/>
                <w:b/>
                <w:bCs/>
                <w:i/>
                <w:sz w:val="18"/>
                <w:szCs w:val="20"/>
              </w:rPr>
            </w:pPr>
            <w:r w:rsidRPr="002119E8">
              <w:rPr>
                <w:rFonts w:ascii="Century" w:hAnsi="Century"/>
                <w:bCs/>
                <w:sz w:val="20"/>
                <w:szCs w:val="20"/>
              </w:rPr>
              <w:t>Жилищно-коммунальное хозяйство</w:t>
            </w:r>
          </w:p>
        </w:tc>
        <w:tc>
          <w:tcPr>
            <w:tcW w:w="849" w:type="dxa"/>
            <w:shd w:val="clear" w:color="auto" w:fill="F2F2F2"/>
            <w:vAlign w:val="center"/>
            <w:hideMark/>
          </w:tcPr>
          <w:p w:rsidR="00B620E1" w:rsidRDefault="00B620E1" w:rsidP="00B620E1">
            <w:pPr>
              <w:spacing w:after="0" w:line="240" w:lineRule="auto"/>
              <w:jc w:val="right"/>
              <w:rPr>
                <w:rFonts w:ascii="Century" w:hAnsi="Century"/>
                <w:sz w:val="20"/>
                <w:szCs w:val="20"/>
              </w:rPr>
            </w:pPr>
            <w:r>
              <w:rPr>
                <w:rFonts w:ascii="Century" w:hAnsi="Century"/>
                <w:sz w:val="20"/>
                <w:szCs w:val="20"/>
              </w:rPr>
              <w:t>1 088</w:t>
            </w:r>
          </w:p>
        </w:tc>
        <w:tc>
          <w:tcPr>
            <w:tcW w:w="850" w:type="dxa"/>
            <w:shd w:val="clear" w:color="auto" w:fill="F2F2F2"/>
            <w:vAlign w:val="center"/>
            <w:hideMark/>
          </w:tcPr>
          <w:p w:rsidR="00B620E1" w:rsidRDefault="00B620E1" w:rsidP="00B620E1">
            <w:pPr>
              <w:spacing w:after="0" w:line="240" w:lineRule="auto"/>
              <w:jc w:val="right"/>
              <w:rPr>
                <w:rFonts w:ascii="Century" w:hAnsi="Century"/>
                <w:i/>
                <w:iCs/>
                <w:sz w:val="20"/>
                <w:szCs w:val="20"/>
              </w:rPr>
            </w:pPr>
            <w:r>
              <w:rPr>
                <w:rFonts w:ascii="Century" w:hAnsi="Century"/>
                <w:i/>
                <w:iCs/>
                <w:sz w:val="20"/>
                <w:szCs w:val="20"/>
              </w:rPr>
              <w:t>1,2</w:t>
            </w:r>
          </w:p>
        </w:tc>
        <w:tc>
          <w:tcPr>
            <w:tcW w:w="850" w:type="dxa"/>
            <w:shd w:val="clear" w:color="auto" w:fill="F2F2F2"/>
            <w:vAlign w:val="center"/>
            <w:hideMark/>
          </w:tcPr>
          <w:p w:rsidR="00B620E1" w:rsidRDefault="00B620E1" w:rsidP="00A27236">
            <w:pPr>
              <w:spacing w:after="0" w:line="240" w:lineRule="auto"/>
              <w:jc w:val="right"/>
              <w:rPr>
                <w:rFonts w:ascii="Century" w:hAnsi="Century"/>
                <w:sz w:val="20"/>
                <w:szCs w:val="20"/>
              </w:rPr>
            </w:pPr>
            <w:r>
              <w:rPr>
                <w:rFonts w:ascii="Century" w:hAnsi="Century"/>
                <w:sz w:val="20"/>
                <w:szCs w:val="20"/>
              </w:rPr>
              <w:t>1 236</w:t>
            </w:r>
          </w:p>
        </w:tc>
        <w:tc>
          <w:tcPr>
            <w:tcW w:w="851" w:type="dxa"/>
            <w:shd w:val="clear" w:color="auto" w:fill="F2F2F2"/>
            <w:vAlign w:val="center"/>
            <w:hideMark/>
          </w:tcPr>
          <w:p w:rsidR="00B620E1" w:rsidRDefault="00B620E1" w:rsidP="00A27236">
            <w:pPr>
              <w:spacing w:after="0" w:line="240" w:lineRule="auto"/>
              <w:jc w:val="right"/>
              <w:rPr>
                <w:rFonts w:ascii="Century" w:hAnsi="Century"/>
                <w:i/>
                <w:iCs/>
                <w:sz w:val="20"/>
                <w:szCs w:val="20"/>
              </w:rPr>
            </w:pPr>
            <w:r>
              <w:rPr>
                <w:rFonts w:ascii="Century" w:hAnsi="Century"/>
                <w:i/>
                <w:iCs/>
                <w:sz w:val="20"/>
                <w:szCs w:val="20"/>
              </w:rPr>
              <w:t>1,3</w:t>
            </w:r>
          </w:p>
        </w:tc>
        <w:tc>
          <w:tcPr>
            <w:tcW w:w="850" w:type="dxa"/>
            <w:shd w:val="clear" w:color="auto" w:fill="F2F2F2"/>
            <w:vAlign w:val="center"/>
            <w:hideMark/>
          </w:tcPr>
          <w:p w:rsidR="00B620E1" w:rsidRDefault="00B620E1" w:rsidP="00A27236">
            <w:pPr>
              <w:spacing w:after="0" w:line="240" w:lineRule="auto"/>
              <w:jc w:val="right"/>
              <w:rPr>
                <w:rFonts w:ascii="Century" w:hAnsi="Century"/>
                <w:sz w:val="20"/>
                <w:szCs w:val="20"/>
              </w:rPr>
            </w:pPr>
            <w:r>
              <w:rPr>
                <w:rFonts w:ascii="Century" w:hAnsi="Century"/>
                <w:sz w:val="20"/>
                <w:szCs w:val="20"/>
              </w:rPr>
              <w:t>1 270</w:t>
            </w:r>
          </w:p>
        </w:tc>
        <w:tc>
          <w:tcPr>
            <w:tcW w:w="851" w:type="dxa"/>
            <w:shd w:val="clear" w:color="auto" w:fill="F2F2F2"/>
            <w:vAlign w:val="center"/>
            <w:hideMark/>
          </w:tcPr>
          <w:p w:rsidR="00B620E1" w:rsidRDefault="00B620E1" w:rsidP="00A27236">
            <w:pPr>
              <w:spacing w:after="0" w:line="240" w:lineRule="auto"/>
              <w:jc w:val="right"/>
              <w:rPr>
                <w:rFonts w:ascii="Century" w:hAnsi="Century"/>
                <w:i/>
                <w:iCs/>
                <w:sz w:val="20"/>
                <w:szCs w:val="20"/>
              </w:rPr>
            </w:pPr>
            <w:r>
              <w:rPr>
                <w:rFonts w:ascii="Century" w:hAnsi="Century"/>
                <w:i/>
                <w:iCs/>
                <w:sz w:val="20"/>
                <w:szCs w:val="20"/>
              </w:rPr>
              <w:t>1,2</w:t>
            </w:r>
          </w:p>
        </w:tc>
        <w:tc>
          <w:tcPr>
            <w:tcW w:w="852" w:type="dxa"/>
            <w:shd w:val="clear" w:color="auto" w:fill="F2F2F2"/>
            <w:vAlign w:val="center"/>
            <w:hideMark/>
          </w:tcPr>
          <w:p w:rsidR="00B620E1" w:rsidRDefault="00B620E1" w:rsidP="00A27236">
            <w:pPr>
              <w:spacing w:after="0" w:line="240" w:lineRule="auto"/>
              <w:jc w:val="right"/>
              <w:rPr>
                <w:rFonts w:ascii="Century" w:hAnsi="Century"/>
                <w:sz w:val="20"/>
                <w:szCs w:val="20"/>
              </w:rPr>
            </w:pPr>
            <w:r>
              <w:rPr>
                <w:rFonts w:ascii="Century" w:hAnsi="Century"/>
                <w:sz w:val="20"/>
                <w:szCs w:val="20"/>
              </w:rPr>
              <w:t>1 352</w:t>
            </w:r>
          </w:p>
        </w:tc>
        <w:tc>
          <w:tcPr>
            <w:tcW w:w="850" w:type="dxa"/>
            <w:shd w:val="clear" w:color="auto" w:fill="F2F2F2"/>
            <w:vAlign w:val="center"/>
            <w:hideMark/>
          </w:tcPr>
          <w:p w:rsidR="00B620E1" w:rsidRDefault="00B620E1" w:rsidP="00A27236">
            <w:pPr>
              <w:spacing w:after="0" w:line="240" w:lineRule="auto"/>
              <w:jc w:val="right"/>
              <w:rPr>
                <w:rFonts w:ascii="Century" w:hAnsi="Century"/>
                <w:i/>
                <w:iCs/>
                <w:sz w:val="20"/>
                <w:szCs w:val="20"/>
              </w:rPr>
            </w:pPr>
            <w:r>
              <w:rPr>
                <w:rFonts w:ascii="Century" w:hAnsi="Century"/>
                <w:i/>
                <w:iCs/>
                <w:sz w:val="20"/>
                <w:szCs w:val="20"/>
              </w:rPr>
              <w:t>1,2</w:t>
            </w:r>
          </w:p>
        </w:tc>
      </w:tr>
      <w:tr w:rsidR="00B620E1" w:rsidRPr="002119E8" w:rsidTr="003C4A4E">
        <w:trPr>
          <w:trHeight w:val="340"/>
        </w:trPr>
        <w:tc>
          <w:tcPr>
            <w:tcW w:w="3622" w:type="dxa"/>
            <w:vAlign w:val="center"/>
            <w:hideMark/>
          </w:tcPr>
          <w:p w:rsidR="00B620E1" w:rsidRPr="002119E8" w:rsidRDefault="00B620E1" w:rsidP="003C4A4E">
            <w:pPr>
              <w:spacing w:after="0" w:line="240" w:lineRule="auto"/>
              <w:contextualSpacing/>
              <w:rPr>
                <w:rFonts w:ascii="Century" w:hAnsi="Century"/>
                <w:b/>
                <w:bCs/>
                <w:sz w:val="20"/>
                <w:szCs w:val="20"/>
              </w:rPr>
            </w:pPr>
            <w:r w:rsidRPr="002119E8">
              <w:rPr>
                <w:rFonts w:ascii="Century" w:hAnsi="Century"/>
                <w:bCs/>
                <w:sz w:val="20"/>
                <w:szCs w:val="20"/>
              </w:rPr>
              <w:t>Охрана окружающей среды</w:t>
            </w:r>
          </w:p>
        </w:tc>
        <w:tc>
          <w:tcPr>
            <w:tcW w:w="849" w:type="dxa"/>
            <w:vAlign w:val="center"/>
            <w:hideMark/>
          </w:tcPr>
          <w:p w:rsidR="00B620E1" w:rsidRDefault="00B620E1" w:rsidP="00B620E1">
            <w:pPr>
              <w:spacing w:after="0" w:line="240" w:lineRule="auto"/>
              <w:jc w:val="right"/>
              <w:rPr>
                <w:rFonts w:ascii="Century" w:hAnsi="Century"/>
                <w:sz w:val="20"/>
                <w:szCs w:val="20"/>
              </w:rPr>
            </w:pPr>
            <w:r>
              <w:rPr>
                <w:rFonts w:ascii="Century" w:hAnsi="Century"/>
                <w:sz w:val="20"/>
                <w:szCs w:val="20"/>
              </w:rPr>
              <w:t>115</w:t>
            </w:r>
          </w:p>
        </w:tc>
        <w:tc>
          <w:tcPr>
            <w:tcW w:w="850" w:type="dxa"/>
            <w:vAlign w:val="center"/>
            <w:hideMark/>
          </w:tcPr>
          <w:p w:rsidR="00B620E1" w:rsidRDefault="00B620E1" w:rsidP="00B620E1">
            <w:pPr>
              <w:spacing w:after="0" w:line="240" w:lineRule="auto"/>
              <w:jc w:val="right"/>
              <w:rPr>
                <w:rFonts w:ascii="Century" w:hAnsi="Century"/>
                <w:i/>
                <w:iCs/>
                <w:sz w:val="20"/>
                <w:szCs w:val="20"/>
              </w:rPr>
            </w:pPr>
            <w:r>
              <w:rPr>
                <w:rFonts w:ascii="Century" w:hAnsi="Century"/>
                <w:i/>
                <w:iCs/>
                <w:sz w:val="20"/>
                <w:szCs w:val="20"/>
              </w:rPr>
              <w:t>0,1</w:t>
            </w:r>
          </w:p>
        </w:tc>
        <w:tc>
          <w:tcPr>
            <w:tcW w:w="850" w:type="dxa"/>
            <w:vAlign w:val="center"/>
            <w:hideMark/>
          </w:tcPr>
          <w:p w:rsidR="00B620E1" w:rsidRDefault="00B620E1" w:rsidP="00A27236">
            <w:pPr>
              <w:spacing w:after="0" w:line="240" w:lineRule="auto"/>
              <w:jc w:val="right"/>
              <w:rPr>
                <w:rFonts w:ascii="Century" w:hAnsi="Century"/>
                <w:sz w:val="20"/>
                <w:szCs w:val="20"/>
              </w:rPr>
            </w:pPr>
            <w:r>
              <w:rPr>
                <w:rFonts w:ascii="Century" w:hAnsi="Century"/>
                <w:sz w:val="20"/>
                <w:szCs w:val="20"/>
              </w:rPr>
              <w:t>113</w:t>
            </w:r>
          </w:p>
        </w:tc>
        <w:tc>
          <w:tcPr>
            <w:tcW w:w="851" w:type="dxa"/>
            <w:vAlign w:val="center"/>
            <w:hideMark/>
          </w:tcPr>
          <w:p w:rsidR="00B620E1" w:rsidRDefault="00B620E1" w:rsidP="00A27236">
            <w:pPr>
              <w:spacing w:after="0" w:line="240" w:lineRule="auto"/>
              <w:jc w:val="right"/>
              <w:rPr>
                <w:rFonts w:ascii="Century" w:hAnsi="Century"/>
                <w:i/>
                <w:iCs/>
                <w:sz w:val="20"/>
                <w:szCs w:val="20"/>
              </w:rPr>
            </w:pPr>
            <w:r>
              <w:rPr>
                <w:rFonts w:ascii="Century" w:hAnsi="Century"/>
                <w:i/>
                <w:iCs/>
                <w:sz w:val="20"/>
                <w:szCs w:val="20"/>
              </w:rPr>
              <w:t>0,1</w:t>
            </w:r>
          </w:p>
        </w:tc>
        <w:tc>
          <w:tcPr>
            <w:tcW w:w="850" w:type="dxa"/>
            <w:vAlign w:val="center"/>
            <w:hideMark/>
          </w:tcPr>
          <w:p w:rsidR="00B620E1" w:rsidRDefault="00B620E1" w:rsidP="00A27236">
            <w:pPr>
              <w:spacing w:after="0" w:line="240" w:lineRule="auto"/>
              <w:jc w:val="right"/>
              <w:rPr>
                <w:rFonts w:ascii="Century" w:hAnsi="Century"/>
                <w:sz w:val="20"/>
                <w:szCs w:val="20"/>
              </w:rPr>
            </w:pPr>
            <w:r>
              <w:rPr>
                <w:rFonts w:ascii="Century" w:hAnsi="Century"/>
                <w:sz w:val="20"/>
                <w:szCs w:val="20"/>
              </w:rPr>
              <w:t>118</w:t>
            </w:r>
          </w:p>
        </w:tc>
        <w:tc>
          <w:tcPr>
            <w:tcW w:w="851" w:type="dxa"/>
            <w:vAlign w:val="center"/>
            <w:hideMark/>
          </w:tcPr>
          <w:p w:rsidR="00B620E1" w:rsidRDefault="00B620E1" w:rsidP="00A27236">
            <w:pPr>
              <w:spacing w:after="0" w:line="240" w:lineRule="auto"/>
              <w:jc w:val="right"/>
              <w:rPr>
                <w:rFonts w:ascii="Century" w:hAnsi="Century"/>
                <w:i/>
                <w:iCs/>
                <w:sz w:val="20"/>
                <w:szCs w:val="20"/>
              </w:rPr>
            </w:pPr>
            <w:r>
              <w:rPr>
                <w:rFonts w:ascii="Century" w:hAnsi="Century"/>
                <w:i/>
                <w:iCs/>
                <w:sz w:val="20"/>
                <w:szCs w:val="20"/>
              </w:rPr>
              <w:t>0,1</w:t>
            </w:r>
          </w:p>
        </w:tc>
        <w:tc>
          <w:tcPr>
            <w:tcW w:w="852" w:type="dxa"/>
            <w:vAlign w:val="center"/>
            <w:hideMark/>
          </w:tcPr>
          <w:p w:rsidR="00B620E1" w:rsidRDefault="00B620E1" w:rsidP="00A27236">
            <w:pPr>
              <w:spacing w:after="0" w:line="240" w:lineRule="auto"/>
              <w:jc w:val="right"/>
              <w:rPr>
                <w:rFonts w:ascii="Century" w:hAnsi="Century"/>
                <w:sz w:val="20"/>
                <w:szCs w:val="20"/>
              </w:rPr>
            </w:pPr>
            <w:r>
              <w:rPr>
                <w:rFonts w:ascii="Century" w:hAnsi="Century"/>
                <w:sz w:val="20"/>
                <w:szCs w:val="20"/>
              </w:rPr>
              <w:t>126</w:t>
            </w:r>
          </w:p>
        </w:tc>
        <w:tc>
          <w:tcPr>
            <w:tcW w:w="850" w:type="dxa"/>
            <w:vAlign w:val="center"/>
            <w:hideMark/>
          </w:tcPr>
          <w:p w:rsidR="00B620E1" w:rsidRDefault="00B620E1" w:rsidP="00A27236">
            <w:pPr>
              <w:spacing w:after="0" w:line="240" w:lineRule="auto"/>
              <w:jc w:val="right"/>
              <w:rPr>
                <w:rFonts w:ascii="Century" w:hAnsi="Century"/>
                <w:i/>
                <w:iCs/>
                <w:sz w:val="20"/>
                <w:szCs w:val="20"/>
              </w:rPr>
            </w:pPr>
            <w:r>
              <w:rPr>
                <w:rFonts w:ascii="Century" w:hAnsi="Century"/>
                <w:i/>
                <w:iCs/>
                <w:sz w:val="20"/>
                <w:szCs w:val="20"/>
              </w:rPr>
              <w:t>0,1</w:t>
            </w:r>
          </w:p>
        </w:tc>
      </w:tr>
      <w:tr w:rsidR="00B620E1" w:rsidRPr="002119E8" w:rsidTr="003C4A4E">
        <w:trPr>
          <w:trHeight w:val="340"/>
        </w:trPr>
        <w:tc>
          <w:tcPr>
            <w:tcW w:w="3622" w:type="dxa"/>
            <w:shd w:val="clear" w:color="auto" w:fill="F2F2F2"/>
            <w:vAlign w:val="center"/>
            <w:hideMark/>
          </w:tcPr>
          <w:p w:rsidR="00B620E1" w:rsidRPr="002119E8" w:rsidRDefault="00B620E1" w:rsidP="003C4A4E">
            <w:pPr>
              <w:spacing w:after="0" w:line="240" w:lineRule="auto"/>
              <w:contextualSpacing/>
              <w:jc w:val="both"/>
              <w:rPr>
                <w:rFonts w:ascii="Century" w:hAnsi="Century"/>
                <w:b/>
                <w:bCs/>
                <w:i/>
                <w:sz w:val="18"/>
                <w:szCs w:val="20"/>
              </w:rPr>
            </w:pPr>
            <w:r w:rsidRPr="002119E8">
              <w:rPr>
                <w:rFonts w:ascii="Century" w:hAnsi="Century"/>
                <w:bCs/>
                <w:sz w:val="20"/>
                <w:szCs w:val="20"/>
              </w:rPr>
              <w:t>Образование</w:t>
            </w:r>
          </w:p>
        </w:tc>
        <w:tc>
          <w:tcPr>
            <w:tcW w:w="849" w:type="dxa"/>
            <w:shd w:val="clear" w:color="auto" w:fill="F2F2F2"/>
            <w:vAlign w:val="center"/>
            <w:hideMark/>
          </w:tcPr>
          <w:p w:rsidR="00B620E1" w:rsidRDefault="00B620E1" w:rsidP="00B620E1">
            <w:pPr>
              <w:spacing w:after="0" w:line="240" w:lineRule="auto"/>
              <w:jc w:val="right"/>
              <w:rPr>
                <w:rFonts w:ascii="Century" w:hAnsi="Century"/>
                <w:sz w:val="20"/>
                <w:szCs w:val="20"/>
              </w:rPr>
            </w:pPr>
            <w:r>
              <w:rPr>
                <w:rFonts w:ascii="Century" w:hAnsi="Century"/>
                <w:sz w:val="20"/>
                <w:szCs w:val="20"/>
              </w:rPr>
              <w:t>3 299</w:t>
            </w:r>
          </w:p>
        </w:tc>
        <w:tc>
          <w:tcPr>
            <w:tcW w:w="850" w:type="dxa"/>
            <w:shd w:val="clear" w:color="auto" w:fill="F2F2F2"/>
            <w:vAlign w:val="center"/>
            <w:hideMark/>
          </w:tcPr>
          <w:p w:rsidR="00B620E1" w:rsidRDefault="00B620E1" w:rsidP="00B620E1">
            <w:pPr>
              <w:spacing w:after="0" w:line="240" w:lineRule="auto"/>
              <w:jc w:val="right"/>
              <w:rPr>
                <w:rFonts w:ascii="Century" w:hAnsi="Century"/>
                <w:i/>
                <w:iCs/>
                <w:sz w:val="20"/>
                <w:szCs w:val="20"/>
              </w:rPr>
            </w:pPr>
            <w:r>
              <w:rPr>
                <w:rFonts w:ascii="Century" w:hAnsi="Century"/>
                <w:i/>
                <w:iCs/>
                <w:sz w:val="20"/>
                <w:szCs w:val="20"/>
              </w:rPr>
              <w:t>3,6</w:t>
            </w:r>
          </w:p>
        </w:tc>
        <w:tc>
          <w:tcPr>
            <w:tcW w:w="850" w:type="dxa"/>
            <w:shd w:val="clear" w:color="auto" w:fill="F2F2F2"/>
            <w:vAlign w:val="center"/>
            <w:hideMark/>
          </w:tcPr>
          <w:p w:rsidR="00B620E1" w:rsidRDefault="00B620E1" w:rsidP="00A27236">
            <w:pPr>
              <w:spacing w:after="0" w:line="240" w:lineRule="auto"/>
              <w:jc w:val="right"/>
              <w:rPr>
                <w:rFonts w:ascii="Century" w:hAnsi="Century"/>
                <w:sz w:val="20"/>
                <w:szCs w:val="20"/>
              </w:rPr>
            </w:pPr>
            <w:r>
              <w:rPr>
                <w:rFonts w:ascii="Century" w:hAnsi="Century"/>
                <w:sz w:val="20"/>
                <w:szCs w:val="20"/>
              </w:rPr>
              <w:t>3 523</w:t>
            </w:r>
          </w:p>
        </w:tc>
        <w:tc>
          <w:tcPr>
            <w:tcW w:w="851" w:type="dxa"/>
            <w:shd w:val="clear" w:color="auto" w:fill="F2F2F2"/>
            <w:vAlign w:val="center"/>
            <w:hideMark/>
          </w:tcPr>
          <w:p w:rsidR="00B620E1" w:rsidRDefault="00B620E1" w:rsidP="00A27236">
            <w:pPr>
              <w:spacing w:after="0" w:line="240" w:lineRule="auto"/>
              <w:jc w:val="right"/>
              <w:rPr>
                <w:rFonts w:ascii="Century" w:hAnsi="Century"/>
                <w:i/>
                <w:iCs/>
                <w:sz w:val="20"/>
                <w:szCs w:val="20"/>
              </w:rPr>
            </w:pPr>
            <w:r>
              <w:rPr>
                <w:rFonts w:ascii="Century" w:hAnsi="Century"/>
                <w:i/>
                <w:iCs/>
                <w:sz w:val="20"/>
                <w:szCs w:val="20"/>
              </w:rPr>
              <w:t>3,6</w:t>
            </w:r>
          </w:p>
        </w:tc>
        <w:tc>
          <w:tcPr>
            <w:tcW w:w="850" w:type="dxa"/>
            <w:shd w:val="clear" w:color="auto" w:fill="F2F2F2"/>
            <w:vAlign w:val="center"/>
            <w:hideMark/>
          </w:tcPr>
          <w:p w:rsidR="00B620E1" w:rsidRDefault="00B620E1" w:rsidP="00A27236">
            <w:pPr>
              <w:spacing w:after="0" w:line="240" w:lineRule="auto"/>
              <w:jc w:val="right"/>
              <w:rPr>
                <w:rFonts w:ascii="Century" w:hAnsi="Century"/>
                <w:sz w:val="20"/>
                <w:szCs w:val="20"/>
              </w:rPr>
            </w:pPr>
            <w:r>
              <w:rPr>
                <w:rFonts w:ascii="Century" w:hAnsi="Century"/>
                <w:sz w:val="20"/>
                <w:szCs w:val="20"/>
              </w:rPr>
              <w:t>3 657</w:t>
            </w:r>
          </w:p>
        </w:tc>
        <w:tc>
          <w:tcPr>
            <w:tcW w:w="851" w:type="dxa"/>
            <w:shd w:val="clear" w:color="auto" w:fill="F2F2F2"/>
            <w:vAlign w:val="center"/>
            <w:hideMark/>
          </w:tcPr>
          <w:p w:rsidR="00B620E1" w:rsidRDefault="00B620E1" w:rsidP="00A27236">
            <w:pPr>
              <w:spacing w:after="0" w:line="240" w:lineRule="auto"/>
              <w:jc w:val="right"/>
              <w:rPr>
                <w:rFonts w:ascii="Century" w:hAnsi="Century"/>
                <w:i/>
                <w:iCs/>
                <w:sz w:val="20"/>
                <w:szCs w:val="20"/>
              </w:rPr>
            </w:pPr>
            <w:r>
              <w:rPr>
                <w:rFonts w:ascii="Century" w:hAnsi="Century"/>
                <w:i/>
                <w:iCs/>
                <w:sz w:val="20"/>
                <w:szCs w:val="20"/>
              </w:rPr>
              <w:t>3,5</w:t>
            </w:r>
          </w:p>
        </w:tc>
        <w:tc>
          <w:tcPr>
            <w:tcW w:w="852" w:type="dxa"/>
            <w:shd w:val="clear" w:color="auto" w:fill="F2F2F2"/>
            <w:vAlign w:val="center"/>
            <w:hideMark/>
          </w:tcPr>
          <w:p w:rsidR="00B620E1" w:rsidRDefault="00B620E1" w:rsidP="00A27236">
            <w:pPr>
              <w:spacing w:after="0" w:line="240" w:lineRule="auto"/>
              <w:jc w:val="right"/>
              <w:rPr>
                <w:rFonts w:ascii="Century" w:hAnsi="Century"/>
                <w:sz w:val="20"/>
                <w:szCs w:val="20"/>
              </w:rPr>
            </w:pPr>
            <w:r>
              <w:rPr>
                <w:rFonts w:ascii="Century" w:hAnsi="Century"/>
                <w:sz w:val="20"/>
                <w:szCs w:val="20"/>
              </w:rPr>
              <w:t>3 873</w:t>
            </w:r>
          </w:p>
        </w:tc>
        <w:tc>
          <w:tcPr>
            <w:tcW w:w="850" w:type="dxa"/>
            <w:shd w:val="clear" w:color="auto" w:fill="F2F2F2"/>
            <w:vAlign w:val="center"/>
            <w:hideMark/>
          </w:tcPr>
          <w:p w:rsidR="00B620E1" w:rsidRDefault="00B620E1" w:rsidP="00A27236">
            <w:pPr>
              <w:spacing w:after="0" w:line="240" w:lineRule="auto"/>
              <w:jc w:val="right"/>
              <w:rPr>
                <w:rFonts w:ascii="Century" w:hAnsi="Century"/>
                <w:i/>
                <w:iCs/>
                <w:sz w:val="20"/>
                <w:szCs w:val="20"/>
              </w:rPr>
            </w:pPr>
            <w:r>
              <w:rPr>
                <w:rFonts w:ascii="Century" w:hAnsi="Century"/>
                <w:i/>
                <w:iCs/>
                <w:sz w:val="20"/>
                <w:szCs w:val="20"/>
              </w:rPr>
              <w:t>3,5</w:t>
            </w:r>
          </w:p>
        </w:tc>
      </w:tr>
      <w:tr w:rsidR="00B620E1" w:rsidRPr="002119E8" w:rsidTr="003C4A4E">
        <w:trPr>
          <w:trHeight w:val="340"/>
        </w:trPr>
        <w:tc>
          <w:tcPr>
            <w:tcW w:w="3622" w:type="dxa"/>
            <w:vAlign w:val="center"/>
            <w:hideMark/>
          </w:tcPr>
          <w:p w:rsidR="00B620E1" w:rsidRPr="002119E8" w:rsidRDefault="00B620E1" w:rsidP="003C4A4E">
            <w:pPr>
              <w:spacing w:after="0" w:line="240" w:lineRule="auto"/>
              <w:contextualSpacing/>
              <w:jc w:val="both"/>
              <w:rPr>
                <w:rFonts w:ascii="Century" w:hAnsi="Century"/>
                <w:b/>
                <w:bCs/>
                <w:sz w:val="20"/>
                <w:szCs w:val="20"/>
              </w:rPr>
            </w:pPr>
            <w:r w:rsidRPr="002119E8">
              <w:rPr>
                <w:rFonts w:ascii="Century" w:hAnsi="Century"/>
                <w:bCs/>
                <w:sz w:val="20"/>
                <w:szCs w:val="20"/>
              </w:rPr>
              <w:t>Культура, кинематография</w:t>
            </w:r>
          </w:p>
        </w:tc>
        <w:tc>
          <w:tcPr>
            <w:tcW w:w="849" w:type="dxa"/>
            <w:vAlign w:val="center"/>
            <w:hideMark/>
          </w:tcPr>
          <w:p w:rsidR="00B620E1" w:rsidRDefault="00B620E1" w:rsidP="00B620E1">
            <w:pPr>
              <w:spacing w:after="0" w:line="240" w:lineRule="auto"/>
              <w:jc w:val="right"/>
              <w:rPr>
                <w:rFonts w:ascii="Century" w:hAnsi="Century"/>
                <w:sz w:val="20"/>
                <w:szCs w:val="20"/>
              </w:rPr>
            </w:pPr>
            <w:r>
              <w:rPr>
                <w:rFonts w:ascii="Century" w:hAnsi="Century"/>
                <w:sz w:val="20"/>
                <w:szCs w:val="20"/>
              </w:rPr>
              <w:t>483</w:t>
            </w:r>
          </w:p>
        </w:tc>
        <w:tc>
          <w:tcPr>
            <w:tcW w:w="850" w:type="dxa"/>
            <w:vAlign w:val="center"/>
            <w:hideMark/>
          </w:tcPr>
          <w:p w:rsidR="00B620E1" w:rsidRDefault="00B620E1" w:rsidP="00B620E1">
            <w:pPr>
              <w:spacing w:after="0" w:line="240" w:lineRule="auto"/>
              <w:jc w:val="right"/>
              <w:rPr>
                <w:rFonts w:ascii="Century" w:hAnsi="Century"/>
                <w:i/>
                <w:iCs/>
                <w:sz w:val="20"/>
                <w:szCs w:val="20"/>
              </w:rPr>
            </w:pPr>
            <w:r>
              <w:rPr>
                <w:rFonts w:ascii="Century" w:hAnsi="Century"/>
                <w:i/>
                <w:iCs/>
                <w:sz w:val="20"/>
                <w:szCs w:val="20"/>
              </w:rPr>
              <w:t>0,5</w:t>
            </w:r>
          </w:p>
        </w:tc>
        <w:tc>
          <w:tcPr>
            <w:tcW w:w="850" w:type="dxa"/>
            <w:vAlign w:val="center"/>
            <w:hideMark/>
          </w:tcPr>
          <w:p w:rsidR="00B620E1" w:rsidRDefault="00B620E1" w:rsidP="00A27236">
            <w:pPr>
              <w:spacing w:after="0" w:line="240" w:lineRule="auto"/>
              <w:jc w:val="right"/>
              <w:rPr>
                <w:rFonts w:ascii="Century" w:hAnsi="Century"/>
                <w:sz w:val="20"/>
                <w:szCs w:val="20"/>
              </w:rPr>
            </w:pPr>
            <w:r>
              <w:rPr>
                <w:rFonts w:ascii="Century" w:hAnsi="Century"/>
                <w:sz w:val="20"/>
                <w:szCs w:val="20"/>
              </w:rPr>
              <w:t>534</w:t>
            </w:r>
          </w:p>
        </w:tc>
        <w:tc>
          <w:tcPr>
            <w:tcW w:w="851" w:type="dxa"/>
            <w:vAlign w:val="center"/>
            <w:hideMark/>
          </w:tcPr>
          <w:p w:rsidR="00B620E1" w:rsidRDefault="00B620E1" w:rsidP="00A27236">
            <w:pPr>
              <w:spacing w:after="0" w:line="240" w:lineRule="auto"/>
              <w:jc w:val="right"/>
              <w:rPr>
                <w:rFonts w:ascii="Century" w:hAnsi="Century"/>
                <w:i/>
                <w:iCs/>
                <w:sz w:val="20"/>
                <w:szCs w:val="20"/>
              </w:rPr>
            </w:pPr>
            <w:r>
              <w:rPr>
                <w:rFonts w:ascii="Century" w:hAnsi="Century"/>
                <w:i/>
                <w:iCs/>
                <w:sz w:val="20"/>
                <w:szCs w:val="20"/>
              </w:rPr>
              <w:t>0,5</w:t>
            </w:r>
          </w:p>
        </w:tc>
        <w:tc>
          <w:tcPr>
            <w:tcW w:w="850" w:type="dxa"/>
            <w:vAlign w:val="center"/>
            <w:hideMark/>
          </w:tcPr>
          <w:p w:rsidR="00B620E1" w:rsidRDefault="00B620E1" w:rsidP="00A27236">
            <w:pPr>
              <w:spacing w:after="0" w:line="240" w:lineRule="auto"/>
              <w:jc w:val="right"/>
              <w:rPr>
                <w:rFonts w:ascii="Century" w:hAnsi="Century"/>
                <w:sz w:val="20"/>
                <w:szCs w:val="20"/>
              </w:rPr>
            </w:pPr>
            <w:r>
              <w:rPr>
                <w:rFonts w:ascii="Century" w:hAnsi="Century"/>
                <w:sz w:val="20"/>
                <w:szCs w:val="20"/>
              </w:rPr>
              <w:t>552</w:t>
            </w:r>
          </w:p>
        </w:tc>
        <w:tc>
          <w:tcPr>
            <w:tcW w:w="851" w:type="dxa"/>
            <w:vAlign w:val="center"/>
            <w:hideMark/>
          </w:tcPr>
          <w:p w:rsidR="00B620E1" w:rsidRDefault="00B620E1" w:rsidP="00A27236">
            <w:pPr>
              <w:spacing w:after="0" w:line="240" w:lineRule="auto"/>
              <w:jc w:val="right"/>
              <w:rPr>
                <w:rFonts w:ascii="Century" w:hAnsi="Century"/>
                <w:i/>
                <w:iCs/>
                <w:sz w:val="20"/>
                <w:szCs w:val="20"/>
              </w:rPr>
            </w:pPr>
            <w:r>
              <w:rPr>
                <w:rFonts w:ascii="Century" w:hAnsi="Century"/>
                <w:i/>
                <w:iCs/>
                <w:sz w:val="20"/>
                <w:szCs w:val="20"/>
              </w:rPr>
              <w:t>0,5</w:t>
            </w:r>
          </w:p>
        </w:tc>
        <w:tc>
          <w:tcPr>
            <w:tcW w:w="852" w:type="dxa"/>
            <w:vAlign w:val="center"/>
            <w:hideMark/>
          </w:tcPr>
          <w:p w:rsidR="00B620E1" w:rsidRDefault="00B620E1" w:rsidP="00A27236">
            <w:pPr>
              <w:spacing w:after="0" w:line="240" w:lineRule="auto"/>
              <w:jc w:val="right"/>
              <w:rPr>
                <w:rFonts w:ascii="Century" w:hAnsi="Century"/>
                <w:sz w:val="20"/>
                <w:szCs w:val="20"/>
              </w:rPr>
            </w:pPr>
            <w:r>
              <w:rPr>
                <w:rFonts w:ascii="Century" w:hAnsi="Century"/>
                <w:sz w:val="20"/>
                <w:szCs w:val="20"/>
              </w:rPr>
              <w:t>578</w:t>
            </w:r>
          </w:p>
        </w:tc>
        <w:tc>
          <w:tcPr>
            <w:tcW w:w="850" w:type="dxa"/>
            <w:vAlign w:val="center"/>
            <w:hideMark/>
          </w:tcPr>
          <w:p w:rsidR="00B620E1" w:rsidRDefault="00B620E1" w:rsidP="00A27236">
            <w:pPr>
              <w:spacing w:after="0" w:line="240" w:lineRule="auto"/>
              <w:jc w:val="right"/>
              <w:rPr>
                <w:rFonts w:ascii="Century" w:hAnsi="Century"/>
                <w:i/>
                <w:iCs/>
                <w:sz w:val="20"/>
                <w:szCs w:val="20"/>
              </w:rPr>
            </w:pPr>
            <w:r>
              <w:rPr>
                <w:rFonts w:ascii="Century" w:hAnsi="Century"/>
                <w:i/>
                <w:iCs/>
                <w:sz w:val="20"/>
                <w:szCs w:val="20"/>
              </w:rPr>
              <w:t>0,5</w:t>
            </w:r>
          </w:p>
        </w:tc>
      </w:tr>
      <w:tr w:rsidR="00B620E1" w:rsidRPr="002119E8" w:rsidTr="003C4A4E">
        <w:trPr>
          <w:trHeight w:val="340"/>
        </w:trPr>
        <w:tc>
          <w:tcPr>
            <w:tcW w:w="3622" w:type="dxa"/>
            <w:shd w:val="clear" w:color="auto" w:fill="F2F2F2"/>
            <w:vAlign w:val="center"/>
            <w:hideMark/>
          </w:tcPr>
          <w:p w:rsidR="00B620E1" w:rsidRPr="002119E8" w:rsidRDefault="00B620E1" w:rsidP="003C4A4E">
            <w:pPr>
              <w:spacing w:after="0" w:line="240" w:lineRule="auto"/>
              <w:contextualSpacing/>
              <w:rPr>
                <w:rFonts w:ascii="Century" w:hAnsi="Century"/>
                <w:b/>
                <w:bCs/>
                <w:sz w:val="18"/>
                <w:szCs w:val="20"/>
              </w:rPr>
            </w:pPr>
            <w:r w:rsidRPr="002119E8">
              <w:rPr>
                <w:rFonts w:ascii="Century" w:hAnsi="Century"/>
                <w:bCs/>
                <w:sz w:val="20"/>
                <w:szCs w:val="20"/>
              </w:rPr>
              <w:t>Здравоохранение</w:t>
            </w:r>
          </w:p>
        </w:tc>
        <w:tc>
          <w:tcPr>
            <w:tcW w:w="849" w:type="dxa"/>
            <w:shd w:val="clear" w:color="auto" w:fill="F2F2F2"/>
            <w:vAlign w:val="center"/>
            <w:hideMark/>
          </w:tcPr>
          <w:p w:rsidR="00B620E1" w:rsidRDefault="00B620E1" w:rsidP="00B620E1">
            <w:pPr>
              <w:spacing w:after="0" w:line="240" w:lineRule="auto"/>
              <w:jc w:val="right"/>
              <w:rPr>
                <w:rFonts w:ascii="Century" w:hAnsi="Century"/>
                <w:sz w:val="20"/>
                <w:szCs w:val="20"/>
              </w:rPr>
            </w:pPr>
            <w:r>
              <w:rPr>
                <w:rFonts w:ascii="Century" w:hAnsi="Century"/>
                <w:sz w:val="20"/>
                <w:szCs w:val="20"/>
              </w:rPr>
              <w:t>3 480</w:t>
            </w:r>
          </w:p>
        </w:tc>
        <w:tc>
          <w:tcPr>
            <w:tcW w:w="850" w:type="dxa"/>
            <w:shd w:val="clear" w:color="auto" w:fill="F2F2F2"/>
            <w:vAlign w:val="center"/>
            <w:hideMark/>
          </w:tcPr>
          <w:p w:rsidR="00B620E1" w:rsidRDefault="00B620E1" w:rsidP="00B620E1">
            <w:pPr>
              <w:spacing w:after="0" w:line="240" w:lineRule="auto"/>
              <w:jc w:val="right"/>
              <w:rPr>
                <w:rFonts w:ascii="Century" w:hAnsi="Century"/>
                <w:i/>
                <w:iCs/>
                <w:sz w:val="20"/>
                <w:szCs w:val="20"/>
              </w:rPr>
            </w:pPr>
            <w:r>
              <w:rPr>
                <w:rFonts w:ascii="Century" w:hAnsi="Century"/>
                <w:i/>
                <w:iCs/>
                <w:sz w:val="20"/>
                <w:szCs w:val="20"/>
              </w:rPr>
              <w:t>3,8</w:t>
            </w:r>
          </w:p>
        </w:tc>
        <w:tc>
          <w:tcPr>
            <w:tcW w:w="850" w:type="dxa"/>
            <w:shd w:val="clear" w:color="auto" w:fill="F2F2F2"/>
            <w:vAlign w:val="center"/>
            <w:hideMark/>
          </w:tcPr>
          <w:p w:rsidR="00B620E1" w:rsidRDefault="00B620E1" w:rsidP="00A27236">
            <w:pPr>
              <w:spacing w:after="0" w:line="240" w:lineRule="auto"/>
              <w:jc w:val="right"/>
              <w:rPr>
                <w:rFonts w:ascii="Century" w:hAnsi="Century"/>
                <w:sz w:val="20"/>
                <w:szCs w:val="20"/>
              </w:rPr>
            </w:pPr>
            <w:r>
              <w:rPr>
                <w:rFonts w:ascii="Century" w:hAnsi="Century"/>
                <w:sz w:val="20"/>
                <w:szCs w:val="20"/>
              </w:rPr>
              <w:t>3 952</w:t>
            </w:r>
          </w:p>
        </w:tc>
        <w:tc>
          <w:tcPr>
            <w:tcW w:w="851" w:type="dxa"/>
            <w:shd w:val="clear" w:color="auto" w:fill="F2F2F2"/>
            <w:vAlign w:val="center"/>
            <w:hideMark/>
          </w:tcPr>
          <w:p w:rsidR="00B620E1" w:rsidRDefault="00B620E1" w:rsidP="00A27236">
            <w:pPr>
              <w:spacing w:after="0" w:line="240" w:lineRule="auto"/>
              <w:jc w:val="right"/>
              <w:rPr>
                <w:rFonts w:ascii="Century" w:hAnsi="Century"/>
                <w:i/>
                <w:iCs/>
                <w:sz w:val="20"/>
                <w:szCs w:val="20"/>
              </w:rPr>
            </w:pPr>
            <w:r>
              <w:rPr>
                <w:rFonts w:ascii="Century" w:hAnsi="Century"/>
                <w:i/>
                <w:iCs/>
                <w:sz w:val="20"/>
                <w:szCs w:val="20"/>
              </w:rPr>
              <w:t>4,1</w:t>
            </w:r>
          </w:p>
        </w:tc>
        <w:tc>
          <w:tcPr>
            <w:tcW w:w="850" w:type="dxa"/>
            <w:shd w:val="clear" w:color="auto" w:fill="F2F2F2"/>
            <w:vAlign w:val="center"/>
            <w:hideMark/>
          </w:tcPr>
          <w:p w:rsidR="00B620E1" w:rsidRDefault="00B620E1" w:rsidP="00A27236">
            <w:pPr>
              <w:spacing w:after="0" w:line="240" w:lineRule="auto"/>
              <w:jc w:val="right"/>
              <w:rPr>
                <w:rFonts w:ascii="Century" w:hAnsi="Century"/>
                <w:sz w:val="20"/>
                <w:szCs w:val="20"/>
              </w:rPr>
            </w:pPr>
            <w:r>
              <w:rPr>
                <w:rFonts w:ascii="Century" w:hAnsi="Century"/>
                <w:sz w:val="20"/>
                <w:szCs w:val="20"/>
              </w:rPr>
              <w:t>4 047</w:t>
            </w:r>
          </w:p>
        </w:tc>
        <w:tc>
          <w:tcPr>
            <w:tcW w:w="851" w:type="dxa"/>
            <w:shd w:val="clear" w:color="auto" w:fill="F2F2F2"/>
            <w:vAlign w:val="center"/>
            <w:hideMark/>
          </w:tcPr>
          <w:p w:rsidR="00B620E1" w:rsidRDefault="00B620E1" w:rsidP="00A27236">
            <w:pPr>
              <w:spacing w:after="0" w:line="240" w:lineRule="auto"/>
              <w:jc w:val="right"/>
              <w:rPr>
                <w:rFonts w:ascii="Century" w:hAnsi="Century"/>
                <w:i/>
                <w:iCs/>
                <w:sz w:val="20"/>
                <w:szCs w:val="20"/>
              </w:rPr>
            </w:pPr>
            <w:r>
              <w:rPr>
                <w:rFonts w:ascii="Century" w:hAnsi="Century"/>
                <w:i/>
                <w:iCs/>
                <w:sz w:val="20"/>
                <w:szCs w:val="20"/>
              </w:rPr>
              <w:t>3,9</w:t>
            </w:r>
          </w:p>
        </w:tc>
        <w:tc>
          <w:tcPr>
            <w:tcW w:w="852" w:type="dxa"/>
            <w:shd w:val="clear" w:color="auto" w:fill="F2F2F2"/>
            <w:vAlign w:val="center"/>
            <w:hideMark/>
          </w:tcPr>
          <w:p w:rsidR="00B620E1" w:rsidRDefault="00B620E1" w:rsidP="00A27236">
            <w:pPr>
              <w:spacing w:after="0" w:line="240" w:lineRule="auto"/>
              <w:jc w:val="right"/>
              <w:rPr>
                <w:rFonts w:ascii="Century" w:hAnsi="Century"/>
                <w:sz w:val="20"/>
                <w:szCs w:val="20"/>
              </w:rPr>
            </w:pPr>
            <w:r>
              <w:rPr>
                <w:rFonts w:ascii="Century" w:hAnsi="Century"/>
                <w:sz w:val="20"/>
                <w:szCs w:val="20"/>
              </w:rPr>
              <w:t>4 164</w:t>
            </w:r>
          </w:p>
        </w:tc>
        <w:tc>
          <w:tcPr>
            <w:tcW w:w="850" w:type="dxa"/>
            <w:shd w:val="clear" w:color="auto" w:fill="F2F2F2"/>
            <w:vAlign w:val="center"/>
            <w:hideMark/>
          </w:tcPr>
          <w:p w:rsidR="00B620E1" w:rsidRDefault="00B620E1" w:rsidP="00A27236">
            <w:pPr>
              <w:spacing w:after="0" w:line="240" w:lineRule="auto"/>
              <w:jc w:val="right"/>
              <w:rPr>
                <w:rFonts w:ascii="Century" w:hAnsi="Century"/>
                <w:i/>
                <w:iCs/>
                <w:sz w:val="20"/>
                <w:szCs w:val="20"/>
              </w:rPr>
            </w:pPr>
            <w:r>
              <w:rPr>
                <w:rFonts w:ascii="Century" w:hAnsi="Century"/>
                <w:i/>
                <w:iCs/>
                <w:sz w:val="20"/>
                <w:szCs w:val="20"/>
              </w:rPr>
              <w:t>3,8</w:t>
            </w:r>
          </w:p>
        </w:tc>
      </w:tr>
      <w:tr w:rsidR="00B620E1" w:rsidRPr="002119E8" w:rsidTr="003C4A4E">
        <w:trPr>
          <w:trHeight w:val="340"/>
        </w:trPr>
        <w:tc>
          <w:tcPr>
            <w:tcW w:w="3622" w:type="dxa"/>
            <w:vAlign w:val="center"/>
            <w:hideMark/>
          </w:tcPr>
          <w:p w:rsidR="00B620E1" w:rsidRPr="002119E8" w:rsidRDefault="00B620E1" w:rsidP="003C4A4E">
            <w:pPr>
              <w:spacing w:after="0" w:line="240" w:lineRule="auto"/>
              <w:contextualSpacing/>
              <w:rPr>
                <w:rFonts w:ascii="Century" w:hAnsi="Century"/>
                <w:b/>
                <w:bCs/>
                <w:sz w:val="20"/>
                <w:szCs w:val="20"/>
              </w:rPr>
            </w:pPr>
            <w:r w:rsidRPr="002119E8">
              <w:rPr>
                <w:rFonts w:ascii="Century" w:hAnsi="Century"/>
                <w:bCs/>
                <w:sz w:val="20"/>
                <w:szCs w:val="20"/>
              </w:rPr>
              <w:t>Социальная политика</w:t>
            </w:r>
          </w:p>
        </w:tc>
        <w:tc>
          <w:tcPr>
            <w:tcW w:w="849" w:type="dxa"/>
            <w:vAlign w:val="center"/>
            <w:hideMark/>
          </w:tcPr>
          <w:p w:rsidR="00B620E1" w:rsidRDefault="00B620E1" w:rsidP="00B620E1">
            <w:pPr>
              <w:spacing w:after="0" w:line="240" w:lineRule="auto"/>
              <w:jc w:val="right"/>
              <w:rPr>
                <w:rFonts w:ascii="Century" w:hAnsi="Century"/>
                <w:sz w:val="20"/>
                <w:szCs w:val="20"/>
              </w:rPr>
            </w:pPr>
            <w:r>
              <w:rPr>
                <w:rFonts w:ascii="Century" w:hAnsi="Century"/>
                <w:sz w:val="20"/>
                <w:szCs w:val="20"/>
              </w:rPr>
              <w:t>11 550</w:t>
            </w:r>
          </w:p>
        </w:tc>
        <w:tc>
          <w:tcPr>
            <w:tcW w:w="850" w:type="dxa"/>
            <w:vAlign w:val="center"/>
            <w:hideMark/>
          </w:tcPr>
          <w:p w:rsidR="00B620E1" w:rsidRDefault="00B620E1" w:rsidP="00B620E1">
            <w:pPr>
              <w:spacing w:after="0" w:line="240" w:lineRule="auto"/>
              <w:jc w:val="right"/>
              <w:rPr>
                <w:rFonts w:ascii="Century" w:hAnsi="Century"/>
                <w:i/>
                <w:iCs/>
                <w:sz w:val="20"/>
                <w:szCs w:val="20"/>
              </w:rPr>
            </w:pPr>
            <w:r>
              <w:rPr>
                <w:rFonts w:ascii="Century" w:hAnsi="Century"/>
                <w:i/>
                <w:iCs/>
                <w:sz w:val="20"/>
                <w:szCs w:val="20"/>
              </w:rPr>
              <w:t>12,5</w:t>
            </w:r>
          </w:p>
        </w:tc>
        <w:tc>
          <w:tcPr>
            <w:tcW w:w="850" w:type="dxa"/>
            <w:vAlign w:val="center"/>
            <w:hideMark/>
          </w:tcPr>
          <w:p w:rsidR="00B620E1" w:rsidRDefault="00B620E1" w:rsidP="00A27236">
            <w:pPr>
              <w:spacing w:after="0" w:line="240" w:lineRule="auto"/>
              <w:jc w:val="right"/>
              <w:rPr>
                <w:rFonts w:ascii="Century" w:hAnsi="Century"/>
                <w:sz w:val="20"/>
                <w:szCs w:val="20"/>
              </w:rPr>
            </w:pPr>
            <w:r>
              <w:rPr>
                <w:rFonts w:ascii="Century" w:hAnsi="Century"/>
                <w:sz w:val="20"/>
                <w:szCs w:val="20"/>
              </w:rPr>
              <w:t>11 765</w:t>
            </w:r>
          </w:p>
        </w:tc>
        <w:tc>
          <w:tcPr>
            <w:tcW w:w="851" w:type="dxa"/>
            <w:vAlign w:val="center"/>
            <w:hideMark/>
          </w:tcPr>
          <w:p w:rsidR="00B620E1" w:rsidRDefault="00B620E1" w:rsidP="00A27236">
            <w:pPr>
              <w:spacing w:after="0" w:line="240" w:lineRule="auto"/>
              <w:jc w:val="right"/>
              <w:rPr>
                <w:rFonts w:ascii="Century" w:hAnsi="Century"/>
                <w:i/>
                <w:iCs/>
                <w:sz w:val="20"/>
                <w:szCs w:val="20"/>
              </w:rPr>
            </w:pPr>
            <w:r>
              <w:rPr>
                <w:rFonts w:ascii="Century" w:hAnsi="Century"/>
                <w:i/>
                <w:iCs/>
                <w:sz w:val="20"/>
                <w:szCs w:val="20"/>
              </w:rPr>
              <w:t>12,1</w:t>
            </w:r>
          </w:p>
        </w:tc>
        <w:tc>
          <w:tcPr>
            <w:tcW w:w="850" w:type="dxa"/>
            <w:vAlign w:val="center"/>
            <w:hideMark/>
          </w:tcPr>
          <w:p w:rsidR="00B620E1" w:rsidRDefault="00B620E1" w:rsidP="00A27236">
            <w:pPr>
              <w:spacing w:after="0" w:line="240" w:lineRule="auto"/>
              <w:jc w:val="right"/>
              <w:rPr>
                <w:rFonts w:ascii="Century" w:hAnsi="Century"/>
                <w:sz w:val="20"/>
                <w:szCs w:val="20"/>
              </w:rPr>
            </w:pPr>
            <w:r>
              <w:rPr>
                <w:rFonts w:ascii="Century" w:hAnsi="Century"/>
                <w:sz w:val="20"/>
                <w:szCs w:val="20"/>
              </w:rPr>
              <w:t>12 188</w:t>
            </w:r>
          </w:p>
        </w:tc>
        <w:tc>
          <w:tcPr>
            <w:tcW w:w="851" w:type="dxa"/>
            <w:vAlign w:val="center"/>
            <w:hideMark/>
          </w:tcPr>
          <w:p w:rsidR="00B620E1" w:rsidRDefault="00B620E1" w:rsidP="00A27236">
            <w:pPr>
              <w:spacing w:after="0" w:line="240" w:lineRule="auto"/>
              <w:jc w:val="right"/>
              <w:rPr>
                <w:rFonts w:ascii="Century" w:hAnsi="Century"/>
                <w:i/>
                <w:iCs/>
                <w:sz w:val="20"/>
                <w:szCs w:val="20"/>
              </w:rPr>
            </w:pPr>
            <w:r>
              <w:rPr>
                <w:rFonts w:ascii="Century" w:hAnsi="Century"/>
                <w:i/>
                <w:iCs/>
                <w:sz w:val="20"/>
                <w:szCs w:val="20"/>
              </w:rPr>
              <w:t>11,8</w:t>
            </w:r>
          </w:p>
        </w:tc>
        <w:tc>
          <w:tcPr>
            <w:tcW w:w="852" w:type="dxa"/>
            <w:vAlign w:val="center"/>
            <w:hideMark/>
          </w:tcPr>
          <w:p w:rsidR="00B620E1" w:rsidRDefault="00B620E1" w:rsidP="00A27236">
            <w:pPr>
              <w:spacing w:after="0" w:line="240" w:lineRule="auto"/>
              <w:jc w:val="right"/>
              <w:rPr>
                <w:rFonts w:ascii="Century" w:hAnsi="Century"/>
                <w:sz w:val="20"/>
                <w:szCs w:val="20"/>
              </w:rPr>
            </w:pPr>
            <w:r>
              <w:rPr>
                <w:rFonts w:ascii="Century" w:hAnsi="Century"/>
                <w:sz w:val="20"/>
                <w:szCs w:val="20"/>
              </w:rPr>
              <w:t>12 640</w:t>
            </w:r>
          </w:p>
        </w:tc>
        <w:tc>
          <w:tcPr>
            <w:tcW w:w="850" w:type="dxa"/>
            <w:vAlign w:val="center"/>
            <w:hideMark/>
          </w:tcPr>
          <w:p w:rsidR="00B620E1" w:rsidRDefault="00B620E1" w:rsidP="00A27236">
            <w:pPr>
              <w:spacing w:after="0" w:line="240" w:lineRule="auto"/>
              <w:jc w:val="right"/>
              <w:rPr>
                <w:rFonts w:ascii="Century" w:hAnsi="Century"/>
                <w:i/>
                <w:iCs/>
                <w:sz w:val="20"/>
                <w:szCs w:val="20"/>
              </w:rPr>
            </w:pPr>
            <w:r>
              <w:rPr>
                <w:rFonts w:ascii="Century" w:hAnsi="Century"/>
                <w:i/>
                <w:iCs/>
                <w:sz w:val="20"/>
                <w:szCs w:val="20"/>
              </w:rPr>
              <w:t>11,5</w:t>
            </w:r>
          </w:p>
        </w:tc>
      </w:tr>
      <w:tr w:rsidR="00B620E1" w:rsidRPr="002119E8" w:rsidTr="003C4A4E">
        <w:trPr>
          <w:trHeight w:val="340"/>
        </w:trPr>
        <w:tc>
          <w:tcPr>
            <w:tcW w:w="3622" w:type="dxa"/>
            <w:shd w:val="clear" w:color="auto" w:fill="F2F2F2"/>
            <w:vAlign w:val="center"/>
            <w:hideMark/>
          </w:tcPr>
          <w:p w:rsidR="00B620E1" w:rsidRPr="002119E8" w:rsidRDefault="00B620E1" w:rsidP="003C4A4E">
            <w:pPr>
              <w:spacing w:after="0" w:line="240" w:lineRule="auto"/>
              <w:contextualSpacing/>
              <w:jc w:val="both"/>
              <w:rPr>
                <w:rFonts w:ascii="Century" w:hAnsi="Century"/>
                <w:b/>
                <w:bCs/>
                <w:sz w:val="18"/>
                <w:szCs w:val="20"/>
              </w:rPr>
            </w:pPr>
            <w:r w:rsidRPr="002119E8">
              <w:rPr>
                <w:rFonts w:ascii="Century" w:hAnsi="Century"/>
                <w:bCs/>
                <w:sz w:val="20"/>
                <w:szCs w:val="20"/>
              </w:rPr>
              <w:t>Физическая культура и спорт</w:t>
            </w:r>
          </w:p>
        </w:tc>
        <w:tc>
          <w:tcPr>
            <w:tcW w:w="849" w:type="dxa"/>
            <w:shd w:val="clear" w:color="auto" w:fill="F2F2F2"/>
            <w:vAlign w:val="center"/>
            <w:hideMark/>
          </w:tcPr>
          <w:p w:rsidR="00B620E1" w:rsidRDefault="00B620E1" w:rsidP="00B620E1">
            <w:pPr>
              <w:spacing w:after="0" w:line="240" w:lineRule="auto"/>
              <w:jc w:val="right"/>
              <w:rPr>
                <w:rFonts w:ascii="Century" w:hAnsi="Century"/>
                <w:sz w:val="20"/>
                <w:szCs w:val="20"/>
              </w:rPr>
            </w:pPr>
            <w:r>
              <w:rPr>
                <w:rFonts w:ascii="Century" w:hAnsi="Century"/>
                <w:sz w:val="20"/>
                <w:szCs w:val="20"/>
              </w:rPr>
              <w:t>311</w:t>
            </w:r>
          </w:p>
        </w:tc>
        <w:tc>
          <w:tcPr>
            <w:tcW w:w="850" w:type="dxa"/>
            <w:shd w:val="clear" w:color="auto" w:fill="F2F2F2"/>
            <w:vAlign w:val="center"/>
            <w:hideMark/>
          </w:tcPr>
          <w:p w:rsidR="00B620E1" w:rsidRDefault="00B620E1" w:rsidP="00B620E1">
            <w:pPr>
              <w:spacing w:after="0" w:line="240" w:lineRule="auto"/>
              <w:jc w:val="right"/>
              <w:rPr>
                <w:rFonts w:ascii="Century" w:hAnsi="Century"/>
                <w:i/>
                <w:iCs/>
                <w:sz w:val="20"/>
                <w:szCs w:val="20"/>
              </w:rPr>
            </w:pPr>
            <w:r>
              <w:rPr>
                <w:rFonts w:ascii="Century" w:hAnsi="Century"/>
                <w:i/>
                <w:iCs/>
                <w:sz w:val="20"/>
                <w:szCs w:val="20"/>
              </w:rPr>
              <w:t>0,3</w:t>
            </w:r>
          </w:p>
        </w:tc>
        <w:tc>
          <w:tcPr>
            <w:tcW w:w="850" w:type="dxa"/>
            <w:shd w:val="clear" w:color="auto" w:fill="F2F2F2"/>
            <w:vAlign w:val="center"/>
            <w:hideMark/>
          </w:tcPr>
          <w:p w:rsidR="00B620E1" w:rsidRDefault="00B620E1" w:rsidP="00A27236">
            <w:pPr>
              <w:spacing w:after="0" w:line="240" w:lineRule="auto"/>
              <w:jc w:val="right"/>
              <w:rPr>
                <w:rFonts w:ascii="Century" w:hAnsi="Century"/>
                <w:sz w:val="20"/>
                <w:szCs w:val="20"/>
              </w:rPr>
            </w:pPr>
            <w:r>
              <w:rPr>
                <w:rFonts w:ascii="Century" w:hAnsi="Century"/>
                <w:sz w:val="20"/>
                <w:szCs w:val="20"/>
              </w:rPr>
              <w:t>288</w:t>
            </w:r>
          </w:p>
        </w:tc>
        <w:tc>
          <w:tcPr>
            <w:tcW w:w="851" w:type="dxa"/>
            <w:shd w:val="clear" w:color="auto" w:fill="F2F2F2"/>
            <w:vAlign w:val="center"/>
            <w:hideMark/>
          </w:tcPr>
          <w:p w:rsidR="00B620E1" w:rsidRDefault="00B620E1" w:rsidP="00A27236">
            <w:pPr>
              <w:spacing w:after="0" w:line="240" w:lineRule="auto"/>
              <w:jc w:val="right"/>
              <w:rPr>
                <w:rFonts w:ascii="Century" w:hAnsi="Century"/>
                <w:i/>
                <w:iCs/>
                <w:sz w:val="20"/>
                <w:szCs w:val="20"/>
              </w:rPr>
            </w:pPr>
            <w:r>
              <w:rPr>
                <w:rFonts w:ascii="Century" w:hAnsi="Century"/>
                <w:i/>
                <w:iCs/>
                <w:sz w:val="20"/>
                <w:szCs w:val="20"/>
              </w:rPr>
              <w:t>0,3</w:t>
            </w:r>
          </w:p>
        </w:tc>
        <w:tc>
          <w:tcPr>
            <w:tcW w:w="850" w:type="dxa"/>
            <w:shd w:val="clear" w:color="auto" w:fill="F2F2F2"/>
            <w:vAlign w:val="center"/>
            <w:hideMark/>
          </w:tcPr>
          <w:p w:rsidR="00B620E1" w:rsidRDefault="00B620E1" w:rsidP="00A27236">
            <w:pPr>
              <w:spacing w:after="0" w:line="240" w:lineRule="auto"/>
              <w:jc w:val="right"/>
              <w:rPr>
                <w:rFonts w:ascii="Century" w:hAnsi="Century"/>
                <w:sz w:val="20"/>
                <w:szCs w:val="20"/>
              </w:rPr>
            </w:pPr>
            <w:r>
              <w:rPr>
                <w:rFonts w:ascii="Century" w:hAnsi="Century"/>
                <w:sz w:val="20"/>
                <w:szCs w:val="20"/>
              </w:rPr>
              <w:t>275</w:t>
            </w:r>
          </w:p>
        </w:tc>
        <w:tc>
          <w:tcPr>
            <w:tcW w:w="851" w:type="dxa"/>
            <w:shd w:val="clear" w:color="auto" w:fill="F2F2F2"/>
            <w:vAlign w:val="center"/>
            <w:hideMark/>
          </w:tcPr>
          <w:p w:rsidR="00B620E1" w:rsidRDefault="00B620E1" w:rsidP="00A27236">
            <w:pPr>
              <w:spacing w:after="0" w:line="240" w:lineRule="auto"/>
              <w:jc w:val="right"/>
              <w:rPr>
                <w:rFonts w:ascii="Century" w:hAnsi="Century"/>
                <w:i/>
                <w:iCs/>
                <w:sz w:val="20"/>
                <w:szCs w:val="20"/>
              </w:rPr>
            </w:pPr>
            <w:r>
              <w:rPr>
                <w:rFonts w:ascii="Century" w:hAnsi="Century"/>
                <w:i/>
                <w:iCs/>
                <w:sz w:val="20"/>
                <w:szCs w:val="20"/>
              </w:rPr>
              <w:t>0,3</w:t>
            </w:r>
          </w:p>
        </w:tc>
        <w:tc>
          <w:tcPr>
            <w:tcW w:w="852" w:type="dxa"/>
            <w:shd w:val="clear" w:color="auto" w:fill="F2F2F2"/>
            <w:vAlign w:val="center"/>
            <w:hideMark/>
          </w:tcPr>
          <w:p w:rsidR="00B620E1" w:rsidRDefault="00B620E1" w:rsidP="00A27236">
            <w:pPr>
              <w:spacing w:after="0" w:line="240" w:lineRule="auto"/>
              <w:jc w:val="right"/>
              <w:rPr>
                <w:rFonts w:ascii="Century" w:hAnsi="Century"/>
                <w:sz w:val="20"/>
                <w:szCs w:val="20"/>
              </w:rPr>
            </w:pPr>
            <w:r>
              <w:rPr>
                <w:rFonts w:ascii="Century" w:hAnsi="Century"/>
                <w:sz w:val="20"/>
                <w:szCs w:val="20"/>
              </w:rPr>
              <w:t>291</w:t>
            </w:r>
          </w:p>
        </w:tc>
        <w:tc>
          <w:tcPr>
            <w:tcW w:w="850" w:type="dxa"/>
            <w:shd w:val="clear" w:color="auto" w:fill="F2F2F2"/>
            <w:vAlign w:val="center"/>
            <w:hideMark/>
          </w:tcPr>
          <w:p w:rsidR="00B620E1" w:rsidRDefault="00B620E1" w:rsidP="00A27236">
            <w:pPr>
              <w:spacing w:after="0" w:line="240" w:lineRule="auto"/>
              <w:jc w:val="right"/>
              <w:rPr>
                <w:rFonts w:ascii="Century" w:hAnsi="Century"/>
                <w:i/>
                <w:iCs/>
                <w:sz w:val="20"/>
                <w:szCs w:val="20"/>
              </w:rPr>
            </w:pPr>
            <w:r>
              <w:rPr>
                <w:rFonts w:ascii="Century" w:hAnsi="Century"/>
                <w:i/>
                <w:iCs/>
                <w:sz w:val="20"/>
                <w:szCs w:val="20"/>
              </w:rPr>
              <w:t>0,3</w:t>
            </w:r>
          </w:p>
        </w:tc>
      </w:tr>
      <w:tr w:rsidR="00B620E1" w:rsidRPr="002119E8" w:rsidTr="003C4A4E">
        <w:trPr>
          <w:trHeight w:val="340"/>
        </w:trPr>
        <w:tc>
          <w:tcPr>
            <w:tcW w:w="3622" w:type="dxa"/>
            <w:vAlign w:val="center"/>
            <w:hideMark/>
          </w:tcPr>
          <w:p w:rsidR="00B620E1" w:rsidRPr="002119E8" w:rsidRDefault="00B620E1" w:rsidP="003C4A4E">
            <w:pPr>
              <w:spacing w:after="0" w:line="240" w:lineRule="auto"/>
              <w:contextualSpacing/>
              <w:rPr>
                <w:rFonts w:ascii="Century" w:hAnsi="Century"/>
                <w:b/>
                <w:bCs/>
                <w:sz w:val="20"/>
                <w:szCs w:val="20"/>
              </w:rPr>
            </w:pPr>
            <w:r w:rsidRPr="002119E8">
              <w:rPr>
                <w:rFonts w:ascii="Century" w:hAnsi="Century"/>
                <w:bCs/>
                <w:sz w:val="20"/>
                <w:szCs w:val="20"/>
              </w:rPr>
              <w:t>Средства массовой информации</w:t>
            </w:r>
          </w:p>
        </w:tc>
        <w:tc>
          <w:tcPr>
            <w:tcW w:w="849" w:type="dxa"/>
            <w:vAlign w:val="center"/>
            <w:hideMark/>
          </w:tcPr>
          <w:p w:rsidR="00B620E1" w:rsidRDefault="00B620E1" w:rsidP="00B620E1">
            <w:pPr>
              <w:spacing w:after="0" w:line="240" w:lineRule="auto"/>
              <w:jc w:val="right"/>
              <w:rPr>
                <w:rFonts w:ascii="Century" w:hAnsi="Century"/>
                <w:sz w:val="20"/>
                <w:szCs w:val="20"/>
              </w:rPr>
            </w:pPr>
            <w:r>
              <w:rPr>
                <w:rFonts w:ascii="Century" w:hAnsi="Century"/>
                <w:sz w:val="20"/>
                <w:szCs w:val="20"/>
              </w:rPr>
              <w:t>127</w:t>
            </w:r>
          </w:p>
        </w:tc>
        <w:tc>
          <w:tcPr>
            <w:tcW w:w="850" w:type="dxa"/>
            <w:vAlign w:val="center"/>
            <w:hideMark/>
          </w:tcPr>
          <w:p w:rsidR="00B620E1" w:rsidRDefault="00B620E1" w:rsidP="00B620E1">
            <w:pPr>
              <w:spacing w:after="0" w:line="240" w:lineRule="auto"/>
              <w:jc w:val="right"/>
              <w:rPr>
                <w:rFonts w:ascii="Century" w:hAnsi="Century"/>
                <w:i/>
                <w:iCs/>
                <w:sz w:val="20"/>
                <w:szCs w:val="20"/>
              </w:rPr>
            </w:pPr>
            <w:r>
              <w:rPr>
                <w:rFonts w:ascii="Century" w:hAnsi="Century"/>
                <w:i/>
                <w:iCs/>
                <w:sz w:val="20"/>
                <w:szCs w:val="20"/>
              </w:rPr>
              <w:t>0,1</w:t>
            </w:r>
          </w:p>
        </w:tc>
        <w:tc>
          <w:tcPr>
            <w:tcW w:w="850" w:type="dxa"/>
            <w:vAlign w:val="center"/>
            <w:hideMark/>
          </w:tcPr>
          <w:p w:rsidR="00B620E1" w:rsidRDefault="00B620E1" w:rsidP="00A27236">
            <w:pPr>
              <w:spacing w:after="0" w:line="240" w:lineRule="auto"/>
              <w:jc w:val="right"/>
              <w:rPr>
                <w:rFonts w:ascii="Century" w:hAnsi="Century"/>
                <w:sz w:val="20"/>
                <w:szCs w:val="20"/>
              </w:rPr>
            </w:pPr>
            <w:r>
              <w:rPr>
                <w:rFonts w:ascii="Century" w:hAnsi="Century"/>
                <w:sz w:val="20"/>
                <w:szCs w:val="20"/>
              </w:rPr>
              <w:t>126</w:t>
            </w:r>
          </w:p>
        </w:tc>
        <w:tc>
          <w:tcPr>
            <w:tcW w:w="851" w:type="dxa"/>
            <w:vAlign w:val="center"/>
            <w:hideMark/>
          </w:tcPr>
          <w:p w:rsidR="00B620E1" w:rsidRDefault="00B620E1" w:rsidP="00A27236">
            <w:pPr>
              <w:spacing w:after="0" w:line="240" w:lineRule="auto"/>
              <w:jc w:val="right"/>
              <w:rPr>
                <w:rFonts w:ascii="Century" w:hAnsi="Century"/>
                <w:i/>
                <w:iCs/>
                <w:sz w:val="20"/>
                <w:szCs w:val="20"/>
              </w:rPr>
            </w:pPr>
            <w:r>
              <w:rPr>
                <w:rFonts w:ascii="Century" w:hAnsi="Century"/>
                <w:i/>
                <w:iCs/>
                <w:sz w:val="20"/>
                <w:szCs w:val="20"/>
              </w:rPr>
              <w:t>0,1</w:t>
            </w:r>
          </w:p>
        </w:tc>
        <w:tc>
          <w:tcPr>
            <w:tcW w:w="850" w:type="dxa"/>
            <w:vAlign w:val="center"/>
            <w:hideMark/>
          </w:tcPr>
          <w:p w:rsidR="00B620E1" w:rsidRDefault="00B620E1" w:rsidP="00A27236">
            <w:pPr>
              <w:spacing w:after="0" w:line="240" w:lineRule="auto"/>
              <w:jc w:val="right"/>
              <w:rPr>
                <w:rFonts w:ascii="Century" w:hAnsi="Century"/>
                <w:sz w:val="20"/>
                <w:szCs w:val="20"/>
              </w:rPr>
            </w:pPr>
            <w:r>
              <w:rPr>
                <w:rFonts w:ascii="Century" w:hAnsi="Century"/>
                <w:sz w:val="20"/>
                <w:szCs w:val="20"/>
              </w:rPr>
              <w:t>111</w:t>
            </w:r>
          </w:p>
        </w:tc>
        <w:tc>
          <w:tcPr>
            <w:tcW w:w="851" w:type="dxa"/>
            <w:vAlign w:val="center"/>
            <w:hideMark/>
          </w:tcPr>
          <w:p w:rsidR="00B620E1" w:rsidRDefault="00B620E1" w:rsidP="00A27236">
            <w:pPr>
              <w:spacing w:after="0" w:line="240" w:lineRule="auto"/>
              <w:jc w:val="right"/>
              <w:rPr>
                <w:rFonts w:ascii="Century" w:hAnsi="Century"/>
                <w:i/>
                <w:iCs/>
                <w:sz w:val="20"/>
                <w:szCs w:val="20"/>
              </w:rPr>
            </w:pPr>
            <w:r>
              <w:rPr>
                <w:rFonts w:ascii="Century" w:hAnsi="Century"/>
                <w:i/>
                <w:iCs/>
                <w:sz w:val="20"/>
                <w:szCs w:val="20"/>
              </w:rPr>
              <w:t>0,1</w:t>
            </w:r>
          </w:p>
        </w:tc>
        <w:tc>
          <w:tcPr>
            <w:tcW w:w="852" w:type="dxa"/>
            <w:vAlign w:val="center"/>
            <w:hideMark/>
          </w:tcPr>
          <w:p w:rsidR="00B620E1" w:rsidRDefault="00B620E1" w:rsidP="00A27236">
            <w:pPr>
              <w:spacing w:after="0" w:line="240" w:lineRule="auto"/>
              <w:jc w:val="right"/>
              <w:rPr>
                <w:rFonts w:ascii="Century" w:hAnsi="Century"/>
                <w:sz w:val="20"/>
                <w:szCs w:val="20"/>
              </w:rPr>
            </w:pPr>
            <w:r>
              <w:rPr>
                <w:rFonts w:ascii="Century" w:hAnsi="Century"/>
                <w:sz w:val="20"/>
                <w:szCs w:val="20"/>
              </w:rPr>
              <w:t>111</w:t>
            </w:r>
          </w:p>
        </w:tc>
        <w:tc>
          <w:tcPr>
            <w:tcW w:w="850" w:type="dxa"/>
            <w:vAlign w:val="center"/>
            <w:hideMark/>
          </w:tcPr>
          <w:p w:rsidR="00B620E1" w:rsidRDefault="00B620E1" w:rsidP="00A27236">
            <w:pPr>
              <w:spacing w:after="0" w:line="240" w:lineRule="auto"/>
              <w:jc w:val="right"/>
              <w:rPr>
                <w:rFonts w:ascii="Century" w:hAnsi="Century"/>
                <w:i/>
                <w:iCs/>
                <w:sz w:val="20"/>
                <w:szCs w:val="20"/>
              </w:rPr>
            </w:pPr>
            <w:r>
              <w:rPr>
                <w:rFonts w:ascii="Century" w:hAnsi="Century"/>
                <w:i/>
                <w:iCs/>
                <w:sz w:val="20"/>
                <w:szCs w:val="20"/>
              </w:rPr>
              <w:t>0,1</w:t>
            </w:r>
          </w:p>
        </w:tc>
      </w:tr>
      <w:tr w:rsidR="00B620E1" w:rsidRPr="002119E8" w:rsidTr="003C4A4E">
        <w:trPr>
          <w:trHeight w:val="198"/>
        </w:trPr>
        <w:tc>
          <w:tcPr>
            <w:tcW w:w="3622" w:type="dxa"/>
            <w:shd w:val="clear" w:color="auto" w:fill="F2F2F2"/>
            <w:vAlign w:val="center"/>
            <w:hideMark/>
          </w:tcPr>
          <w:p w:rsidR="00B620E1" w:rsidRPr="002119E8" w:rsidRDefault="00B620E1" w:rsidP="003C4A4E">
            <w:pPr>
              <w:spacing w:after="0" w:line="240" w:lineRule="auto"/>
              <w:contextualSpacing/>
              <w:rPr>
                <w:rFonts w:ascii="Century" w:hAnsi="Century"/>
                <w:b/>
                <w:bCs/>
                <w:sz w:val="20"/>
                <w:szCs w:val="20"/>
              </w:rPr>
            </w:pPr>
            <w:r w:rsidRPr="002119E8">
              <w:rPr>
                <w:rFonts w:ascii="Century" w:hAnsi="Century"/>
                <w:bCs/>
                <w:sz w:val="20"/>
                <w:szCs w:val="20"/>
              </w:rPr>
              <w:t>Обслуживание государственного и муниципального долга</w:t>
            </w:r>
          </w:p>
        </w:tc>
        <w:tc>
          <w:tcPr>
            <w:tcW w:w="849" w:type="dxa"/>
            <w:shd w:val="clear" w:color="auto" w:fill="F2F2F2"/>
            <w:vAlign w:val="center"/>
            <w:hideMark/>
          </w:tcPr>
          <w:p w:rsidR="00B620E1" w:rsidRDefault="00B620E1" w:rsidP="00B620E1">
            <w:pPr>
              <w:spacing w:after="0" w:line="240" w:lineRule="auto"/>
              <w:jc w:val="right"/>
              <w:rPr>
                <w:rFonts w:ascii="Century" w:hAnsi="Century"/>
                <w:sz w:val="20"/>
                <w:szCs w:val="20"/>
              </w:rPr>
            </w:pPr>
            <w:r>
              <w:rPr>
                <w:rFonts w:ascii="Century" w:hAnsi="Century"/>
                <w:sz w:val="20"/>
                <w:szCs w:val="20"/>
              </w:rPr>
              <w:t>896</w:t>
            </w:r>
          </w:p>
        </w:tc>
        <w:tc>
          <w:tcPr>
            <w:tcW w:w="850" w:type="dxa"/>
            <w:shd w:val="clear" w:color="auto" w:fill="F2F2F2"/>
            <w:vAlign w:val="center"/>
            <w:hideMark/>
          </w:tcPr>
          <w:p w:rsidR="00B620E1" w:rsidRDefault="00B620E1" w:rsidP="00B620E1">
            <w:pPr>
              <w:spacing w:after="0" w:line="240" w:lineRule="auto"/>
              <w:jc w:val="right"/>
              <w:rPr>
                <w:rFonts w:ascii="Century" w:hAnsi="Century"/>
                <w:i/>
                <w:iCs/>
                <w:sz w:val="20"/>
                <w:szCs w:val="20"/>
              </w:rPr>
            </w:pPr>
            <w:r>
              <w:rPr>
                <w:rFonts w:ascii="Century" w:hAnsi="Century"/>
                <w:i/>
                <w:iCs/>
                <w:sz w:val="20"/>
                <w:szCs w:val="20"/>
              </w:rPr>
              <w:t>1,0</w:t>
            </w:r>
          </w:p>
        </w:tc>
        <w:tc>
          <w:tcPr>
            <w:tcW w:w="850" w:type="dxa"/>
            <w:shd w:val="clear" w:color="auto" w:fill="F2F2F2"/>
            <w:vAlign w:val="center"/>
            <w:hideMark/>
          </w:tcPr>
          <w:p w:rsidR="00B620E1" w:rsidRDefault="00B620E1" w:rsidP="00A27236">
            <w:pPr>
              <w:spacing w:after="0" w:line="240" w:lineRule="auto"/>
              <w:jc w:val="right"/>
              <w:rPr>
                <w:rFonts w:ascii="Century" w:hAnsi="Century"/>
                <w:sz w:val="20"/>
                <w:szCs w:val="20"/>
              </w:rPr>
            </w:pPr>
            <w:r>
              <w:rPr>
                <w:rFonts w:ascii="Century" w:hAnsi="Century"/>
                <w:sz w:val="20"/>
                <w:szCs w:val="20"/>
              </w:rPr>
              <w:t>999</w:t>
            </w:r>
          </w:p>
        </w:tc>
        <w:tc>
          <w:tcPr>
            <w:tcW w:w="851" w:type="dxa"/>
            <w:shd w:val="clear" w:color="auto" w:fill="F2F2F2"/>
            <w:vAlign w:val="center"/>
            <w:hideMark/>
          </w:tcPr>
          <w:p w:rsidR="00B620E1" w:rsidRDefault="00B620E1" w:rsidP="00A27236">
            <w:pPr>
              <w:spacing w:after="0" w:line="240" w:lineRule="auto"/>
              <w:jc w:val="right"/>
              <w:rPr>
                <w:rFonts w:ascii="Century" w:hAnsi="Century"/>
                <w:i/>
                <w:iCs/>
                <w:sz w:val="20"/>
                <w:szCs w:val="20"/>
              </w:rPr>
            </w:pPr>
            <w:r>
              <w:rPr>
                <w:rFonts w:ascii="Century" w:hAnsi="Century"/>
                <w:i/>
                <w:iCs/>
                <w:sz w:val="20"/>
                <w:szCs w:val="20"/>
              </w:rPr>
              <w:t>1,0</w:t>
            </w:r>
          </w:p>
        </w:tc>
        <w:tc>
          <w:tcPr>
            <w:tcW w:w="850" w:type="dxa"/>
            <w:shd w:val="clear" w:color="auto" w:fill="F2F2F2"/>
            <w:vAlign w:val="center"/>
            <w:hideMark/>
          </w:tcPr>
          <w:p w:rsidR="00B620E1" w:rsidRDefault="00B620E1" w:rsidP="00A27236">
            <w:pPr>
              <w:spacing w:after="0" w:line="240" w:lineRule="auto"/>
              <w:jc w:val="right"/>
              <w:rPr>
                <w:rFonts w:ascii="Century" w:hAnsi="Century"/>
                <w:sz w:val="20"/>
                <w:szCs w:val="20"/>
              </w:rPr>
            </w:pPr>
            <w:r>
              <w:rPr>
                <w:rFonts w:ascii="Century" w:hAnsi="Century"/>
                <w:sz w:val="20"/>
                <w:szCs w:val="20"/>
              </w:rPr>
              <w:t>1 001</w:t>
            </w:r>
          </w:p>
        </w:tc>
        <w:tc>
          <w:tcPr>
            <w:tcW w:w="851" w:type="dxa"/>
            <w:shd w:val="clear" w:color="auto" w:fill="F2F2F2"/>
            <w:vAlign w:val="center"/>
            <w:hideMark/>
          </w:tcPr>
          <w:p w:rsidR="00B620E1" w:rsidRDefault="00B620E1" w:rsidP="00A27236">
            <w:pPr>
              <w:spacing w:after="0" w:line="240" w:lineRule="auto"/>
              <w:jc w:val="right"/>
              <w:rPr>
                <w:rFonts w:ascii="Century" w:hAnsi="Century"/>
                <w:i/>
                <w:iCs/>
                <w:sz w:val="20"/>
                <w:szCs w:val="20"/>
              </w:rPr>
            </w:pPr>
            <w:r>
              <w:rPr>
                <w:rFonts w:ascii="Century" w:hAnsi="Century"/>
                <w:i/>
                <w:iCs/>
                <w:sz w:val="20"/>
                <w:szCs w:val="20"/>
              </w:rPr>
              <w:t>1,0</w:t>
            </w:r>
          </w:p>
        </w:tc>
        <w:tc>
          <w:tcPr>
            <w:tcW w:w="852" w:type="dxa"/>
            <w:shd w:val="clear" w:color="auto" w:fill="F2F2F2"/>
            <w:vAlign w:val="center"/>
            <w:hideMark/>
          </w:tcPr>
          <w:p w:rsidR="00B620E1" w:rsidRDefault="00B620E1" w:rsidP="00A27236">
            <w:pPr>
              <w:spacing w:after="0" w:line="240" w:lineRule="auto"/>
              <w:jc w:val="right"/>
              <w:rPr>
                <w:rFonts w:ascii="Century" w:hAnsi="Century"/>
                <w:sz w:val="20"/>
                <w:szCs w:val="20"/>
              </w:rPr>
            </w:pPr>
            <w:r>
              <w:rPr>
                <w:rFonts w:ascii="Century" w:hAnsi="Century"/>
                <w:sz w:val="20"/>
                <w:szCs w:val="20"/>
              </w:rPr>
              <w:t>1 062</w:t>
            </w:r>
          </w:p>
        </w:tc>
        <w:tc>
          <w:tcPr>
            <w:tcW w:w="850" w:type="dxa"/>
            <w:shd w:val="clear" w:color="auto" w:fill="F2F2F2"/>
            <w:vAlign w:val="center"/>
            <w:hideMark/>
          </w:tcPr>
          <w:p w:rsidR="00B620E1" w:rsidRDefault="00B620E1" w:rsidP="00A27236">
            <w:pPr>
              <w:spacing w:after="0" w:line="240" w:lineRule="auto"/>
              <w:jc w:val="right"/>
              <w:rPr>
                <w:rFonts w:ascii="Century" w:hAnsi="Century"/>
                <w:i/>
                <w:iCs/>
                <w:sz w:val="20"/>
                <w:szCs w:val="20"/>
              </w:rPr>
            </w:pPr>
            <w:r>
              <w:rPr>
                <w:rFonts w:ascii="Century" w:hAnsi="Century"/>
                <w:i/>
                <w:iCs/>
                <w:sz w:val="20"/>
                <w:szCs w:val="20"/>
              </w:rPr>
              <w:t>1,0</w:t>
            </w:r>
          </w:p>
        </w:tc>
      </w:tr>
      <w:tr w:rsidR="00B620E1" w:rsidRPr="002119E8" w:rsidTr="003C4A4E">
        <w:trPr>
          <w:trHeight w:val="198"/>
        </w:trPr>
        <w:tc>
          <w:tcPr>
            <w:tcW w:w="3622" w:type="dxa"/>
            <w:tcBorders>
              <w:top w:val="nil"/>
              <w:left w:val="nil"/>
              <w:bottom w:val="single" w:sz="4" w:space="0" w:color="auto"/>
              <w:right w:val="nil"/>
            </w:tcBorders>
            <w:shd w:val="clear" w:color="auto" w:fill="FFFFFF" w:themeFill="background1"/>
            <w:vAlign w:val="center"/>
            <w:hideMark/>
          </w:tcPr>
          <w:p w:rsidR="00B620E1" w:rsidRPr="002119E8" w:rsidRDefault="00B620E1" w:rsidP="003C4A4E">
            <w:pPr>
              <w:spacing w:after="0" w:line="240" w:lineRule="auto"/>
              <w:contextualSpacing/>
              <w:rPr>
                <w:rFonts w:ascii="Century" w:hAnsi="Century"/>
                <w:bCs/>
                <w:sz w:val="20"/>
                <w:szCs w:val="20"/>
              </w:rPr>
            </w:pPr>
            <w:r w:rsidRPr="002119E8">
              <w:rPr>
                <w:rFonts w:ascii="Century" w:hAnsi="Century"/>
                <w:bCs/>
                <w:sz w:val="20"/>
                <w:szCs w:val="20"/>
              </w:rPr>
              <w:t>Условно утвержденные расходы</w:t>
            </w:r>
          </w:p>
        </w:tc>
        <w:tc>
          <w:tcPr>
            <w:tcW w:w="849" w:type="dxa"/>
            <w:tcBorders>
              <w:top w:val="nil"/>
              <w:left w:val="nil"/>
              <w:bottom w:val="single" w:sz="4" w:space="0" w:color="auto"/>
              <w:right w:val="nil"/>
            </w:tcBorders>
            <w:shd w:val="clear" w:color="auto" w:fill="FFFFFF" w:themeFill="background1"/>
            <w:vAlign w:val="center"/>
            <w:hideMark/>
          </w:tcPr>
          <w:p w:rsidR="00B620E1" w:rsidRDefault="00B620E1" w:rsidP="00B620E1">
            <w:pPr>
              <w:spacing w:after="0" w:line="240" w:lineRule="auto"/>
              <w:jc w:val="right"/>
              <w:rPr>
                <w:rFonts w:ascii="Century" w:hAnsi="Century"/>
                <w:sz w:val="20"/>
                <w:szCs w:val="20"/>
              </w:rPr>
            </w:pPr>
            <w:r>
              <w:rPr>
                <w:rFonts w:ascii="Century" w:hAnsi="Century"/>
                <w:sz w:val="20"/>
                <w:szCs w:val="20"/>
              </w:rPr>
              <w:t>0</w:t>
            </w:r>
          </w:p>
        </w:tc>
        <w:tc>
          <w:tcPr>
            <w:tcW w:w="850" w:type="dxa"/>
            <w:tcBorders>
              <w:top w:val="nil"/>
              <w:left w:val="nil"/>
              <w:bottom w:val="single" w:sz="4" w:space="0" w:color="auto"/>
              <w:right w:val="nil"/>
            </w:tcBorders>
            <w:shd w:val="clear" w:color="auto" w:fill="FFFFFF" w:themeFill="background1"/>
            <w:vAlign w:val="center"/>
            <w:hideMark/>
          </w:tcPr>
          <w:p w:rsidR="00B620E1" w:rsidRDefault="00B620E1" w:rsidP="00B620E1">
            <w:pPr>
              <w:spacing w:after="0" w:line="240" w:lineRule="auto"/>
              <w:jc w:val="right"/>
              <w:rPr>
                <w:rFonts w:ascii="Century" w:hAnsi="Century"/>
                <w:i/>
                <w:iCs/>
                <w:sz w:val="20"/>
                <w:szCs w:val="20"/>
              </w:rPr>
            </w:pPr>
            <w:r>
              <w:rPr>
                <w:rFonts w:ascii="Century" w:hAnsi="Century"/>
                <w:i/>
                <w:iCs/>
                <w:sz w:val="20"/>
                <w:szCs w:val="20"/>
              </w:rPr>
              <w:t>0,0</w:t>
            </w:r>
          </w:p>
        </w:tc>
        <w:tc>
          <w:tcPr>
            <w:tcW w:w="850" w:type="dxa"/>
            <w:tcBorders>
              <w:top w:val="nil"/>
              <w:left w:val="nil"/>
              <w:bottom w:val="single" w:sz="4" w:space="0" w:color="auto"/>
              <w:right w:val="nil"/>
            </w:tcBorders>
            <w:shd w:val="clear" w:color="auto" w:fill="FFFFFF" w:themeFill="background1"/>
            <w:vAlign w:val="center"/>
            <w:hideMark/>
          </w:tcPr>
          <w:p w:rsidR="00B620E1" w:rsidRDefault="00B620E1" w:rsidP="00A27236">
            <w:pPr>
              <w:spacing w:after="0" w:line="240" w:lineRule="auto"/>
              <w:jc w:val="right"/>
              <w:rPr>
                <w:rFonts w:ascii="Century" w:hAnsi="Century"/>
                <w:sz w:val="20"/>
                <w:szCs w:val="20"/>
              </w:rPr>
            </w:pPr>
            <w:r>
              <w:rPr>
                <w:rFonts w:ascii="Century" w:hAnsi="Century"/>
                <w:sz w:val="20"/>
                <w:szCs w:val="20"/>
              </w:rPr>
              <w:t>0</w:t>
            </w:r>
          </w:p>
        </w:tc>
        <w:tc>
          <w:tcPr>
            <w:tcW w:w="851" w:type="dxa"/>
            <w:tcBorders>
              <w:top w:val="nil"/>
              <w:left w:val="nil"/>
              <w:bottom w:val="single" w:sz="4" w:space="0" w:color="auto"/>
              <w:right w:val="nil"/>
            </w:tcBorders>
            <w:shd w:val="clear" w:color="auto" w:fill="FFFFFF" w:themeFill="background1"/>
            <w:vAlign w:val="center"/>
            <w:hideMark/>
          </w:tcPr>
          <w:p w:rsidR="00B620E1" w:rsidRDefault="00B620E1" w:rsidP="00A27236">
            <w:pPr>
              <w:spacing w:after="0" w:line="240" w:lineRule="auto"/>
              <w:jc w:val="right"/>
              <w:rPr>
                <w:rFonts w:ascii="Century" w:hAnsi="Century"/>
                <w:i/>
                <w:iCs/>
                <w:sz w:val="20"/>
                <w:szCs w:val="20"/>
              </w:rPr>
            </w:pPr>
            <w:r>
              <w:rPr>
                <w:rFonts w:ascii="Century" w:hAnsi="Century"/>
                <w:i/>
                <w:iCs/>
                <w:sz w:val="20"/>
                <w:szCs w:val="20"/>
              </w:rPr>
              <w:t>0,0</w:t>
            </w:r>
          </w:p>
        </w:tc>
        <w:tc>
          <w:tcPr>
            <w:tcW w:w="850" w:type="dxa"/>
            <w:tcBorders>
              <w:top w:val="nil"/>
              <w:left w:val="nil"/>
              <w:bottom w:val="single" w:sz="4" w:space="0" w:color="auto"/>
              <w:right w:val="nil"/>
            </w:tcBorders>
            <w:shd w:val="clear" w:color="auto" w:fill="FFFFFF" w:themeFill="background1"/>
            <w:vAlign w:val="center"/>
            <w:hideMark/>
          </w:tcPr>
          <w:p w:rsidR="00B620E1" w:rsidRDefault="00B620E1" w:rsidP="00A27236">
            <w:pPr>
              <w:spacing w:after="0" w:line="240" w:lineRule="auto"/>
              <w:jc w:val="right"/>
              <w:rPr>
                <w:rFonts w:ascii="Century" w:hAnsi="Century"/>
                <w:sz w:val="20"/>
                <w:szCs w:val="20"/>
              </w:rPr>
            </w:pPr>
            <w:r>
              <w:rPr>
                <w:rFonts w:ascii="Century" w:hAnsi="Century"/>
                <w:sz w:val="20"/>
                <w:szCs w:val="20"/>
              </w:rPr>
              <w:t>0</w:t>
            </w:r>
          </w:p>
        </w:tc>
        <w:tc>
          <w:tcPr>
            <w:tcW w:w="851" w:type="dxa"/>
            <w:tcBorders>
              <w:top w:val="nil"/>
              <w:left w:val="nil"/>
              <w:bottom w:val="single" w:sz="4" w:space="0" w:color="auto"/>
              <w:right w:val="nil"/>
            </w:tcBorders>
            <w:shd w:val="clear" w:color="auto" w:fill="FFFFFF" w:themeFill="background1"/>
            <w:vAlign w:val="center"/>
            <w:hideMark/>
          </w:tcPr>
          <w:p w:rsidR="00B620E1" w:rsidRDefault="00B620E1" w:rsidP="00A27236">
            <w:pPr>
              <w:spacing w:after="0" w:line="240" w:lineRule="auto"/>
              <w:jc w:val="right"/>
              <w:rPr>
                <w:rFonts w:ascii="Century" w:hAnsi="Century"/>
                <w:i/>
                <w:iCs/>
                <w:sz w:val="20"/>
                <w:szCs w:val="20"/>
              </w:rPr>
            </w:pPr>
            <w:r>
              <w:rPr>
                <w:rFonts w:ascii="Century" w:hAnsi="Century"/>
                <w:i/>
                <w:iCs/>
                <w:sz w:val="20"/>
                <w:szCs w:val="20"/>
              </w:rPr>
              <w:t>0,0</w:t>
            </w:r>
          </w:p>
        </w:tc>
        <w:tc>
          <w:tcPr>
            <w:tcW w:w="852" w:type="dxa"/>
            <w:tcBorders>
              <w:top w:val="nil"/>
              <w:left w:val="nil"/>
              <w:bottom w:val="single" w:sz="4" w:space="0" w:color="auto"/>
              <w:right w:val="nil"/>
            </w:tcBorders>
            <w:shd w:val="clear" w:color="auto" w:fill="FFFFFF" w:themeFill="background1"/>
            <w:vAlign w:val="center"/>
            <w:hideMark/>
          </w:tcPr>
          <w:p w:rsidR="00B620E1" w:rsidRDefault="00B620E1" w:rsidP="00A27236">
            <w:pPr>
              <w:spacing w:after="0" w:line="240" w:lineRule="auto"/>
              <w:jc w:val="right"/>
              <w:rPr>
                <w:rFonts w:ascii="Century" w:hAnsi="Century"/>
                <w:sz w:val="20"/>
                <w:szCs w:val="20"/>
              </w:rPr>
            </w:pPr>
            <w:r>
              <w:rPr>
                <w:rFonts w:ascii="Century" w:hAnsi="Century"/>
                <w:sz w:val="20"/>
                <w:szCs w:val="20"/>
              </w:rPr>
              <w:t>429</w:t>
            </w:r>
          </w:p>
        </w:tc>
        <w:tc>
          <w:tcPr>
            <w:tcW w:w="850" w:type="dxa"/>
            <w:tcBorders>
              <w:top w:val="nil"/>
              <w:left w:val="nil"/>
              <w:bottom w:val="single" w:sz="4" w:space="0" w:color="auto"/>
              <w:right w:val="nil"/>
            </w:tcBorders>
            <w:shd w:val="clear" w:color="auto" w:fill="FFFFFF" w:themeFill="background1"/>
            <w:vAlign w:val="center"/>
            <w:hideMark/>
          </w:tcPr>
          <w:p w:rsidR="00B620E1" w:rsidRDefault="00B620E1" w:rsidP="00A27236">
            <w:pPr>
              <w:spacing w:after="0" w:line="240" w:lineRule="auto"/>
              <w:jc w:val="right"/>
              <w:rPr>
                <w:rFonts w:ascii="Century" w:hAnsi="Century"/>
                <w:i/>
                <w:iCs/>
                <w:sz w:val="20"/>
                <w:szCs w:val="20"/>
              </w:rPr>
            </w:pPr>
            <w:r>
              <w:rPr>
                <w:rFonts w:ascii="Century" w:hAnsi="Century"/>
                <w:i/>
                <w:iCs/>
                <w:sz w:val="20"/>
                <w:szCs w:val="20"/>
              </w:rPr>
              <w:t>0,4</w:t>
            </w:r>
          </w:p>
        </w:tc>
      </w:tr>
    </w:tbl>
    <w:p w:rsidR="00A71D96" w:rsidRPr="00F31180" w:rsidRDefault="00A71D96" w:rsidP="00A71D96">
      <w:pPr>
        <w:spacing w:after="120" w:line="240" w:lineRule="auto"/>
        <w:rPr>
          <w:rFonts w:ascii="Times New Roman" w:hAnsi="Times New Roman"/>
          <w:i/>
          <w:sz w:val="20"/>
          <w:szCs w:val="20"/>
        </w:rPr>
      </w:pPr>
      <w:r w:rsidRPr="00F31180">
        <w:rPr>
          <w:rFonts w:ascii="Times New Roman" w:hAnsi="Times New Roman"/>
          <w:i/>
          <w:sz w:val="20"/>
          <w:szCs w:val="20"/>
        </w:rPr>
        <w:t>*</w:t>
      </w:r>
      <w:r>
        <w:rPr>
          <w:rFonts w:ascii="Times New Roman" w:hAnsi="Times New Roman"/>
          <w:i/>
          <w:sz w:val="20"/>
          <w:szCs w:val="20"/>
        </w:rPr>
        <w:t>Без учета</w:t>
      </w:r>
      <w:r w:rsidRPr="00F31180">
        <w:rPr>
          <w:rFonts w:ascii="Times New Roman" w:hAnsi="Times New Roman"/>
          <w:i/>
          <w:sz w:val="20"/>
          <w:szCs w:val="20"/>
        </w:rPr>
        <w:t xml:space="preserve"> накопительной составляющей пенсионной системы</w:t>
      </w:r>
    </w:p>
    <w:p w:rsidR="00A71D96" w:rsidRDefault="00A71D96">
      <w:pPr>
        <w:spacing w:after="0" w:line="240" w:lineRule="auto"/>
        <w:rPr>
          <w:rFonts w:ascii="Times New Roman" w:hAnsi="Times New Roman"/>
          <w:sz w:val="24"/>
          <w:szCs w:val="24"/>
          <w:highlight w:val="lightGray"/>
        </w:rPr>
      </w:pPr>
      <w:r>
        <w:rPr>
          <w:rFonts w:ascii="Times New Roman" w:hAnsi="Times New Roman"/>
          <w:sz w:val="24"/>
          <w:szCs w:val="24"/>
          <w:highlight w:val="lightGray"/>
        </w:rPr>
        <w:br w:type="page"/>
      </w:r>
    </w:p>
    <w:p w:rsidR="004B47AA" w:rsidRPr="00190C26" w:rsidRDefault="004B47AA" w:rsidP="004B47AA">
      <w:pPr>
        <w:spacing w:before="120" w:after="120"/>
        <w:jc w:val="both"/>
        <w:rPr>
          <w:rFonts w:ascii="Times New Roman" w:hAnsi="Times New Roman"/>
          <w:sz w:val="24"/>
          <w:szCs w:val="24"/>
        </w:rPr>
      </w:pPr>
      <w:r w:rsidRPr="002064FB">
        <w:rPr>
          <w:rFonts w:ascii="Times New Roman" w:hAnsi="Times New Roman"/>
          <w:sz w:val="24"/>
          <w:szCs w:val="24"/>
        </w:rPr>
        <w:t xml:space="preserve">Сформированный на основе изложенных выше основных направлений бюджетной политики проект </w:t>
      </w:r>
      <w:r w:rsidRPr="00190C26">
        <w:rPr>
          <w:rFonts w:ascii="Times New Roman" w:hAnsi="Times New Roman"/>
          <w:sz w:val="24"/>
          <w:szCs w:val="24"/>
        </w:rPr>
        <w:t xml:space="preserve">федерального бюджета на 2018-2020 годы должен стать одним из ключевых инструментов экономической политики, направленной на обеспечение </w:t>
      </w:r>
      <w:bookmarkStart w:id="32" w:name="_GoBack"/>
      <w:bookmarkEnd w:id="32"/>
      <w:r w:rsidRPr="00190C26">
        <w:rPr>
          <w:rFonts w:ascii="Times New Roman" w:hAnsi="Times New Roman"/>
          <w:sz w:val="24"/>
          <w:szCs w:val="24"/>
        </w:rPr>
        <w:t>макроэкономической стабильности и сбалансированного развития страны.</w:t>
      </w:r>
    </w:p>
    <w:p w:rsidR="004B47AA" w:rsidRPr="00336F75" w:rsidRDefault="004B47AA" w:rsidP="004B47AA">
      <w:pPr>
        <w:spacing w:before="120" w:after="120"/>
        <w:jc w:val="both"/>
        <w:rPr>
          <w:rFonts w:ascii="Times New Roman" w:hAnsi="Times New Roman"/>
          <w:sz w:val="24"/>
          <w:szCs w:val="24"/>
        </w:rPr>
      </w:pPr>
      <w:proofErr w:type="gramStart"/>
      <w:r w:rsidRPr="00190C26">
        <w:rPr>
          <w:rFonts w:ascii="Times New Roman" w:hAnsi="Times New Roman"/>
          <w:sz w:val="24"/>
          <w:szCs w:val="24"/>
        </w:rPr>
        <w:t xml:space="preserve">Формирование бюджетной политики в соответствии с принципами, заложенными в новую конструкцию бюджетных правил позволит не только повысить устойчивость федерального бюджета и гарантировать исполнение всех обязательств государства независимо от подвижности цен на нефть, но также будет способствовать формированию предсказуемых макроэкономических и финансовых условий, необходимых для обеспечения устойчивого роста экономики и благоприятствовать проводимой Банком России политике </w:t>
      </w:r>
      <w:proofErr w:type="spellStart"/>
      <w:r w:rsidRPr="00190C26">
        <w:rPr>
          <w:rFonts w:ascii="Times New Roman" w:hAnsi="Times New Roman"/>
          <w:sz w:val="24"/>
          <w:szCs w:val="24"/>
        </w:rPr>
        <w:t>таргетирования</w:t>
      </w:r>
      <w:proofErr w:type="spellEnd"/>
      <w:r w:rsidRPr="00190C26">
        <w:rPr>
          <w:rFonts w:ascii="Times New Roman" w:hAnsi="Times New Roman"/>
          <w:sz w:val="24"/>
          <w:szCs w:val="24"/>
        </w:rPr>
        <w:t xml:space="preserve"> инфляции.</w:t>
      </w:r>
      <w:proofErr w:type="gramEnd"/>
      <w:r w:rsidRPr="00190C26">
        <w:rPr>
          <w:rFonts w:ascii="Times New Roman" w:hAnsi="Times New Roman"/>
          <w:sz w:val="24"/>
          <w:szCs w:val="24"/>
        </w:rPr>
        <w:t xml:space="preserve"> </w:t>
      </w:r>
      <w:proofErr w:type="gramStart"/>
      <w:r w:rsidRPr="00190C26">
        <w:rPr>
          <w:rFonts w:ascii="Times New Roman" w:hAnsi="Times New Roman"/>
          <w:sz w:val="24"/>
          <w:szCs w:val="24"/>
        </w:rPr>
        <w:t>Постепенное сокращение структурного дефицита федерального бюджета в течение 2018-2019 гг. создаст благоприятные условия для стабилизации инфляции на более низком уровне, откроет дополнительное пространство для снижения равновесных реальных процентных ставок в экономике и устранит предпосылки для повышения налоговой нагрузки, обеспечив, таким образом, переход экономики к целевому макроэкономическому равновесию, благоприятствующему инвестиционной модели роста.</w:t>
      </w:r>
      <w:proofErr w:type="gramEnd"/>
      <w:r w:rsidRPr="00190C26">
        <w:rPr>
          <w:rFonts w:ascii="Times New Roman" w:hAnsi="Times New Roman"/>
          <w:sz w:val="24"/>
          <w:szCs w:val="24"/>
        </w:rPr>
        <w:t xml:space="preserve"> При этом программа постепенного сокращения структурного дефицита сфокусирована на структурных мерах, которые позволяют не только достичь устойчивого сокращения бюджетных дисбалансов, но и способствуют устранению структурных препятствий для расширения потенциала</w:t>
      </w:r>
      <w:r w:rsidRPr="00E63E11">
        <w:rPr>
          <w:rFonts w:ascii="Times New Roman" w:hAnsi="Times New Roman"/>
          <w:sz w:val="24"/>
          <w:szCs w:val="24"/>
        </w:rPr>
        <w:t xml:space="preserve"> экономического развития</w:t>
      </w:r>
    </w:p>
    <w:p w:rsidR="004B47AA" w:rsidRPr="00D95A65" w:rsidRDefault="004B47AA" w:rsidP="004B47AA">
      <w:pPr>
        <w:spacing w:before="120" w:after="120"/>
        <w:jc w:val="both"/>
        <w:rPr>
          <w:rFonts w:ascii="Times New Roman" w:hAnsi="Times New Roman"/>
          <w:sz w:val="24"/>
          <w:szCs w:val="24"/>
        </w:rPr>
      </w:pPr>
      <w:r w:rsidRPr="00D95A65">
        <w:rPr>
          <w:rFonts w:ascii="Times New Roman" w:hAnsi="Times New Roman"/>
          <w:sz w:val="24"/>
          <w:szCs w:val="24"/>
        </w:rPr>
        <w:t>Реализация мер по мобилизации доходной базы среди прочего также позволит: (1) увеличить отдачу от государственных активов, способствуя тем самым повышению эффективности государственных компаний; (2) повысить собираемость ключевых налогов при снижении административной нагрузки для легального бизнеса; (3) повысить эффективность нефтегазового сектора. Реализация мер по приоритизации и повышению эффективности бюджетных расходов будет опираться как на нахождение более тесных взаимосвязей между результативностью и объемами бюджетных ассигнований, так и на активное реформирование применяемых инструментов реализации бюджетной политики. Это, в свою очередь, предполагает «</w:t>
      </w:r>
      <w:proofErr w:type="spellStart"/>
      <w:r w:rsidRPr="00D95A65">
        <w:rPr>
          <w:rFonts w:ascii="Times New Roman" w:hAnsi="Times New Roman"/>
          <w:sz w:val="24"/>
          <w:szCs w:val="24"/>
        </w:rPr>
        <w:t>донастройку</w:t>
      </w:r>
      <w:proofErr w:type="spellEnd"/>
      <w:r w:rsidRPr="00D95A65">
        <w:rPr>
          <w:rFonts w:ascii="Times New Roman" w:hAnsi="Times New Roman"/>
          <w:sz w:val="24"/>
          <w:szCs w:val="24"/>
        </w:rPr>
        <w:t>» государственных программ с их более четкой привязкой к целям государственной политики, усилением проектных принципов их построения, созданием новой системы их внешнего и внутреннего аудита. Кроме того, должны быть реализованы меры по повышению качества предоставления государственных услуг, процедур проведения государственных закупок, предварительного и последующего государственного финансового контроля.</w:t>
      </w:r>
    </w:p>
    <w:p w:rsidR="00145AC9" w:rsidRPr="007867FE" w:rsidRDefault="004B47AA" w:rsidP="00503BF2">
      <w:pPr>
        <w:spacing w:before="120" w:after="120"/>
        <w:jc w:val="both"/>
        <w:rPr>
          <w:szCs w:val="32"/>
        </w:rPr>
      </w:pPr>
      <w:r w:rsidRPr="00D95A65">
        <w:rPr>
          <w:rFonts w:ascii="Times New Roman" w:hAnsi="Times New Roman"/>
          <w:sz w:val="24"/>
          <w:szCs w:val="24"/>
        </w:rPr>
        <w:t>Неотъемлемым условием эффективной реализации, обозначенной бюджетной политики в предстоящем периоде является обеспечение широкого вовлечения граждан в процедуры обсуждения и принятия бюджетных решений, общественного контроля их эффективности и результативности.</w:t>
      </w:r>
    </w:p>
    <w:p w:rsidR="007867FE" w:rsidRPr="003F0679" w:rsidRDefault="007867FE" w:rsidP="00C17369">
      <w:pPr>
        <w:spacing w:after="0" w:line="240" w:lineRule="auto"/>
        <w:jc w:val="right"/>
        <w:rPr>
          <w:highlight w:val="lightGray"/>
        </w:rPr>
      </w:pPr>
    </w:p>
    <w:sectPr w:rsidR="007867FE" w:rsidRPr="003F0679" w:rsidSect="009B2430">
      <w:headerReference w:type="default" r:id="rId34"/>
      <w:footerReference w:type="default" r:id="rId35"/>
      <w:pgSz w:w="11906" w:h="16838"/>
      <w:pgMar w:top="1134" w:right="1418" w:bottom="1134" w:left="1418" w:header="709" w:footer="709" w:gutter="0"/>
      <w:pgNumType w:start="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52CBE4" w16cid:durableId="1D6F70A0"/>
  <w16cid:commentId w16cid:paraId="31FB1118" w16cid:durableId="1D6F727C"/>
  <w16cid:commentId w16cid:paraId="24353B32" w16cid:durableId="1D6F74A5"/>
  <w16cid:commentId w16cid:paraId="1996B428" w16cid:durableId="1D6F77E1"/>
  <w16cid:commentId w16cid:paraId="4ED79511" w16cid:durableId="1D6F787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5DFE" w:rsidRDefault="007E5DFE" w:rsidP="00516506">
      <w:pPr>
        <w:spacing w:after="0" w:line="240" w:lineRule="auto"/>
      </w:pPr>
      <w:r>
        <w:separator/>
      </w:r>
    </w:p>
  </w:endnote>
  <w:endnote w:type="continuationSeparator" w:id="0">
    <w:p w:rsidR="007E5DFE" w:rsidRDefault="007E5DFE" w:rsidP="005165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Neue LT 55 Roman">
    <w:altName w:val="Malgun Gothic"/>
    <w:charset w:val="00"/>
    <w:family w:val="auto"/>
    <w:pitch w:val="variable"/>
    <w:sig w:usb0="00000003" w:usb1="00000000" w:usb2="00000000" w:usb3="00000000" w:csb0="00000001" w:csb1="00000000"/>
  </w:font>
  <w:font w:name="HelveticaNeue LT 65 Medium">
    <w:altName w:val="Trebuchet MS"/>
    <w:charset w:val="00"/>
    <w:family w:val="auto"/>
    <w:pitch w:val="variable"/>
    <w:sig w:usb0="00000003" w:usb1="00000000" w:usb2="00000000" w:usb3="00000000" w:csb0="00000001" w:csb1="00000000"/>
  </w:font>
  <w:font w:name="Century">
    <w:panose1 w:val="0204060405050502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Arial Cyr">
    <w:panose1 w:val="020B0604020202020204"/>
    <w:charset w:val="CC"/>
    <w:family w:val="swiss"/>
    <w:pitch w:val="variable"/>
    <w:sig w:usb0="00000201" w:usb1="00000000" w:usb2="00000000" w:usb3="00000000" w:csb0="00000004" w:csb1="00000000"/>
  </w:font>
  <w:font w:name="+mn-ea">
    <w:panose1 w:val="00000000000000000000"/>
    <w:charset w:val="00"/>
    <w:family w:val="roman"/>
    <w:notTrueType/>
    <w:pitch w:val="default"/>
  </w:font>
  <w:font w:name="Century Cyr">
    <w:altName w:val="Cambria"/>
    <w:panose1 w:val="00000000000000000000"/>
    <w:charset w:val="CC"/>
    <w:family w:val="roman"/>
    <w:notTrueType/>
    <w:pitch w:val="variable"/>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DFE" w:rsidRPr="00322019" w:rsidRDefault="007E5DFE">
    <w:pPr>
      <w:pStyle w:val="ac"/>
      <w:jc w:val="center"/>
      <w:rPr>
        <w:rFonts w:ascii="Times New Roman" w:hAnsi="Times New Roman"/>
      </w:rPr>
    </w:pPr>
    <w:r w:rsidRPr="00322019">
      <w:rPr>
        <w:rFonts w:ascii="Times New Roman" w:hAnsi="Times New Roman"/>
      </w:rPr>
      <w:fldChar w:fldCharType="begin"/>
    </w:r>
    <w:r w:rsidRPr="00322019">
      <w:rPr>
        <w:rFonts w:ascii="Times New Roman" w:hAnsi="Times New Roman"/>
      </w:rPr>
      <w:instrText>PAGE   \* MERGEFORMAT</w:instrText>
    </w:r>
    <w:r w:rsidRPr="00322019">
      <w:rPr>
        <w:rFonts w:ascii="Times New Roman" w:hAnsi="Times New Roman"/>
      </w:rPr>
      <w:fldChar w:fldCharType="separate"/>
    </w:r>
    <w:r w:rsidR="00204AE4">
      <w:rPr>
        <w:rFonts w:ascii="Times New Roman" w:hAnsi="Times New Roman"/>
        <w:noProof/>
      </w:rPr>
      <w:t>3</w:t>
    </w:r>
    <w:r w:rsidRPr="00322019">
      <w:rPr>
        <w:rFonts w:ascii="Times New Roman" w:hAnsi="Times New Roman"/>
        <w:noProof/>
      </w:rPr>
      <w:fldChar w:fldCharType="end"/>
    </w:r>
  </w:p>
  <w:p w:rsidR="007E5DFE" w:rsidRDefault="007E5DFE">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5DFE" w:rsidRDefault="007E5DFE" w:rsidP="00516506">
      <w:pPr>
        <w:spacing w:after="0" w:line="240" w:lineRule="auto"/>
      </w:pPr>
      <w:r>
        <w:separator/>
      </w:r>
    </w:p>
  </w:footnote>
  <w:footnote w:type="continuationSeparator" w:id="0">
    <w:p w:rsidR="007E5DFE" w:rsidRDefault="007E5DFE" w:rsidP="005165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78" w:type="dxa"/>
      <w:tblInd w:w="-34" w:type="dxa"/>
      <w:tblBorders>
        <w:left w:val="single" w:sz="4" w:space="0" w:color="FFFFFF"/>
        <w:insideH w:val="single" w:sz="12" w:space="0" w:color="003300"/>
        <w:insideV w:val="single" w:sz="12" w:space="0" w:color="003300"/>
      </w:tblBorders>
      <w:tblLayout w:type="fixed"/>
      <w:tblLook w:val="00A0" w:firstRow="1" w:lastRow="0" w:firstColumn="1" w:lastColumn="0" w:noHBand="0" w:noVBand="0"/>
    </w:tblPr>
    <w:tblGrid>
      <w:gridCol w:w="7655"/>
      <w:gridCol w:w="1623"/>
    </w:tblGrid>
    <w:tr w:rsidR="007E5DFE" w:rsidRPr="00E11E0D" w:rsidTr="0063778D">
      <w:trPr>
        <w:trHeight w:val="547"/>
      </w:trPr>
      <w:tc>
        <w:tcPr>
          <w:tcW w:w="7655" w:type="dxa"/>
        </w:tcPr>
        <w:p w:rsidR="007E5DFE" w:rsidRPr="00E11E0D" w:rsidRDefault="007E5DFE" w:rsidP="0063778D">
          <w:pPr>
            <w:pStyle w:val="aa"/>
            <w:ind w:left="-846" w:firstLine="846"/>
            <w:jc w:val="right"/>
            <w:rPr>
              <w:b/>
              <w:color w:val="003300"/>
            </w:rPr>
          </w:pPr>
          <w:r w:rsidRPr="009E49BF">
            <w:rPr>
              <w:rFonts w:ascii="Times New Roman" w:hAnsi="Times New Roman"/>
              <w:b/>
              <w:color w:val="003300"/>
            </w:rPr>
            <w:t>Основные направления бюджетной, налоговой и таможенно-тарифной политики на 2018 год и плановый период 2019 и 2020 годов</w:t>
          </w:r>
        </w:p>
      </w:tc>
      <w:tc>
        <w:tcPr>
          <w:tcW w:w="1623" w:type="dxa"/>
        </w:tcPr>
        <w:p w:rsidR="007E5DFE" w:rsidRPr="00E11E0D" w:rsidRDefault="007E5DFE" w:rsidP="00E11E0D">
          <w:pPr>
            <w:pStyle w:val="aa"/>
            <w:jc w:val="right"/>
            <w:rPr>
              <w:b/>
              <w:color w:val="003300"/>
            </w:rPr>
          </w:pPr>
        </w:p>
      </w:tc>
    </w:tr>
  </w:tbl>
  <w:p w:rsidR="007E5DFE" w:rsidRDefault="007E5DFE">
    <w:pPr>
      <w:pStyle w:val="aa"/>
    </w:pPr>
    <w:r>
      <w:rPr>
        <w:noProof/>
        <w:lang w:eastAsia="ru-RU"/>
      </w:rPr>
      <w:drawing>
        <wp:anchor distT="0" distB="0" distL="114300" distR="114300" simplePos="0" relativeHeight="251685376" behindDoc="0" locked="0" layoutInCell="1" allowOverlap="1" wp14:anchorId="28360F58" wp14:editId="3CF76608">
          <wp:simplePos x="0" y="0"/>
          <wp:positionH relativeFrom="column">
            <wp:posOffset>4833620</wp:posOffset>
          </wp:positionH>
          <wp:positionV relativeFrom="paragraph">
            <wp:posOffset>-432435</wp:posOffset>
          </wp:positionV>
          <wp:extent cx="467360" cy="474345"/>
          <wp:effectExtent l="0" t="0" r="8890" b="1905"/>
          <wp:wrapNone/>
          <wp:docPr id="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360" cy="4743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62848" behindDoc="0" locked="0" layoutInCell="1" allowOverlap="1" wp14:anchorId="7A120A2F" wp14:editId="211D9FA4">
              <wp:simplePos x="0" y="0"/>
              <wp:positionH relativeFrom="column">
                <wp:posOffset>5474335</wp:posOffset>
              </wp:positionH>
              <wp:positionV relativeFrom="paragraph">
                <wp:posOffset>-401320</wp:posOffset>
              </wp:positionV>
              <wp:extent cx="381635" cy="412750"/>
              <wp:effectExtent l="0" t="0" r="0" b="6350"/>
              <wp:wrapNone/>
              <wp:docPr id="14"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DFE" w:rsidRPr="00E11E0D" w:rsidRDefault="007E5DFE" w:rsidP="009C27DD">
                          <w:pPr>
                            <w:pStyle w:val="afb"/>
                            <w:spacing w:before="0" w:beforeAutospacing="0" w:after="0" w:afterAutospacing="0"/>
                            <w:textAlignment w:val="baseline"/>
                            <w:rPr>
                              <w:color w:val="948A54"/>
                            </w:rPr>
                          </w:pPr>
                          <w:r w:rsidRPr="00E11E0D">
                            <w:rPr>
                              <w:i/>
                              <w:iCs/>
                              <w:color w:val="948A54"/>
                              <w:kern w:val="24"/>
                              <w:sz w:val="44"/>
                              <w:szCs w:val="44"/>
                            </w:rPr>
                            <w:t>ф</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3" o:spid="_x0000_s1046" type="#_x0000_t202" style="position:absolute;margin-left:431.05pt;margin-top:-31.6pt;width:30.05pt;height:32.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" filled="f" stroked="f">
              <v:textbox style="mso-fit-shape-to-text:t">
                <w:txbxContent>
                  <w:p w:rsidR="007E5DFE" w:rsidRPr="00E11E0D" w:rsidRDefault="007E5DFE" w:rsidP="009C27DD">
                    <w:pPr>
                      <w:pStyle w:val="afb"/>
                      <w:spacing w:before="0" w:beforeAutospacing="0" w:after="0" w:afterAutospacing="0"/>
                      <w:textAlignment w:val="baseline"/>
                      <w:rPr>
                        <w:color w:val="948A54"/>
                      </w:rPr>
                    </w:pPr>
                    <w:r w:rsidRPr="00E11E0D">
                      <w:rPr>
                        <w:i/>
                        <w:iCs/>
                        <w:color w:val="948A54"/>
                        <w:kern w:val="24"/>
                        <w:sz w:val="44"/>
                        <w:szCs w:val="44"/>
                      </w:rPr>
                      <w:t>ф</w:t>
                    </w:r>
                  </w:p>
                </w:txbxContent>
              </v:textbox>
            </v:shape>
          </w:pict>
        </mc:Fallback>
      </mc:AlternateContent>
    </w:r>
    <w:r>
      <w:rPr>
        <w:noProof/>
        <w:lang w:eastAsia="ru-RU"/>
      </w:rPr>
      <mc:AlternateContent>
        <mc:Choice Requires="wps">
          <w:drawing>
            <wp:anchor distT="0" distB="0" distL="114300" distR="114300" simplePos="0" relativeHeight="251651584" behindDoc="0" locked="0" layoutInCell="1" allowOverlap="1" wp14:anchorId="08822615" wp14:editId="03FB9C65">
              <wp:simplePos x="0" y="0"/>
              <wp:positionH relativeFrom="column">
                <wp:posOffset>5250815</wp:posOffset>
              </wp:positionH>
              <wp:positionV relativeFrom="paragraph">
                <wp:posOffset>-387350</wp:posOffset>
              </wp:positionV>
              <wp:extent cx="408940" cy="379095"/>
              <wp:effectExtent l="0" t="0" r="0" b="0"/>
              <wp:wrapNone/>
              <wp:docPr id="17" name="Прямоугольник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08940" cy="379095"/>
                      </a:xfrm>
                      <a:prstGeom prst="rect">
                        <a:avLst/>
                      </a:prstGeom>
                    </wps:spPr>
                    <wps:txbx>
                      <w:txbxContent>
                        <w:p w:rsidR="007E5DFE" w:rsidRPr="009C27DD" w:rsidRDefault="007E5DFE" w:rsidP="009C27DD">
                          <w:pPr>
                            <w:pStyle w:val="afb"/>
                            <w:spacing w:before="0" w:beforeAutospacing="0" w:after="0" w:afterAutospacing="0"/>
                            <w:textAlignment w:val="baseline"/>
                            <w:rPr>
                              <w:color w:val="003300"/>
                            </w:rPr>
                          </w:pPr>
                          <w:r w:rsidRPr="009C27DD">
                            <w:rPr>
                              <w:color w:val="003300"/>
                              <w:kern w:val="24"/>
                              <w:sz w:val="40"/>
                              <w:szCs w:val="40"/>
                            </w:rPr>
                            <w:t>М</w:t>
                          </w:r>
                        </w:p>
                      </w:txbxContent>
                    </wps:txbx>
                    <wps:bodyPr wrap="none">
                      <a:normAutofit lnSpcReduction="10000"/>
                    </wps:bodyPr>
                  </wps:wsp>
                </a:graphicData>
              </a:graphic>
              <wp14:sizeRelH relativeFrom="page">
                <wp14:pctWidth>0</wp14:pctWidth>
              </wp14:sizeRelH>
              <wp14:sizeRelV relativeFrom="page">
                <wp14:pctHeight>0</wp14:pctHeight>
              </wp14:sizeRelV>
            </wp:anchor>
          </w:drawing>
        </mc:Choice>
        <mc:Fallback>
          <w:pict>
            <v:rect id="Прямоугольник 16" o:spid="_x0000_s1047" style="position:absolute;margin-left:413.45pt;margin-top:-30.5pt;width:32.2pt;height:29.8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" filled="f" stroked="f">
              <v:path arrowok="t"/>
              <o:lock v:ext="edit" aspectratio="t"/>
              <v:textbox>
                <w:txbxContent>
                  <w:p w:rsidR="007E5DFE" w:rsidRPr="009C27DD" w:rsidRDefault="007E5DFE" w:rsidP="009C27DD">
                    <w:pPr>
                      <w:pStyle w:val="afb"/>
                      <w:spacing w:before="0" w:beforeAutospacing="0" w:after="0" w:afterAutospacing="0"/>
                      <w:textAlignment w:val="baseline"/>
                      <w:rPr>
                        <w:color w:val="003300"/>
                      </w:rPr>
                    </w:pPr>
                    <w:r w:rsidRPr="009C27DD">
                      <w:rPr>
                        <w:color w:val="003300"/>
                        <w:kern w:val="24"/>
                        <w:sz w:val="40"/>
                        <w:szCs w:val="40"/>
                      </w:rPr>
                      <w:t>М</w:t>
                    </w:r>
                  </w:p>
                </w:txbxContent>
              </v:textbox>
            </v:rect>
          </w:pict>
        </mc:Fallback>
      </mc:AlternateContent>
    </w:r>
    <w:r>
      <w:rPr>
        <w:noProof/>
        <w:lang w:eastAsia="ru-RU"/>
      </w:rPr>
      <mc:AlternateContent>
        <mc:Choice Requires="wps">
          <w:drawing>
            <wp:anchor distT="0" distB="0" distL="114300" distR="114300" simplePos="0" relativeHeight="251674112" behindDoc="0" locked="0" layoutInCell="1" allowOverlap="1" wp14:anchorId="66AB7AF9" wp14:editId="5B9989B5">
              <wp:simplePos x="0" y="0"/>
              <wp:positionH relativeFrom="column">
                <wp:posOffset>5652135</wp:posOffset>
              </wp:positionH>
              <wp:positionV relativeFrom="paragraph">
                <wp:posOffset>-362585</wp:posOffset>
              </wp:positionV>
              <wp:extent cx="250825" cy="325120"/>
              <wp:effectExtent l="0" t="0" r="0" b="0"/>
              <wp:wrapNone/>
              <wp:docPr id="18" name="Прямоугольник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082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DFE" w:rsidRPr="009C27DD" w:rsidRDefault="007E5DFE" w:rsidP="009C27DD">
                          <w:pPr>
                            <w:pStyle w:val="afb"/>
                            <w:spacing w:before="0" w:beforeAutospacing="0" w:after="0" w:afterAutospacing="0"/>
                            <w:textAlignment w:val="baseline"/>
                            <w:rPr>
                              <w:color w:val="003300"/>
                            </w:rPr>
                          </w:pPr>
                          <w:r w:rsidRPr="009C27DD">
                            <w:rPr>
                              <w:color w:val="003300"/>
                              <w:kern w:val="24"/>
                              <w:sz w:val="32"/>
                              <w:szCs w:val="32"/>
                            </w:rPr>
                            <w:t>]</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48" style="position:absolute;margin-left:445.05pt;margin-top:-28.55pt;width:19.75pt;height:25.6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" filled="f" stroked="f">
              <o:lock v:ext="edit" aspectratio="t"/>
              <v:textbox style="mso-fit-shape-to-text:t">
                <w:txbxContent>
                  <w:p w:rsidR="007E5DFE" w:rsidRPr="009C27DD" w:rsidRDefault="007E5DFE" w:rsidP="009C27DD">
                    <w:pPr>
                      <w:pStyle w:val="afb"/>
                      <w:spacing w:before="0" w:beforeAutospacing="0" w:after="0" w:afterAutospacing="0"/>
                      <w:textAlignment w:val="baseline"/>
                      <w:rPr>
                        <w:color w:val="003300"/>
                      </w:rPr>
                    </w:pPr>
                    <w:r w:rsidRPr="009C27DD">
                      <w:rPr>
                        <w:color w:val="003300"/>
                        <w:kern w:val="24"/>
                        <w:sz w:val="32"/>
                        <w:szCs w:val="32"/>
                      </w:rPr>
                      <w:t>]</w:t>
                    </w:r>
                  </w:p>
                </w:txbxContent>
              </v:textbox>
            </v:rect>
          </w:pict>
        </mc:Fallback>
      </mc:AlternateContent>
    </w:r>
    <w:r>
      <w:rPr>
        <w:noProof/>
        <w:lang w:eastAsia="ru-RU"/>
      </w:rPr>
      <mc:AlternateContent>
        <mc:Choice Requires="wps">
          <w:drawing>
            <wp:anchor distT="0" distB="0" distL="114300" distR="114300" simplePos="0" relativeHeight="251640320" behindDoc="0" locked="0" layoutInCell="1" allowOverlap="1" wp14:anchorId="2C44CA22" wp14:editId="660B4AF9">
              <wp:simplePos x="0" y="0"/>
              <wp:positionH relativeFrom="column">
                <wp:posOffset>-36195</wp:posOffset>
              </wp:positionH>
              <wp:positionV relativeFrom="paragraph">
                <wp:posOffset>64770</wp:posOffset>
              </wp:positionV>
              <wp:extent cx="5851525" cy="14605"/>
              <wp:effectExtent l="0" t="0" r="15875" b="2349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1525" cy="14605"/>
                      </a:xfrm>
                      <a:prstGeom prst="line">
                        <a:avLst/>
                      </a:prstGeom>
                      <a:ln w="19050">
                        <a:solidFill>
                          <a:srgbClr val="0033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BEC5EE1" id="Прямая соединительная линия 7"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5.1pt" to="457.9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" strokecolor="#030" strokeweight="1.5pt">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41B01"/>
    <w:multiLevelType w:val="hybridMultilevel"/>
    <w:tmpl w:val="74069B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16828B9"/>
    <w:multiLevelType w:val="hybridMultilevel"/>
    <w:tmpl w:val="164CDF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1B06D82"/>
    <w:multiLevelType w:val="hybridMultilevel"/>
    <w:tmpl w:val="7B0C0646"/>
    <w:lvl w:ilvl="0" w:tplc="0419000F">
      <w:start w:val="1"/>
      <w:numFmt w:val="decimal"/>
      <w:lvlText w:val="%1."/>
      <w:lvlJc w:val="left"/>
      <w:pPr>
        <w:ind w:left="360" w:hanging="360"/>
      </w:pPr>
      <w:rPr>
        <w:rFonts w:hint="default"/>
      </w:rPr>
    </w:lvl>
    <w:lvl w:ilvl="1" w:tplc="04190001">
      <w:start w:val="1"/>
      <w:numFmt w:val="bullet"/>
      <w:lvlText w:val=""/>
      <w:lvlJc w:val="left"/>
      <w:pPr>
        <w:ind w:left="1080" w:hanging="360"/>
      </w:pPr>
      <w:rPr>
        <w:rFonts w:ascii="Symbol" w:hAnsi="Symbol"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2191B14"/>
    <w:multiLevelType w:val="hybridMultilevel"/>
    <w:tmpl w:val="FE6AF2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CF7D0E"/>
    <w:multiLevelType w:val="hybridMultilevel"/>
    <w:tmpl w:val="95EC29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38C3C42"/>
    <w:multiLevelType w:val="hybridMultilevel"/>
    <w:tmpl w:val="065C2F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4695731"/>
    <w:multiLevelType w:val="hybridMultilevel"/>
    <w:tmpl w:val="53147FB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5C3359D"/>
    <w:multiLevelType w:val="hybridMultilevel"/>
    <w:tmpl w:val="2264A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6354826"/>
    <w:multiLevelType w:val="hybridMultilevel"/>
    <w:tmpl w:val="2760E47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091D3EAB"/>
    <w:multiLevelType w:val="hybridMultilevel"/>
    <w:tmpl w:val="E2FC8B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94A7C60"/>
    <w:multiLevelType w:val="hybridMultilevel"/>
    <w:tmpl w:val="752EF11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9C27FA3"/>
    <w:multiLevelType w:val="hybridMultilevel"/>
    <w:tmpl w:val="964C48AE"/>
    <w:lvl w:ilvl="0" w:tplc="C066C532">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0B822016"/>
    <w:multiLevelType w:val="hybridMultilevel"/>
    <w:tmpl w:val="383E18B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150468FB"/>
    <w:multiLevelType w:val="hybridMultilevel"/>
    <w:tmpl w:val="7814F28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18E94D35"/>
    <w:multiLevelType w:val="hybridMultilevel"/>
    <w:tmpl w:val="7D0E20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CB909D1"/>
    <w:multiLevelType w:val="hybridMultilevel"/>
    <w:tmpl w:val="80A26C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1CF77766"/>
    <w:multiLevelType w:val="hybridMultilevel"/>
    <w:tmpl w:val="896C7EE8"/>
    <w:lvl w:ilvl="0" w:tplc="080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E8E6821"/>
    <w:multiLevelType w:val="hybridMultilevel"/>
    <w:tmpl w:val="1AD83E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FB80EAD"/>
    <w:multiLevelType w:val="hybridMultilevel"/>
    <w:tmpl w:val="811A67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23AB10F0"/>
    <w:multiLevelType w:val="hybridMultilevel"/>
    <w:tmpl w:val="E708DB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275A532C"/>
    <w:multiLevelType w:val="hybridMultilevel"/>
    <w:tmpl w:val="2E26B56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1">
    <w:nsid w:val="2AE66BE5"/>
    <w:multiLevelType w:val="hybridMultilevel"/>
    <w:tmpl w:val="E1DEC08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2BCA20F1"/>
    <w:multiLevelType w:val="hybridMultilevel"/>
    <w:tmpl w:val="D2721DD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3">
    <w:nsid w:val="31652C9C"/>
    <w:multiLevelType w:val="hybridMultilevel"/>
    <w:tmpl w:val="FDD4475E"/>
    <w:lvl w:ilvl="0" w:tplc="7F3C8176">
      <w:start w:val="2"/>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327B5235"/>
    <w:multiLevelType w:val="hybridMultilevel"/>
    <w:tmpl w:val="F70C52F6"/>
    <w:lvl w:ilvl="0" w:tplc="080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64A7EF2"/>
    <w:multiLevelType w:val="multilevel"/>
    <w:tmpl w:val="D576A980"/>
    <w:lvl w:ilvl="0">
      <w:start w:val="1"/>
      <w:numFmt w:val="decimal"/>
      <w:lvlText w:val="%1."/>
      <w:lvlJc w:val="left"/>
      <w:pPr>
        <w:ind w:left="360" w:hanging="360"/>
      </w:pPr>
      <w:rPr>
        <w:rFonts w:cs="Times New Roman" w:hint="default"/>
      </w:rPr>
    </w:lvl>
    <w:lvl w:ilvl="1">
      <w:start w:val="1"/>
      <w:numFmt w:val="decimal"/>
      <w:isLgl/>
      <w:lvlText w:val="%1.%2."/>
      <w:lvlJc w:val="left"/>
      <w:pPr>
        <w:ind w:left="720" w:hanging="720"/>
      </w:pPr>
      <w:rPr>
        <w:rFonts w:cs="Times New Roman" w:hint="default"/>
        <w:color w:val="auto"/>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26">
    <w:nsid w:val="375D1B5F"/>
    <w:multiLevelType w:val="hybridMultilevel"/>
    <w:tmpl w:val="61F46B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3768627F"/>
    <w:multiLevelType w:val="multilevel"/>
    <w:tmpl w:val="E39C5C56"/>
    <w:lvl w:ilvl="0">
      <w:start w:val="1"/>
      <w:numFmt w:val="decimal"/>
      <w:lvlText w:val="%1)"/>
      <w:lvlJc w:val="left"/>
      <w:pPr>
        <w:ind w:left="360" w:hanging="360"/>
      </w:pPr>
      <w:rPr>
        <w:rFonts w:cs="Times New Roman" w:hint="default"/>
      </w:rPr>
    </w:lvl>
    <w:lvl w:ilvl="1">
      <w:start w:val="1"/>
      <w:numFmt w:val="russianLow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8">
    <w:nsid w:val="3C23405C"/>
    <w:multiLevelType w:val="hybridMultilevel"/>
    <w:tmpl w:val="8BD889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3D9A0AAF"/>
    <w:multiLevelType w:val="hybridMultilevel"/>
    <w:tmpl w:val="0B2034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EB85F6F"/>
    <w:multiLevelType w:val="hybridMultilevel"/>
    <w:tmpl w:val="D04A2A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3EC832A2"/>
    <w:multiLevelType w:val="hybridMultilevel"/>
    <w:tmpl w:val="03D8B7E0"/>
    <w:lvl w:ilvl="0" w:tplc="09BA741E">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3F8C285A"/>
    <w:multiLevelType w:val="hybridMultilevel"/>
    <w:tmpl w:val="69E4EB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432D491E"/>
    <w:multiLevelType w:val="hybridMultilevel"/>
    <w:tmpl w:val="A7FE3E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46EB5C15"/>
    <w:multiLevelType w:val="multilevel"/>
    <w:tmpl w:val="CB503754"/>
    <w:lvl w:ilvl="0">
      <w:start w:val="1"/>
      <w:numFmt w:val="bullet"/>
      <w:lvlText w:val=""/>
      <w:lvlJc w:val="left"/>
      <w:pPr>
        <w:tabs>
          <w:tab w:val="num" w:pos="1428"/>
        </w:tabs>
        <w:ind w:left="1428" w:hanging="720"/>
      </w:pPr>
      <w:rPr>
        <w:rFonts w:ascii="Symbol" w:hAnsi="Symbol" w:hint="default"/>
      </w:r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35">
    <w:nsid w:val="4793280F"/>
    <w:multiLevelType w:val="hybridMultilevel"/>
    <w:tmpl w:val="05CCD6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481E686C"/>
    <w:multiLevelType w:val="hybridMultilevel"/>
    <w:tmpl w:val="03D8B7E0"/>
    <w:lvl w:ilvl="0" w:tplc="09BA741E">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48995310"/>
    <w:multiLevelType w:val="hybridMultilevel"/>
    <w:tmpl w:val="8B527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8FF26B0"/>
    <w:multiLevelType w:val="hybridMultilevel"/>
    <w:tmpl w:val="EEA491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4AB8415C"/>
    <w:multiLevelType w:val="hybridMultilevel"/>
    <w:tmpl w:val="E21A8CC0"/>
    <w:lvl w:ilvl="0" w:tplc="DE5E7F54">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4CB15BA4"/>
    <w:multiLevelType w:val="hybridMultilevel"/>
    <w:tmpl w:val="EF6235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4E142BC6"/>
    <w:multiLevelType w:val="hybridMultilevel"/>
    <w:tmpl w:val="0458EAEC"/>
    <w:lvl w:ilvl="0" w:tplc="09BA741E">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E1673F6"/>
    <w:multiLevelType w:val="hybridMultilevel"/>
    <w:tmpl w:val="E8B29B04"/>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43">
    <w:nsid w:val="4E7C41BF"/>
    <w:multiLevelType w:val="hybridMultilevel"/>
    <w:tmpl w:val="F718FD3E"/>
    <w:lvl w:ilvl="0" w:tplc="08090017">
      <w:start w:val="1"/>
      <w:numFmt w:val="lowerLetter"/>
      <w:lvlText w:val="%1)"/>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4">
    <w:nsid w:val="4EDE5517"/>
    <w:multiLevelType w:val="hybridMultilevel"/>
    <w:tmpl w:val="35B271A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4F8F6488"/>
    <w:multiLevelType w:val="hybridMultilevel"/>
    <w:tmpl w:val="08E0CA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50D3066D"/>
    <w:multiLevelType w:val="hybridMultilevel"/>
    <w:tmpl w:val="6368FE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1101FE0"/>
    <w:multiLevelType w:val="hybridMultilevel"/>
    <w:tmpl w:val="A906EFD6"/>
    <w:lvl w:ilvl="0" w:tplc="EC9E276C">
      <w:start w:val="1"/>
      <w:numFmt w:val="low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nsid w:val="52804394"/>
    <w:multiLevelType w:val="hybridMultilevel"/>
    <w:tmpl w:val="A45AA582"/>
    <w:lvl w:ilvl="0" w:tplc="080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36767A0"/>
    <w:multiLevelType w:val="hybridMultilevel"/>
    <w:tmpl w:val="51DE33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54371482"/>
    <w:multiLevelType w:val="hybridMultilevel"/>
    <w:tmpl w:val="F25664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55E61C95"/>
    <w:multiLevelType w:val="hybridMultilevel"/>
    <w:tmpl w:val="81FC3DE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578A1C5D"/>
    <w:multiLevelType w:val="hybridMultilevel"/>
    <w:tmpl w:val="C71CF664"/>
    <w:lvl w:ilvl="0" w:tplc="EFA412E8">
      <w:start w:val="1"/>
      <w:numFmt w:val="low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
    <w:nsid w:val="5965317A"/>
    <w:multiLevelType w:val="hybridMultilevel"/>
    <w:tmpl w:val="AD6A5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A873404"/>
    <w:multiLevelType w:val="hybridMultilevel"/>
    <w:tmpl w:val="64580F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nsid w:val="5DBA760C"/>
    <w:multiLevelType w:val="hybridMultilevel"/>
    <w:tmpl w:val="F84E69F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5DDE458D"/>
    <w:multiLevelType w:val="hybridMultilevel"/>
    <w:tmpl w:val="2F60C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F8362CF"/>
    <w:multiLevelType w:val="hybridMultilevel"/>
    <w:tmpl w:val="CAC44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49F7338"/>
    <w:multiLevelType w:val="hybridMultilevel"/>
    <w:tmpl w:val="E50CB2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65ED12DF"/>
    <w:multiLevelType w:val="hybridMultilevel"/>
    <w:tmpl w:val="3A1A87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685A1C30"/>
    <w:multiLevelType w:val="multilevel"/>
    <w:tmpl w:val="9DBCC9BE"/>
    <w:lvl w:ilvl="0">
      <w:start w:val="1"/>
      <w:numFmt w:val="decimal"/>
      <w:lvlText w:val="%1."/>
      <w:lvlJc w:val="left"/>
      <w:pPr>
        <w:ind w:left="360" w:hanging="360"/>
      </w:pPr>
      <w:rPr>
        <w:rFonts w:ascii="Times New Roman" w:hAnsi="Times New Roman" w:cs="Times New Roman" w:hint="default"/>
        <w:b w:val="0"/>
        <w:color w:val="auto"/>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61">
    <w:nsid w:val="698B34DE"/>
    <w:multiLevelType w:val="hybridMultilevel"/>
    <w:tmpl w:val="C4801394"/>
    <w:lvl w:ilvl="0" w:tplc="080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9B879AE"/>
    <w:multiLevelType w:val="hybridMultilevel"/>
    <w:tmpl w:val="D9C86E98"/>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63">
    <w:nsid w:val="6D0B159B"/>
    <w:multiLevelType w:val="multilevel"/>
    <w:tmpl w:val="F38028CC"/>
    <w:styleLink w:val="2"/>
    <w:lvl w:ilvl="0">
      <w:start w:val="1"/>
      <w:numFmt w:val="decimal"/>
      <w:suff w:val="space"/>
      <w:lvlText w:val="%1."/>
      <w:lvlJc w:val="left"/>
      <w:pPr>
        <w:ind w:left="11" w:hanging="11"/>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64">
    <w:nsid w:val="721325C2"/>
    <w:multiLevelType w:val="hybridMultilevel"/>
    <w:tmpl w:val="5E8812F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75076694"/>
    <w:multiLevelType w:val="hybridMultilevel"/>
    <w:tmpl w:val="1FC4E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7845263"/>
    <w:multiLevelType w:val="hybridMultilevel"/>
    <w:tmpl w:val="34946886"/>
    <w:lvl w:ilvl="0" w:tplc="080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7">
    <w:nsid w:val="78036B45"/>
    <w:multiLevelType w:val="multilevel"/>
    <w:tmpl w:val="2B723D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8">
    <w:nsid w:val="78302B8E"/>
    <w:multiLevelType w:val="hybridMultilevel"/>
    <w:tmpl w:val="26A04D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7F756D53"/>
    <w:multiLevelType w:val="hybridMultilevel"/>
    <w:tmpl w:val="8EE6757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0">
    <w:nsid w:val="7F7F7FE2"/>
    <w:multiLevelType w:val="multilevel"/>
    <w:tmpl w:val="C854E434"/>
    <w:styleLink w:val="1"/>
    <w:lvl w:ilvl="0">
      <w:start w:val="1"/>
      <w:numFmt w:val="decimal"/>
      <w:suff w:val="space"/>
      <w:lvlText w:val="%1."/>
      <w:lvlJc w:val="left"/>
      <w:pPr>
        <w:ind w:left="36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num w:numId="1">
    <w:abstractNumId w:val="70"/>
  </w:num>
  <w:num w:numId="2">
    <w:abstractNumId w:val="63"/>
  </w:num>
  <w:num w:numId="3">
    <w:abstractNumId w:val="25"/>
  </w:num>
  <w:num w:numId="4">
    <w:abstractNumId w:val="60"/>
  </w:num>
  <w:num w:numId="5">
    <w:abstractNumId w:val="27"/>
  </w:num>
  <w:num w:numId="6">
    <w:abstractNumId w:val="49"/>
  </w:num>
  <w:num w:numId="7">
    <w:abstractNumId w:val="68"/>
  </w:num>
  <w:num w:numId="8">
    <w:abstractNumId w:val="45"/>
  </w:num>
  <w:num w:numId="9">
    <w:abstractNumId w:val="26"/>
  </w:num>
  <w:num w:numId="10">
    <w:abstractNumId w:val="64"/>
  </w:num>
  <w:num w:numId="11">
    <w:abstractNumId w:val="40"/>
  </w:num>
  <w:num w:numId="12">
    <w:abstractNumId w:val="65"/>
  </w:num>
  <w:num w:numId="13">
    <w:abstractNumId w:val="28"/>
  </w:num>
  <w:num w:numId="14">
    <w:abstractNumId w:val="1"/>
  </w:num>
  <w:num w:numId="15">
    <w:abstractNumId w:val="9"/>
  </w:num>
  <w:num w:numId="16">
    <w:abstractNumId w:val="50"/>
  </w:num>
  <w:num w:numId="17">
    <w:abstractNumId w:val="38"/>
  </w:num>
  <w:num w:numId="18">
    <w:abstractNumId w:val="52"/>
  </w:num>
  <w:num w:numId="19">
    <w:abstractNumId w:val="11"/>
  </w:num>
  <w:num w:numId="20">
    <w:abstractNumId w:val="23"/>
  </w:num>
  <w:num w:numId="21">
    <w:abstractNumId w:val="10"/>
  </w:num>
  <w:num w:numId="22">
    <w:abstractNumId w:val="15"/>
  </w:num>
  <w:num w:numId="23">
    <w:abstractNumId w:val="35"/>
  </w:num>
  <w:num w:numId="24">
    <w:abstractNumId w:val="8"/>
  </w:num>
  <w:num w:numId="25">
    <w:abstractNumId w:val="17"/>
  </w:num>
  <w:num w:numId="26">
    <w:abstractNumId w:val="51"/>
  </w:num>
  <w:num w:numId="27">
    <w:abstractNumId w:val="33"/>
  </w:num>
  <w:num w:numId="28">
    <w:abstractNumId w:val="47"/>
  </w:num>
  <w:num w:numId="29">
    <w:abstractNumId w:val="69"/>
  </w:num>
  <w:num w:numId="30">
    <w:abstractNumId w:val="20"/>
  </w:num>
  <w:num w:numId="31">
    <w:abstractNumId w:val="22"/>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9"/>
  </w:num>
  <w:num w:numId="34">
    <w:abstractNumId w:val="13"/>
  </w:num>
  <w:num w:numId="35">
    <w:abstractNumId w:val="5"/>
  </w:num>
  <w:num w:numId="36">
    <w:abstractNumId w:val="30"/>
  </w:num>
  <w:num w:numId="37">
    <w:abstractNumId w:val="46"/>
  </w:num>
  <w:num w:numId="38">
    <w:abstractNumId w:val="66"/>
  </w:num>
  <w:num w:numId="39">
    <w:abstractNumId w:val="31"/>
  </w:num>
  <w:num w:numId="40">
    <w:abstractNumId w:val="12"/>
  </w:num>
  <w:num w:numId="41">
    <w:abstractNumId w:val="21"/>
  </w:num>
  <w:num w:numId="42">
    <w:abstractNumId w:val="2"/>
  </w:num>
  <w:num w:numId="43">
    <w:abstractNumId w:val="29"/>
  </w:num>
  <w:num w:numId="44">
    <w:abstractNumId w:val="44"/>
  </w:num>
  <w:num w:numId="45">
    <w:abstractNumId w:val="36"/>
  </w:num>
  <w:num w:numId="46">
    <w:abstractNumId w:val="41"/>
  </w:num>
  <w:num w:numId="47">
    <w:abstractNumId w:val="6"/>
  </w:num>
  <w:num w:numId="48">
    <w:abstractNumId w:val="0"/>
  </w:num>
  <w:num w:numId="49">
    <w:abstractNumId w:val="67"/>
  </w:num>
  <w:num w:numId="5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8"/>
  </w:num>
  <w:num w:numId="52">
    <w:abstractNumId w:val="43"/>
  </w:num>
  <w:num w:numId="53">
    <w:abstractNumId w:val="61"/>
  </w:num>
  <w:num w:numId="54">
    <w:abstractNumId w:val="16"/>
  </w:num>
  <w:num w:numId="55">
    <w:abstractNumId w:val="24"/>
  </w:num>
  <w:num w:numId="56">
    <w:abstractNumId w:val="34"/>
  </w:num>
  <w:num w:numId="57">
    <w:abstractNumId w:val="3"/>
  </w:num>
  <w:num w:numId="58">
    <w:abstractNumId w:val="56"/>
  </w:num>
  <w:num w:numId="59">
    <w:abstractNumId w:val="53"/>
  </w:num>
  <w:num w:numId="60">
    <w:abstractNumId w:val="37"/>
  </w:num>
  <w:num w:numId="61">
    <w:abstractNumId w:val="62"/>
  </w:num>
  <w:num w:numId="62">
    <w:abstractNumId w:val="59"/>
  </w:num>
  <w:num w:numId="63">
    <w:abstractNumId w:val="57"/>
  </w:num>
  <w:num w:numId="64">
    <w:abstractNumId w:val="54"/>
  </w:num>
  <w:num w:numId="65">
    <w:abstractNumId w:val="58"/>
  </w:num>
  <w:num w:numId="66">
    <w:abstractNumId w:val="19"/>
  </w:num>
  <w:num w:numId="67">
    <w:abstractNumId w:val="14"/>
  </w:num>
  <w:num w:numId="68">
    <w:abstractNumId w:val="55"/>
  </w:num>
  <w:num w:numId="69">
    <w:abstractNumId w:val="7"/>
  </w:num>
  <w:num w:numId="70">
    <w:abstractNumId w:val="42"/>
  </w:num>
  <w:num w:numId="71">
    <w:abstractNumId w:val="4"/>
  </w:num>
  <w:num w:numId="72">
    <w:abstractNumId w:val="32"/>
  </w:num>
  <w:num w:numId="73">
    <w:abstractNumId w:val="1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09"/>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8BF"/>
    <w:rsid w:val="0000010E"/>
    <w:rsid w:val="00000872"/>
    <w:rsid w:val="000017F3"/>
    <w:rsid w:val="00001C3A"/>
    <w:rsid w:val="00001D23"/>
    <w:rsid w:val="00001EA8"/>
    <w:rsid w:val="000023E2"/>
    <w:rsid w:val="00002799"/>
    <w:rsid w:val="000028CE"/>
    <w:rsid w:val="00003094"/>
    <w:rsid w:val="00004653"/>
    <w:rsid w:val="00004819"/>
    <w:rsid w:val="00004AE4"/>
    <w:rsid w:val="00004D2F"/>
    <w:rsid w:val="00005AA0"/>
    <w:rsid w:val="00005E3C"/>
    <w:rsid w:val="0000631F"/>
    <w:rsid w:val="00006FDF"/>
    <w:rsid w:val="00007A72"/>
    <w:rsid w:val="000103B9"/>
    <w:rsid w:val="00011327"/>
    <w:rsid w:val="000115A9"/>
    <w:rsid w:val="00011A6A"/>
    <w:rsid w:val="00011F23"/>
    <w:rsid w:val="0001252B"/>
    <w:rsid w:val="00013E27"/>
    <w:rsid w:val="000140B0"/>
    <w:rsid w:val="00014650"/>
    <w:rsid w:val="00014E7C"/>
    <w:rsid w:val="00014F3C"/>
    <w:rsid w:val="00015CB6"/>
    <w:rsid w:val="00015FC3"/>
    <w:rsid w:val="00016543"/>
    <w:rsid w:val="00016A2D"/>
    <w:rsid w:val="00016FDC"/>
    <w:rsid w:val="00017037"/>
    <w:rsid w:val="0001725B"/>
    <w:rsid w:val="00017577"/>
    <w:rsid w:val="000176BD"/>
    <w:rsid w:val="0001782B"/>
    <w:rsid w:val="00017D95"/>
    <w:rsid w:val="00020071"/>
    <w:rsid w:val="0002076E"/>
    <w:rsid w:val="00020FA0"/>
    <w:rsid w:val="00021832"/>
    <w:rsid w:val="00021CDC"/>
    <w:rsid w:val="000224B9"/>
    <w:rsid w:val="00022A47"/>
    <w:rsid w:val="00022B60"/>
    <w:rsid w:val="00023B2F"/>
    <w:rsid w:val="00023DC0"/>
    <w:rsid w:val="0002498E"/>
    <w:rsid w:val="000256AA"/>
    <w:rsid w:val="000258CE"/>
    <w:rsid w:val="00025A48"/>
    <w:rsid w:val="00025C31"/>
    <w:rsid w:val="000272FA"/>
    <w:rsid w:val="00027B56"/>
    <w:rsid w:val="00027E63"/>
    <w:rsid w:val="000306BF"/>
    <w:rsid w:val="00031193"/>
    <w:rsid w:val="0003123D"/>
    <w:rsid w:val="000314D8"/>
    <w:rsid w:val="00031840"/>
    <w:rsid w:val="00031885"/>
    <w:rsid w:val="00032F58"/>
    <w:rsid w:val="0003353B"/>
    <w:rsid w:val="0003367B"/>
    <w:rsid w:val="00033BAE"/>
    <w:rsid w:val="00033D08"/>
    <w:rsid w:val="00034334"/>
    <w:rsid w:val="00034974"/>
    <w:rsid w:val="00035175"/>
    <w:rsid w:val="00035535"/>
    <w:rsid w:val="000359C9"/>
    <w:rsid w:val="000362E4"/>
    <w:rsid w:val="00036736"/>
    <w:rsid w:val="00036C37"/>
    <w:rsid w:val="00036DF2"/>
    <w:rsid w:val="00037101"/>
    <w:rsid w:val="00037416"/>
    <w:rsid w:val="00037F42"/>
    <w:rsid w:val="00040317"/>
    <w:rsid w:val="00040D70"/>
    <w:rsid w:val="00040DA3"/>
    <w:rsid w:val="00041642"/>
    <w:rsid w:val="0004221C"/>
    <w:rsid w:val="00042555"/>
    <w:rsid w:val="00042596"/>
    <w:rsid w:val="00042777"/>
    <w:rsid w:val="000431D2"/>
    <w:rsid w:val="00043BCA"/>
    <w:rsid w:val="00043CD1"/>
    <w:rsid w:val="00043F71"/>
    <w:rsid w:val="000444CB"/>
    <w:rsid w:val="000448B0"/>
    <w:rsid w:val="00045A02"/>
    <w:rsid w:val="0004645E"/>
    <w:rsid w:val="00046C30"/>
    <w:rsid w:val="00046C41"/>
    <w:rsid w:val="00047C1E"/>
    <w:rsid w:val="00050D4C"/>
    <w:rsid w:val="00051068"/>
    <w:rsid w:val="00051395"/>
    <w:rsid w:val="00051B51"/>
    <w:rsid w:val="00051E60"/>
    <w:rsid w:val="00052317"/>
    <w:rsid w:val="00052587"/>
    <w:rsid w:val="00052D51"/>
    <w:rsid w:val="00052E96"/>
    <w:rsid w:val="00052F44"/>
    <w:rsid w:val="0005335D"/>
    <w:rsid w:val="00053455"/>
    <w:rsid w:val="00053503"/>
    <w:rsid w:val="00053516"/>
    <w:rsid w:val="00054309"/>
    <w:rsid w:val="00054632"/>
    <w:rsid w:val="00054CB5"/>
    <w:rsid w:val="00054D56"/>
    <w:rsid w:val="000556B8"/>
    <w:rsid w:val="0005585E"/>
    <w:rsid w:val="0005595D"/>
    <w:rsid w:val="00055FEF"/>
    <w:rsid w:val="00056A93"/>
    <w:rsid w:val="00057368"/>
    <w:rsid w:val="00057C2E"/>
    <w:rsid w:val="00060155"/>
    <w:rsid w:val="000602FB"/>
    <w:rsid w:val="00060525"/>
    <w:rsid w:val="000606A5"/>
    <w:rsid w:val="0006079D"/>
    <w:rsid w:val="000607B9"/>
    <w:rsid w:val="00060CB6"/>
    <w:rsid w:val="00060DA6"/>
    <w:rsid w:val="000610D7"/>
    <w:rsid w:val="0006132E"/>
    <w:rsid w:val="00061634"/>
    <w:rsid w:val="000616F4"/>
    <w:rsid w:val="00061755"/>
    <w:rsid w:val="000627E3"/>
    <w:rsid w:val="00062B9A"/>
    <w:rsid w:val="00062E5B"/>
    <w:rsid w:val="00062F25"/>
    <w:rsid w:val="000641B4"/>
    <w:rsid w:val="000646A2"/>
    <w:rsid w:val="0006474B"/>
    <w:rsid w:val="00064FE9"/>
    <w:rsid w:val="00065341"/>
    <w:rsid w:val="000653FF"/>
    <w:rsid w:val="00065C6A"/>
    <w:rsid w:val="00065CD1"/>
    <w:rsid w:val="000671E2"/>
    <w:rsid w:val="00067697"/>
    <w:rsid w:val="000678DC"/>
    <w:rsid w:val="00070A09"/>
    <w:rsid w:val="0007119A"/>
    <w:rsid w:val="00071474"/>
    <w:rsid w:val="00071627"/>
    <w:rsid w:val="00071FA4"/>
    <w:rsid w:val="00072306"/>
    <w:rsid w:val="000726B4"/>
    <w:rsid w:val="0007274B"/>
    <w:rsid w:val="00072A5B"/>
    <w:rsid w:val="00072A71"/>
    <w:rsid w:val="00072CA9"/>
    <w:rsid w:val="00072EC5"/>
    <w:rsid w:val="00072F64"/>
    <w:rsid w:val="00073223"/>
    <w:rsid w:val="0007359E"/>
    <w:rsid w:val="00073EDC"/>
    <w:rsid w:val="00073FF5"/>
    <w:rsid w:val="0007495D"/>
    <w:rsid w:val="000749A4"/>
    <w:rsid w:val="00074A74"/>
    <w:rsid w:val="00074C38"/>
    <w:rsid w:val="0007520D"/>
    <w:rsid w:val="0007579B"/>
    <w:rsid w:val="0007588E"/>
    <w:rsid w:val="00075F6A"/>
    <w:rsid w:val="0007600D"/>
    <w:rsid w:val="0007673F"/>
    <w:rsid w:val="00076CF5"/>
    <w:rsid w:val="000801E8"/>
    <w:rsid w:val="00081009"/>
    <w:rsid w:val="00081152"/>
    <w:rsid w:val="00081231"/>
    <w:rsid w:val="00081B8C"/>
    <w:rsid w:val="000824BD"/>
    <w:rsid w:val="00082ECE"/>
    <w:rsid w:val="000837AD"/>
    <w:rsid w:val="00083AC5"/>
    <w:rsid w:val="00083BF1"/>
    <w:rsid w:val="00083D8A"/>
    <w:rsid w:val="000840C1"/>
    <w:rsid w:val="000847DC"/>
    <w:rsid w:val="000848BB"/>
    <w:rsid w:val="000849DA"/>
    <w:rsid w:val="00085340"/>
    <w:rsid w:val="0008562B"/>
    <w:rsid w:val="00085697"/>
    <w:rsid w:val="00085727"/>
    <w:rsid w:val="00085A3D"/>
    <w:rsid w:val="0008618F"/>
    <w:rsid w:val="000875D0"/>
    <w:rsid w:val="0008773D"/>
    <w:rsid w:val="00087F95"/>
    <w:rsid w:val="00090244"/>
    <w:rsid w:val="00090280"/>
    <w:rsid w:val="000906B6"/>
    <w:rsid w:val="00090D3D"/>
    <w:rsid w:val="00090F12"/>
    <w:rsid w:val="00090F53"/>
    <w:rsid w:val="00090F62"/>
    <w:rsid w:val="00091989"/>
    <w:rsid w:val="00091BC8"/>
    <w:rsid w:val="00092181"/>
    <w:rsid w:val="0009281D"/>
    <w:rsid w:val="00092D46"/>
    <w:rsid w:val="00092DC4"/>
    <w:rsid w:val="00092ECB"/>
    <w:rsid w:val="00093087"/>
    <w:rsid w:val="00093196"/>
    <w:rsid w:val="00093332"/>
    <w:rsid w:val="00093D7E"/>
    <w:rsid w:val="000940E8"/>
    <w:rsid w:val="00094DF6"/>
    <w:rsid w:val="00094FF8"/>
    <w:rsid w:val="00095154"/>
    <w:rsid w:val="000951C5"/>
    <w:rsid w:val="00095220"/>
    <w:rsid w:val="00095734"/>
    <w:rsid w:val="000965A0"/>
    <w:rsid w:val="0009681E"/>
    <w:rsid w:val="000974EF"/>
    <w:rsid w:val="0009768C"/>
    <w:rsid w:val="00097978"/>
    <w:rsid w:val="000A00FB"/>
    <w:rsid w:val="000A031A"/>
    <w:rsid w:val="000A072C"/>
    <w:rsid w:val="000A0D1F"/>
    <w:rsid w:val="000A0D7A"/>
    <w:rsid w:val="000A1107"/>
    <w:rsid w:val="000A14CB"/>
    <w:rsid w:val="000A1680"/>
    <w:rsid w:val="000A16E5"/>
    <w:rsid w:val="000A1B54"/>
    <w:rsid w:val="000A1D5C"/>
    <w:rsid w:val="000A1F47"/>
    <w:rsid w:val="000A2975"/>
    <w:rsid w:val="000A3376"/>
    <w:rsid w:val="000A3916"/>
    <w:rsid w:val="000A46F5"/>
    <w:rsid w:val="000A4AEB"/>
    <w:rsid w:val="000A4E6E"/>
    <w:rsid w:val="000A4ECF"/>
    <w:rsid w:val="000A5730"/>
    <w:rsid w:val="000A580D"/>
    <w:rsid w:val="000A5A64"/>
    <w:rsid w:val="000A6843"/>
    <w:rsid w:val="000A7422"/>
    <w:rsid w:val="000A7C0E"/>
    <w:rsid w:val="000A7E34"/>
    <w:rsid w:val="000B035F"/>
    <w:rsid w:val="000B039B"/>
    <w:rsid w:val="000B12AC"/>
    <w:rsid w:val="000B1699"/>
    <w:rsid w:val="000B1CB4"/>
    <w:rsid w:val="000B1D09"/>
    <w:rsid w:val="000B2168"/>
    <w:rsid w:val="000B233C"/>
    <w:rsid w:val="000B2A2C"/>
    <w:rsid w:val="000B3559"/>
    <w:rsid w:val="000B3761"/>
    <w:rsid w:val="000B48C1"/>
    <w:rsid w:val="000B490B"/>
    <w:rsid w:val="000B4B18"/>
    <w:rsid w:val="000B4F32"/>
    <w:rsid w:val="000B507E"/>
    <w:rsid w:val="000B52E9"/>
    <w:rsid w:val="000B5875"/>
    <w:rsid w:val="000B5C93"/>
    <w:rsid w:val="000B65D1"/>
    <w:rsid w:val="000B68FF"/>
    <w:rsid w:val="000B744C"/>
    <w:rsid w:val="000B74EB"/>
    <w:rsid w:val="000B7DCC"/>
    <w:rsid w:val="000C08B6"/>
    <w:rsid w:val="000C0CA6"/>
    <w:rsid w:val="000C0D77"/>
    <w:rsid w:val="000C0F85"/>
    <w:rsid w:val="000C11EA"/>
    <w:rsid w:val="000C1EFB"/>
    <w:rsid w:val="000C2253"/>
    <w:rsid w:val="000C253E"/>
    <w:rsid w:val="000C2702"/>
    <w:rsid w:val="000C2ADE"/>
    <w:rsid w:val="000C3F3A"/>
    <w:rsid w:val="000C4CF2"/>
    <w:rsid w:val="000C4DE9"/>
    <w:rsid w:val="000C515D"/>
    <w:rsid w:val="000C521F"/>
    <w:rsid w:val="000C5278"/>
    <w:rsid w:val="000C5783"/>
    <w:rsid w:val="000C5AAA"/>
    <w:rsid w:val="000C5DCA"/>
    <w:rsid w:val="000C6682"/>
    <w:rsid w:val="000C6C4F"/>
    <w:rsid w:val="000C7000"/>
    <w:rsid w:val="000C797A"/>
    <w:rsid w:val="000C7A95"/>
    <w:rsid w:val="000C7C50"/>
    <w:rsid w:val="000D05BA"/>
    <w:rsid w:val="000D10B1"/>
    <w:rsid w:val="000D135E"/>
    <w:rsid w:val="000D1402"/>
    <w:rsid w:val="000D16FE"/>
    <w:rsid w:val="000D1920"/>
    <w:rsid w:val="000D2840"/>
    <w:rsid w:val="000D28C0"/>
    <w:rsid w:val="000D2F45"/>
    <w:rsid w:val="000D34DF"/>
    <w:rsid w:val="000D3E9B"/>
    <w:rsid w:val="000D4739"/>
    <w:rsid w:val="000D49FE"/>
    <w:rsid w:val="000D4A32"/>
    <w:rsid w:val="000D4AA6"/>
    <w:rsid w:val="000D51C3"/>
    <w:rsid w:val="000D62BB"/>
    <w:rsid w:val="000D65A4"/>
    <w:rsid w:val="000D66CD"/>
    <w:rsid w:val="000D67A5"/>
    <w:rsid w:val="000D6AE4"/>
    <w:rsid w:val="000D6CF9"/>
    <w:rsid w:val="000D6DB0"/>
    <w:rsid w:val="000D6FE5"/>
    <w:rsid w:val="000D700E"/>
    <w:rsid w:val="000D7027"/>
    <w:rsid w:val="000D7673"/>
    <w:rsid w:val="000D76BD"/>
    <w:rsid w:val="000D7966"/>
    <w:rsid w:val="000D7FAE"/>
    <w:rsid w:val="000E1324"/>
    <w:rsid w:val="000E16EC"/>
    <w:rsid w:val="000E24D7"/>
    <w:rsid w:val="000E25CA"/>
    <w:rsid w:val="000E28D3"/>
    <w:rsid w:val="000E298F"/>
    <w:rsid w:val="000E3CBF"/>
    <w:rsid w:val="000E40FB"/>
    <w:rsid w:val="000E42A1"/>
    <w:rsid w:val="000E52FC"/>
    <w:rsid w:val="000E5562"/>
    <w:rsid w:val="000E5C67"/>
    <w:rsid w:val="000E5DA0"/>
    <w:rsid w:val="000E61C4"/>
    <w:rsid w:val="000E6251"/>
    <w:rsid w:val="000E6828"/>
    <w:rsid w:val="000E767A"/>
    <w:rsid w:val="000E7A48"/>
    <w:rsid w:val="000E7BA4"/>
    <w:rsid w:val="000F015F"/>
    <w:rsid w:val="000F0217"/>
    <w:rsid w:val="000F04F9"/>
    <w:rsid w:val="000F0844"/>
    <w:rsid w:val="000F0A58"/>
    <w:rsid w:val="000F1232"/>
    <w:rsid w:val="000F14CA"/>
    <w:rsid w:val="000F15B6"/>
    <w:rsid w:val="000F1946"/>
    <w:rsid w:val="000F19DF"/>
    <w:rsid w:val="000F25D6"/>
    <w:rsid w:val="000F2F41"/>
    <w:rsid w:val="000F3393"/>
    <w:rsid w:val="000F3E5E"/>
    <w:rsid w:val="000F4773"/>
    <w:rsid w:val="000F4A32"/>
    <w:rsid w:val="000F538B"/>
    <w:rsid w:val="000F5F67"/>
    <w:rsid w:val="000F5FF5"/>
    <w:rsid w:val="000F71E3"/>
    <w:rsid w:val="000F76EF"/>
    <w:rsid w:val="000F79E8"/>
    <w:rsid w:val="000F7B91"/>
    <w:rsid w:val="00101B6A"/>
    <w:rsid w:val="00101F1F"/>
    <w:rsid w:val="00102223"/>
    <w:rsid w:val="00102372"/>
    <w:rsid w:val="00102FBB"/>
    <w:rsid w:val="0010485C"/>
    <w:rsid w:val="00104DDB"/>
    <w:rsid w:val="0010507D"/>
    <w:rsid w:val="001050B2"/>
    <w:rsid w:val="001052C5"/>
    <w:rsid w:val="00105334"/>
    <w:rsid w:val="00105613"/>
    <w:rsid w:val="00105B90"/>
    <w:rsid w:val="00106008"/>
    <w:rsid w:val="00106363"/>
    <w:rsid w:val="00106E39"/>
    <w:rsid w:val="0010740A"/>
    <w:rsid w:val="001077ED"/>
    <w:rsid w:val="00107A96"/>
    <w:rsid w:val="00107BAD"/>
    <w:rsid w:val="00110BB2"/>
    <w:rsid w:val="00111138"/>
    <w:rsid w:val="00111211"/>
    <w:rsid w:val="001114BF"/>
    <w:rsid w:val="00111824"/>
    <w:rsid w:val="001127A6"/>
    <w:rsid w:val="00112959"/>
    <w:rsid w:val="00112C68"/>
    <w:rsid w:val="001131A8"/>
    <w:rsid w:val="00113267"/>
    <w:rsid w:val="00113474"/>
    <w:rsid w:val="0011390D"/>
    <w:rsid w:val="00113BEF"/>
    <w:rsid w:val="00113C27"/>
    <w:rsid w:val="001140BD"/>
    <w:rsid w:val="0011512D"/>
    <w:rsid w:val="00115E1A"/>
    <w:rsid w:val="0011615E"/>
    <w:rsid w:val="001164A2"/>
    <w:rsid w:val="00116506"/>
    <w:rsid w:val="00116B13"/>
    <w:rsid w:val="00116F61"/>
    <w:rsid w:val="00117BB2"/>
    <w:rsid w:val="001204DC"/>
    <w:rsid w:val="0012055C"/>
    <w:rsid w:val="001208F4"/>
    <w:rsid w:val="00120A00"/>
    <w:rsid w:val="00120E81"/>
    <w:rsid w:val="00120E91"/>
    <w:rsid w:val="001210CF"/>
    <w:rsid w:val="0012110C"/>
    <w:rsid w:val="00121363"/>
    <w:rsid w:val="00121A13"/>
    <w:rsid w:val="00121B63"/>
    <w:rsid w:val="00121C1C"/>
    <w:rsid w:val="00121D88"/>
    <w:rsid w:val="001222FC"/>
    <w:rsid w:val="00122841"/>
    <w:rsid w:val="00122937"/>
    <w:rsid w:val="00122CE7"/>
    <w:rsid w:val="00122EBE"/>
    <w:rsid w:val="0012312D"/>
    <w:rsid w:val="00123301"/>
    <w:rsid w:val="00123FA7"/>
    <w:rsid w:val="0012466B"/>
    <w:rsid w:val="001247D8"/>
    <w:rsid w:val="00124A14"/>
    <w:rsid w:val="00124B63"/>
    <w:rsid w:val="00124FE5"/>
    <w:rsid w:val="00125016"/>
    <w:rsid w:val="0012524E"/>
    <w:rsid w:val="001260E4"/>
    <w:rsid w:val="0012612E"/>
    <w:rsid w:val="001261B9"/>
    <w:rsid w:val="00126DBB"/>
    <w:rsid w:val="00126FC5"/>
    <w:rsid w:val="0012798F"/>
    <w:rsid w:val="001279D6"/>
    <w:rsid w:val="00127A71"/>
    <w:rsid w:val="001303C2"/>
    <w:rsid w:val="00130BA5"/>
    <w:rsid w:val="00131086"/>
    <w:rsid w:val="00131191"/>
    <w:rsid w:val="001311B7"/>
    <w:rsid w:val="001315B4"/>
    <w:rsid w:val="00131863"/>
    <w:rsid w:val="00131C58"/>
    <w:rsid w:val="00132703"/>
    <w:rsid w:val="00132837"/>
    <w:rsid w:val="001328FC"/>
    <w:rsid w:val="00132E21"/>
    <w:rsid w:val="00132F04"/>
    <w:rsid w:val="001330AA"/>
    <w:rsid w:val="001335CD"/>
    <w:rsid w:val="00133B75"/>
    <w:rsid w:val="00133C3D"/>
    <w:rsid w:val="00133D7F"/>
    <w:rsid w:val="00133F1D"/>
    <w:rsid w:val="00133F3A"/>
    <w:rsid w:val="00134881"/>
    <w:rsid w:val="00134945"/>
    <w:rsid w:val="00134AB0"/>
    <w:rsid w:val="00135288"/>
    <w:rsid w:val="00135E6C"/>
    <w:rsid w:val="00136124"/>
    <w:rsid w:val="0013612F"/>
    <w:rsid w:val="0013671C"/>
    <w:rsid w:val="001367E9"/>
    <w:rsid w:val="00136D20"/>
    <w:rsid w:val="0013700B"/>
    <w:rsid w:val="00137F7B"/>
    <w:rsid w:val="00137FC1"/>
    <w:rsid w:val="0014023C"/>
    <w:rsid w:val="00140BAD"/>
    <w:rsid w:val="0014158E"/>
    <w:rsid w:val="00141C3B"/>
    <w:rsid w:val="00142609"/>
    <w:rsid w:val="0014295C"/>
    <w:rsid w:val="00144180"/>
    <w:rsid w:val="0014432B"/>
    <w:rsid w:val="00144CB1"/>
    <w:rsid w:val="001456EE"/>
    <w:rsid w:val="00145A45"/>
    <w:rsid w:val="00145AC9"/>
    <w:rsid w:val="001469EF"/>
    <w:rsid w:val="0014775A"/>
    <w:rsid w:val="0015016A"/>
    <w:rsid w:val="001504CA"/>
    <w:rsid w:val="001511C4"/>
    <w:rsid w:val="001524F2"/>
    <w:rsid w:val="0015292F"/>
    <w:rsid w:val="00152B98"/>
    <w:rsid w:val="00152C6B"/>
    <w:rsid w:val="00152DE0"/>
    <w:rsid w:val="0015363E"/>
    <w:rsid w:val="00153927"/>
    <w:rsid w:val="00153BDE"/>
    <w:rsid w:val="001542CF"/>
    <w:rsid w:val="0015445D"/>
    <w:rsid w:val="00154843"/>
    <w:rsid w:val="0015637E"/>
    <w:rsid w:val="00156736"/>
    <w:rsid w:val="00156B49"/>
    <w:rsid w:val="00156BE5"/>
    <w:rsid w:val="00156E87"/>
    <w:rsid w:val="00156F13"/>
    <w:rsid w:val="0016000C"/>
    <w:rsid w:val="00160420"/>
    <w:rsid w:val="001608A2"/>
    <w:rsid w:val="00160941"/>
    <w:rsid w:val="00160970"/>
    <w:rsid w:val="00160F8A"/>
    <w:rsid w:val="001612E1"/>
    <w:rsid w:val="001613DC"/>
    <w:rsid w:val="001617EE"/>
    <w:rsid w:val="00161F90"/>
    <w:rsid w:val="001624D0"/>
    <w:rsid w:val="00162CFA"/>
    <w:rsid w:val="00163B40"/>
    <w:rsid w:val="00163CAF"/>
    <w:rsid w:val="001647EF"/>
    <w:rsid w:val="00164925"/>
    <w:rsid w:val="00164A30"/>
    <w:rsid w:val="00165139"/>
    <w:rsid w:val="00165455"/>
    <w:rsid w:val="0016637F"/>
    <w:rsid w:val="00166E75"/>
    <w:rsid w:val="00167122"/>
    <w:rsid w:val="00167347"/>
    <w:rsid w:val="00170335"/>
    <w:rsid w:val="001708AC"/>
    <w:rsid w:val="001719BD"/>
    <w:rsid w:val="001721CB"/>
    <w:rsid w:val="001721FB"/>
    <w:rsid w:val="001723CB"/>
    <w:rsid w:val="001728A7"/>
    <w:rsid w:val="00172B6A"/>
    <w:rsid w:val="00172E81"/>
    <w:rsid w:val="00172F12"/>
    <w:rsid w:val="00173293"/>
    <w:rsid w:val="001732FB"/>
    <w:rsid w:val="00173C01"/>
    <w:rsid w:val="00173ED6"/>
    <w:rsid w:val="00174055"/>
    <w:rsid w:val="0017437F"/>
    <w:rsid w:val="00174757"/>
    <w:rsid w:val="00174B74"/>
    <w:rsid w:val="00174E66"/>
    <w:rsid w:val="001753A3"/>
    <w:rsid w:val="00175CE4"/>
    <w:rsid w:val="00175D86"/>
    <w:rsid w:val="00175DD4"/>
    <w:rsid w:val="00175FF8"/>
    <w:rsid w:val="00176444"/>
    <w:rsid w:val="00177738"/>
    <w:rsid w:val="00177FEE"/>
    <w:rsid w:val="0018013B"/>
    <w:rsid w:val="0018072A"/>
    <w:rsid w:val="00180882"/>
    <w:rsid w:val="00180B0E"/>
    <w:rsid w:val="001812C3"/>
    <w:rsid w:val="0018188F"/>
    <w:rsid w:val="00182010"/>
    <w:rsid w:val="00182424"/>
    <w:rsid w:val="001827EB"/>
    <w:rsid w:val="00182C2A"/>
    <w:rsid w:val="00182CAD"/>
    <w:rsid w:val="0018345C"/>
    <w:rsid w:val="0018348B"/>
    <w:rsid w:val="00184458"/>
    <w:rsid w:val="00184E8A"/>
    <w:rsid w:val="00185024"/>
    <w:rsid w:val="00185377"/>
    <w:rsid w:val="00185425"/>
    <w:rsid w:val="00185C77"/>
    <w:rsid w:val="0018615C"/>
    <w:rsid w:val="0018623A"/>
    <w:rsid w:val="00186385"/>
    <w:rsid w:val="0018683E"/>
    <w:rsid w:val="00186FEA"/>
    <w:rsid w:val="001879C5"/>
    <w:rsid w:val="00187FE5"/>
    <w:rsid w:val="00190239"/>
    <w:rsid w:val="00190527"/>
    <w:rsid w:val="00190C26"/>
    <w:rsid w:val="001919EB"/>
    <w:rsid w:val="00191B86"/>
    <w:rsid w:val="00191E17"/>
    <w:rsid w:val="00191F6C"/>
    <w:rsid w:val="001920C0"/>
    <w:rsid w:val="00192284"/>
    <w:rsid w:val="00194259"/>
    <w:rsid w:val="001942D3"/>
    <w:rsid w:val="00194444"/>
    <w:rsid w:val="00194591"/>
    <w:rsid w:val="00194F72"/>
    <w:rsid w:val="00195303"/>
    <w:rsid w:val="001959FC"/>
    <w:rsid w:val="00195F31"/>
    <w:rsid w:val="001960A0"/>
    <w:rsid w:val="001960FF"/>
    <w:rsid w:val="001976C8"/>
    <w:rsid w:val="00197732"/>
    <w:rsid w:val="00197B8D"/>
    <w:rsid w:val="001A1F2B"/>
    <w:rsid w:val="001A213A"/>
    <w:rsid w:val="001A239D"/>
    <w:rsid w:val="001A249E"/>
    <w:rsid w:val="001A29E9"/>
    <w:rsid w:val="001A2EE1"/>
    <w:rsid w:val="001A3950"/>
    <w:rsid w:val="001A3D38"/>
    <w:rsid w:val="001A3EAB"/>
    <w:rsid w:val="001A41D9"/>
    <w:rsid w:val="001A4DB1"/>
    <w:rsid w:val="001A51AA"/>
    <w:rsid w:val="001A5262"/>
    <w:rsid w:val="001A54EF"/>
    <w:rsid w:val="001A5A86"/>
    <w:rsid w:val="001A5FA8"/>
    <w:rsid w:val="001A60F6"/>
    <w:rsid w:val="001A614C"/>
    <w:rsid w:val="001A6281"/>
    <w:rsid w:val="001A71F9"/>
    <w:rsid w:val="001A73A3"/>
    <w:rsid w:val="001A797E"/>
    <w:rsid w:val="001B084D"/>
    <w:rsid w:val="001B08B4"/>
    <w:rsid w:val="001B0EB9"/>
    <w:rsid w:val="001B1949"/>
    <w:rsid w:val="001B194C"/>
    <w:rsid w:val="001B1ED9"/>
    <w:rsid w:val="001B21E3"/>
    <w:rsid w:val="001B2C10"/>
    <w:rsid w:val="001B3536"/>
    <w:rsid w:val="001B39CD"/>
    <w:rsid w:val="001B42FE"/>
    <w:rsid w:val="001B4421"/>
    <w:rsid w:val="001B4CE6"/>
    <w:rsid w:val="001B4D86"/>
    <w:rsid w:val="001B50D5"/>
    <w:rsid w:val="001B58E2"/>
    <w:rsid w:val="001B5C0F"/>
    <w:rsid w:val="001B5D1D"/>
    <w:rsid w:val="001B61B7"/>
    <w:rsid w:val="001B6AEC"/>
    <w:rsid w:val="001B6C9E"/>
    <w:rsid w:val="001B6D4C"/>
    <w:rsid w:val="001B7174"/>
    <w:rsid w:val="001B76F6"/>
    <w:rsid w:val="001B77F6"/>
    <w:rsid w:val="001C08E0"/>
    <w:rsid w:val="001C18EC"/>
    <w:rsid w:val="001C2305"/>
    <w:rsid w:val="001C28C8"/>
    <w:rsid w:val="001C2D9E"/>
    <w:rsid w:val="001C309B"/>
    <w:rsid w:val="001C3732"/>
    <w:rsid w:val="001C3A85"/>
    <w:rsid w:val="001C3E2F"/>
    <w:rsid w:val="001C3F52"/>
    <w:rsid w:val="001C427E"/>
    <w:rsid w:val="001C47C3"/>
    <w:rsid w:val="001C4820"/>
    <w:rsid w:val="001C48BF"/>
    <w:rsid w:val="001C4DC1"/>
    <w:rsid w:val="001C552C"/>
    <w:rsid w:val="001C5D66"/>
    <w:rsid w:val="001C63A6"/>
    <w:rsid w:val="001C690D"/>
    <w:rsid w:val="001C69F1"/>
    <w:rsid w:val="001C7366"/>
    <w:rsid w:val="001C7422"/>
    <w:rsid w:val="001C7A41"/>
    <w:rsid w:val="001D014C"/>
    <w:rsid w:val="001D073F"/>
    <w:rsid w:val="001D0CDF"/>
    <w:rsid w:val="001D13CB"/>
    <w:rsid w:val="001D19AB"/>
    <w:rsid w:val="001D1F70"/>
    <w:rsid w:val="001D1FCB"/>
    <w:rsid w:val="001D2268"/>
    <w:rsid w:val="001D28FD"/>
    <w:rsid w:val="001D35E4"/>
    <w:rsid w:val="001D37CD"/>
    <w:rsid w:val="001D3E9B"/>
    <w:rsid w:val="001D3EDA"/>
    <w:rsid w:val="001D4058"/>
    <w:rsid w:val="001D4540"/>
    <w:rsid w:val="001D4A12"/>
    <w:rsid w:val="001D4A63"/>
    <w:rsid w:val="001D4D00"/>
    <w:rsid w:val="001D515D"/>
    <w:rsid w:val="001D5485"/>
    <w:rsid w:val="001D5AF1"/>
    <w:rsid w:val="001D5B33"/>
    <w:rsid w:val="001D5E81"/>
    <w:rsid w:val="001D6208"/>
    <w:rsid w:val="001D6445"/>
    <w:rsid w:val="001D6622"/>
    <w:rsid w:val="001D6769"/>
    <w:rsid w:val="001D6781"/>
    <w:rsid w:val="001D67D3"/>
    <w:rsid w:val="001D6887"/>
    <w:rsid w:val="001D6909"/>
    <w:rsid w:val="001D7072"/>
    <w:rsid w:val="001D7706"/>
    <w:rsid w:val="001D7D3F"/>
    <w:rsid w:val="001E014E"/>
    <w:rsid w:val="001E1EE6"/>
    <w:rsid w:val="001E22AF"/>
    <w:rsid w:val="001E2A41"/>
    <w:rsid w:val="001E2DDB"/>
    <w:rsid w:val="001E35A9"/>
    <w:rsid w:val="001E37D1"/>
    <w:rsid w:val="001E39DC"/>
    <w:rsid w:val="001E3B04"/>
    <w:rsid w:val="001E4BC8"/>
    <w:rsid w:val="001E611A"/>
    <w:rsid w:val="001E6A67"/>
    <w:rsid w:val="001E6C73"/>
    <w:rsid w:val="001E6F47"/>
    <w:rsid w:val="001E7666"/>
    <w:rsid w:val="001F0BFD"/>
    <w:rsid w:val="001F0C6A"/>
    <w:rsid w:val="001F1968"/>
    <w:rsid w:val="001F20CF"/>
    <w:rsid w:val="001F2118"/>
    <w:rsid w:val="001F2488"/>
    <w:rsid w:val="001F3B27"/>
    <w:rsid w:val="001F3D38"/>
    <w:rsid w:val="001F3DA2"/>
    <w:rsid w:val="001F4923"/>
    <w:rsid w:val="001F4AA3"/>
    <w:rsid w:val="001F540D"/>
    <w:rsid w:val="001F546F"/>
    <w:rsid w:val="001F5640"/>
    <w:rsid w:val="001F59C8"/>
    <w:rsid w:val="001F603D"/>
    <w:rsid w:val="001F7779"/>
    <w:rsid w:val="001F78D2"/>
    <w:rsid w:val="001F7ABF"/>
    <w:rsid w:val="001F7FBF"/>
    <w:rsid w:val="00200476"/>
    <w:rsid w:val="00200665"/>
    <w:rsid w:val="0020136A"/>
    <w:rsid w:val="002025AB"/>
    <w:rsid w:val="00202804"/>
    <w:rsid w:val="00202BFA"/>
    <w:rsid w:val="00202C9E"/>
    <w:rsid w:val="002037F5"/>
    <w:rsid w:val="00203B6C"/>
    <w:rsid w:val="00203E85"/>
    <w:rsid w:val="0020419C"/>
    <w:rsid w:val="002042C2"/>
    <w:rsid w:val="002044E2"/>
    <w:rsid w:val="00204869"/>
    <w:rsid w:val="00204AC9"/>
    <w:rsid w:val="00204AE4"/>
    <w:rsid w:val="00204BB3"/>
    <w:rsid w:val="002064FB"/>
    <w:rsid w:val="0020687C"/>
    <w:rsid w:val="00206C15"/>
    <w:rsid w:val="002079B8"/>
    <w:rsid w:val="002102D9"/>
    <w:rsid w:val="00210E25"/>
    <w:rsid w:val="00210E49"/>
    <w:rsid w:val="00210FF0"/>
    <w:rsid w:val="002111CD"/>
    <w:rsid w:val="002112AA"/>
    <w:rsid w:val="002114F1"/>
    <w:rsid w:val="002117E0"/>
    <w:rsid w:val="0021181A"/>
    <w:rsid w:val="00211C2B"/>
    <w:rsid w:val="00212514"/>
    <w:rsid w:val="00212E49"/>
    <w:rsid w:val="00213125"/>
    <w:rsid w:val="00213BA5"/>
    <w:rsid w:val="00213EB5"/>
    <w:rsid w:val="0021414C"/>
    <w:rsid w:val="00214457"/>
    <w:rsid w:val="002146A2"/>
    <w:rsid w:val="00214821"/>
    <w:rsid w:val="00214B59"/>
    <w:rsid w:val="00215314"/>
    <w:rsid w:val="002153B9"/>
    <w:rsid w:val="00215ACA"/>
    <w:rsid w:val="0021748A"/>
    <w:rsid w:val="002177BE"/>
    <w:rsid w:val="00217C74"/>
    <w:rsid w:val="0022015D"/>
    <w:rsid w:val="00220634"/>
    <w:rsid w:val="00220662"/>
    <w:rsid w:val="0022134F"/>
    <w:rsid w:val="00221C4F"/>
    <w:rsid w:val="00221DDE"/>
    <w:rsid w:val="00222A10"/>
    <w:rsid w:val="00222A20"/>
    <w:rsid w:val="00222C65"/>
    <w:rsid w:val="002248D7"/>
    <w:rsid w:val="00224D4D"/>
    <w:rsid w:val="00224EE3"/>
    <w:rsid w:val="0022547B"/>
    <w:rsid w:val="00225BA6"/>
    <w:rsid w:val="0022621D"/>
    <w:rsid w:val="00226299"/>
    <w:rsid w:val="0022701B"/>
    <w:rsid w:val="0022702E"/>
    <w:rsid w:val="002272A9"/>
    <w:rsid w:val="00230FC4"/>
    <w:rsid w:val="00230FFB"/>
    <w:rsid w:val="00231356"/>
    <w:rsid w:val="00231547"/>
    <w:rsid w:val="002338C5"/>
    <w:rsid w:val="00234141"/>
    <w:rsid w:val="0023477E"/>
    <w:rsid w:val="00234810"/>
    <w:rsid w:val="00234822"/>
    <w:rsid w:val="00234971"/>
    <w:rsid w:val="0023532F"/>
    <w:rsid w:val="00235B64"/>
    <w:rsid w:val="00235B86"/>
    <w:rsid w:val="00235C4B"/>
    <w:rsid w:val="00236647"/>
    <w:rsid w:val="00236A41"/>
    <w:rsid w:val="00236B99"/>
    <w:rsid w:val="00236F6A"/>
    <w:rsid w:val="00237C41"/>
    <w:rsid w:val="002401FE"/>
    <w:rsid w:val="00240256"/>
    <w:rsid w:val="0024054B"/>
    <w:rsid w:val="00240B80"/>
    <w:rsid w:val="00240C0E"/>
    <w:rsid w:val="00240C3F"/>
    <w:rsid w:val="00241011"/>
    <w:rsid w:val="002410C9"/>
    <w:rsid w:val="00241565"/>
    <w:rsid w:val="00241716"/>
    <w:rsid w:val="00241D6D"/>
    <w:rsid w:val="00241EA5"/>
    <w:rsid w:val="00241F08"/>
    <w:rsid w:val="002425FB"/>
    <w:rsid w:val="00242D24"/>
    <w:rsid w:val="00242FB0"/>
    <w:rsid w:val="00243067"/>
    <w:rsid w:val="00243609"/>
    <w:rsid w:val="00243979"/>
    <w:rsid w:val="00243BD8"/>
    <w:rsid w:val="00244028"/>
    <w:rsid w:val="002448EC"/>
    <w:rsid w:val="00244B49"/>
    <w:rsid w:val="00244BCF"/>
    <w:rsid w:val="00244C7A"/>
    <w:rsid w:val="00244E3A"/>
    <w:rsid w:val="00245072"/>
    <w:rsid w:val="002457FB"/>
    <w:rsid w:val="002461A0"/>
    <w:rsid w:val="00246EC4"/>
    <w:rsid w:val="00246EDB"/>
    <w:rsid w:val="0024709B"/>
    <w:rsid w:val="002506B2"/>
    <w:rsid w:val="00250D05"/>
    <w:rsid w:val="00251085"/>
    <w:rsid w:val="0025124F"/>
    <w:rsid w:val="00252C02"/>
    <w:rsid w:val="00252C8D"/>
    <w:rsid w:val="00252E65"/>
    <w:rsid w:val="00253383"/>
    <w:rsid w:val="002537E5"/>
    <w:rsid w:val="00253B73"/>
    <w:rsid w:val="00253C4D"/>
    <w:rsid w:val="00254816"/>
    <w:rsid w:val="002549D1"/>
    <w:rsid w:val="0025566F"/>
    <w:rsid w:val="00255A78"/>
    <w:rsid w:val="00255F01"/>
    <w:rsid w:val="00256080"/>
    <w:rsid w:val="0025684F"/>
    <w:rsid w:val="00256878"/>
    <w:rsid w:val="0025695F"/>
    <w:rsid w:val="00256BB2"/>
    <w:rsid w:val="0026029D"/>
    <w:rsid w:val="00260DE0"/>
    <w:rsid w:val="00261463"/>
    <w:rsid w:val="00261465"/>
    <w:rsid w:val="00262CC7"/>
    <w:rsid w:val="00262D87"/>
    <w:rsid w:val="0026414B"/>
    <w:rsid w:val="002643CD"/>
    <w:rsid w:val="00264B09"/>
    <w:rsid w:val="00264D5F"/>
    <w:rsid w:val="0026573A"/>
    <w:rsid w:val="0026604C"/>
    <w:rsid w:val="00266D04"/>
    <w:rsid w:val="002703BC"/>
    <w:rsid w:val="00270442"/>
    <w:rsid w:val="00270DF7"/>
    <w:rsid w:val="002714CE"/>
    <w:rsid w:val="002722C8"/>
    <w:rsid w:val="002726DA"/>
    <w:rsid w:val="00272ABD"/>
    <w:rsid w:val="00273085"/>
    <w:rsid w:val="00273214"/>
    <w:rsid w:val="00273253"/>
    <w:rsid w:val="002734B5"/>
    <w:rsid w:val="00273506"/>
    <w:rsid w:val="00273880"/>
    <w:rsid w:val="00273ADA"/>
    <w:rsid w:val="00273DF5"/>
    <w:rsid w:val="00273EE2"/>
    <w:rsid w:val="00274846"/>
    <w:rsid w:val="00274F62"/>
    <w:rsid w:val="00275224"/>
    <w:rsid w:val="00275382"/>
    <w:rsid w:val="00275535"/>
    <w:rsid w:val="00275CA5"/>
    <w:rsid w:val="0027663C"/>
    <w:rsid w:val="0027686E"/>
    <w:rsid w:val="00276A1E"/>
    <w:rsid w:val="00276AC4"/>
    <w:rsid w:val="00276C38"/>
    <w:rsid w:val="00276E1F"/>
    <w:rsid w:val="00276F80"/>
    <w:rsid w:val="00276FCE"/>
    <w:rsid w:val="00277042"/>
    <w:rsid w:val="00277447"/>
    <w:rsid w:val="0027766B"/>
    <w:rsid w:val="002776A5"/>
    <w:rsid w:val="00277FBA"/>
    <w:rsid w:val="00280D75"/>
    <w:rsid w:val="00280FB2"/>
    <w:rsid w:val="00280FF1"/>
    <w:rsid w:val="00281443"/>
    <w:rsid w:val="002826A6"/>
    <w:rsid w:val="0028285F"/>
    <w:rsid w:val="00282ACC"/>
    <w:rsid w:val="00283103"/>
    <w:rsid w:val="002833D3"/>
    <w:rsid w:val="00283B8A"/>
    <w:rsid w:val="00284146"/>
    <w:rsid w:val="002842F9"/>
    <w:rsid w:val="002848E9"/>
    <w:rsid w:val="00284C64"/>
    <w:rsid w:val="00286744"/>
    <w:rsid w:val="00287B1D"/>
    <w:rsid w:val="00287BED"/>
    <w:rsid w:val="00287D86"/>
    <w:rsid w:val="0029094D"/>
    <w:rsid w:val="00291193"/>
    <w:rsid w:val="00292033"/>
    <w:rsid w:val="00292212"/>
    <w:rsid w:val="0029243E"/>
    <w:rsid w:val="00292C8D"/>
    <w:rsid w:val="00292D4B"/>
    <w:rsid w:val="00293B1C"/>
    <w:rsid w:val="002943D5"/>
    <w:rsid w:val="00294620"/>
    <w:rsid w:val="002954BC"/>
    <w:rsid w:val="00295837"/>
    <w:rsid w:val="00295AAB"/>
    <w:rsid w:val="00295E7E"/>
    <w:rsid w:val="002962D1"/>
    <w:rsid w:val="00296C81"/>
    <w:rsid w:val="002A0170"/>
    <w:rsid w:val="002A0229"/>
    <w:rsid w:val="002A0533"/>
    <w:rsid w:val="002A0E10"/>
    <w:rsid w:val="002A0E5B"/>
    <w:rsid w:val="002A11F1"/>
    <w:rsid w:val="002A1206"/>
    <w:rsid w:val="002A127A"/>
    <w:rsid w:val="002A15F6"/>
    <w:rsid w:val="002A2CDE"/>
    <w:rsid w:val="002A2E52"/>
    <w:rsid w:val="002A3386"/>
    <w:rsid w:val="002A39AF"/>
    <w:rsid w:val="002A3E7F"/>
    <w:rsid w:val="002A4266"/>
    <w:rsid w:val="002A4285"/>
    <w:rsid w:val="002A441A"/>
    <w:rsid w:val="002A5FBB"/>
    <w:rsid w:val="002A6144"/>
    <w:rsid w:val="002A6FEF"/>
    <w:rsid w:val="002A7645"/>
    <w:rsid w:val="002A773A"/>
    <w:rsid w:val="002A7EA4"/>
    <w:rsid w:val="002B0668"/>
    <w:rsid w:val="002B138B"/>
    <w:rsid w:val="002B1743"/>
    <w:rsid w:val="002B1FCE"/>
    <w:rsid w:val="002B2035"/>
    <w:rsid w:val="002B24A8"/>
    <w:rsid w:val="002B30A8"/>
    <w:rsid w:val="002B3250"/>
    <w:rsid w:val="002B3BBD"/>
    <w:rsid w:val="002B3D19"/>
    <w:rsid w:val="002B3DDA"/>
    <w:rsid w:val="002B3F63"/>
    <w:rsid w:val="002B47A0"/>
    <w:rsid w:val="002B486B"/>
    <w:rsid w:val="002B4B90"/>
    <w:rsid w:val="002B50D4"/>
    <w:rsid w:val="002B52BD"/>
    <w:rsid w:val="002B54CC"/>
    <w:rsid w:val="002B560B"/>
    <w:rsid w:val="002B5BA5"/>
    <w:rsid w:val="002B5DE3"/>
    <w:rsid w:val="002B60BD"/>
    <w:rsid w:val="002B64EA"/>
    <w:rsid w:val="002B68F8"/>
    <w:rsid w:val="002B6995"/>
    <w:rsid w:val="002B72A8"/>
    <w:rsid w:val="002B7680"/>
    <w:rsid w:val="002B7936"/>
    <w:rsid w:val="002B7B16"/>
    <w:rsid w:val="002B7E2E"/>
    <w:rsid w:val="002C0033"/>
    <w:rsid w:val="002C00A2"/>
    <w:rsid w:val="002C03CC"/>
    <w:rsid w:val="002C06B5"/>
    <w:rsid w:val="002C074D"/>
    <w:rsid w:val="002C076A"/>
    <w:rsid w:val="002C07AC"/>
    <w:rsid w:val="002C0AB3"/>
    <w:rsid w:val="002C0C79"/>
    <w:rsid w:val="002C12F6"/>
    <w:rsid w:val="002C139C"/>
    <w:rsid w:val="002C1413"/>
    <w:rsid w:val="002C1533"/>
    <w:rsid w:val="002C1B65"/>
    <w:rsid w:val="002C252B"/>
    <w:rsid w:val="002C2541"/>
    <w:rsid w:val="002C300F"/>
    <w:rsid w:val="002C381C"/>
    <w:rsid w:val="002C3B1D"/>
    <w:rsid w:val="002C3C4D"/>
    <w:rsid w:val="002C413D"/>
    <w:rsid w:val="002C48FF"/>
    <w:rsid w:val="002C491B"/>
    <w:rsid w:val="002C4C2B"/>
    <w:rsid w:val="002C4FC5"/>
    <w:rsid w:val="002C56C2"/>
    <w:rsid w:val="002C58A1"/>
    <w:rsid w:val="002C5ACD"/>
    <w:rsid w:val="002C6598"/>
    <w:rsid w:val="002C693E"/>
    <w:rsid w:val="002C6B7D"/>
    <w:rsid w:val="002C6D92"/>
    <w:rsid w:val="002C7D3D"/>
    <w:rsid w:val="002D00A5"/>
    <w:rsid w:val="002D0765"/>
    <w:rsid w:val="002D0C43"/>
    <w:rsid w:val="002D1082"/>
    <w:rsid w:val="002D1C3F"/>
    <w:rsid w:val="002D1F12"/>
    <w:rsid w:val="002D2133"/>
    <w:rsid w:val="002D234B"/>
    <w:rsid w:val="002D23AF"/>
    <w:rsid w:val="002D2412"/>
    <w:rsid w:val="002D2BDE"/>
    <w:rsid w:val="002D2E41"/>
    <w:rsid w:val="002D31E5"/>
    <w:rsid w:val="002D33AA"/>
    <w:rsid w:val="002D33DC"/>
    <w:rsid w:val="002D368A"/>
    <w:rsid w:val="002D5C18"/>
    <w:rsid w:val="002D60EF"/>
    <w:rsid w:val="002D61AF"/>
    <w:rsid w:val="002D6490"/>
    <w:rsid w:val="002D6846"/>
    <w:rsid w:val="002D7435"/>
    <w:rsid w:val="002E0231"/>
    <w:rsid w:val="002E05BB"/>
    <w:rsid w:val="002E0D19"/>
    <w:rsid w:val="002E0E47"/>
    <w:rsid w:val="002E1546"/>
    <w:rsid w:val="002E190F"/>
    <w:rsid w:val="002E2267"/>
    <w:rsid w:val="002E2276"/>
    <w:rsid w:val="002E22FB"/>
    <w:rsid w:val="002E2821"/>
    <w:rsid w:val="002E35D2"/>
    <w:rsid w:val="002E422C"/>
    <w:rsid w:val="002E4EC4"/>
    <w:rsid w:val="002E50A9"/>
    <w:rsid w:val="002E57CB"/>
    <w:rsid w:val="002E5878"/>
    <w:rsid w:val="002E5EA2"/>
    <w:rsid w:val="002E6037"/>
    <w:rsid w:val="002E6145"/>
    <w:rsid w:val="002E618A"/>
    <w:rsid w:val="002E66DA"/>
    <w:rsid w:val="002E6D0B"/>
    <w:rsid w:val="002E6E1F"/>
    <w:rsid w:val="002E70A8"/>
    <w:rsid w:val="002E7883"/>
    <w:rsid w:val="002E7B75"/>
    <w:rsid w:val="002E7D33"/>
    <w:rsid w:val="002F0042"/>
    <w:rsid w:val="002F057D"/>
    <w:rsid w:val="002F0AA4"/>
    <w:rsid w:val="002F0BA2"/>
    <w:rsid w:val="002F0FD4"/>
    <w:rsid w:val="002F16B7"/>
    <w:rsid w:val="002F27AC"/>
    <w:rsid w:val="002F2D86"/>
    <w:rsid w:val="002F2D98"/>
    <w:rsid w:val="002F33A5"/>
    <w:rsid w:val="002F358B"/>
    <w:rsid w:val="002F3EFE"/>
    <w:rsid w:val="002F3FA4"/>
    <w:rsid w:val="002F4DB4"/>
    <w:rsid w:val="002F52B2"/>
    <w:rsid w:val="002F5366"/>
    <w:rsid w:val="002F603F"/>
    <w:rsid w:val="002F6643"/>
    <w:rsid w:val="002F69FA"/>
    <w:rsid w:val="002F743F"/>
    <w:rsid w:val="002F7A51"/>
    <w:rsid w:val="002F7F40"/>
    <w:rsid w:val="00300488"/>
    <w:rsid w:val="003007B4"/>
    <w:rsid w:val="00301226"/>
    <w:rsid w:val="00301D59"/>
    <w:rsid w:val="00302459"/>
    <w:rsid w:val="00302B1F"/>
    <w:rsid w:val="00302D05"/>
    <w:rsid w:val="00302D72"/>
    <w:rsid w:val="003035EA"/>
    <w:rsid w:val="00303D24"/>
    <w:rsid w:val="00304AAF"/>
    <w:rsid w:val="0030521A"/>
    <w:rsid w:val="0030540E"/>
    <w:rsid w:val="00305694"/>
    <w:rsid w:val="0030594A"/>
    <w:rsid w:val="003067FF"/>
    <w:rsid w:val="00306A5B"/>
    <w:rsid w:val="003075A0"/>
    <w:rsid w:val="00307625"/>
    <w:rsid w:val="00307EFC"/>
    <w:rsid w:val="00307F41"/>
    <w:rsid w:val="003100C3"/>
    <w:rsid w:val="00310151"/>
    <w:rsid w:val="00310465"/>
    <w:rsid w:val="003104BB"/>
    <w:rsid w:val="003114C4"/>
    <w:rsid w:val="003116F6"/>
    <w:rsid w:val="00311F44"/>
    <w:rsid w:val="0031216D"/>
    <w:rsid w:val="003127B1"/>
    <w:rsid w:val="00312981"/>
    <w:rsid w:val="003129EF"/>
    <w:rsid w:val="00312A2A"/>
    <w:rsid w:val="00313470"/>
    <w:rsid w:val="00313676"/>
    <w:rsid w:val="003136B3"/>
    <w:rsid w:val="00313AC1"/>
    <w:rsid w:val="00313E82"/>
    <w:rsid w:val="003144BE"/>
    <w:rsid w:val="0031498D"/>
    <w:rsid w:val="0031545A"/>
    <w:rsid w:val="00315BAE"/>
    <w:rsid w:val="00315F3C"/>
    <w:rsid w:val="003161EB"/>
    <w:rsid w:val="00316424"/>
    <w:rsid w:val="0031663E"/>
    <w:rsid w:val="0031729C"/>
    <w:rsid w:val="0031732F"/>
    <w:rsid w:val="00317473"/>
    <w:rsid w:val="003179C5"/>
    <w:rsid w:val="00317DEB"/>
    <w:rsid w:val="003201DD"/>
    <w:rsid w:val="0032034F"/>
    <w:rsid w:val="003206D4"/>
    <w:rsid w:val="00320760"/>
    <w:rsid w:val="00320D08"/>
    <w:rsid w:val="00320E1C"/>
    <w:rsid w:val="00320E39"/>
    <w:rsid w:val="00320FBA"/>
    <w:rsid w:val="00321D29"/>
    <w:rsid w:val="00322019"/>
    <w:rsid w:val="003222DE"/>
    <w:rsid w:val="0032259E"/>
    <w:rsid w:val="00322727"/>
    <w:rsid w:val="00323550"/>
    <w:rsid w:val="00323868"/>
    <w:rsid w:val="00323872"/>
    <w:rsid w:val="00323ABB"/>
    <w:rsid w:val="003247C5"/>
    <w:rsid w:val="003250E8"/>
    <w:rsid w:val="00325329"/>
    <w:rsid w:val="00325A88"/>
    <w:rsid w:val="00325AE8"/>
    <w:rsid w:val="0032724D"/>
    <w:rsid w:val="003274D9"/>
    <w:rsid w:val="003275FE"/>
    <w:rsid w:val="00327865"/>
    <w:rsid w:val="00327BDA"/>
    <w:rsid w:val="0033029A"/>
    <w:rsid w:val="00330793"/>
    <w:rsid w:val="003308FB"/>
    <w:rsid w:val="00330B2D"/>
    <w:rsid w:val="00331A8B"/>
    <w:rsid w:val="00331CE7"/>
    <w:rsid w:val="0033230D"/>
    <w:rsid w:val="00332629"/>
    <w:rsid w:val="00332D45"/>
    <w:rsid w:val="00332E29"/>
    <w:rsid w:val="00333A92"/>
    <w:rsid w:val="00333B1B"/>
    <w:rsid w:val="0033456A"/>
    <w:rsid w:val="00334CCE"/>
    <w:rsid w:val="00335141"/>
    <w:rsid w:val="0033534B"/>
    <w:rsid w:val="00335694"/>
    <w:rsid w:val="00335702"/>
    <w:rsid w:val="00336327"/>
    <w:rsid w:val="00337115"/>
    <w:rsid w:val="00337428"/>
    <w:rsid w:val="00337D9D"/>
    <w:rsid w:val="00340561"/>
    <w:rsid w:val="003406A1"/>
    <w:rsid w:val="00340D16"/>
    <w:rsid w:val="00341A02"/>
    <w:rsid w:val="0034225B"/>
    <w:rsid w:val="003422F5"/>
    <w:rsid w:val="0034238C"/>
    <w:rsid w:val="00342779"/>
    <w:rsid w:val="00342842"/>
    <w:rsid w:val="00342F5F"/>
    <w:rsid w:val="0034308A"/>
    <w:rsid w:val="0034340A"/>
    <w:rsid w:val="0034355E"/>
    <w:rsid w:val="00343D38"/>
    <w:rsid w:val="003446C1"/>
    <w:rsid w:val="00344B06"/>
    <w:rsid w:val="00344B3C"/>
    <w:rsid w:val="00344FFF"/>
    <w:rsid w:val="003452E8"/>
    <w:rsid w:val="00345D5A"/>
    <w:rsid w:val="00346440"/>
    <w:rsid w:val="00346503"/>
    <w:rsid w:val="00346B16"/>
    <w:rsid w:val="00346E5C"/>
    <w:rsid w:val="003472DB"/>
    <w:rsid w:val="00350469"/>
    <w:rsid w:val="00350866"/>
    <w:rsid w:val="00350D15"/>
    <w:rsid w:val="00351B40"/>
    <w:rsid w:val="00351C66"/>
    <w:rsid w:val="00351EF1"/>
    <w:rsid w:val="00352910"/>
    <w:rsid w:val="00352991"/>
    <w:rsid w:val="00352DDF"/>
    <w:rsid w:val="00353386"/>
    <w:rsid w:val="00353D1A"/>
    <w:rsid w:val="00353F8B"/>
    <w:rsid w:val="00354081"/>
    <w:rsid w:val="003546F2"/>
    <w:rsid w:val="003552BB"/>
    <w:rsid w:val="0035546E"/>
    <w:rsid w:val="003559F0"/>
    <w:rsid w:val="003559F2"/>
    <w:rsid w:val="00355CC9"/>
    <w:rsid w:val="00356C05"/>
    <w:rsid w:val="00356E46"/>
    <w:rsid w:val="00357901"/>
    <w:rsid w:val="00357F1D"/>
    <w:rsid w:val="00360518"/>
    <w:rsid w:val="003612D3"/>
    <w:rsid w:val="0036180D"/>
    <w:rsid w:val="00362149"/>
    <w:rsid w:val="00362181"/>
    <w:rsid w:val="00362430"/>
    <w:rsid w:val="00362C5C"/>
    <w:rsid w:val="003633FC"/>
    <w:rsid w:val="00363975"/>
    <w:rsid w:val="00363FE2"/>
    <w:rsid w:val="003642AA"/>
    <w:rsid w:val="003643F1"/>
    <w:rsid w:val="003658B4"/>
    <w:rsid w:val="00365A45"/>
    <w:rsid w:val="003666DE"/>
    <w:rsid w:val="00366B4C"/>
    <w:rsid w:val="003674A0"/>
    <w:rsid w:val="0037093A"/>
    <w:rsid w:val="00370B62"/>
    <w:rsid w:val="00371367"/>
    <w:rsid w:val="0037157A"/>
    <w:rsid w:val="00371887"/>
    <w:rsid w:val="00371C3B"/>
    <w:rsid w:val="00371ED8"/>
    <w:rsid w:val="003727A8"/>
    <w:rsid w:val="003738A2"/>
    <w:rsid w:val="003739D0"/>
    <w:rsid w:val="00373C17"/>
    <w:rsid w:val="003742C2"/>
    <w:rsid w:val="003744C2"/>
    <w:rsid w:val="00374A29"/>
    <w:rsid w:val="00374A8B"/>
    <w:rsid w:val="00375635"/>
    <w:rsid w:val="0037586C"/>
    <w:rsid w:val="00375D6E"/>
    <w:rsid w:val="00375DFF"/>
    <w:rsid w:val="003768B7"/>
    <w:rsid w:val="0037696E"/>
    <w:rsid w:val="00376DBC"/>
    <w:rsid w:val="0037743B"/>
    <w:rsid w:val="003776AA"/>
    <w:rsid w:val="00377715"/>
    <w:rsid w:val="003778DD"/>
    <w:rsid w:val="00377FCD"/>
    <w:rsid w:val="00380018"/>
    <w:rsid w:val="003806C8"/>
    <w:rsid w:val="00380A68"/>
    <w:rsid w:val="00380D9D"/>
    <w:rsid w:val="00380FBB"/>
    <w:rsid w:val="00381A28"/>
    <w:rsid w:val="00381A2A"/>
    <w:rsid w:val="00381A61"/>
    <w:rsid w:val="00381A7C"/>
    <w:rsid w:val="00381CBB"/>
    <w:rsid w:val="0038242D"/>
    <w:rsid w:val="003825AF"/>
    <w:rsid w:val="00383361"/>
    <w:rsid w:val="003833B8"/>
    <w:rsid w:val="003835C9"/>
    <w:rsid w:val="00383E62"/>
    <w:rsid w:val="00383EB8"/>
    <w:rsid w:val="003855C6"/>
    <w:rsid w:val="00385705"/>
    <w:rsid w:val="003861CA"/>
    <w:rsid w:val="0038626D"/>
    <w:rsid w:val="003862AC"/>
    <w:rsid w:val="00386BDB"/>
    <w:rsid w:val="003876C1"/>
    <w:rsid w:val="003878C2"/>
    <w:rsid w:val="00387C18"/>
    <w:rsid w:val="00387FC5"/>
    <w:rsid w:val="00390463"/>
    <w:rsid w:val="00390CEE"/>
    <w:rsid w:val="00391576"/>
    <w:rsid w:val="00391F34"/>
    <w:rsid w:val="00392253"/>
    <w:rsid w:val="0039228A"/>
    <w:rsid w:val="00392402"/>
    <w:rsid w:val="00392448"/>
    <w:rsid w:val="00392946"/>
    <w:rsid w:val="00392FDD"/>
    <w:rsid w:val="00394613"/>
    <w:rsid w:val="00395352"/>
    <w:rsid w:val="00395F8B"/>
    <w:rsid w:val="0039608B"/>
    <w:rsid w:val="00396D32"/>
    <w:rsid w:val="00396EE7"/>
    <w:rsid w:val="0039716A"/>
    <w:rsid w:val="003979EF"/>
    <w:rsid w:val="00397AD0"/>
    <w:rsid w:val="00397DC5"/>
    <w:rsid w:val="003A01F3"/>
    <w:rsid w:val="003A02B2"/>
    <w:rsid w:val="003A0AB5"/>
    <w:rsid w:val="003A0DEB"/>
    <w:rsid w:val="003A1DF7"/>
    <w:rsid w:val="003A1F8F"/>
    <w:rsid w:val="003A2DF4"/>
    <w:rsid w:val="003A2E31"/>
    <w:rsid w:val="003A33B5"/>
    <w:rsid w:val="003A3B4A"/>
    <w:rsid w:val="003A4402"/>
    <w:rsid w:val="003A4F5B"/>
    <w:rsid w:val="003A582E"/>
    <w:rsid w:val="003A5B97"/>
    <w:rsid w:val="003A5E48"/>
    <w:rsid w:val="003A62CE"/>
    <w:rsid w:val="003A69C0"/>
    <w:rsid w:val="003A6DF9"/>
    <w:rsid w:val="003A70E2"/>
    <w:rsid w:val="003B0859"/>
    <w:rsid w:val="003B0994"/>
    <w:rsid w:val="003B0A46"/>
    <w:rsid w:val="003B0F27"/>
    <w:rsid w:val="003B13CC"/>
    <w:rsid w:val="003B1481"/>
    <w:rsid w:val="003B2880"/>
    <w:rsid w:val="003B2AB2"/>
    <w:rsid w:val="003B34D3"/>
    <w:rsid w:val="003B3A8D"/>
    <w:rsid w:val="003B3F73"/>
    <w:rsid w:val="003B45F4"/>
    <w:rsid w:val="003B5072"/>
    <w:rsid w:val="003B5119"/>
    <w:rsid w:val="003B5A8A"/>
    <w:rsid w:val="003B5AEE"/>
    <w:rsid w:val="003B5F78"/>
    <w:rsid w:val="003B6670"/>
    <w:rsid w:val="003B6829"/>
    <w:rsid w:val="003B6D43"/>
    <w:rsid w:val="003B773A"/>
    <w:rsid w:val="003B7A71"/>
    <w:rsid w:val="003B7BF4"/>
    <w:rsid w:val="003C0515"/>
    <w:rsid w:val="003C0A54"/>
    <w:rsid w:val="003C0B99"/>
    <w:rsid w:val="003C0CA5"/>
    <w:rsid w:val="003C101C"/>
    <w:rsid w:val="003C115E"/>
    <w:rsid w:val="003C119F"/>
    <w:rsid w:val="003C1323"/>
    <w:rsid w:val="003C168D"/>
    <w:rsid w:val="003C191E"/>
    <w:rsid w:val="003C20A0"/>
    <w:rsid w:val="003C20EA"/>
    <w:rsid w:val="003C2278"/>
    <w:rsid w:val="003C22A6"/>
    <w:rsid w:val="003C339E"/>
    <w:rsid w:val="003C387E"/>
    <w:rsid w:val="003C3985"/>
    <w:rsid w:val="003C3B21"/>
    <w:rsid w:val="003C3CDC"/>
    <w:rsid w:val="003C3FFD"/>
    <w:rsid w:val="003C4091"/>
    <w:rsid w:val="003C42C1"/>
    <w:rsid w:val="003C4A4E"/>
    <w:rsid w:val="003C4AD2"/>
    <w:rsid w:val="003C56C9"/>
    <w:rsid w:val="003C59F1"/>
    <w:rsid w:val="003C5FAD"/>
    <w:rsid w:val="003C6079"/>
    <w:rsid w:val="003C6247"/>
    <w:rsid w:val="003C6D4A"/>
    <w:rsid w:val="003C7233"/>
    <w:rsid w:val="003C78A8"/>
    <w:rsid w:val="003C7AA7"/>
    <w:rsid w:val="003C7C95"/>
    <w:rsid w:val="003D0313"/>
    <w:rsid w:val="003D06B1"/>
    <w:rsid w:val="003D0AA4"/>
    <w:rsid w:val="003D101E"/>
    <w:rsid w:val="003D1835"/>
    <w:rsid w:val="003D1977"/>
    <w:rsid w:val="003D1B0D"/>
    <w:rsid w:val="003D1BEB"/>
    <w:rsid w:val="003D200F"/>
    <w:rsid w:val="003D20A9"/>
    <w:rsid w:val="003D2388"/>
    <w:rsid w:val="003D2620"/>
    <w:rsid w:val="003D26FB"/>
    <w:rsid w:val="003D2718"/>
    <w:rsid w:val="003D2DF7"/>
    <w:rsid w:val="003D36AD"/>
    <w:rsid w:val="003D4D9F"/>
    <w:rsid w:val="003D56A0"/>
    <w:rsid w:val="003D5AF6"/>
    <w:rsid w:val="003D5CB1"/>
    <w:rsid w:val="003D5F45"/>
    <w:rsid w:val="003D5F96"/>
    <w:rsid w:val="003D6A74"/>
    <w:rsid w:val="003D7F58"/>
    <w:rsid w:val="003E0075"/>
    <w:rsid w:val="003E071F"/>
    <w:rsid w:val="003E0E5D"/>
    <w:rsid w:val="003E1EF8"/>
    <w:rsid w:val="003E2143"/>
    <w:rsid w:val="003E288E"/>
    <w:rsid w:val="003E2988"/>
    <w:rsid w:val="003E2F41"/>
    <w:rsid w:val="003E4339"/>
    <w:rsid w:val="003E44E2"/>
    <w:rsid w:val="003E4CE1"/>
    <w:rsid w:val="003E4EB0"/>
    <w:rsid w:val="003E53F9"/>
    <w:rsid w:val="003E581F"/>
    <w:rsid w:val="003E643D"/>
    <w:rsid w:val="003E65CA"/>
    <w:rsid w:val="003E6A8A"/>
    <w:rsid w:val="003E6E99"/>
    <w:rsid w:val="003E7A41"/>
    <w:rsid w:val="003F0052"/>
    <w:rsid w:val="003F0125"/>
    <w:rsid w:val="003F02BD"/>
    <w:rsid w:val="003F0679"/>
    <w:rsid w:val="003F11C6"/>
    <w:rsid w:val="003F1345"/>
    <w:rsid w:val="003F1350"/>
    <w:rsid w:val="003F153B"/>
    <w:rsid w:val="003F1892"/>
    <w:rsid w:val="003F1958"/>
    <w:rsid w:val="003F1E5F"/>
    <w:rsid w:val="003F2244"/>
    <w:rsid w:val="003F22F9"/>
    <w:rsid w:val="003F234F"/>
    <w:rsid w:val="003F2758"/>
    <w:rsid w:val="003F3084"/>
    <w:rsid w:val="003F33C4"/>
    <w:rsid w:val="003F3545"/>
    <w:rsid w:val="003F3AE2"/>
    <w:rsid w:val="003F3F5F"/>
    <w:rsid w:val="003F5851"/>
    <w:rsid w:val="003F6800"/>
    <w:rsid w:val="003F6AC2"/>
    <w:rsid w:val="003F7FCC"/>
    <w:rsid w:val="00401688"/>
    <w:rsid w:val="004023B6"/>
    <w:rsid w:val="00402C8B"/>
    <w:rsid w:val="004035E3"/>
    <w:rsid w:val="004036F4"/>
    <w:rsid w:val="00403895"/>
    <w:rsid w:val="00403AD3"/>
    <w:rsid w:val="00403C22"/>
    <w:rsid w:val="004046FA"/>
    <w:rsid w:val="00405C42"/>
    <w:rsid w:val="00405E67"/>
    <w:rsid w:val="00406149"/>
    <w:rsid w:val="0040662F"/>
    <w:rsid w:val="004072BF"/>
    <w:rsid w:val="004072ED"/>
    <w:rsid w:val="0040766E"/>
    <w:rsid w:val="00407A19"/>
    <w:rsid w:val="00410017"/>
    <w:rsid w:val="004107EF"/>
    <w:rsid w:val="004109AB"/>
    <w:rsid w:val="00410C1C"/>
    <w:rsid w:val="00410F13"/>
    <w:rsid w:val="0041101E"/>
    <w:rsid w:val="0041150C"/>
    <w:rsid w:val="0041178F"/>
    <w:rsid w:val="0041209A"/>
    <w:rsid w:val="00412299"/>
    <w:rsid w:val="004124E6"/>
    <w:rsid w:val="004127DD"/>
    <w:rsid w:val="00412F60"/>
    <w:rsid w:val="00412F8C"/>
    <w:rsid w:val="00413661"/>
    <w:rsid w:val="00413771"/>
    <w:rsid w:val="00413C65"/>
    <w:rsid w:val="00413D7A"/>
    <w:rsid w:val="0041442A"/>
    <w:rsid w:val="00415132"/>
    <w:rsid w:val="004153AA"/>
    <w:rsid w:val="00415BF9"/>
    <w:rsid w:val="0041637B"/>
    <w:rsid w:val="00416638"/>
    <w:rsid w:val="004166CD"/>
    <w:rsid w:val="00416CA0"/>
    <w:rsid w:val="00420746"/>
    <w:rsid w:val="004209A6"/>
    <w:rsid w:val="00420AE5"/>
    <w:rsid w:val="00420D97"/>
    <w:rsid w:val="00421313"/>
    <w:rsid w:val="004224BB"/>
    <w:rsid w:val="0042264E"/>
    <w:rsid w:val="00422820"/>
    <w:rsid w:val="00423F30"/>
    <w:rsid w:val="0042449F"/>
    <w:rsid w:val="00424628"/>
    <w:rsid w:val="00424D09"/>
    <w:rsid w:val="0042523C"/>
    <w:rsid w:val="00425401"/>
    <w:rsid w:val="00425E7A"/>
    <w:rsid w:val="00425EA0"/>
    <w:rsid w:val="004264BC"/>
    <w:rsid w:val="00427774"/>
    <w:rsid w:val="00427876"/>
    <w:rsid w:val="0043003B"/>
    <w:rsid w:val="004302B3"/>
    <w:rsid w:val="00430381"/>
    <w:rsid w:val="00430512"/>
    <w:rsid w:val="004305BD"/>
    <w:rsid w:val="00430716"/>
    <w:rsid w:val="0043075F"/>
    <w:rsid w:val="004309F9"/>
    <w:rsid w:val="0043149A"/>
    <w:rsid w:val="0043159C"/>
    <w:rsid w:val="0043163F"/>
    <w:rsid w:val="0043184C"/>
    <w:rsid w:val="0043195D"/>
    <w:rsid w:val="00431D6A"/>
    <w:rsid w:val="0043213A"/>
    <w:rsid w:val="0043253A"/>
    <w:rsid w:val="004328D4"/>
    <w:rsid w:val="00432B45"/>
    <w:rsid w:val="00432BC4"/>
    <w:rsid w:val="00433007"/>
    <w:rsid w:val="0043345B"/>
    <w:rsid w:val="00433532"/>
    <w:rsid w:val="004337C2"/>
    <w:rsid w:val="00433DDD"/>
    <w:rsid w:val="00433E48"/>
    <w:rsid w:val="004341A9"/>
    <w:rsid w:val="004349D2"/>
    <w:rsid w:val="00434B47"/>
    <w:rsid w:val="00434C62"/>
    <w:rsid w:val="00434E74"/>
    <w:rsid w:val="004359F9"/>
    <w:rsid w:val="004367BE"/>
    <w:rsid w:val="00436819"/>
    <w:rsid w:val="00436BE4"/>
    <w:rsid w:val="0043717E"/>
    <w:rsid w:val="004372D5"/>
    <w:rsid w:val="004372F7"/>
    <w:rsid w:val="00437978"/>
    <w:rsid w:val="004379A3"/>
    <w:rsid w:val="00437BBA"/>
    <w:rsid w:val="00440131"/>
    <w:rsid w:val="0044049D"/>
    <w:rsid w:val="004405A5"/>
    <w:rsid w:val="00440AB6"/>
    <w:rsid w:val="0044123E"/>
    <w:rsid w:val="00441B4F"/>
    <w:rsid w:val="00441B97"/>
    <w:rsid w:val="004422B3"/>
    <w:rsid w:val="00442622"/>
    <w:rsid w:val="0044290F"/>
    <w:rsid w:val="00442B94"/>
    <w:rsid w:val="00442FA6"/>
    <w:rsid w:val="00442FCA"/>
    <w:rsid w:val="0044377A"/>
    <w:rsid w:val="00443A97"/>
    <w:rsid w:val="00444218"/>
    <w:rsid w:val="00444360"/>
    <w:rsid w:val="004444CD"/>
    <w:rsid w:val="004444F5"/>
    <w:rsid w:val="00444C8B"/>
    <w:rsid w:val="00444CFF"/>
    <w:rsid w:val="004455E3"/>
    <w:rsid w:val="00445D54"/>
    <w:rsid w:val="00446034"/>
    <w:rsid w:val="00446941"/>
    <w:rsid w:val="00446DDC"/>
    <w:rsid w:val="00447655"/>
    <w:rsid w:val="0044796E"/>
    <w:rsid w:val="004502C7"/>
    <w:rsid w:val="00450CEE"/>
    <w:rsid w:val="00451981"/>
    <w:rsid w:val="00452C92"/>
    <w:rsid w:val="00453221"/>
    <w:rsid w:val="00453D9F"/>
    <w:rsid w:val="00453E50"/>
    <w:rsid w:val="00454322"/>
    <w:rsid w:val="0045507A"/>
    <w:rsid w:val="00455158"/>
    <w:rsid w:val="004553EE"/>
    <w:rsid w:val="004560F0"/>
    <w:rsid w:val="00456A52"/>
    <w:rsid w:val="00456EAD"/>
    <w:rsid w:val="00457082"/>
    <w:rsid w:val="00460EA5"/>
    <w:rsid w:val="0046115E"/>
    <w:rsid w:val="004611A5"/>
    <w:rsid w:val="004614F8"/>
    <w:rsid w:val="00461630"/>
    <w:rsid w:val="004619FE"/>
    <w:rsid w:val="00461F05"/>
    <w:rsid w:val="004621A5"/>
    <w:rsid w:val="00463810"/>
    <w:rsid w:val="00463D8F"/>
    <w:rsid w:val="00463D91"/>
    <w:rsid w:val="00464646"/>
    <w:rsid w:val="00464963"/>
    <w:rsid w:val="00464A00"/>
    <w:rsid w:val="00464EFD"/>
    <w:rsid w:val="004652E4"/>
    <w:rsid w:val="00465826"/>
    <w:rsid w:val="00465846"/>
    <w:rsid w:val="0046602F"/>
    <w:rsid w:val="00466E99"/>
    <w:rsid w:val="004676C0"/>
    <w:rsid w:val="00467D34"/>
    <w:rsid w:val="004707C2"/>
    <w:rsid w:val="004708E8"/>
    <w:rsid w:val="00470DF6"/>
    <w:rsid w:val="00471190"/>
    <w:rsid w:val="004711B2"/>
    <w:rsid w:val="004720A2"/>
    <w:rsid w:val="0047268B"/>
    <w:rsid w:val="0047322F"/>
    <w:rsid w:val="004733D0"/>
    <w:rsid w:val="00473568"/>
    <w:rsid w:val="00473824"/>
    <w:rsid w:val="00473A25"/>
    <w:rsid w:val="0047428D"/>
    <w:rsid w:val="004743D0"/>
    <w:rsid w:val="0047440B"/>
    <w:rsid w:val="004746A1"/>
    <w:rsid w:val="004746B2"/>
    <w:rsid w:val="00474EB7"/>
    <w:rsid w:val="0047519F"/>
    <w:rsid w:val="00475525"/>
    <w:rsid w:val="00475576"/>
    <w:rsid w:val="00475CFC"/>
    <w:rsid w:val="00475D2E"/>
    <w:rsid w:val="00475E56"/>
    <w:rsid w:val="00476E3E"/>
    <w:rsid w:val="00476FBF"/>
    <w:rsid w:val="004771D9"/>
    <w:rsid w:val="00477784"/>
    <w:rsid w:val="00477A82"/>
    <w:rsid w:val="00477AA7"/>
    <w:rsid w:val="00477D1D"/>
    <w:rsid w:val="004807F8"/>
    <w:rsid w:val="0048159C"/>
    <w:rsid w:val="004815CB"/>
    <w:rsid w:val="004816AB"/>
    <w:rsid w:val="00481D6C"/>
    <w:rsid w:val="004823A4"/>
    <w:rsid w:val="00482B68"/>
    <w:rsid w:val="00482D98"/>
    <w:rsid w:val="0048310C"/>
    <w:rsid w:val="00483397"/>
    <w:rsid w:val="004833D9"/>
    <w:rsid w:val="004837DF"/>
    <w:rsid w:val="00483840"/>
    <w:rsid w:val="004841B1"/>
    <w:rsid w:val="004843C2"/>
    <w:rsid w:val="004846F4"/>
    <w:rsid w:val="00484E32"/>
    <w:rsid w:val="00484F9C"/>
    <w:rsid w:val="00485740"/>
    <w:rsid w:val="00486377"/>
    <w:rsid w:val="00486961"/>
    <w:rsid w:val="0048698E"/>
    <w:rsid w:val="00486F2A"/>
    <w:rsid w:val="00487D1C"/>
    <w:rsid w:val="00491375"/>
    <w:rsid w:val="004916A1"/>
    <w:rsid w:val="00491E14"/>
    <w:rsid w:val="00492B57"/>
    <w:rsid w:val="00492C88"/>
    <w:rsid w:val="004931D0"/>
    <w:rsid w:val="00493320"/>
    <w:rsid w:val="00493764"/>
    <w:rsid w:val="00493C68"/>
    <w:rsid w:val="00493EC5"/>
    <w:rsid w:val="0049406B"/>
    <w:rsid w:val="0049466C"/>
    <w:rsid w:val="00494967"/>
    <w:rsid w:val="004949B9"/>
    <w:rsid w:val="00495461"/>
    <w:rsid w:val="00495F76"/>
    <w:rsid w:val="004963EA"/>
    <w:rsid w:val="00496715"/>
    <w:rsid w:val="00496B9E"/>
    <w:rsid w:val="00496C59"/>
    <w:rsid w:val="00497B99"/>
    <w:rsid w:val="004A0632"/>
    <w:rsid w:val="004A078A"/>
    <w:rsid w:val="004A07DD"/>
    <w:rsid w:val="004A0A27"/>
    <w:rsid w:val="004A0A82"/>
    <w:rsid w:val="004A10BF"/>
    <w:rsid w:val="004A12FF"/>
    <w:rsid w:val="004A15A5"/>
    <w:rsid w:val="004A1AA5"/>
    <w:rsid w:val="004A1B71"/>
    <w:rsid w:val="004A1D93"/>
    <w:rsid w:val="004A23D1"/>
    <w:rsid w:val="004A2745"/>
    <w:rsid w:val="004A321B"/>
    <w:rsid w:val="004A3537"/>
    <w:rsid w:val="004A3735"/>
    <w:rsid w:val="004A3A03"/>
    <w:rsid w:val="004A4ABF"/>
    <w:rsid w:val="004A4AF0"/>
    <w:rsid w:val="004A4C16"/>
    <w:rsid w:val="004A4C7A"/>
    <w:rsid w:val="004A519B"/>
    <w:rsid w:val="004A536C"/>
    <w:rsid w:val="004A54D0"/>
    <w:rsid w:val="004A5694"/>
    <w:rsid w:val="004A578F"/>
    <w:rsid w:val="004A5900"/>
    <w:rsid w:val="004A5953"/>
    <w:rsid w:val="004A5B52"/>
    <w:rsid w:val="004A5EFD"/>
    <w:rsid w:val="004A61F7"/>
    <w:rsid w:val="004A686C"/>
    <w:rsid w:val="004A6DA7"/>
    <w:rsid w:val="004A714B"/>
    <w:rsid w:val="004A75E1"/>
    <w:rsid w:val="004A7D25"/>
    <w:rsid w:val="004B0B3C"/>
    <w:rsid w:val="004B0CDD"/>
    <w:rsid w:val="004B0E58"/>
    <w:rsid w:val="004B13A1"/>
    <w:rsid w:val="004B1F7F"/>
    <w:rsid w:val="004B2597"/>
    <w:rsid w:val="004B26F8"/>
    <w:rsid w:val="004B28F9"/>
    <w:rsid w:val="004B305F"/>
    <w:rsid w:val="004B3B85"/>
    <w:rsid w:val="004B417C"/>
    <w:rsid w:val="004B42D7"/>
    <w:rsid w:val="004B43DB"/>
    <w:rsid w:val="004B4607"/>
    <w:rsid w:val="004B46C5"/>
    <w:rsid w:val="004B46F8"/>
    <w:rsid w:val="004B47AA"/>
    <w:rsid w:val="004B54D5"/>
    <w:rsid w:val="004B56F9"/>
    <w:rsid w:val="004B5913"/>
    <w:rsid w:val="004B598E"/>
    <w:rsid w:val="004B5B12"/>
    <w:rsid w:val="004B621E"/>
    <w:rsid w:val="004B6B35"/>
    <w:rsid w:val="004B7FDE"/>
    <w:rsid w:val="004C0878"/>
    <w:rsid w:val="004C096A"/>
    <w:rsid w:val="004C117E"/>
    <w:rsid w:val="004C15B3"/>
    <w:rsid w:val="004C162A"/>
    <w:rsid w:val="004C1B37"/>
    <w:rsid w:val="004C1D72"/>
    <w:rsid w:val="004C26B8"/>
    <w:rsid w:val="004C2BD5"/>
    <w:rsid w:val="004C2D2B"/>
    <w:rsid w:val="004C3478"/>
    <w:rsid w:val="004C3D4F"/>
    <w:rsid w:val="004C416E"/>
    <w:rsid w:val="004C4789"/>
    <w:rsid w:val="004C4C5D"/>
    <w:rsid w:val="004C5667"/>
    <w:rsid w:val="004C5A84"/>
    <w:rsid w:val="004C5B70"/>
    <w:rsid w:val="004C5D71"/>
    <w:rsid w:val="004C5E42"/>
    <w:rsid w:val="004C665F"/>
    <w:rsid w:val="004C6751"/>
    <w:rsid w:val="004C6E9F"/>
    <w:rsid w:val="004C6F81"/>
    <w:rsid w:val="004C7295"/>
    <w:rsid w:val="004C7351"/>
    <w:rsid w:val="004C7C3A"/>
    <w:rsid w:val="004C7DD3"/>
    <w:rsid w:val="004C7DFA"/>
    <w:rsid w:val="004D08B7"/>
    <w:rsid w:val="004D0D32"/>
    <w:rsid w:val="004D1145"/>
    <w:rsid w:val="004D1CC3"/>
    <w:rsid w:val="004D2098"/>
    <w:rsid w:val="004D2295"/>
    <w:rsid w:val="004D24BC"/>
    <w:rsid w:val="004D2931"/>
    <w:rsid w:val="004D296A"/>
    <w:rsid w:val="004D3047"/>
    <w:rsid w:val="004D31CF"/>
    <w:rsid w:val="004D3772"/>
    <w:rsid w:val="004D3A9F"/>
    <w:rsid w:val="004D404B"/>
    <w:rsid w:val="004D40E5"/>
    <w:rsid w:val="004D4412"/>
    <w:rsid w:val="004D4A07"/>
    <w:rsid w:val="004D583F"/>
    <w:rsid w:val="004D5955"/>
    <w:rsid w:val="004D63A1"/>
    <w:rsid w:val="004D70CB"/>
    <w:rsid w:val="004D7387"/>
    <w:rsid w:val="004D74DC"/>
    <w:rsid w:val="004D7D77"/>
    <w:rsid w:val="004D7E30"/>
    <w:rsid w:val="004E0D18"/>
    <w:rsid w:val="004E0E91"/>
    <w:rsid w:val="004E149C"/>
    <w:rsid w:val="004E1F3B"/>
    <w:rsid w:val="004E2069"/>
    <w:rsid w:val="004E27DF"/>
    <w:rsid w:val="004E28E4"/>
    <w:rsid w:val="004E2D5D"/>
    <w:rsid w:val="004E381A"/>
    <w:rsid w:val="004E39FC"/>
    <w:rsid w:val="004E3EA3"/>
    <w:rsid w:val="004E44AB"/>
    <w:rsid w:val="004E54E7"/>
    <w:rsid w:val="004E569A"/>
    <w:rsid w:val="004E5A13"/>
    <w:rsid w:val="004E5EC4"/>
    <w:rsid w:val="004E6001"/>
    <w:rsid w:val="004E64D9"/>
    <w:rsid w:val="004E77FB"/>
    <w:rsid w:val="004E7832"/>
    <w:rsid w:val="004F016D"/>
    <w:rsid w:val="004F0954"/>
    <w:rsid w:val="004F1FBD"/>
    <w:rsid w:val="004F226B"/>
    <w:rsid w:val="004F2B45"/>
    <w:rsid w:val="004F2EC8"/>
    <w:rsid w:val="004F31B3"/>
    <w:rsid w:val="004F323C"/>
    <w:rsid w:val="004F3F55"/>
    <w:rsid w:val="004F4159"/>
    <w:rsid w:val="004F5238"/>
    <w:rsid w:val="004F621B"/>
    <w:rsid w:val="004F67F0"/>
    <w:rsid w:val="004F6B26"/>
    <w:rsid w:val="004F6ECF"/>
    <w:rsid w:val="004F7411"/>
    <w:rsid w:val="004F7736"/>
    <w:rsid w:val="004F7E79"/>
    <w:rsid w:val="005000C5"/>
    <w:rsid w:val="0050091C"/>
    <w:rsid w:val="00500B8F"/>
    <w:rsid w:val="00500D4C"/>
    <w:rsid w:val="0050118E"/>
    <w:rsid w:val="005011A4"/>
    <w:rsid w:val="005017A1"/>
    <w:rsid w:val="005017A7"/>
    <w:rsid w:val="0050184E"/>
    <w:rsid w:val="00501C7E"/>
    <w:rsid w:val="00502131"/>
    <w:rsid w:val="00502517"/>
    <w:rsid w:val="00502656"/>
    <w:rsid w:val="00502D0A"/>
    <w:rsid w:val="00503196"/>
    <w:rsid w:val="005034E8"/>
    <w:rsid w:val="005037F6"/>
    <w:rsid w:val="005038B0"/>
    <w:rsid w:val="00503ABE"/>
    <w:rsid w:val="00503B56"/>
    <w:rsid w:val="00503BF2"/>
    <w:rsid w:val="00504281"/>
    <w:rsid w:val="00504841"/>
    <w:rsid w:val="00505CA6"/>
    <w:rsid w:val="00505FF6"/>
    <w:rsid w:val="005062E7"/>
    <w:rsid w:val="00506C0F"/>
    <w:rsid w:val="0051154F"/>
    <w:rsid w:val="00511778"/>
    <w:rsid w:val="005118A5"/>
    <w:rsid w:val="00512091"/>
    <w:rsid w:val="00512277"/>
    <w:rsid w:val="0051265B"/>
    <w:rsid w:val="00512E7C"/>
    <w:rsid w:val="00512E8F"/>
    <w:rsid w:val="0051356A"/>
    <w:rsid w:val="00513B71"/>
    <w:rsid w:val="00513E1D"/>
    <w:rsid w:val="00513EFE"/>
    <w:rsid w:val="005147D1"/>
    <w:rsid w:val="00514EBC"/>
    <w:rsid w:val="00515AE7"/>
    <w:rsid w:val="00515B31"/>
    <w:rsid w:val="005160D0"/>
    <w:rsid w:val="0051644A"/>
    <w:rsid w:val="00516506"/>
    <w:rsid w:val="00516C3C"/>
    <w:rsid w:val="00517101"/>
    <w:rsid w:val="0052134D"/>
    <w:rsid w:val="00521438"/>
    <w:rsid w:val="0052174B"/>
    <w:rsid w:val="00521764"/>
    <w:rsid w:val="005217C8"/>
    <w:rsid w:val="0052199B"/>
    <w:rsid w:val="005220F0"/>
    <w:rsid w:val="005227AB"/>
    <w:rsid w:val="00522989"/>
    <w:rsid w:val="005230C8"/>
    <w:rsid w:val="005245B6"/>
    <w:rsid w:val="005247A8"/>
    <w:rsid w:val="00524848"/>
    <w:rsid w:val="00524AA7"/>
    <w:rsid w:val="005255CF"/>
    <w:rsid w:val="00525D4C"/>
    <w:rsid w:val="005261C5"/>
    <w:rsid w:val="00526D5D"/>
    <w:rsid w:val="00526ED2"/>
    <w:rsid w:val="005272C6"/>
    <w:rsid w:val="00527F3A"/>
    <w:rsid w:val="00527F4C"/>
    <w:rsid w:val="0053032F"/>
    <w:rsid w:val="0053102E"/>
    <w:rsid w:val="00531B04"/>
    <w:rsid w:val="00531D6B"/>
    <w:rsid w:val="00531DDA"/>
    <w:rsid w:val="0053230A"/>
    <w:rsid w:val="00532989"/>
    <w:rsid w:val="00532F55"/>
    <w:rsid w:val="005339C2"/>
    <w:rsid w:val="00533A98"/>
    <w:rsid w:val="00533F55"/>
    <w:rsid w:val="005348F9"/>
    <w:rsid w:val="00534A10"/>
    <w:rsid w:val="00534D1B"/>
    <w:rsid w:val="00534E76"/>
    <w:rsid w:val="00535AE9"/>
    <w:rsid w:val="00540056"/>
    <w:rsid w:val="005401F0"/>
    <w:rsid w:val="00540D74"/>
    <w:rsid w:val="0054117A"/>
    <w:rsid w:val="0054146C"/>
    <w:rsid w:val="0054169F"/>
    <w:rsid w:val="0054179A"/>
    <w:rsid w:val="00541A05"/>
    <w:rsid w:val="00541A4A"/>
    <w:rsid w:val="00541A6E"/>
    <w:rsid w:val="005420C0"/>
    <w:rsid w:val="005426BD"/>
    <w:rsid w:val="005440D3"/>
    <w:rsid w:val="0054433C"/>
    <w:rsid w:val="0054467D"/>
    <w:rsid w:val="00544702"/>
    <w:rsid w:val="00545039"/>
    <w:rsid w:val="005450CE"/>
    <w:rsid w:val="00545325"/>
    <w:rsid w:val="0054570A"/>
    <w:rsid w:val="005461D7"/>
    <w:rsid w:val="00546385"/>
    <w:rsid w:val="005465F0"/>
    <w:rsid w:val="00546C20"/>
    <w:rsid w:val="005474A3"/>
    <w:rsid w:val="00547A8E"/>
    <w:rsid w:val="00547B2F"/>
    <w:rsid w:val="005507DD"/>
    <w:rsid w:val="00550F63"/>
    <w:rsid w:val="005514CF"/>
    <w:rsid w:val="00551511"/>
    <w:rsid w:val="00551818"/>
    <w:rsid w:val="00551B03"/>
    <w:rsid w:val="00552020"/>
    <w:rsid w:val="0055210C"/>
    <w:rsid w:val="005523E4"/>
    <w:rsid w:val="005528A4"/>
    <w:rsid w:val="0055448D"/>
    <w:rsid w:val="00554730"/>
    <w:rsid w:val="00554C0F"/>
    <w:rsid w:val="005555BA"/>
    <w:rsid w:val="00555F74"/>
    <w:rsid w:val="00556E5F"/>
    <w:rsid w:val="0055775A"/>
    <w:rsid w:val="00557EEA"/>
    <w:rsid w:val="00557F97"/>
    <w:rsid w:val="005601A9"/>
    <w:rsid w:val="0056020F"/>
    <w:rsid w:val="0056038B"/>
    <w:rsid w:val="005609BB"/>
    <w:rsid w:val="00560A84"/>
    <w:rsid w:val="00560ED3"/>
    <w:rsid w:val="00560FB7"/>
    <w:rsid w:val="00561910"/>
    <w:rsid w:val="00561964"/>
    <w:rsid w:val="00561A49"/>
    <w:rsid w:val="005621D2"/>
    <w:rsid w:val="0056224A"/>
    <w:rsid w:val="00562284"/>
    <w:rsid w:val="005628D8"/>
    <w:rsid w:val="00563142"/>
    <w:rsid w:val="00563350"/>
    <w:rsid w:val="005634AE"/>
    <w:rsid w:val="00564450"/>
    <w:rsid w:val="00565235"/>
    <w:rsid w:val="00565558"/>
    <w:rsid w:val="005657D8"/>
    <w:rsid w:val="00565F29"/>
    <w:rsid w:val="005661C5"/>
    <w:rsid w:val="00566849"/>
    <w:rsid w:val="00566A1A"/>
    <w:rsid w:val="00566E74"/>
    <w:rsid w:val="005675FB"/>
    <w:rsid w:val="0056787A"/>
    <w:rsid w:val="00567EEC"/>
    <w:rsid w:val="00567F01"/>
    <w:rsid w:val="00570012"/>
    <w:rsid w:val="00570D05"/>
    <w:rsid w:val="00571D4E"/>
    <w:rsid w:val="00572A3C"/>
    <w:rsid w:val="00572A81"/>
    <w:rsid w:val="00572F76"/>
    <w:rsid w:val="0057325C"/>
    <w:rsid w:val="00573379"/>
    <w:rsid w:val="00573C73"/>
    <w:rsid w:val="00573D19"/>
    <w:rsid w:val="00574EB5"/>
    <w:rsid w:val="00575AB2"/>
    <w:rsid w:val="00576501"/>
    <w:rsid w:val="005765AE"/>
    <w:rsid w:val="0057696C"/>
    <w:rsid w:val="0057754C"/>
    <w:rsid w:val="00577CCA"/>
    <w:rsid w:val="00577DFC"/>
    <w:rsid w:val="00580060"/>
    <w:rsid w:val="0058090D"/>
    <w:rsid w:val="00580963"/>
    <w:rsid w:val="00581830"/>
    <w:rsid w:val="00581E95"/>
    <w:rsid w:val="0058226F"/>
    <w:rsid w:val="005823DA"/>
    <w:rsid w:val="0058257C"/>
    <w:rsid w:val="00582B30"/>
    <w:rsid w:val="00582C94"/>
    <w:rsid w:val="00582FF0"/>
    <w:rsid w:val="00583356"/>
    <w:rsid w:val="00583B9A"/>
    <w:rsid w:val="00583BBB"/>
    <w:rsid w:val="00583E8F"/>
    <w:rsid w:val="00585240"/>
    <w:rsid w:val="005855F8"/>
    <w:rsid w:val="00585615"/>
    <w:rsid w:val="005857D2"/>
    <w:rsid w:val="00585D11"/>
    <w:rsid w:val="005864B7"/>
    <w:rsid w:val="00586731"/>
    <w:rsid w:val="00586BDE"/>
    <w:rsid w:val="00587399"/>
    <w:rsid w:val="0059103C"/>
    <w:rsid w:val="0059132A"/>
    <w:rsid w:val="005917E9"/>
    <w:rsid w:val="005920E9"/>
    <w:rsid w:val="005926C4"/>
    <w:rsid w:val="005927A8"/>
    <w:rsid w:val="00592930"/>
    <w:rsid w:val="00592A05"/>
    <w:rsid w:val="00592AF7"/>
    <w:rsid w:val="00592E1B"/>
    <w:rsid w:val="00592FCA"/>
    <w:rsid w:val="00593158"/>
    <w:rsid w:val="005936B6"/>
    <w:rsid w:val="005937AC"/>
    <w:rsid w:val="00593993"/>
    <w:rsid w:val="00593B33"/>
    <w:rsid w:val="00594547"/>
    <w:rsid w:val="00594721"/>
    <w:rsid w:val="00594E50"/>
    <w:rsid w:val="005952AA"/>
    <w:rsid w:val="00595B9C"/>
    <w:rsid w:val="00596371"/>
    <w:rsid w:val="0059637D"/>
    <w:rsid w:val="00596801"/>
    <w:rsid w:val="005969A2"/>
    <w:rsid w:val="00596B5E"/>
    <w:rsid w:val="00597099"/>
    <w:rsid w:val="005970AC"/>
    <w:rsid w:val="0059713C"/>
    <w:rsid w:val="00597437"/>
    <w:rsid w:val="0059769E"/>
    <w:rsid w:val="00597A8B"/>
    <w:rsid w:val="00597B3B"/>
    <w:rsid w:val="00597CE1"/>
    <w:rsid w:val="005A0233"/>
    <w:rsid w:val="005A023B"/>
    <w:rsid w:val="005A0337"/>
    <w:rsid w:val="005A05A5"/>
    <w:rsid w:val="005A0A26"/>
    <w:rsid w:val="005A1263"/>
    <w:rsid w:val="005A1369"/>
    <w:rsid w:val="005A1F1A"/>
    <w:rsid w:val="005A26BE"/>
    <w:rsid w:val="005A2947"/>
    <w:rsid w:val="005A331C"/>
    <w:rsid w:val="005A3429"/>
    <w:rsid w:val="005A393D"/>
    <w:rsid w:val="005A3CD1"/>
    <w:rsid w:val="005A43B4"/>
    <w:rsid w:val="005A43DF"/>
    <w:rsid w:val="005A51D0"/>
    <w:rsid w:val="005A5B00"/>
    <w:rsid w:val="005A5DDC"/>
    <w:rsid w:val="005A6620"/>
    <w:rsid w:val="005A6A6D"/>
    <w:rsid w:val="005A6DE9"/>
    <w:rsid w:val="005A6FC0"/>
    <w:rsid w:val="005A70C0"/>
    <w:rsid w:val="005A755D"/>
    <w:rsid w:val="005A7861"/>
    <w:rsid w:val="005A797A"/>
    <w:rsid w:val="005B052C"/>
    <w:rsid w:val="005B0A62"/>
    <w:rsid w:val="005B0EEF"/>
    <w:rsid w:val="005B1128"/>
    <w:rsid w:val="005B1603"/>
    <w:rsid w:val="005B2212"/>
    <w:rsid w:val="005B2297"/>
    <w:rsid w:val="005B22B3"/>
    <w:rsid w:val="005B238E"/>
    <w:rsid w:val="005B239D"/>
    <w:rsid w:val="005B2A83"/>
    <w:rsid w:val="005B30E0"/>
    <w:rsid w:val="005B3120"/>
    <w:rsid w:val="005B3ADB"/>
    <w:rsid w:val="005B4032"/>
    <w:rsid w:val="005B40BD"/>
    <w:rsid w:val="005B41E6"/>
    <w:rsid w:val="005B4931"/>
    <w:rsid w:val="005B5015"/>
    <w:rsid w:val="005B769C"/>
    <w:rsid w:val="005B778F"/>
    <w:rsid w:val="005B7C73"/>
    <w:rsid w:val="005B7D8F"/>
    <w:rsid w:val="005C08BF"/>
    <w:rsid w:val="005C0B2E"/>
    <w:rsid w:val="005C0C11"/>
    <w:rsid w:val="005C13C7"/>
    <w:rsid w:val="005C18B0"/>
    <w:rsid w:val="005C227E"/>
    <w:rsid w:val="005C2A14"/>
    <w:rsid w:val="005C3278"/>
    <w:rsid w:val="005C32D6"/>
    <w:rsid w:val="005C342C"/>
    <w:rsid w:val="005C3DB8"/>
    <w:rsid w:val="005C4783"/>
    <w:rsid w:val="005C4811"/>
    <w:rsid w:val="005C5353"/>
    <w:rsid w:val="005C553B"/>
    <w:rsid w:val="005C55D1"/>
    <w:rsid w:val="005C577F"/>
    <w:rsid w:val="005C5AFA"/>
    <w:rsid w:val="005C5F9E"/>
    <w:rsid w:val="005C64F0"/>
    <w:rsid w:val="005C6BBB"/>
    <w:rsid w:val="005C6C85"/>
    <w:rsid w:val="005C6FFD"/>
    <w:rsid w:val="005C72BD"/>
    <w:rsid w:val="005C7A69"/>
    <w:rsid w:val="005C7AC4"/>
    <w:rsid w:val="005D0607"/>
    <w:rsid w:val="005D0D0D"/>
    <w:rsid w:val="005D0DCA"/>
    <w:rsid w:val="005D1011"/>
    <w:rsid w:val="005D14C2"/>
    <w:rsid w:val="005D15F0"/>
    <w:rsid w:val="005D1AAC"/>
    <w:rsid w:val="005D1DB9"/>
    <w:rsid w:val="005D1FE9"/>
    <w:rsid w:val="005D2062"/>
    <w:rsid w:val="005D236D"/>
    <w:rsid w:val="005D25E2"/>
    <w:rsid w:val="005D274E"/>
    <w:rsid w:val="005D2AA5"/>
    <w:rsid w:val="005D2FDB"/>
    <w:rsid w:val="005D33D1"/>
    <w:rsid w:val="005D34B6"/>
    <w:rsid w:val="005D3B13"/>
    <w:rsid w:val="005D3D3A"/>
    <w:rsid w:val="005D3F72"/>
    <w:rsid w:val="005D4779"/>
    <w:rsid w:val="005D51C4"/>
    <w:rsid w:val="005D5527"/>
    <w:rsid w:val="005D55C6"/>
    <w:rsid w:val="005D5E72"/>
    <w:rsid w:val="005D6010"/>
    <w:rsid w:val="005D6581"/>
    <w:rsid w:val="005D6727"/>
    <w:rsid w:val="005D6768"/>
    <w:rsid w:val="005D6988"/>
    <w:rsid w:val="005D6AEB"/>
    <w:rsid w:val="005D6BD4"/>
    <w:rsid w:val="005D6C97"/>
    <w:rsid w:val="005D7239"/>
    <w:rsid w:val="005D7B8B"/>
    <w:rsid w:val="005D7DFB"/>
    <w:rsid w:val="005E0787"/>
    <w:rsid w:val="005E0F45"/>
    <w:rsid w:val="005E1632"/>
    <w:rsid w:val="005E1A71"/>
    <w:rsid w:val="005E2013"/>
    <w:rsid w:val="005E22CD"/>
    <w:rsid w:val="005E26CC"/>
    <w:rsid w:val="005E3322"/>
    <w:rsid w:val="005E374B"/>
    <w:rsid w:val="005E37DE"/>
    <w:rsid w:val="005E3EC4"/>
    <w:rsid w:val="005E4140"/>
    <w:rsid w:val="005E4159"/>
    <w:rsid w:val="005E44EB"/>
    <w:rsid w:val="005E4586"/>
    <w:rsid w:val="005E464F"/>
    <w:rsid w:val="005E55B5"/>
    <w:rsid w:val="005E59CC"/>
    <w:rsid w:val="005E5B42"/>
    <w:rsid w:val="005E5F9E"/>
    <w:rsid w:val="005E6BE1"/>
    <w:rsid w:val="005E701A"/>
    <w:rsid w:val="005E7058"/>
    <w:rsid w:val="005E760B"/>
    <w:rsid w:val="005F0B63"/>
    <w:rsid w:val="005F0C9E"/>
    <w:rsid w:val="005F1658"/>
    <w:rsid w:val="005F1CE1"/>
    <w:rsid w:val="005F26AB"/>
    <w:rsid w:val="005F40BE"/>
    <w:rsid w:val="005F4BC7"/>
    <w:rsid w:val="005F4EAC"/>
    <w:rsid w:val="005F53BB"/>
    <w:rsid w:val="005F5694"/>
    <w:rsid w:val="005F56AB"/>
    <w:rsid w:val="005F57D7"/>
    <w:rsid w:val="005F5E42"/>
    <w:rsid w:val="005F65F1"/>
    <w:rsid w:val="005F66C0"/>
    <w:rsid w:val="005F6936"/>
    <w:rsid w:val="005F6D56"/>
    <w:rsid w:val="005F7402"/>
    <w:rsid w:val="005F7688"/>
    <w:rsid w:val="005F7B24"/>
    <w:rsid w:val="00600FD0"/>
    <w:rsid w:val="00601667"/>
    <w:rsid w:val="0060171A"/>
    <w:rsid w:val="00601803"/>
    <w:rsid w:val="00601D91"/>
    <w:rsid w:val="00601F40"/>
    <w:rsid w:val="00602200"/>
    <w:rsid w:val="006029FF"/>
    <w:rsid w:val="00602CF1"/>
    <w:rsid w:val="00602E14"/>
    <w:rsid w:val="00603667"/>
    <w:rsid w:val="00603CD8"/>
    <w:rsid w:val="00605A2F"/>
    <w:rsid w:val="006064AE"/>
    <w:rsid w:val="0060673B"/>
    <w:rsid w:val="00607C06"/>
    <w:rsid w:val="00607C9C"/>
    <w:rsid w:val="00607E18"/>
    <w:rsid w:val="00610F2F"/>
    <w:rsid w:val="006127CE"/>
    <w:rsid w:val="006129CE"/>
    <w:rsid w:val="00613F22"/>
    <w:rsid w:val="00615178"/>
    <w:rsid w:val="00615813"/>
    <w:rsid w:val="00615DC0"/>
    <w:rsid w:val="0061670E"/>
    <w:rsid w:val="00616DD3"/>
    <w:rsid w:val="00617093"/>
    <w:rsid w:val="006170B0"/>
    <w:rsid w:val="00617336"/>
    <w:rsid w:val="0061767C"/>
    <w:rsid w:val="006179CC"/>
    <w:rsid w:val="00617F31"/>
    <w:rsid w:val="006200E2"/>
    <w:rsid w:val="00620307"/>
    <w:rsid w:val="00620B63"/>
    <w:rsid w:val="00620EFA"/>
    <w:rsid w:val="00620F26"/>
    <w:rsid w:val="006212CC"/>
    <w:rsid w:val="006212DE"/>
    <w:rsid w:val="00621ADF"/>
    <w:rsid w:val="00621DD1"/>
    <w:rsid w:val="0062214A"/>
    <w:rsid w:val="00622E4A"/>
    <w:rsid w:val="00623433"/>
    <w:rsid w:val="0062345D"/>
    <w:rsid w:val="006239BD"/>
    <w:rsid w:val="00623C8E"/>
    <w:rsid w:val="00625941"/>
    <w:rsid w:val="00625B20"/>
    <w:rsid w:val="00626237"/>
    <w:rsid w:val="00626276"/>
    <w:rsid w:val="00626681"/>
    <w:rsid w:val="006267A7"/>
    <w:rsid w:val="0062685C"/>
    <w:rsid w:val="0062696A"/>
    <w:rsid w:val="00626C5C"/>
    <w:rsid w:val="006270CB"/>
    <w:rsid w:val="00627189"/>
    <w:rsid w:val="00627617"/>
    <w:rsid w:val="006304DB"/>
    <w:rsid w:val="006304E3"/>
    <w:rsid w:val="006305AB"/>
    <w:rsid w:val="00631C05"/>
    <w:rsid w:val="00632501"/>
    <w:rsid w:val="00632E64"/>
    <w:rsid w:val="006333E0"/>
    <w:rsid w:val="006336AF"/>
    <w:rsid w:val="006348D5"/>
    <w:rsid w:val="006350C9"/>
    <w:rsid w:val="00636377"/>
    <w:rsid w:val="00636BFA"/>
    <w:rsid w:val="00636D07"/>
    <w:rsid w:val="00636F86"/>
    <w:rsid w:val="0063778D"/>
    <w:rsid w:val="00637C32"/>
    <w:rsid w:val="0064037B"/>
    <w:rsid w:val="006409B2"/>
    <w:rsid w:val="00640BE5"/>
    <w:rsid w:val="00641904"/>
    <w:rsid w:val="00641B3B"/>
    <w:rsid w:val="00642BED"/>
    <w:rsid w:val="00642CAD"/>
    <w:rsid w:val="00643507"/>
    <w:rsid w:val="00643A99"/>
    <w:rsid w:val="0064500C"/>
    <w:rsid w:val="00645CB2"/>
    <w:rsid w:val="006460D8"/>
    <w:rsid w:val="0064651A"/>
    <w:rsid w:val="00646F0E"/>
    <w:rsid w:val="00646FEE"/>
    <w:rsid w:val="00647144"/>
    <w:rsid w:val="006472B4"/>
    <w:rsid w:val="006473B1"/>
    <w:rsid w:val="006476E8"/>
    <w:rsid w:val="00647F2B"/>
    <w:rsid w:val="00650078"/>
    <w:rsid w:val="006504AA"/>
    <w:rsid w:val="00650B95"/>
    <w:rsid w:val="00651C9D"/>
    <w:rsid w:val="006520AF"/>
    <w:rsid w:val="006521FC"/>
    <w:rsid w:val="006526EB"/>
    <w:rsid w:val="006528CD"/>
    <w:rsid w:val="00652E80"/>
    <w:rsid w:val="00653038"/>
    <w:rsid w:val="0065310F"/>
    <w:rsid w:val="00653630"/>
    <w:rsid w:val="00653BC3"/>
    <w:rsid w:val="006540A2"/>
    <w:rsid w:val="006541F8"/>
    <w:rsid w:val="00654E72"/>
    <w:rsid w:val="006554A5"/>
    <w:rsid w:val="0065738E"/>
    <w:rsid w:val="00657B47"/>
    <w:rsid w:val="00657DDE"/>
    <w:rsid w:val="00660318"/>
    <w:rsid w:val="00660458"/>
    <w:rsid w:val="006605D9"/>
    <w:rsid w:val="00661E5E"/>
    <w:rsid w:val="006623BE"/>
    <w:rsid w:val="006623E6"/>
    <w:rsid w:val="0066288D"/>
    <w:rsid w:val="00662928"/>
    <w:rsid w:val="00662A4B"/>
    <w:rsid w:val="00662E66"/>
    <w:rsid w:val="00663750"/>
    <w:rsid w:val="00663BA0"/>
    <w:rsid w:val="006641A6"/>
    <w:rsid w:val="006641BA"/>
    <w:rsid w:val="0066467E"/>
    <w:rsid w:val="0066470C"/>
    <w:rsid w:val="00664943"/>
    <w:rsid w:val="00664A20"/>
    <w:rsid w:val="00664C0E"/>
    <w:rsid w:val="006652C9"/>
    <w:rsid w:val="0066569B"/>
    <w:rsid w:val="0066579D"/>
    <w:rsid w:val="006659A1"/>
    <w:rsid w:val="00665F18"/>
    <w:rsid w:val="00665FE5"/>
    <w:rsid w:val="00666336"/>
    <w:rsid w:val="00666677"/>
    <w:rsid w:val="006666A2"/>
    <w:rsid w:val="0066684B"/>
    <w:rsid w:val="0066713F"/>
    <w:rsid w:val="006673F8"/>
    <w:rsid w:val="00667C04"/>
    <w:rsid w:val="00667FBA"/>
    <w:rsid w:val="00670BAD"/>
    <w:rsid w:val="00670BF0"/>
    <w:rsid w:val="00672125"/>
    <w:rsid w:val="0067248B"/>
    <w:rsid w:val="0067263F"/>
    <w:rsid w:val="00672FE9"/>
    <w:rsid w:val="00673088"/>
    <w:rsid w:val="006730C1"/>
    <w:rsid w:val="00673135"/>
    <w:rsid w:val="00673A67"/>
    <w:rsid w:val="00674534"/>
    <w:rsid w:val="00674580"/>
    <w:rsid w:val="0067487A"/>
    <w:rsid w:val="00674C6D"/>
    <w:rsid w:val="006750B8"/>
    <w:rsid w:val="0067536B"/>
    <w:rsid w:val="00675A7F"/>
    <w:rsid w:val="00675B8E"/>
    <w:rsid w:val="00675FA8"/>
    <w:rsid w:val="00676BA6"/>
    <w:rsid w:val="00676C10"/>
    <w:rsid w:val="00676E33"/>
    <w:rsid w:val="00676FF9"/>
    <w:rsid w:val="006771E1"/>
    <w:rsid w:val="00677412"/>
    <w:rsid w:val="006776F4"/>
    <w:rsid w:val="0067794E"/>
    <w:rsid w:val="00677CE7"/>
    <w:rsid w:val="00680155"/>
    <w:rsid w:val="00680AEE"/>
    <w:rsid w:val="00680B23"/>
    <w:rsid w:val="00680BD1"/>
    <w:rsid w:val="00680FD7"/>
    <w:rsid w:val="0068146F"/>
    <w:rsid w:val="006816BA"/>
    <w:rsid w:val="00681B48"/>
    <w:rsid w:val="0068260B"/>
    <w:rsid w:val="00682F45"/>
    <w:rsid w:val="0068308C"/>
    <w:rsid w:val="00683215"/>
    <w:rsid w:val="006836D0"/>
    <w:rsid w:val="00683DBA"/>
    <w:rsid w:val="006842B1"/>
    <w:rsid w:val="006842C1"/>
    <w:rsid w:val="00684D4B"/>
    <w:rsid w:val="0068536B"/>
    <w:rsid w:val="0068549C"/>
    <w:rsid w:val="0068552F"/>
    <w:rsid w:val="00685C8D"/>
    <w:rsid w:val="006860B5"/>
    <w:rsid w:val="00686131"/>
    <w:rsid w:val="00686598"/>
    <w:rsid w:val="00686922"/>
    <w:rsid w:val="00686C5B"/>
    <w:rsid w:val="00686D2C"/>
    <w:rsid w:val="00686E54"/>
    <w:rsid w:val="00687098"/>
    <w:rsid w:val="0068783A"/>
    <w:rsid w:val="00687874"/>
    <w:rsid w:val="00690283"/>
    <w:rsid w:val="00690A2C"/>
    <w:rsid w:val="006915C0"/>
    <w:rsid w:val="006916D5"/>
    <w:rsid w:val="00691BA3"/>
    <w:rsid w:val="00691D40"/>
    <w:rsid w:val="006927A1"/>
    <w:rsid w:val="006927F3"/>
    <w:rsid w:val="00692905"/>
    <w:rsid w:val="00692D4A"/>
    <w:rsid w:val="00693140"/>
    <w:rsid w:val="00693152"/>
    <w:rsid w:val="00693938"/>
    <w:rsid w:val="00693CEA"/>
    <w:rsid w:val="00694983"/>
    <w:rsid w:val="0069515C"/>
    <w:rsid w:val="00695B73"/>
    <w:rsid w:val="00695BB1"/>
    <w:rsid w:val="006978D0"/>
    <w:rsid w:val="00697E68"/>
    <w:rsid w:val="006A003D"/>
    <w:rsid w:val="006A0558"/>
    <w:rsid w:val="006A090A"/>
    <w:rsid w:val="006A0CB1"/>
    <w:rsid w:val="006A0F26"/>
    <w:rsid w:val="006A100B"/>
    <w:rsid w:val="006A11D4"/>
    <w:rsid w:val="006A24B8"/>
    <w:rsid w:val="006A25F4"/>
    <w:rsid w:val="006A2BD5"/>
    <w:rsid w:val="006A2F4C"/>
    <w:rsid w:val="006A3AFB"/>
    <w:rsid w:val="006A3F95"/>
    <w:rsid w:val="006A4F6D"/>
    <w:rsid w:val="006A54F4"/>
    <w:rsid w:val="006A58D1"/>
    <w:rsid w:val="006A5902"/>
    <w:rsid w:val="006A5B94"/>
    <w:rsid w:val="006A6EF1"/>
    <w:rsid w:val="006A7A1C"/>
    <w:rsid w:val="006A7BFA"/>
    <w:rsid w:val="006B0028"/>
    <w:rsid w:val="006B0859"/>
    <w:rsid w:val="006B0A98"/>
    <w:rsid w:val="006B0D53"/>
    <w:rsid w:val="006B0F04"/>
    <w:rsid w:val="006B15FE"/>
    <w:rsid w:val="006B1EB7"/>
    <w:rsid w:val="006B228F"/>
    <w:rsid w:val="006B28EF"/>
    <w:rsid w:val="006B2976"/>
    <w:rsid w:val="006B2AA3"/>
    <w:rsid w:val="006B2AC5"/>
    <w:rsid w:val="006B336A"/>
    <w:rsid w:val="006B3379"/>
    <w:rsid w:val="006B42EE"/>
    <w:rsid w:val="006B4D1D"/>
    <w:rsid w:val="006B553C"/>
    <w:rsid w:val="006B5DAD"/>
    <w:rsid w:val="006B6766"/>
    <w:rsid w:val="006B7203"/>
    <w:rsid w:val="006B74B4"/>
    <w:rsid w:val="006C0A7A"/>
    <w:rsid w:val="006C115E"/>
    <w:rsid w:val="006C190D"/>
    <w:rsid w:val="006C1AE5"/>
    <w:rsid w:val="006C2021"/>
    <w:rsid w:val="006C244B"/>
    <w:rsid w:val="006C2B44"/>
    <w:rsid w:val="006C34EB"/>
    <w:rsid w:val="006C3868"/>
    <w:rsid w:val="006C3F45"/>
    <w:rsid w:val="006C4159"/>
    <w:rsid w:val="006C49C3"/>
    <w:rsid w:val="006C4A6A"/>
    <w:rsid w:val="006C5172"/>
    <w:rsid w:val="006C5D50"/>
    <w:rsid w:val="006C6BD7"/>
    <w:rsid w:val="006C6BED"/>
    <w:rsid w:val="006C7076"/>
    <w:rsid w:val="006C759D"/>
    <w:rsid w:val="006C76E5"/>
    <w:rsid w:val="006C7ABB"/>
    <w:rsid w:val="006C7BA7"/>
    <w:rsid w:val="006D02E3"/>
    <w:rsid w:val="006D05C0"/>
    <w:rsid w:val="006D08C3"/>
    <w:rsid w:val="006D0BA5"/>
    <w:rsid w:val="006D0D2E"/>
    <w:rsid w:val="006D1333"/>
    <w:rsid w:val="006D1381"/>
    <w:rsid w:val="006D1A73"/>
    <w:rsid w:val="006D2009"/>
    <w:rsid w:val="006D26FD"/>
    <w:rsid w:val="006D304A"/>
    <w:rsid w:val="006D362A"/>
    <w:rsid w:val="006D4436"/>
    <w:rsid w:val="006D4C8C"/>
    <w:rsid w:val="006D5083"/>
    <w:rsid w:val="006D5673"/>
    <w:rsid w:val="006D58E6"/>
    <w:rsid w:val="006D6243"/>
    <w:rsid w:val="006D6433"/>
    <w:rsid w:val="006D64A3"/>
    <w:rsid w:val="006D6570"/>
    <w:rsid w:val="006D6ED0"/>
    <w:rsid w:val="006D6FE8"/>
    <w:rsid w:val="006D72FA"/>
    <w:rsid w:val="006D7971"/>
    <w:rsid w:val="006E006C"/>
    <w:rsid w:val="006E0071"/>
    <w:rsid w:val="006E032E"/>
    <w:rsid w:val="006E07A7"/>
    <w:rsid w:val="006E0C84"/>
    <w:rsid w:val="006E0D35"/>
    <w:rsid w:val="006E1170"/>
    <w:rsid w:val="006E1319"/>
    <w:rsid w:val="006E14A7"/>
    <w:rsid w:val="006E1CE2"/>
    <w:rsid w:val="006E1CE7"/>
    <w:rsid w:val="006E217B"/>
    <w:rsid w:val="006E21D9"/>
    <w:rsid w:val="006E2D2E"/>
    <w:rsid w:val="006E2F57"/>
    <w:rsid w:val="006E381D"/>
    <w:rsid w:val="006E43FD"/>
    <w:rsid w:val="006E46CB"/>
    <w:rsid w:val="006E4829"/>
    <w:rsid w:val="006E4A03"/>
    <w:rsid w:val="006E4E56"/>
    <w:rsid w:val="006E5646"/>
    <w:rsid w:val="006E583D"/>
    <w:rsid w:val="006E5ACF"/>
    <w:rsid w:val="006E6045"/>
    <w:rsid w:val="006E628F"/>
    <w:rsid w:val="006E7D20"/>
    <w:rsid w:val="006F04E1"/>
    <w:rsid w:val="006F0A5E"/>
    <w:rsid w:val="006F0FD8"/>
    <w:rsid w:val="006F13C5"/>
    <w:rsid w:val="006F175E"/>
    <w:rsid w:val="006F18AF"/>
    <w:rsid w:val="006F1AA2"/>
    <w:rsid w:val="006F1DF1"/>
    <w:rsid w:val="006F24C9"/>
    <w:rsid w:val="006F2E70"/>
    <w:rsid w:val="006F39E6"/>
    <w:rsid w:val="006F3A46"/>
    <w:rsid w:val="006F3EC3"/>
    <w:rsid w:val="006F448D"/>
    <w:rsid w:val="006F449D"/>
    <w:rsid w:val="006F55A7"/>
    <w:rsid w:val="006F5E7D"/>
    <w:rsid w:val="006F5F2B"/>
    <w:rsid w:val="006F6CFE"/>
    <w:rsid w:val="006F6F30"/>
    <w:rsid w:val="006F71F3"/>
    <w:rsid w:val="006F7367"/>
    <w:rsid w:val="006F7597"/>
    <w:rsid w:val="006F780B"/>
    <w:rsid w:val="007001DF"/>
    <w:rsid w:val="0070102A"/>
    <w:rsid w:val="0070138A"/>
    <w:rsid w:val="00701AD6"/>
    <w:rsid w:val="00701C12"/>
    <w:rsid w:val="00702227"/>
    <w:rsid w:val="00702568"/>
    <w:rsid w:val="00702B74"/>
    <w:rsid w:val="00702C81"/>
    <w:rsid w:val="00702F3C"/>
    <w:rsid w:val="007035DA"/>
    <w:rsid w:val="007037D4"/>
    <w:rsid w:val="007042DD"/>
    <w:rsid w:val="007052F8"/>
    <w:rsid w:val="00705529"/>
    <w:rsid w:val="0070568D"/>
    <w:rsid w:val="0070587D"/>
    <w:rsid w:val="007062E2"/>
    <w:rsid w:val="007100C2"/>
    <w:rsid w:val="007103A8"/>
    <w:rsid w:val="00710F7E"/>
    <w:rsid w:val="0071118F"/>
    <w:rsid w:val="007112E8"/>
    <w:rsid w:val="0071149C"/>
    <w:rsid w:val="007118CF"/>
    <w:rsid w:val="00711F0F"/>
    <w:rsid w:val="00712B67"/>
    <w:rsid w:val="0071332F"/>
    <w:rsid w:val="00713DFF"/>
    <w:rsid w:val="00713FF5"/>
    <w:rsid w:val="0071402B"/>
    <w:rsid w:val="00714101"/>
    <w:rsid w:val="00714140"/>
    <w:rsid w:val="007145FB"/>
    <w:rsid w:val="00715322"/>
    <w:rsid w:val="00716E57"/>
    <w:rsid w:val="007175A2"/>
    <w:rsid w:val="00717E86"/>
    <w:rsid w:val="00717ED5"/>
    <w:rsid w:val="007204FC"/>
    <w:rsid w:val="00720748"/>
    <w:rsid w:val="00720D0B"/>
    <w:rsid w:val="00720EF5"/>
    <w:rsid w:val="00721351"/>
    <w:rsid w:val="0072166B"/>
    <w:rsid w:val="00721753"/>
    <w:rsid w:val="00721EA2"/>
    <w:rsid w:val="007220AE"/>
    <w:rsid w:val="00722313"/>
    <w:rsid w:val="00722792"/>
    <w:rsid w:val="00722A7B"/>
    <w:rsid w:val="0072363D"/>
    <w:rsid w:val="00723883"/>
    <w:rsid w:val="00723ADD"/>
    <w:rsid w:val="00724B18"/>
    <w:rsid w:val="00724DF9"/>
    <w:rsid w:val="00724E4A"/>
    <w:rsid w:val="007271C9"/>
    <w:rsid w:val="00727855"/>
    <w:rsid w:val="007300D6"/>
    <w:rsid w:val="0073076F"/>
    <w:rsid w:val="00730E1B"/>
    <w:rsid w:val="0073143F"/>
    <w:rsid w:val="00731D19"/>
    <w:rsid w:val="00731EAD"/>
    <w:rsid w:val="0073234D"/>
    <w:rsid w:val="00732597"/>
    <w:rsid w:val="007327B7"/>
    <w:rsid w:val="007334B6"/>
    <w:rsid w:val="00733677"/>
    <w:rsid w:val="007338CD"/>
    <w:rsid w:val="00733A4E"/>
    <w:rsid w:val="00733E64"/>
    <w:rsid w:val="00733F7E"/>
    <w:rsid w:val="007340A5"/>
    <w:rsid w:val="007346AF"/>
    <w:rsid w:val="00734788"/>
    <w:rsid w:val="007348D6"/>
    <w:rsid w:val="00734C97"/>
    <w:rsid w:val="0073537A"/>
    <w:rsid w:val="00735520"/>
    <w:rsid w:val="00735AA6"/>
    <w:rsid w:val="007363DA"/>
    <w:rsid w:val="0073673E"/>
    <w:rsid w:val="00736799"/>
    <w:rsid w:val="00736C76"/>
    <w:rsid w:val="0073737A"/>
    <w:rsid w:val="00737A7C"/>
    <w:rsid w:val="00737AD6"/>
    <w:rsid w:val="007401DC"/>
    <w:rsid w:val="007402CD"/>
    <w:rsid w:val="007409B4"/>
    <w:rsid w:val="00740CA8"/>
    <w:rsid w:val="00740D08"/>
    <w:rsid w:val="00740EB8"/>
    <w:rsid w:val="007410C2"/>
    <w:rsid w:val="007410D9"/>
    <w:rsid w:val="00741126"/>
    <w:rsid w:val="007413F5"/>
    <w:rsid w:val="00741425"/>
    <w:rsid w:val="007414EE"/>
    <w:rsid w:val="007416E6"/>
    <w:rsid w:val="00742731"/>
    <w:rsid w:val="00743287"/>
    <w:rsid w:val="0074348E"/>
    <w:rsid w:val="00743A6C"/>
    <w:rsid w:val="00743E39"/>
    <w:rsid w:val="007446BF"/>
    <w:rsid w:val="00744CD7"/>
    <w:rsid w:val="0074561E"/>
    <w:rsid w:val="00745798"/>
    <w:rsid w:val="00745E15"/>
    <w:rsid w:val="00746015"/>
    <w:rsid w:val="007460D7"/>
    <w:rsid w:val="00746479"/>
    <w:rsid w:val="0074648F"/>
    <w:rsid w:val="00746AF4"/>
    <w:rsid w:val="00747549"/>
    <w:rsid w:val="007476EE"/>
    <w:rsid w:val="00750638"/>
    <w:rsid w:val="00750FD5"/>
    <w:rsid w:val="0075186F"/>
    <w:rsid w:val="00751DDA"/>
    <w:rsid w:val="0075248C"/>
    <w:rsid w:val="00752C56"/>
    <w:rsid w:val="007531A1"/>
    <w:rsid w:val="00753444"/>
    <w:rsid w:val="00753452"/>
    <w:rsid w:val="0075356F"/>
    <w:rsid w:val="007539E4"/>
    <w:rsid w:val="00753A37"/>
    <w:rsid w:val="007544B6"/>
    <w:rsid w:val="0075465C"/>
    <w:rsid w:val="00754DF9"/>
    <w:rsid w:val="00754E74"/>
    <w:rsid w:val="00754E8A"/>
    <w:rsid w:val="00754EAF"/>
    <w:rsid w:val="00754F61"/>
    <w:rsid w:val="0075541D"/>
    <w:rsid w:val="0075701C"/>
    <w:rsid w:val="0075718C"/>
    <w:rsid w:val="00757C28"/>
    <w:rsid w:val="007602DF"/>
    <w:rsid w:val="007606E3"/>
    <w:rsid w:val="00760DED"/>
    <w:rsid w:val="0076123B"/>
    <w:rsid w:val="00761281"/>
    <w:rsid w:val="00761683"/>
    <w:rsid w:val="00761D67"/>
    <w:rsid w:val="007623C8"/>
    <w:rsid w:val="00762753"/>
    <w:rsid w:val="0076328C"/>
    <w:rsid w:val="00763D17"/>
    <w:rsid w:val="007643F1"/>
    <w:rsid w:val="00764A2F"/>
    <w:rsid w:val="007650B5"/>
    <w:rsid w:val="00765F61"/>
    <w:rsid w:val="007664D7"/>
    <w:rsid w:val="00766EAB"/>
    <w:rsid w:val="00767563"/>
    <w:rsid w:val="00767DF5"/>
    <w:rsid w:val="00770BBE"/>
    <w:rsid w:val="007711D1"/>
    <w:rsid w:val="00771DBF"/>
    <w:rsid w:val="00772427"/>
    <w:rsid w:val="007724CD"/>
    <w:rsid w:val="00772CD5"/>
    <w:rsid w:val="00773449"/>
    <w:rsid w:val="00773C79"/>
    <w:rsid w:val="00773EB3"/>
    <w:rsid w:val="00774C63"/>
    <w:rsid w:val="00774E41"/>
    <w:rsid w:val="00774F0A"/>
    <w:rsid w:val="00775C2D"/>
    <w:rsid w:val="00775FB1"/>
    <w:rsid w:val="00776183"/>
    <w:rsid w:val="007763D3"/>
    <w:rsid w:val="00776441"/>
    <w:rsid w:val="00776499"/>
    <w:rsid w:val="007764AA"/>
    <w:rsid w:val="007764C4"/>
    <w:rsid w:val="00776658"/>
    <w:rsid w:val="00776EE7"/>
    <w:rsid w:val="007773C1"/>
    <w:rsid w:val="00777CE2"/>
    <w:rsid w:val="00777E37"/>
    <w:rsid w:val="0078042E"/>
    <w:rsid w:val="00780978"/>
    <w:rsid w:val="00780A7D"/>
    <w:rsid w:val="00780D0A"/>
    <w:rsid w:val="007810ED"/>
    <w:rsid w:val="0078136F"/>
    <w:rsid w:val="007815C8"/>
    <w:rsid w:val="00781AD1"/>
    <w:rsid w:val="00781B08"/>
    <w:rsid w:val="007821BF"/>
    <w:rsid w:val="007823C3"/>
    <w:rsid w:val="00782789"/>
    <w:rsid w:val="00783033"/>
    <w:rsid w:val="0078310C"/>
    <w:rsid w:val="00783E51"/>
    <w:rsid w:val="0078400F"/>
    <w:rsid w:val="007845A9"/>
    <w:rsid w:val="00784985"/>
    <w:rsid w:val="00784994"/>
    <w:rsid w:val="007849D0"/>
    <w:rsid w:val="00784C4D"/>
    <w:rsid w:val="00784C52"/>
    <w:rsid w:val="007852F9"/>
    <w:rsid w:val="00785588"/>
    <w:rsid w:val="00785D0A"/>
    <w:rsid w:val="00785DE5"/>
    <w:rsid w:val="00786299"/>
    <w:rsid w:val="00786451"/>
    <w:rsid w:val="00786514"/>
    <w:rsid w:val="007867FE"/>
    <w:rsid w:val="00786861"/>
    <w:rsid w:val="00786D13"/>
    <w:rsid w:val="00787000"/>
    <w:rsid w:val="00787911"/>
    <w:rsid w:val="00787AAD"/>
    <w:rsid w:val="007901D3"/>
    <w:rsid w:val="00790639"/>
    <w:rsid w:val="007913D8"/>
    <w:rsid w:val="007915BD"/>
    <w:rsid w:val="00791997"/>
    <w:rsid w:val="00791A7D"/>
    <w:rsid w:val="00792097"/>
    <w:rsid w:val="007920EB"/>
    <w:rsid w:val="00792342"/>
    <w:rsid w:val="007925DB"/>
    <w:rsid w:val="00792BE2"/>
    <w:rsid w:val="00793803"/>
    <w:rsid w:val="00794435"/>
    <w:rsid w:val="0079499C"/>
    <w:rsid w:val="007949D4"/>
    <w:rsid w:val="00794E0C"/>
    <w:rsid w:val="0079564E"/>
    <w:rsid w:val="007958CA"/>
    <w:rsid w:val="00795F7C"/>
    <w:rsid w:val="00796125"/>
    <w:rsid w:val="00796C67"/>
    <w:rsid w:val="00797D24"/>
    <w:rsid w:val="00797F2F"/>
    <w:rsid w:val="007A0C78"/>
    <w:rsid w:val="007A1A89"/>
    <w:rsid w:val="007A2115"/>
    <w:rsid w:val="007A2A86"/>
    <w:rsid w:val="007A2BEB"/>
    <w:rsid w:val="007A2EC1"/>
    <w:rsid w:val="007A2F1D"/>
    <w:rsid w:val="007A3942"/>
    <w:rsid w:val="007A3C1C"/>
    <w:rsid w:val="007A3DE1"/>
    <w:rsid w:val="007A42B8"/>
    <w:rsid w:val="007A45FC"/>
    <w:rsid w:val="007A5703"/>
    <w:rsid w:val="007A5A7D"/>
    <w:rsid w:val="007A6543"/>
    <w:rsid w:val="007A6F8E"/>
    <w:rsid w:val="007A73FF"/>
    <w:rsid w:val="007A7650"/>
    <w:rsid w:val="007A7DE6"/>
    <w:rsid w:val="007B00E1"/>
    <w:rsid w:val="007B00E2"/>
    <w:rsid w:val="007B01F8"/>
    <w:rsid w:val="007B0576"/>
    <w:rsid w:val="007B0621"/>
    <w:rsid w:val="007B071E"/>
    <w:rsid w:val="007B0DDA"/>
    <w:rsid w:val="007B128B"/>
    <w:rsid w:val="007B1644"/>
    <w:rsid w:val="007B1E85"/>
    <w:rsid w:val="007B3B9B"/>
    <w:rsid w:val="007B4DAF"/>
    <w:rsid w:val="007B513A"/>
    <w:rsid w:val="007B5A16"/>
    <w:rsid w:val="007B6054"/>
    <w:rsid w:val="007B632A"/>
    <w:rsid w:val="007B64F9"/>
    <w:rsid w:val="007B6806"/>
    <w:rsid w:val="007B69C0"/>
    <w:rsid w:val="007B70F6"/>
    <w:rsid w:val="007B72AC"/>
    <w:rsid w:val="007B769F"/>
    <w:rsid w:val="007C0B25"/>
    <w:rsid w:val="007C0C12"/>
    <w:rsid w:val="007C14E6"/>
    <w:rsid w:val="007C15B9"/>
    <w:rsid w:val="007C17F1"/>
    <w:rsid w:val="007C1C4D"/>
    <w:rsid w:val="007C2059"/>
    <w:rsid w:val="007C20E6"/>
    <w:rsid w:val="007C2432"/>
    <w:rsid w:val="007C2C74"/>
    <w:rsid w:val="007C30A8"/>
    <w:rsid w:val="007C336D"/>
    <w:rsid w:val="007C3E24"/>
    <w:rsid w:val="007C3E33"/>
    <w:rsid w:val="007C4593"/>
    <w:rsid w:val="007C45C7"/>
    <w:rsid w:val="007C474D"/>
    <w:rsid w:val="007C4836"/>
    <w:rsid w:val="007C4D48"/>
    <w:rsid w:val="007C4F1B"/>
    <w:rsid w:val="007C5A0A"/>
    <w:rsid w:val="007C5B07"/>
    <w:rsid w:val="007C5C31"/>
    <w:rsid w:val="007C5C79"/>
    <w:rsid w:val="007C6561"/>
    <w:rsid w:val="007C6B67"/>
    <w:rsid w:val="007C6DFB"/>
    <w:rsid w:val="007D156F"/>
    <w:rsid w:val="007D19A5"/>
    <w:rsid w:val="007D2317"/>
    <w:rsid w:val="007D2355"/>
    <w:rsid w:val="007D24D0"/>
    <w:rsid w:val="007D2A8E"/>
    <w:rsid w:val="007D36CE"/>
    <w:rsid w:val="007D39A2"/>
    <w:rsid w:val="007D41A8"/>
    <w:rsid w:val="007D42BC"/>
    <w:rsid w:val="007D48BA"/>
    <w:rsid w:val="007D4F42"/>
    <w:rsid w:val="007D50DB"/>
    <w:rsid w:val="007D5BEC"/>
    <w:rsid w:val="007D5E41"/>
    <w:rsid w:val="007D5E52"/>
    <w:rsid w:val="007D61A5"/>
    <w:rsid w:val="007D640F"/>
    <w:rsid w:val="007D6C98"/>
    <w:rsid w:val="007D797A"/>
    <w:rsid w:val="007D7B05"/>
    <w:rsid w:val="007D7CB3"/>
    <w:rsid w:val="007E03DC"/>
    <w:rsid w:val="007E05B5"/>
    <w:rsid w:val="007E0F29"/>
    <w:rsid w:val="007E26A6"/>
    <w:rsid w:val="007E292F"/>
    <w:rsid w:val="007E3671"/>
    <w:rsid w:val="007E3939"/>
    <w:rsid w:val="007E416C"/>
    <w:rsid w:val="007E43FB"/>
    <w:rsid w:val="007E4973"/>
    <w:rsid w:val="007E4DE3"/>
    <w:rsid w:val="007E4E55"/>
    <w:rsid w:val="007E5403"/>
    <w:rsid w:val="007E5A96"/>
    <w:rsid w:val="007E5BB8"/>
    <w:rsid w:val="007E5DFE"/>
    <w:rsid w:val="007E621F"/>
    <w:rsid w:val="007E6330"/>
    <w:rsid w:val="007E6691"/>
    <w:rsid w:val="007E70C9"/>
    <w:rsid w:val="007E72EE"/>
    <w:rsid w:val="007E776A"/>
    <w:rsid w:val="007E78A5"/>
    <w:rsid w:val="007F0763"/>
    <w:rsid w:val="007F07C1"/>
    <w:rsid w:val="007F095A"/>
    <w:rsid w:val="007F0A4F"/>
    <w:rsid w:val="007F0E6B"/>
    <w:rsid w:val="007F1814"/>
    <w:rsid w:val="007F200D"/>
    <w:rsid w:val="007F251E"/>
    <w:rsid w:val="007F290E"/>
    <w:rsid w:val="007F2AC7"/>
    <w:rsid w:val="007F2BF9"/>
    <w:rsid w:val="007F2D32"/>
    <w:rsid w:val="007F2D8F"/>
    <w:rsid w:val="007F3807"/>
    <w:rsid w:val="007F3E52"/>
    <w:rsid w:val="007F4A7E"/>
    <w:rsid w:val="007F4AB6"/>
    <w:rsid w:val="007F4BE1"/>
    <w:rsid w:val="007F545B"/>
    <w:rsid w:val="007F5846"/>
    <w:rsid w:val="007F5B53"/>
    <w:rsid w:val="007F5F8A"/>
    <w:rsid w:val="007F644B"/>
    <w:rsid w:val="007F682E"/>
    <w:rsid w:val="007F69AD"/>
    <w:rsid w:val="007F6E6E"/>
    <w:rsid w:val="007F725F"/>
    <w:rsid w:val="007F73C9"/>
    <w:rsid w:val="007F755E"/>
    <w:rsid w:val="007F78F1"/>
    <w:rsid w:val="008002A8"/>
    <w:rsid w:val="0080098C"/>
    <w:rsid w:val="00800FD3"/>
    <w:rsid w:val="0080111B"/>
    <w:rsid w:val="0080181B"/>
    <w:rsid w:val="00801B00"/>
    <w:rsid w:val="00802709"/>
    <w:rsid w:val="0080282A"/>
    <w:rsid w:val="00802BCB"/>
    <w:rsid w:val="00802DC4"/>
    <w:rsid w:val="00802DE7"/>
    <w:rsid w:val="0080346D"/>
    <w:rsid w:val="00804156"/>
    <w:rsid w:val="00804C29"/>
    <w:rsid w:val="0080522F"/>
    <w:rsid w:val="008053AC"/>
    <w:rsid w:val="0080550D"/>
    <w:rsid w:val="00805BBD"/>
    <w:rsid w:val="00805D2F"/>
    <w:rsid w:val="00806336"/>
    <w:rsid w:val="00806672"/>
    <w:rsid w:val="0080727F"/>
    <w:rsid w:val="00807F49"/>
    <w:rsid w:val="00810199"/>
    <w:rsid w:val="008106E6"/>
    <w:rsid w:val="00810957"/>
    <w:rsid w:val="00810CD1"/>
    <w:rsid w:val="008114D2"/>
    <w:rsid w:val="0081172A"/>
    <w:rsid w:val="00811E27"/>
    <w:rsid w:val="008120EF"/>
    <w:rsid w:val="00812667"/>
    <w:rsid w:val="008140D7"/>
    <w:rsid w:val="00814BF7"/>
    <w:rsid w:val="00814C64"/>
    <w:rsid w:val="00815C25"/>
    <w:rsid w:val="00815C4C"/>
    <w:rsid w:val="00816110"/>
    <w:rsid w:val="0081684B"/>
    <w:rsid w:val="008169C4"/>
    <w:rsid w:val="00816AA5"/>
    <w:rsid w:val="00816D0D"/>
    <w:rsid w:val="00816FF7"/>
    <w:rsid w:val="00817A26"/>
    <w:rsid w:val="00817E0C"/>
    <w:rsid w:val="00817E9F"/>
    <w:rsid w:val="00820321"/>
    <w:rsid w:val="00820E5E"/>
    <w:rsid w:val="00821636"/>
    <w:rsid w:val="00821A1A"/>
    <w:rsid w:val="00821ACF"/>
    <w:rsid w:val="008220C8"/>
    <w:rsid w:val="00822410"/>
    <w:rsid w:val="00823CB1"/>
    <w:rsid w:val="00823EC4"/>
    <w:rsid w:val="008246F2"/>
    <w:rsid w:val="008248FF"/>
    <w:rsid w:val="008249F7"/>
    <w:rsid w:val="00824E73"/>
    <w:rsid w:val="008253E7"/>
    <w:rsid w:val="00825EC9"/>
    <w:rsid w:val="0082634A"/>
    <w:rsid w:val="008263AC"/>
    <w:rsid w:val="0082745A"/>
    <w:rsid w:val="00827540"/>
    <w:rsid w:val="00827E34"/>
    <w:rsid w:val="00827FD2"/>
    <w:rsid w:val="00827FD6"/>
    <w:rsid w:val="008307E7"/>
    <w:rsid w:val="00830832"/>
    <w:rsid w:val="008311DD"/>
    <w:rsid w:val="00831C6D"/>
    <w:rsid w:val="00831D6B"/>
    <w:rsid w:val="008320A2"/>
    <w:rsid w:val="00832210"/>
    <w:rsid w:val="008324CE"/>
    <w:rsid w:val="00832CF5"/>
    <w:rsid w:val="008335A1"/>
    <w:rsid w:val="00833954"/>
    <w:rsid w:val="00833A2C"/>
    <w:rsid w:val="00833F79"/>
    <w:rsid w:val="0083423C"/>
    <w:rsid w:val="0083471C"/>
    <w:rsid w:val="00834A4A"/>
    <w:rsid w:val="00835690"/>
    <w:rsid w:val="00835A54"/>
    <w:rsid w:val="00835E8D"/>
    <w:rsid w:val="00837106"/>
    <w:rsid w:val="00837113"/>
    <w:rsid w:val="0083736B"/>
    <w:rsid w:val="00837F6E"/>
    <w:rsid w:val="008407FD"/>
    <w:rsid w:val="008410C4"/>
    <w:rsid w:val="0084196F"/>
    <w:rsid w:val="00841E25"/>
    <w:rsid w:val="0084229C"/>
    <w:rsid w:val="008423ED"/>
    <w:rsid w:val="00842953"/>
    <w:rsid w:val="008429A2"/>
    <w:rsid w:val="00842D84"/>
    <w:rsid w:val="0084307C"/>
    <w:rsid w:val="0084332F"/>
    <w:rsid w:val="0084338C"/>
    <w:rsid w:val="008435DD"/>
    <w:rsid w:val="008439C9"/>
    <w:rsid w:val="00843FA2"/>
    <w:rsid w:val="00844423"/>
    <w:rsid w:val="0084443F"/>
    <w:rsid w:val="00844AB1"/>
    <w:rsid w:val="00844BDD"/>
    <w:rsid w:val="00844CBA"/>
    <w:rsid w:val="00844EE7"/>
    <w:rsid w:val="00844F65"/>
    <w:rsid w:val="00844F74"/>
    <w:rsid w:val="00845003"/>
    <w:rsid w:val="008453B8"/>
    <w:rsid w:val="00845B7F"/>
    <w:rsid w:val="00846187"/>
    <w:rsid w:val="00846247"/>
    <w:rsid w:val="008470D3"/>
    <w:rsid w:val="008470E6"/>
    <w:rsid w:val="00847192"/>
    <w:rsid w:val="00847625"/>
    <w:rsid w:val="008502D9"/>
    <w:rsid w:val="00850D45"/>
    <w:rsid w:val="008518C9"/>
    <w:rsid w:val="00851E4D"/>
    <w:rsid w:val="00851EAB"/>
    <w:rsid w:val="00852630"/>
    <w:rsid w:val="008528FA"/>
    <w:rsid w:val="008529AC"/>
    <w:rsid w:val="008530D8"/>
    <w:rsid w:val="00853B9E"/>
    <w:rsid w:val="00853FAF"/>
    <w:rsid w:val="008540DC"/>
    <w:rsid w:val="00854428"/>
    <w:rsid w:val="00854C1D"/>
    <w:rsid w:val="008550FD"/>
    <w:rsid w:val="00855132"/>
    <w:rsid w:val="008551C7"/>
    <w:rsid w:val="008559D4"/>
    <w:rsid w:val="00855FA8"/>
    <w:rsid w:val="00856127"/>
    <w:rsid w:val="0085616A"/>
    <w:rsid w:val="00856FAB"/>
    <w:rsid w:val="00857091"/>
    <w:rsid w:val="008573F4"/>
    <w:rsid w:val="00857421"/>
    <w:rsid w:val="008574A1"/>
    <w:rsid w:val="00857C6A"/>
    <w:rsid w:val="00860860"/>
    <w:rsid w:val="00860D96"/>
    <w:rsid w:val="00861DF5"/>
    <w:rsid w:val="00862177"/>
    <w:rsid w:val="00862585"/>
    <w:rsid w:val="00862BF8"/>
    <w:rsid w:val="00862CC8"/>
    <w:rsid w:val="008636E3"/>
    <w:rsid w:val="00863773"/>
    <w:rsid w:val="00863B99"/>
    <w:rsid w:val="008640D2"/>
    <w:rsid w:val="008644F9"/>
    <w:rsid w:val="008645D9"/>
    <w:rsid w:val="008648C9"/>
    <w:rsid w:val="00864B1D"/>
    <w:rsid w:val="00865436"/>
    <w:rsid w:val="0086587C"/>
    <w:rsid w:val="0086607F"/>
    <w:rsid w:val="008666B7"/>
    <w:rsid w:val="00866D20"/>
    <w:rsid w:val="00867091"/>
    <w:rsid w:val="008700DB"/>
    <w:rsid w:val="00870334"/>
    <w:rsid w:val="00870D40"/>
    <w:rsid w:val="00870D88"/>
    <w:rsid w:val="0087129E"/>
    <w:rsid w:val="00871479"/>
    <w:rsid w:val="00871568"/>
    <w:rsid w:val="008718A7"/>
    <w:rsid w:val="008721E6"/>
    <w:rsid w:val="0087244B"/>
    <w:rsid w:val="00872564"/>
    <w:rsid w:val="00872A4F"/>
    <w:rsid w:val="00872C4E"/>
    <w:rsid w:val="00873E90"/>
    <w:rsid w:val="0087406B"/>
    <w:rsid w:val="0087441E"/>
    <w:rsid w:val="008744B3"/>
    <w:rsid w:val="008752C1"/>
    <w:rsid w:val="008753C7"/>
    <w:rsid w:val="00875578"/>
    <w:rsid w:val="00875E26"/>
    <w:rsid w:val="008763D3"/>
    <w:rsid w:val="00876902"/>
    <w:rsid w:val="00876D13"/>
    <w:rsid w:val="00877021"/>
    <w:rsid w:val="008802E2"/>
    <w:rsid w:val="0088068A"/>
    <w:rsid w:val="00880D6B"/>
    <w:rsid w:val="00880DA7"/>
    <w:rsid w:val="00881065"/>
    <w:rsid w:val="008813B2"/>
    <w:rsid w:val="00881436"/>
    <w:rsid w:val="00881549"/>
    <w:rsid w:val="00881E70"/>
    <w:rsid w:val="00881FE2"/>
    <w:rsid w:val="008823F8"/>
    <w:rsid w:val="00883C6F"/>
    <w:rsid w:val="00883F97"/>
    <w:rsid w:val="00884495"/>
    <w:rsid w:val="008844CF"/>
    <w:rsid w:val="00885778"/>
    <w:rsid w:val="00885D07"/>
    <w:rsid w:val="00885F80"/>
    <w:rsid w:val="00886160"/>
    <w:rsid w:val="00886331"/>
    <w:rsid w:val="0088651C"/>
    <w:rsid w:val="0088664B"/>
    <w:rsid w:val="00886682"/>
    <w:rsid w:val="00887369"/>
    <w:rsid w:val="0088754C"/>
    <w:rsid w:val="00887694"/>
    <w:rsid w:val="00887C8E"/>
    <w:rsid w:val="00887F8E"/>
    <w:rsid w:val="00890021"/>
    <w:rsid w:val="0089050D"/>
    <w:rsid w:val="00890C58"/>
    <w:rsid w:val="00890ED7"/>
    <w:rsid w:val="00891094"/>
    <w:rsid w:val="008916E9"/>
    <w:rsid w:val="0089179D"/>
    <w:rsid w:val="008918B6"/>
    <w:rsid w:val="0089190F"/>
    <w:rsid w:val="0089210E"/>
    <w:rsid w:val="00892170"/>
    <w:rsid w:val="008922B4"/>
    <w:rsid w:val="00892C2C"/>
    <w:rsid w:val="00894328"/>
    <w:rsid w:val="00894662"/>
    <w:rsid w:val="00894977"/>
    <w:rsid w:val="008950F0"/>
    <w:rsid w:val="008955E5"/>
    <w:rsid w:val="00895C1E"/>
    <w:rsid w:val="00895D21"/>
    <w:rsid w:val="00897967"/>
    <w:rsid w:val="008A0D17"/>
    <w:rsid w:val="008A1444"/>
    <w:rsid w:val="008A15D9"/>
    <w:rsid w:val="008A1709"/>
    <w:rsid w:val="008A1CC4"/>
    <w:rsid w:val="008A2094"/>
    <w:rsid w:val="008A242E"/>
    <w:rsid w:val="008A2AE6"/>
    <w:rsid w:val="008A3193"/>
    <w:rsid w:val="008A336C"/>
    <w:rsid w:val="008A48FB"/>
    <w:rsid w:val="008A4EFD"/>
    <w:rsid w:val="008A5D77"/>
    <w:rsid w:val="008A5EF1"/>
    <w:rsid w:val="008A6DE3"/>
    <w:rsid w:val="008A6EAF"/>
    <w:rsid w:val="008A6F19"/>
    <w:rsid w:val="008A7ACB"/>
    <w:rsid w:val="008B06C5"/>
    <w:rsid w:val="008B077D"/>
    <w:rsid w:val="008B0A95"/>
    <w:rsid w:val="008B1865"/>
    <w:rsid w:val="008B18FE"/>
    <w:rsid w:val="008B1E05"/>
    <w:rsid w:val="008B21C3"/>
    <w:rsid w:val="008B2386"/>
    <w:rsid w:val="008B244A"/>
    <w:rsid w:val="008B258D"/>
    <w:rsid w:val="008B2621"/>
    <w:rsid w:val="008B2759"/>
    <w:rsid w:val="008B27C6"/>
    <w:rsid w:val="008B2A25"/>
    <w:rsid w:val="008B3C4E"/>
    <w:rsid w:val="008B3F8A"/>
    <w:rsid w:val="008B49CD"/>
    <w:rsid w:val="008B4BB9"/>
    <w:rsid w:val="008B50F0"/>
    <w:rsid w:val="008B549F"/>
    <w:rsid w:val="008B54C9"/>
    <w:rsid w:val="008B5BA0"/>
    <w:rsid w:val="008B5EDB"/>
    <w:rsid w:val="008B601C"/>
    <w:rsid w:val="008B6662"/>
    <w:rsid w:val="008B68C0"/>
    <w:rsid w:val="008B6DE7"/>
    <w:rsid w:val="008B7025"/>
    <w:rsid w:val="008B74FF"/>
    <w:rsid w:val="008B78BC"/>
    <w:rsid w:val="008B7F65"/>
    <w:rsid w:val="008C067B"/>
    <w:rsid w:val="008C070B"/>
    <w:rsid w:val="008C0987"/>
    <w:rsid w:val="008C119B"/>
    <w:rsid w:val="008C1F5F"/>
    <w:rsid w:val="008C2638"/>
    <w:rsid w:val="008C2680"/>
    <w:rsid w:val="008C27AB"/>
    <w:rsid w:val="008C2CD8"/>
    <w:rsid w:val="008C3719"/>
    <w:rsid w:val="008C384F"/>
    <w:rsid w:val="008C3915"/>
    <w:rsid w:val="008C476E"/>
    <w:rsid w:val="008C48EE"/>
    <w:rsid w:val="008C4AE7"/>
    <w:rsid w:val="008C4F99"/>
    <w:rsid w:val="008C526F"/>
    <w:rsid w:val="008C669C"/>
    <w:rsid w:val="008C68AA"/>
    <w:rsid w:val="008C695D"/>
    <w:rsid w:val="008C6E0F"/>
    <w:rsid w:val="008C6E32"/>
    <w:rsid w:val="008C729F"/>
    <w:rsid w:val="008C7408"/>
    <w:rsid w:val="008C7982"/>
    <w:rsid w:val="008D04F6"/>
    <w:rsid w:val="008D072C"/>
    <w:rsid w:val="008D0D8D"/>
    <w:rsid w:val="008D0F6A"/>
    <w:rsid w:val="008D1023"/>
    <w:rsid w:val="008D19BA"/>
    <w:rsid w:val="008D4010"/>
    <w:rsid w:val="008D4436"/>
    <w:rsid w:val="008D4B94"/>
    <w:rsid w:val="008D51BE"/>
    <w:rsid w:val="008D57DB"/>
    <w:rsid w:val="008D58CC"/>
    <w:rsid w:val="008D6530"/>
    <w:rsid w:val="008D6E1D"/>
    <w:rsid w:val="008D7B4E"/>
    <w:rsid w:val="008D7E2E"/>
    <w:rsid w:val="008E05AC"/>
    <w:rsid w:val="008E0673"/>
    <w:rsid w:val="008E071C"/>
    <w:rsid w:val="008E074B"/>
    <w:rsid w:val="008E0A03"/>
    <w:rsid w:val="008E0AA5"/>
    <w:rsid w:val="008E123A"/>
    <w:rsid w:val="008E18DB"/>
    <w:rsid w:val="008E19E0"/>
    <w:rsid w:val="008E2238"/>
    <w:rsid w:val="008E2552"/>
    <w:rsid w:val="008E2582"/>
    <w:rsid w:val="008E34C9"/>
    <w:rsid w:val="008E45C0"/>
    <w:rsid w:val="008E4627"/>
    <w:rsid w:val="008E494F"/>
    <w:rsid w:val="008E51AD"/>
    <w:rsid w:val="008E549D"/>
    <w:rsid w:val="008E5940"/>
    <w:rsid w:val="008E59ED"/>
    <w:rsid w:val="008E5EDE"/>
    <w:rsid w:val="008E6663"/>
    <w:rsid w:val="008E74A5"/>
    <w:rsid w:val="008E7618"/>
    <w:rsid w:val="008E7B94"/>
    <w:rsid w:val="008E7DE9"/>
    <w:rsid w:val="008F0178"/>
    <w:rsid w:val="008F0A0C"/>
    <w:rsid w:val="008F0A6E"/>
    <w:rsid w:val="008F0B6A"/>
    <w:rsid w:val="008F0E88"/>
    <w:rsid w:val="008F100B"/>
    <w:rsid w:val="008F111C"/>
    <w:rsid w:val="008F1741"/>
    <w:rsid w:val="008F2264"/>
    <w:rsid w:val="008F27CA"/>
    <w:rsid w:val="008F2ADD"/>
    <w:rsid w:val="008F2BA1"/>
    <w:rsid w:val="008F2ECA"/>
    <w:rsid w:val="008F420F"/>
    <w:rsid w:val="008F46CC"/>
    <w:rsid w:val="008F4E32"/>
    <w:rsid w:val="008F6076"/>
    <w:rsid w:val="008F6327"/>
    <w:rsid w:val="008F63A6"/>
    <w:rsid w:val="008F68FE"/>
    <w:rsid w:val="008F71A3"/>
    <w:rsid w:val="008F73B4"/>
    <w:rsid w:val="008F7872"/>
    <w:rsid w:val="008F7943"/>
    <w:rsid w:val="008F7C3D"/>
    <w:rsid w:val="008F7DD0"/>
    <w:rsid w:val="009009F3"/>
    <w:rsid w:val="00900AE9"/>
    <w:rsid w:val="00900D85"/>
    <w:rsid w:val="00900EAE"/>
    <w:rsid w:val="009010EF"/>
    <w:rsid w:val="00901545"/>
    <w:rsid w:val="009015C0"/>
    <w:rsid w:val="0090175E"/>
    <w:rsid w:val="00901DC4"/>
    <w:rsid w:val="00902238"/>
    <w:rsid w:val="00902261"/>
    <w:rsid w:val="00902617"/>
    <w:rsid w:val="00903447"/>
    <w:rsid w:val="00903693"/>
    <w:rsid w:val="009037EF"/>
    <w:rsid w:val="00903863"/>
    <w:rsid w:val="00903A4B"/>
    <w:rsid w:val="00904348"/>
    <w:rsid w:val="0090458D"/>
    <w:rsid w:val="0090498A"/>
    <w:rsid w:val="00904B0F"/>
    <w:rsid w:val="00904F9C"/>
    <w:rsid w:val="0090638F"/>
    <w:rsid w:val="009066B7"/>
    <w:rsid w:val="00906722"/>
    <w:rsid w:val="00906903"/>
    <w:rsid w:val="00907108"/>
    <w:rsid w:val="009072F4"/>
    <w:rsid w:val="00907A5F"/>
    <w:rsid w:val="00907DCB"/>
    <w:rsid w:val="00907F39"/>
    <w:rsid w:val="00910384"/>
    <w:rsid w:val="009117E0"/>
    <w:rsid w:val="00911BEE"/>
    <w:rsid w:val="00911D7A"/>
    <w:rsid w:val="00911DCE"/>
    <w:rsid w:val="009127D6"/>
    <w:rsid w:val="009128A0"/>
    <w:rsid w:val="00912A17"/>
    <w:rsid w:val="00912E85"/>
    <w:rsid w:val="00913083"/>
    <w:rsid w:val="0091319E"/>
    <w:rsid w:val="009132B0"/>
    <w:rsid w:val="00913854"/>
    <w:rsid w:val="009139E0"/>
    <w:rsid w:val="00915457"/>
    <w:rsid w:val="00915788"/>
    <w:rsid w:val="0091591E"/>
    <w:rsid w:val="00915AD9"/>
    <w:rsid w:val="00915D9D"/>
    <w:rsid w:val="009165FE"/>
    <w:rsid w:val="0091728C"/>
    <w:rsid w:val="00917D3B"/>
    <w:rsid w:val="00920838"/>
    <w:rsid w:val="0092083F"/>
    <w:rsid w:val="009212A0"/>
    <w:rsid w:val="009214F6"/>
    <w:rsid w:val="009215B3"/>
    <w:rsid w:val="0092178E"/>
    <w:rsid w:val="00921A6D"/>
    <w:rsid w:val="00921BD7"/>
    <w:rsid w:val="00922158"/>
    <w:rsid w:val="00922277"/>
    <w:rsid w:val="0092275F"/>
    <w:rsid w:val="00922EC2"/>
    <w:rsid w:val="009230C5"/>
    <w:rsid w:val="00924040"/>
    <w:rsid w:val="0092423E"/>
    <w:rsid w:val="0092434A"/>
    <w:rsid w:val="00924EFF"/>
    <w:rsid w:val="009251E6"/>
    <w:rsid w:val="0092659B"/>
    <w:rsid w:val="00926809"/>
    <w:rsid w:val="009268A2"/>
    <w:rsid w:val="009271BB"/>
    <w:rsid w:val="009277C6"/>
    <w:rsid w:val="00927BFC"/>
    <w:rsid w:val="00927D0E"/>
    <w:rsid w:val="009300FC"/>
    <w:rsid w:val="009305A3"/>
    <w:rsid w:val="00930BA3"/>
    <w:rsid w:val="009313C5"/>
    <w:rsid w:val="00931552"/>
    <w:rsid w:val="00931565"/>
    <w:rsid w:val="00931702"/>
    <w:rsid w:val="009319F3"/>
    <w:rsid w:val="00931DF3"/>
    <w:rsid w:val="00931F6F"/>
    <w:rsid w:val="009321DD"/>
    <w:rsid w:val="0093235C"/>
    <w:rsid w:val="009325E3"/>
    <w:rsid w:val="00932B6B"/>
    <w:rsid w:val="00932FD7"/>
    <w:rsid w:val="009331BB"/>
    <w:rsid w:val="00933858"/>
    <w:rsid w:val="009339DA"/>
    <w:rsid w:val="00933EE9"/>
    <w:rsid w:val="0093404D"/>
    <w:rsid w:val="009341FC"/>
    <w:rsid w:val="00934687"/>
    <w:rsid w:val="00934892"/>
    <w:rsid w:val="00934B7B"/>
    <w:rsid w:val="00934F73"/>
    <w:rsid w:val="00935A6B"/>
    <w:rsid w:val="00935D5F"/>
    <w:rsid w:val="00936784"/>
    <w:rsid w:val="00936E26"/>
    <w:rsid w:val="00936EF8"/>
    <w:rsid w:val="0093790C"/>
    <w:rsid w:val="00937C4B"/>
    <w:rsid w:val="00937CA7"/>
    <w:rsid w:val="00937D80"/>
    <w:rsid w:val="009401F6"/>
    <w:rsid w:val="0094022B"/>
    <w:rsid w:val="0094040E"/>
    <w:rsid w:val="00940521"/>
    <w:rsid w:val="00940A4E"/>
    <w:rsid w:val="00940B80"/>
    <w:rsid w:val="00940DB4"/>
    <w:rsid w:val="009410A1"/>
    <w:rsid w:val="009410B8"/>
    <w:rsid w:val="009412AD"/>
    <w:rsid w:val="009415AF"/>
    <w:rsid w:val="00941D29"/>
    <w:rsid w:val="009423F3"/>
    <w:rsid w:val="0094296D"/>
    <w:rsid w:val="00942E84"/>
    <w:rsid w:val="00943E3F"/>
    <w:rsid w:val="0094416C"/>
    <w:rsid w:val="00944584"/>
    <w:rsid w:val="0094479F"/>
    <w:rsid w:val="00945673"/>
    <w:rsid w:val="00945990"/>
    <w:rsid w:val="00946053"/>
    <w:rsid w:val="00946939"/>
    <w:rsid w:val="00946C0C"/>
    <w:rsid w:val="00946CE4"/>
    <w:rsid w:val="00946E60"/>
    <w:rsid w:val="0094756A"/>
    <w:rsid w:val="00947CCD"/>
    <w:rsid w:val="00947EFF"/>
    <w:rsid w:val="00950AA7"/>
    <w:rsid w:val="00950DB6"/>
    <w:rsid w:val="00950E18"/>
    <w:rsid w:val="00950FE0"/>
    <w:rsid w:val="009512E1"/>
    <w:rsid w:val="00951C06"/>
    <w:rsid w:val="00951CD2"/>
    <w:rsid w:val="00951FCB"/>
    <w:rsid w:val="00952072"/>
    <w:rsid w:val="00952096"/>
    <w:rsid w:val="009529FE"/>
    <w:rsid w:val="00953141"/>
    <w:rsid w:val="0095368B"/>
    <w:rsid w:val="0095375E"/>
    <w:rsid w:val="00953B68"/>
    <w:rsid w:val="00953C19"/>
    <w:rsid w:val="00953E37"/>
    <w:rsid w:val="0095450B"/>
    <w:rsid w:val="009548A2"/>
    <w:rsid w:val="00954966"/>
    <w:rsid w:val="00954FA8"/>
    <w:rsid w:val="009555E4"/>
    <w:rsid w:val="00955DD3"/>
    <w:rsid w:val="00955EC0"/>
    <w:rsid w:val="009560B0"/>
    <w:rsid w:val="00956498"/>
    <w:rsid w:val="009567C5"/>
    <w:rsid w:val="00956B63"/>
    <w:rsid w:val="00957301"/>
    <w:rsid w:val="00957518"/>
    <w:rsid w:val="00957871"/>
    <w:rsid w:val="00957967"/>
    <w:rsid w:val="00957B08"/>
    <w:rsid w:val="00957CF0"/>
    <w:rsid w:val="00957DF7"/>
    <w:rsid w:val="009606EE"/>
    <w:rsid w:val="0096098B"/>
    <w:rsid w:val="009609BA"/>
    <w:rsid w:val="00960C43"/>
    <w:rsid w:val="00961161"/>
    <w:rsid w:val="009613C9"/>
    <w:rsid w:val="0096185C"/>
    <w:rsid w:val="00961AFE"/>
    <w:rsid w:val="00961C94"/>
    <w:rsid w:val="00961FD3"/>
    <w:rsid w:val="009620B5"/>
    <w:rsid w:val="0096227D"/>
    <w:rsid w:val="00962D4B"/>
    <w:rsid w:val="00963604"/>
    <w:rsid w:val="00963C50"/>
    <w:rsid w:val="00964F38"/>
    <w:rsid w:val="00965BB4"/>
    <w:rsid w:val="00965CB8"/>
    <w:rsid w:val="00965E95"/>
    <w:rsid w:val="00966A96"/>
    <w:rsid w:val="00966BD0"/>
    <w:rsid w:val="009678B5"/>
    <w:rsid w:val="00967A84"/>
    <w:rsid w:val="00967BA2"/>
    <w:rsid w:val="00967FC4"/>
    <w:rsid w:val="009701B0"/>
    <w:rsid w:val="00970910"/>
    <w:rsid w:val="00970C8C"/>
    <w:rsid w:val="009714C9"/>
    <w:rsid w:val="00971E53"/>
    <w:rsid w:val="00972E69"/>
    <w:rsid w:val="00973162"/>
    <w:rsid w:val="009732D9"/>
    <w:rsid w:val="0097341E"/>
    <w:rsid w:val="00973589"/>
    <w:rsid w:val="00973F20"/>
    <w:rsid w:val="00974549"/>
    <w:rsid w:val="00974CB3"/>
    <w:rsid w:val="00974D19"/>
    <w:rsid w:val="00974EE2"/>
    <w:rsid w:val="009751B7"/>
    <w:rsid w:val="009757EF"/>
    <w:rsid w:val="00976111"/>
    <w:rsid w:val="00976C20"/>
    <w:rsid w:val="00976CB4"/>
    <w:rsid w:val="00976E97"/>
    <w:rsid w:val="0097719E"/>
    <w:rsid w:val="009771F2"/>
    <w:rsid w:val="00977EFE"/>
    <w:rsid w:val="009805CD"/>
    <w:rsid w:val="00982198"/>
    <w:rsid w:val="009824AB"/>
    <w:rsid w:val="00982605"/>
    <w:rsid w:val="009826CF"/>
    <w:rsid w:val="00982FF2"/>
    <w:rsid w:val="009832A7"/>
    <w:rsid w:val="00983CD0"/>
    <w:rsid w:val="00983EF9"/>
    <w:rsid w:val="009846B5"/>
    <w:rsid w:val="00984B9D"/>
    <w:rsid w:val="00987B72"/>
    <w:rsid w:val="00987CE8"/>
    <w:rsid w:val="00990F35"/>
    <w:rsid w:val="009911A0"/>
    <w:rsid w:val="00991587"/>
    <w:rsid w:val="00991734"/>
    <w:rsid w:val="009920F7"/>
    <w:rsid w:val="009923EE"/>
    <w:rsid w:val="009925E6"/>
    <w:rsid w:val="00992DC0"/>
    <w:rsid w:val="00992ED5"/>
    <w:rsid w:val="00992F38"/>
    <w:rsid w:val="0099350E"/>
    <w:rsid w:val="009940CE"/>
    <w:rsid w:val="009948DA"/>
    <w:rsid w:val="00995F7A"/>
    <w:rsid w:val="009960B3"/>
    <w:rsid w:val="009976E6"/>
    <w:rsid w:val="00997894"/>
    <w:rsid w:val="00997B59"/>
    <w:rsid w:val="009A044A"/>
    <w:rsid w:val="009A0515"/>
    <w:rsid w:val="009A0735"/>
    <w:rsid w:val="009A0EAD"/>
    <w:rsid w:val="009A0F3F"/>
    <w:rsid w:val="009A1235"/>
    <w:rsid w:val="009A1662"/>
    <w:rsid w:val="009A1AF5"/>
    <w:rsid w:val="009A1B55"/>
    <w:rsid w:val="009A2087"/>
    <w:rsid w:val="009A2180"/>
    <w:rsid w:val="009A226A"/>
    <w:rsid w:val="009A31A4"/>
    <w:rsid w:val="009A5049"/>
    <w:rsid w:val="009A561A"/>
    <w:rsid w:val="009A61EF"/>
    <w:rsid w:val="009A6338"/>
    <w:rsid w:val="009A6D62"/>
    <w:rsid w:val="009A7C9A"/>
    <w:rsid w:val="009B1A9C"/>
    <w:rsid w:val="009B2430"/>
    <w:rsid w:val="009B2D4A"/>
    <w:rsid w:val="009B3237"/>
    <w:rsid w:val="009B4570"/>
    <w:rsid w:val="009B47F2"/>
    <w:rsid w:val="009B5313"/>
    <w:rsid w:val="009B53AD"/>
    <w:rsid w:val="009B57EE"/>
    <w:rsid w:val="009B64AC"/>
    <w:rsid w:val="009B6BB4"/>
    <w:rsid w:val="009B762F"/>
    <w:rsid w:val="009B7B06"/>
    <w:rsid w:val="009B7D87"/>
    <w:rsid w:val="009C004C"/>
    <w:rsid w:val="009C0C1E"/>
    <w:rsid w:val="009C0E5F"/>
    <w:rsid w:val="009C1F27"/>
    <w:rsid w:val="009C1FD5"/>
    <w:rsid w:val="009C2532"/>
    <w:rsid w:val="009C26BD"/>
    <w:rsid w:val="009C27DD"/>
    <w:rsid w:val="009C33C3"/>
    <w:rsid w:val="009C3518"/>
    <w:rsid w:val="009C356C"/>
    <w:rsid w:val="009C515D"/>
    <w:rsid w:val="009C52D0"/>
    <w:rsid w:val="009C5D13"/>
    <w:rsid w:val="009C5FEA"/>
    <w:rsid w:val="009C6343"/>
    <w:rsid w:val="009C6833"/>
    <w:rsid w:val="009C6907"/>
    <w:rsid w:val="009C6E63"/>
    <w:rsid w:val="009C6F6A"/>
    <w:rsid w:val="009C78E3"/>
    <w:rsid w:val="009C7A2E"/>
    <w:rsid w:val="009D00F8"/>
    <w:rsid w:val="009D02E5"/>
    <w:rsid w:val="009D0674"/>
    <w:rsid w:val="009D07DA"/>
    <w:rsid w:val="009D0ED4"/>
    <w:rsid w:val="009D0F55"/>
    <w:rsid w:val="009D1AD9"/>
    <w:rsid w:val="009D1FC4"/>
    <w:rsid w:val="009D2BCB"/>
    <w:rsid w:val="009D2EFE"/>
    <w:rsid w:val="009D36A6"/>
    <w:rsid w:val="009D3B72"/>
    <w:rsid w:val="009D426B"/>
    <w:rsid w:val="009D43A3"/>
    <w:rsid w:val="009D4C50"/>
    <w:rsid w:val="009D584E"/>
    <w:rsid w:val="009D5A04"/>
    <w:rsid w:val="009D5D6A"/>
    <w:rsid w:val="009D5EB2"/>
    <w:rsid w:val="009D61B8"/>
    <w:rsid w:val="009D66AF"/>
    <w:rsid w:val="009D67C1"/>
    <w:rsid w:val="009D7E03"/>
    <w:rsid w:val="009E0B49"/>
    <w:rsid w:val="009E0B5C"/>
    <w:rsid w:val="009E0B82"/>
    <w:rsid w:val="009E0C32"/>
    <w:rsid w:val="009E1074"/>
    <w:rsid w:val="009E15F4"/>
    <w:rsid w:val="009E171A"/>
    <w:rsid w:val="009E1A84"/>
    <w:rsid w:val="009E234C"/>
    <w:rsid w:val="009E244B"/>
    <w:rsid w:val="009E2C42"/>
    <w:rsid w:val="009E3068"/>
    <w:rsid w:val="009E363B"/>
    <w:rsid w:val="009E3A34"/>
    <w:rsid w:val="009E3C0B"/>
    <w:rsid w:val="009E3EA4"/>
    <w:rsid w:val="009E40B0"/>
    <w:rsid w:val="009E434F"/>
    <w:rsid w:val="009E456E"/>
    <w:rsid w:val="009E4649"/>
    <w:rsid w:val="009E49BF"/>
    <w:rsid w:val="009E4A05"/>
    <w:rsid w:val="009E502F"/>
    <w:rsid w:val="009E52C7"/>
    <w:rsid w:val="009E5478"/>
    <w:rsid w:val="009E557C"/>
    <w:rsid w:val="009E5897"/>
    <w:rsid w:val="009E68A0"/>
    <w:rsid w:val="009E6DC8"/>
    <w:rsid w:val="009E6F0A"/>
    <w:rsid w:val="009E702A"/>
    <w:rsid w:val="009E71DA"/>
    <w:rsid w:val="009E7546"/>
    <w:rsid w:val="009E7B1F"/>
    <w:rsid w:val="009F02AE"/>
    <w:rsid w:val="009F036D"/>
    <w:rsid w:val="009F06D3"/>
    <w:rsid w:val="009F0C68"/>
    <w:rsid w:val="009F0DDF"/>
    <w:rsid w:val="009F10AF"/>
    <w:rsid w:val="009F1682"/>
    <w:rsid w:val="009F1CCA"/>
    <w:rsid w:val="009F1E99"/>
    <w:rsid w:val="009F2104"/>
    <w:rsid w:val="009F26BB"/>
    <w:rsid w:val="009F281D"/>
    <w:rsid w:val="009F284E"/>
    <w:rsid w:val="009F2B8B"/>
    <w:rsid w:val="009F37B9"/>
    <w:rsid w:val="009F40FA"/>
    <w:rsid w:val="009F4363"/>
    <w:rsid w:val="009F46A7"/>
    <w:rsid w:val="009F4DF3"/>
    <w:rsid w:val="009F6C67"/>
    <w:rsid w:val="009F7342"/>
    <w:rsid w:val="009F7658"/>
    <w:rsid w:val="009F7885"/>
    <w:rsid w:val="009F7D1E"/>
    <w:rsid w:val="009F7ED6"/>
    <w:rsid w:val="00A0008E"/>
    <w:rsid w:val="00A00569"/>
    <w:rsid w:val="00A00826"/>
    <w:rsid w:val="00A00B10"/>
    <w:rsid w:val="00A00D50"/>
    <w:rsid w:val="00A01062"/>
    <w:rsid w:val="00A01D45"/>
    <w:rsid w:val="00A02310"/>
    <w:rsid w:val="00A02559"/>
    <w:rsid w:val="00A025FC"/>
    <w:rsid w:val="00A02886"/>
    <w:rsid w:val="00A0325E"/>
    <w:rsid w:val="00A03A7E"/>
    <w:rsid w:val="00A03B5D"/>
    <w:rsid w:val="00A04031"/>
    <w:rsid w:val="00A04277"/>
    <w:rsid w:val="00A042D7"/>
    <w:rsid w:val="00A04427"/>
    <w:rsid w:val="00A04467"/>
    <w:rsid w:val="00A04907"/>
    <w:rsid w:val="00A050E8"/>
    <w:rsid w:val="00A05F30"/>
    <w:rsid w:val="00A0660A"/>
    <w:rsid w:val="00A06C64"/>
    <w:rsid w:val="00A06DFD"/>
    <w:rsid w:val="00A06EBE"/>
    <w:rsid w:val="00A102CF"/>
    <w:rsid w:val="00A105D0"/>
    <w:rsid w:val="00A106FE"/>
    <w:rsid w:val="00A11500"/>
    <w:rsid w:val="00A1162D"/>
    <w:rsid w:val="00A11A02"/>
    <w:rsid w:val="00A1280E"/>
    <w:rsid w:val="00A12D2A"/>
    <w:rsid w:val="00A14538"/>
    <w:rsid w:val="00A150F8"/>
    <w:rsid w:val="00A1544F"/>
    <w:rsid w:val="00A157D5"/>
    <w:rsid w:val="00A1594D"/>
    <w:rsid w:val="00A16C44"/>
    <w:rsid w:val="00A16E55"/>
    <w:rsid w:val="00A17772"/>
    <w:rsid w:val="00A178D3"/>
    <w:rsid w:val="00A17C7F"/>
    <w:rsid w:val="00A17F02"/>
    <w:rsid w:val="00A21360"/>
    <w:rsid w:val="00A21655"/>
    <w:rsid w:val="00A218B2"/>
    <w:rsid w:val="00A22086"/>
    <w:rsid w:val="00A2272C"/>
    <w:rsid w:val="00A22857"/>
    <w:rsid w:val="00A22897"/>
    <w:rsid w:val="00A228D8"/>
    <w:rsid w:val="00A22B31"/>
    <w:rsid w:val="00A231D1"/>
    <w:rsid w:val="00A23283"/>
    <w:rsid w:val="00A23310"/>
    <w:rsid w:val="00A23A3B"/>
    <w:rsid w:val="00A23FFF"/>
    <w:rsid w:val="00A24035"/>
    <w:rsid w:val="00A2540F"/>
    <w:rsid w:val="00A25CBF"/>
    <w:rsid w:val="00A25DB8"/>
    <w:rsid w:val="00A2646E"/>
    <w:rsid w:val="00A2686B"/>
    <w:rsid w:val="00A26BF3"/>
    <w:rsid w:val="00A270C2"/>
    <w:rsid w:val="00A27220"/>
    <w:rsid w:val="00A27236"/>
    <w:rsid w:val="00A27424"/>
    <w:rsid w:val="00A27540"/>
    <w:rsid w:val="00A27706"/>
    <w:rsid w:val="00A27D80"/>
    <w:rsid w:val="00A3052C"/>
    <w:rsid w:val="00A306D9"/>
    <w:rsid w:val="00A3187E"/>
    <w:rsid w:val="00A32034"/>
    <w:rsid w:val="00A32443"/>
    <w:rsid w:val="00A330FE"/>
    <w:rsid w:val="00A33705"/>
    <w:rsid w:val="00A338F1"/>
    <w:rsid w:val="00A342AA"/>
    <w:rsid w:val="00A3509D"/>
    <w:rsid w:val="00A357CB"/>
    <w:rsid w:val="00A358C5"/>
    <w:rsid w:val="00A35A2C"/>
    <w:rsid w:val="00A35CF5"/>
    <w:rsid w:val="00A361F9"/>
    <w:rsid w:val="00A36977"/>
    <w:rsid w:val="00A36D53"/>
    <w:rsid w:val="00A36EFC"/>
    <w:rsid w:val="00A37331"/>
    <w:rsid w:val="00A3785C"/>
    <w:rsid w:val="00A4007B"/>
    <w:rsid w:val="00A40270"/>
    <w:rsid w:val="00A40310"/>
    <w:rsid w:val="00A40A99"/>
    <w:rsid w:val="00A40BDA"/>
    <w:rsid w:val="00A40D9C"/>
    <w:rsid w:val="00A40E1A"/>
    <w:rsid w:val="00A41373"/>
    <w:rsid w:val="00A413F7"/>
    <w:rsid w:val="00A41506"/>
    <w:rsid w:val="00A41E8B"/>
    <w:rsid w:val="00A426FF"/>
    <w:rsid w:val="00A4283F"/>
    <w:rsid w:val="00A43063"/>
    <w:rsid w:val="00A43612"/>
    <w:rsid w:val="00A43911"/>
    <w:rsid w:val="00A441D1"/>
    <w:rsid w:val="00A442B0"/>
    <w:rsid w:val="00A44D56"/>
    <w:rsid w:val="00A45507"/>
    <w:rsid w:val="00A463A7"/>
    <w:rsid w:val="00A471FD"/>
    <w:rsid w:val="00A47FBE"/>
    <w:rsid w:val="00A50AA5"/>
    <w:rsid w:val="00A50CFC"/>
    <w:rsid w:val="00A50E6E"/>
    <w:rsid w:val="00A50FD0"/>
    <w:rsid w:val="00A51409"/>
    <w:rsid w:val="00A51651"/>
    <w:rsid w:val="00A52DA2"/>
    <w:rsid w:val="00A53917"/>
    <w:rsid w:val="00A5448E"/>
    <w:rsid w:val="00A547D9"/>
    <w:rsid w:val="00A54A21"/>
    <w:rsid w:val="00A54D17"/>
    <w:rsid w:val="00A56A34"/>
    <w:rsid w:val="00A56A6A"/>
    <w:rsid w:val="00A57162"/>
    <w:rsid w:val="00A571F2"/>
    <w:rsid w:val="00A57319"/>
    <w:rsid w:val="00A573B2"/>
    <w:rsid w:val="00A57923"/>
    <w:rsid w:val="00A57AB9"/>
    <w:rsid w:val="00A6003B"/>
    <w:rsid w:val="00A601C0"/>
    <w:rsid w:val="00A603FB"/>
    <w:rsid w:val="00A60930"/>
    <w:rsid w:val="00A609DA"/>
    <w:rsid w:val="00A60E09"/>
    <w:rsid w:val="00A61007"/>
    <w:rsid w:val="00A61F60"/>
    <w:rsid w:val="00A61FA4"/>
    <w:rsid w:val="00A6205C"/>
    <w:rsid w:val="00A62172"/>
    <w:rsid w:val="00A62400"/>
    <w:rsid w:val="00A629D6"/>
    <w:rsid w:val="00A62D48"/>
    <w:rsid w:val="00A62F70"/>
    <w:rsid w:val="00A63553"/>
    <w:rsid w:val="00A63E3B"/>
    <w:rsid w:val="00A63EEE"/>
    <w:rsid w:val="00A640EE"/>
    <w:rsid w:val="00A642A1"/>
    <w:rsid w:val="00A64460"/>
    <w:rsid w:val="00A64741"/>
    <w:rsid w:val="00A64907"/>
    <w:rsid w:val="00A64DBF"/>
    <w:rsid w:val="00A65BDF"/>
    <w:rsid w:val="00A65C2D"/>
    <w:rsid w:val="00A66769"/>
    <w:rsid w:val="00A66DA0"/>
    <w:rsid w:val="00A67012"/>
    <w:rsid w:val="00A67851"/>
    <w:rsid w:val="00A702B0"/>
    <w:rsid w:val="00A703BB"/>
    <w:rsid w:val="00A7060D"/>
    <w:rsid w:val="00A70BC0"/>
    <w:rsid w:val="00A70E17"/>
    <w:rsid w:val="00A71015"/>
    <w:rsid w:val="00A71020"/>
    <w:rsid w:val="00A71256"/>
    <w:rsid w:val="00A71BE1"/>
    <w:rsid w:val="00A71D96"/>
    <w:rsid w:val="00A72104"/>
    <w:rsid w:val="00A723D7"/>
    <w:rsid w:val="00A729E9"/>
    <w:rsid w:val="00A73BFB"/>
    <w:rsid w:val="00A73C13"/>
    <w:rsid w:val="00A7428D"/>
    <w:rsid w:val="00A749B0"/>
    <w:rsid w:val="00A74F97"/>
    <w:rsid w:val="00A7541B"/>
    <w:rsid w:val="00A75A97"/>
    <w:rsid w:val="00A75BB0"/>
    <w:rsid w:val="00A75C9B"/>
    <w:rsid w:val="00A761DF"/>
    <w:rsid w:val="00A776EA"/>
    <w:rsid w:val="00A8080A"/>
    <w:rsid w:val="00A8089A"/>
    <w:rsid w:val="00A80AE6"/>
    <w:rsid w:val="00A80C45"/>
    <w:rsid w:val="00A81212"/>
    <w:rsid w:val="00A819CF"/>
    <w:rsid w:val="00A81FB3"/>
    <w:rsid w:val="00A82439"/>
    <w:rsid w:val="00A82649"/>
    <w:rsid w:val="00A82C53"/>
    <w:rsid w:val="00A82ED1"/>
    <w:rsid w:val="00A83E01"/>
    <w:rsid w:val="00A856C6"/>
    <w:rsid w:val="00A859E4"/>
    <w:rsid w:val="00A85AD7"/>
    <w:rsid w:val="00A86133"/>
    <w:rsid w:val="00A86A73"/>
    <w:rsid w:val="00A86CBE"/>
    <w:rsid w:val="00A87129"/>
    <w:rsid w:val="00A872F0"/>
    <w:rsid w:val="00A879C8"/>
    <w:rsid w:val="00A87C14"/>
    <w:rsid w:val="00A909DA"/>
    <w:rsid w:val="00A90ADD"/>
    <w:rsid w:val="00A91943"/>
    <w:rsid w:val="00A92133"/>
    <w:rsid w:val="00A92369"/>
    <w:rsid w:val="00A9305B"/>
    <w:rsid w:val="00A9313A"/>
    <w:rsid w:val="00A9318B"/>
    <w:rsid w:val="00A93529"/>
    <w:rsid w:val="00A93606"/>
    <w:rsid w:val="00A93CF2"/>
    <w:rsid w:val="00A9432D"/>
    <w:rsid w:val="00A94DA1"/>
    <w:rsid w:val="00A94FA6"/>
    <w:rsid w:val="00A956CE"/>
    <w:rsid w:val="00A95E2E"/>
    <w:rsid w:val="00A95E56"/>
    <w:rsid w:val="00A9684B"/>
    <w:rsid w:val="00A96F92"/>
    <w:rsid w:val="00AA02CB"/>
    <w:rsid w:val="00AA0379"/>
    <w:rsid w:val="00AA0925"/>
    <w:rsid w:val="00AA0A92"/>
    <w:rsid w:val="00AA0EC8"/>
    <w:rsid w:val="00AA0ECF"/>
    <w:rsid w:val="00AA1166"/>
    <w:rsid w:val="00AA14B5"/>
    <w:rsid w:val="00AA1891"/>
    <w:rsid w:val="00AA18F3"/>
    <w:rsid w:val="00AA1BFA"/>
    <w:rsid w:val="00AA23A2"/>
    <w:rsid w:val="00AA2B7E"/>
    <w:rsid w:val="00AA2CDC"/>
    <w:rsid w:val="00AA30EA"/>
    <w:rsid w:val="00AA32D6"/>
    <w:rsid w:val="00AA3535"/>
    <w:rsid w:val="00AA356A"/>
    <w:rsid w:val="00AA3590"/>
    <w:rsid w:val="00AA394E"/>
    <w:rsid w:val="00AA3D01"/>
    <w:rsid w:val="00AA4C95"/>
    <w:rsid w:val="00AA4CC0"/>
    <w:rsid w:val="00AA4D71"/>
    <w:rsid w:val="00AA5793"/>
    <w:rsid w:val="00AA59B9"/>
    <w:rsid w:val="00AA6582"/>
    <w:rsid w:val="00AA6AEE"/>
    <w:rsid w:val="00AA7348"/>
    <w:rsid w:val="00AA7358"/>
    <w:rsid w:val="00AB044B"/>
    <w:rsid w:val="00AB0B73"/>
    <w:rsid w:val="00AB146D"/>
    <w:rsid w:val="00AB149A"/>
    <w:rsid w:val="00AB16C4"/>
    <w:rsid w:val="00AB193D"/>
    <w:rsid w:val="00AB1C15"/>
    <w:rsid w:val="00AB1DD9"/>
    <w:rsid w:val="00AB25DC"/>
    <w:rsid w:val="00AB2D7D"/>
    <w:rsid w:val="00AB3727"/>
    <w:rsid w:val="00AB4083"/>
    <w:rsid w:val="00AB4483"/>
    <w:rsid w:val="00AB5A1B"/>
    <w:rsid w:val="00AB5FD5"/>
    <w:rsid w:val="00AB63BC"/>
    <w:rsid w:val="00AB644A"/>
    <w:rsid w:val="00AB64FC"/>
    <w:rsid w:val="00AB6A79"/>
    <w:rsid w:val="00AB7879"/>
    <w:rsid w:val="00AB7C7E"/>
    <w:rsid w:val="00AB7D8D"/>
    <w:rsid w:val="00AC0234"/>
    <w:rsid w:val="00AC023E"/>
    <w:rsid w:val="00AC03D3"/>
    <w:rsid w:val="00AC185C"/>
    <w:rsid w:val="00AC1B3C"/>
    <w:rsid w:val="00AC1F1D"/>
    <w:rsid w:val="00AC27E2"/>
    <w:rsid w:val="00AC2CF2"/>
    <w:rsid w:val="00AC2EB1"/>
    <w:rsid w:val="00AC347D"/>
    <w:rsid w:val="00AC3587"/>
    <w:rsid w:val="00AC37D4"/>
    <w:rsid w:val="00AC3931"/>
    <w:rsid w:val="00AC3BFD"/>
    <w:rsid w:val="00AC3C2E"/>
    <w:rsid w:val="00AC3D91"/>
    <w:rsid w:val="00AC43EF"/>
    <w:rsid w:val="00AC48B1"/>
    <w:rsid w:val="00AC49AD"/>
    <w:rsid w:val="00AC50EA"/>
    <w:rsid w:val="00AC55D0"/>
    <w:rsid w:val="00AC5741"/>
    <w:rsid w:val="00AC61BB"/>
    <w:rsid w:val="00AC63B4"/>
    <w:rsid w:val="00AC651E"/>
    <w:rsid w:val="00AC6BC9"/>
    <w:rsid w:val="00AC6D9D"/>
    <w:rsid w:val="00AC6DBC"/>
    <w:rsid w:val="00AC6E87"/>
    <w:rsid w:val="00AC79A8"/>
    <w:rsid w:val="00AC79D7"/>
    <w:rsid w:val="00AC7C06"/>
    <w:rsid w:val="00AC7C3E"/>
    <w:rsid w:val="00AC7FDC"/>
    <w:rsid w:val="00AD11D8"/>
    <w:rsid w:val="00AD1547"/>
    <w:rsid w:val="00AD1FA9"/>
    <w:rsid w:val="00AD2278"/>
    <w:rsid w:val="00AD24CD"/>
    <w:rsid w:val="00AD2518"/>
    <w:rsid w:val="00AD2554"/>
    <w:rsid w:val="00AD2850"/>
    <w:rsid w:val="00AD2C7F"/>
    <w:rsid w:val="00AD2E55"/>
    <w:rsid w:val="00AD307A"/>
    <w:rsid w:val="00AD3582"/>
    <w:rsid w:val="00AD3ABA"/>
    <w:rsid w:val="00AD42F8"/>
    <w:rsid w:val="00AD5088"/>
    <w:rsid w:val="00AD518F"/>
    <w:rsid w:val="00AD5258"/>
    <w:rsid w:val="00AD57E2"/>
    <w:rsid w:val="00AD5E3E"/>
    <w:rsid w:val="00AD6F70"/>
    <w:rsid w:val="00AD753E"/>
    <w:rsid w:val="00AD7D0A"/>
    <w:rsid w:val="00AE05A7"/>
    <w:rsid w:val="00AE220E"/>
    <w:rsid w:val="00AE2564"/>
    <w:rsid w:val="00AE2675"/>
    <w:rsid w:val="00AE29CC"/>
    <w:rsid w:val="00AE2B72"/>
    <w:rsid w:val="00AE3F96"/>
    <w:rsid w:val="00AE5146"/>
    <w:rsid w:val="00AE51F5"/>
    <w:rsid w:val="00AE5413"/>
    <w:rsid w:val="00AE5572"/>
    <w:rsid w:val="00AE57F9"/>
    <w:rsid w:val="00AE5A93"/>
    <w:rsid w:val="00AE5B03"/>
    <w:rsid w:val="00AE64F6"/>
    <w:rsid w:val="00AE776E"/>
    <w:rsid w:val="00AF0758"/>
    <w:rsid w:val="00AF0E54"/>
    <w:rsid w:val="00AF15E1"/>
    <w:rsid w:val="00AF16AB"/>
    <w:rsid w:val="00AF1BE8"/>
    <w:rsid w:val="00AF1C0F"/>
    <w:rsid w:val="00AF3216"/>
    <w:rsid w:val="00AF498E"/>
    <w:rsid w:val="00AF4A6A"/>
    <w:rsid w:val="00AF4A9C"/>
    <w:rsid w:val="00AF4F10"/>
    <w:rsid w:val="00AF5582"/>
    <w:rsid w:val="00AF6149"/>
    <w:rsid w:val="00AF63F7"/>
    <w:rsid w:val="00AF65E7"/>
    <w:rsid w:val="00AF6716"/>
    <w:rsid w:val="00AF6F26"/>
    <w:rsid w:val="00B00D24"/>
    <w:rsid w:val="00B0154F"/>
    <w:rsid w:val="00B01FD1"/>
    <w:rsid w:val="00B021B5"/>
    <w:rsid w:val="00B02434"/>
    <w:rsid w:val="00B028A4"/>
    <w:rsid w:val="00B03001"/>
    <w:rsid w:val="00B031C0"/>
    <w:rsid w:val="00B034F1"/>
    <w:rsid w:val="00B04566"/>
    <w:rsid w:val="00B04970"/>
    <w:rsid w:val="00B04C5B"/>
    <w:rsid w:val="00B054EA"/>
    <w:rsid w:val="00B05D8F"/>
    <w:rsid w:val="00B05E79"/>
    <w:rsid w:val="00B06790"/>
    <w:rsid w:val="00B068FC"/>
    <w:rsid w:val="00B06DE1"/>
    <w:rsid w:val="00B06F61"/>
    <w:rsid w:val="00B07010"/>
    <w:rsid w:val="00B076A0"/>
    <w:rsid w:val="00B100D2"/>
    <w:rsid w:val="00B1072D"/>
    <w:rsid w:val="00B1107C"/>
    <w:rsid w:val="00B11207"/>
    <w:rsid w:val="00B11210"/>
    <w:rsid w:val="00B12142"/>
    <w:rsid w:val="00B12C20"/>
    <w:rsid w:val="00B12CE9"/>
    <w:rsid w:val="00B12E0A"/>
    <w:rsid w:val="00B13EFF"/>
    <w:rsid w:val="00B14494"/>
    <w:rsid w:val="00B14B94"/>
    <w:rsid w:val="00B14D6E"/>
    <w:rsid w:val="00B15278"/>
    <w:rsid w:val="00B15286"/>
    <w:rsid w:val="00B1551D"/>
    <w:rsid w:val="00B16443"/>
    <w:rsid w:val="00B16E99"/>
    <w:rsid w:val="00B16F2C"/>
    <w:rsid w:val="00B17533"/>
    <w:rsid w:val="00B200EB"/>
    <w:rsid w:val="00B20518"/>
    <w:rsid w:val="00B20A2E"/>
    <w:rsid w:val="00B215DE"/>
    <w:rsid w:val="00B216AD"/>
    <w:rsid w:val="00B2293D"/>
    <w:rsid w:val="00B22E7E"/>
    <w:rsid w:val="00B23201"/>
    <w:rsid w:val="00B23483"/>
    <w:rsid w:val="00B234AB"/>
    <w:rsid w:val="00B24569"/>
    <w:rsid w:val="00B246AC"/>
    <w:rsid w:val="00B24802"/>
    <w:rsid w:val="00B24D13"/>
    <w:rsid w:val="00B25262"/>
    <w:rsid w:val="00B25958"/>
    <w:rsid w:val="00B25C53"/>
    <w:rsid w:val="00B25C5B"/>
    <w:rsid w:val="00B267B9"/>
    <w:rsid w:val="00B26808"/>
    <w:rsid w:val="00B26E02"/>
    <w:rsid w:val="00B279FF"/>
    <w:rsid w:val="00B3001A"/>
    <w:rsid w:val="00B302FE"/>
    <w:rsid w:val="00B307A6"/>
    <w:rsid w:val="00B30D8F"/>
    <w:rsid w:val="00B310DC"/>
    <w:rsid w:val="00B31C77"/>
    <w:rsid w:val="00B31E76"/>
    <w:rsid w:val="00B320EA"/>
    <w:rsid w:val="00B32246"/>
    <w:rsid w:val="00B324CA"/>
    <w:rsid w:val="00B32676"/>
    <w:rsid w:val="00B32740"/>
    <w:rsid w:val="00B328CD"/>
    <w:rsid w:val="00B32E30"/>
    <w:rsid w:val="00B331B4"/>
    <w:rsid w:val="00B335FA"/>
    <w:rsid w:val="00B337CB"/>
    <w:rsid w:val="00B33CB8"/>
    <w:rsid w:val="00B34066"/>
    <w:rsid w:val="00B343ED"/>
    <w:rsid w:val="00B34435"/>
    <w:rsid w:val="00B348C3"/>
    <w:rsid w:val="00B35460"/>
    <w:rsid w:val="00B35C8E"/>
    <w:rsid w:val="00B37115"/>
    <w:rsid w:val="00B37377"/>
    <w:rsid w:val="00B37696"/>
    <w:rsid w:val="00B37A75"/>
    <w:rsid w:val="00B37D0F"/>
    <w:rsid w:val="00B37D77"/>
    <w:rsid w:val="00B40965"/>
    <w:rsid w:val="00B40B88"/>
    <w:rsid w:val="00B40E20"/>
    <w:rsid w:val="00B40F96"/>
    <w:rsid w:val="00B420D5"/>
    <w:rsid w:val="00B42496"/>
    <w:rsid w:val="00B42565"/>
    <w:rsid w:val="00B428AF"/>
    <w:rsid w:val="00B43158"/>
    <w:rsid w:val="00B43609"/>
    <w:rsid w:val="00B437BB"/>
    <w:rsid w:val="00B43DA6"/>
    <w:rsid w:val="00B43ED7"/>
    <w:rsid w:val="00B44672"/>
    <w:rsid w:val="00B447C9"/>
    <w:rsid w:val="00B44AFB"/>
    <w:rsid w:val="00B44CF2"/>
    <w:rsid w:val="00B45240"/>
    <w:rsid w:val="00B45337"/>
    <w:rsid w:val="00B45A24"/>
    <w:rsid w:val="00B45A6A"/>
    <w:rsid w:val="00B462A3"/>
    <w:rsid w:val="00B4662A"/>
    <w:rsid w:val="00B472F0"/>
    <w:rsid w:val="00B479D2"/>
    <w:rsid w:val="00B50174"/>
    <w:rsid w:val="00B50498"/>
    <w:rsid w:val="00B50989"/>
    <w:rsid w:val="00B509CB"/>
    <w:rsid w:val="00B50C6C"/>
    <w:rsid w:val="00B50EFE"/>
    <w:rsid w:val="00B50F1C"/>
    <w:rsid w:val="00B51CC3"/>
    <w:rsid w:val="00B51E83"/>
    <w:rsid w:val="00B527B4"/>
    <w:rsid w:val="00B52A81"/>
    <w:rsid w:val="00B52AC5"/>
    <w:rsid w:val="00B52B07"/>
    <w:rsid w:val="00B52E29"/>
    <w:rsid w:val="00B52E74"/>
    <w:rsid w:val="00B533AB"/>
    <w:rsid w:val="00B534CE"/>
    <w:rsid w:val="00B5366D"/>
    <w:rsid w:val="00B53B74"/>
    <w:rsid w:val="00B53B92"/>
    <w:rsid w:val="00B53DB8"/>
    <w:rsid w:val="00B53FCF"/>
    <w:rsid w:val="00B54353"/>
    <w:rsid w:val="00B54D18"/>
    <w:rsid w:val="00B5546D"/>
    <w:rsid w:val="00B556D6"/>
    <w:rsid w:val="00B5578B"/>
    <w:rsid w:val="00B5664E"/>
    <w:rsid w:val="00B566C0"/>
    <w:rsid w:val="00B570EB"/>
    <w:rsid w:val="00B5720B"/>
    <w:rsid w:val="00B576AF"/>
    <w:rsid w:val="00B579F4"/>
    <w:rsid w:val="00B606C8"/>
    <w:rsid w:val="00B60C37"/>
    <w:rsid w:val="00B619C9"/>
    <w:rsid w:val="00B61C48"/>
    <w:rsid w:val="00B61FB2"/>
    <w:rsid w:val="00B620E1"/>
    <w:rsid w:val="00B62601"/>
    <w:rsid w:val="00B627BA"/>
    <w:rsid w:val="00B63873"/>
    <w:rsid w:val="00B644CD"/>
    <w:rsid w:val="00B645EE"/>
    <w:rsid w:val="00B64945"/>
    <w:rsid w:val="00B64E5D"/>
    <w:rsid w:val="00B64ECA"/>
    <w:rsid w:val="00B64F79"/>
    <w:rsid w:val="00B65683"/>
    <w:rsid w:val="00B65CA1"/>
    <w:rsid w:val="00B65D28"/>
    <w:rsid w:val="00B664FE"/>
    <w:rsid w:val="00B66816"/>
    <w:rsid w:val="00B669F9"/>
    <w:rsid w:val="00B66AAB"/>
    <w:rsid w:val="00B66FD3"/>
    <w:rsid w:val="00B67109"/>
    <w:rsid w:val="00B70733"/>
    <w:rsid w:val="00B70746"/>
    <w:rsid w:val="00B70D95"/>
    <w:rsid w:val="00B71137"/>
    <w:rsid w:val="00B71188"/>
    <w:rsid w:val="00B71D76"/>
    <w:rsid w:val="00B7260F"/>
    <w:rsid w:val="00B73200"/>
    <w:rsid w:val="00B73285"/>
    <w:rsid w:val="00B74383"/>
    <w:rsid w:val="00B74498"/>
    <w:rsid w:val="00B75465"/>
    <w:rsid w:val="00B75589"/>
    <w:rsid w:val="00B759AD"/>
    <w:rsid w:val="00B7665C"/>
    <w:rsid w:val="00B77AE2"/>
    <w:rsid w:val="00B77B49"/>
    <w:rsid w:val="00B80097"/>
    <w:rsid w:val="00B8031F"/>
    <w:rsid w:val="00B8061E"/>
    <w:rsid w:val="00B8071B"/>
    <w:rsid w:val="00B80FF2"/>
    <w:rsid w:val="00B812AD"/>
    <w:rsid w:val="00B81998"/>
    <w:rsid w:val="00B81A1A"/>
    <w:rsid w:val="00B81B74"/>
    <w:rsid w:val="00B81EF5"/>
    <w:rsid w:val="00B84330"/>
    <w:rsid w:val="00B84C9C"/>
    <w:rsid w:val="00B8538D"/>
    <w:rsid w:val="00B85A95"/>
    <w:rsid w:val="00B85B4F"/>
    <w:rsid w:val="00B85BBE"/>
    <w:rsid w:val="00B85C58"/>
    <w:rsid w:val="00B85FA0"/>
    <w:rsid w:val="00B86FD3"/>
    <w:rsid w:val="00B874FD"/>
    <w:rsid w:val="00B87A74"/>
    <w:rsid w:val="00B87D14"/>
    <w:rsid w:val="00B90042"/>
    <w:rsid w:val="00B902BE"/>
    <w:rsid w:val="00B906AA"/>
    <w:rsid w:val="00B906AC"/>
    <w:rsid w:val="00B90F21"/>
    <w:rsid w:val="00B9192B"/>
    <w:rsid w:val="00B91B2C"/>
    <w:rsid w:val="00B91D4F"/>
    <w:rsid w:val="00B92062"/>
    <w:rsid w:val="00B928AF"/>
    <w:rsid w:val="00B92A49"/>
    <w:rsid w:val="00B92B5D"/>
    <w:rsid w:val="00B932ED"/>
    <w:rsid w:val="00B9341C"/>
    <w:rsid w:val="00B937FB"/>
    <w:rsid w:val="00B93813"/>
    <w:rsid w:val="00B94F75"/>
    <w:rsid w:val="00B95681"/>
    <w:rsid w:val="00B957B6"/>
    <w:rsid w:val="00B95909"/>
    <w:rsid w:val="00B95C5B"/>
    <w:rsid w:val="00B95CA9"/>
    <w:rsid w:val="00B96620"/>
    <w:rsid w:val="00B97698"/>
    <w:rsid w:val="00B97950"/>
    <w:rsid w:val="00B97A7A"/>
    <w:rsid w:val="00B97B8D"/>
    <w:rsid w:val="00B97E32"/>
    <w:rsid w:val="00BA08AD"/>
    <w:rsid w:val="00BA09F4"/>
    <w:rsid w:val="00BA0BC7"/>
    <w:rsid w:val="00BA0F4C"/>
    <w:rsid w:val="00BA10C1"/>
    <w:rsid w:val="00BA1361"/>
    <w:rsid w:val="00BA183E"/>
    <w:rsid w:val="00BA3191"/>
    <w:rsid w:val="00BA3216"/>
    <w:rsid w:val="00BA3985"/>
    <w:rsid w:val="00BA3A44"/>
    <w:rsid w:val="00BA4B2E"/>
    <w:rsid w:val="00BA529A"/>
    <w:rsid w:val="00BA5502"/>
    <w:rsid w:val="00BA56A0"/>
    <w:rsid w:val="00BA58DC"/>
    <w:rsid w:val="00BA6FCA"/>
    <w:rsid w:val="00BA70CE"/>
    <w:rsid w:val="00BA744B"/>
    <w:rsid w:val="00BA7982"/>
    <w:rsid w:val="00BA7AC9"/>
    <w:rsid w:val="00BA7CE9"/>
    <w:rsid w:val="00BA7D33"/>
    <w:rsid w:val="00BB2C12"/>
    <w:rsid w:val="00BB3AD0"/>
    <w:rsid w:val="00BB3E2F"/>
    <w:rsid w:val="00BB3F3D"/>
    <w:rsid w:val="00BB42E2"/>
    <w:rsid w:val="00BB45CE"/>
    <w:rsid w:val="00BB4B8B"/>
    <w:rsid w:val="00BB4C0E"/>
    <w:rsid w:val="00BB4C29"/>
    <w:rsid w:val="00BB656B"/>
    <w:rsid w:val="00BB66E4"/>
    <w:rsid w:val="00BB6B3A"/>
    <w:rsid w:val="00BB6C7E"/>
    <w:rsid w:val="00BB6D39"/>
    <w:rsid w:val="00BC0490"/>
    <w:rsid w:val="00BC0A7E"/>
    <w:rsid w:val="00BC1098"/>
    <w:rsid w:val="00BC1336"/>
    <w:rsid w:val="00BC1555"/>
    <w:rsid w:val="00BC1EE0"/>
    <w:rsid w:val="00BC2151"/>
    <w:rsid w:val="00BC2263"/>
    <w:rsid w:val="00BC3389"/>
    <w:rsid w:val="00BC3643"/>
    <w:rsid w:val="00BC3E9C"/>
    <w:rsid w:val="00BC4590"/>
    <w:rsid w:val="00BC4A0E"/>
    <w:rsid w:val="00BC4D11"/>
    <w:rsid w:val="00BC4F7C"/>
    <w:rsid w:val="00BC52EA"/>
    <w:rsid w:val="00BC5A66"/>
    <w:rsid w:val="00BC5B55"/>
    <w:rsid w:val="00BC5D7A"/>
    <w:rsid w:val="00BC5DA4"/>
    <w:rsid w:val="00BC6820"/>
    <w:rsid w:val="00BC683A"/>
    <w:rsid w:val="00BC6D56"/>
    <w:rsid w:val="00BD03CB"/>
    <w:rsid w:val="00BD07E6"/>
    <w:rsid w:val="00BD0BE3"/>
    <w:rsid w:val="00BD1724"/>
    <w:rsid w:val="00BD18F7"/>
    <w:rsid w:val="00BD21D7"/>
    <w:rsid w:val="00BD25A5"/>
    <w:rsid w:val="00BD29D3"/>
    <w:rsid w:val="00BD2E7F"/>
    <w:rsid w:val="00BD3083"/>
    <w:rsid w:val="00BD32BA"/>
    <w:rsid w:val="00BD3EFE"/>
    <w:rsid w:val="00BD4284"/>
    <w:rsid w:val="00BD46EE"/>
    <w:rsid w:val="00BD4D0B"/>
    <w:rsid w:val="00BD4D7D"/>
    <w:rsid w:val="00BD5815"/>
    <w:rsid w:val="00BD7152"/>
    <w:rsid w:val="00BD7153"/>
    <w:rsid w:val="00BD75A8"/>
    <w:rsid w:val="00BD77DC"/>
    <w:rsid w:val="00BD7F55"/>
    <w:rsid w:val="00BE0299"/>
    <w:rsid w:val="00BE0516"/>
    <w:rsid w:val="00BE0816"/>
    <w:rsid w:val="00BE11A1"/>
    <w:rsid w:val="00BE123D"/>
    <w:rsid w:val="00BE21E6"/>
    <w:rsid w:val="00BE22BB"/>
    <w:rsid w:val="00BE2732"/>
    <w:rsid w:val="00BE2994"/>
    <w:rsid w:val="00BE2F59"/>
    <w:rsid w:val="00BE3136"/>
    <w:rsid w:val="00BE3400"/>
    <w:rsid w:val="00BE341B"/>
    <w:rsid w:val="00BE39FF"/>
    <w:rsid w:val="00BE3AA6"/>
    <w:rsid w:val="00BE4BEA"/>
    <w:rsid w:val="00BE528D"/>
    <w:rsid w:val="00BE5542"/>
    <w:rsid w:val="00BE5A7F"/>
    <w:rsid w:val="00BE5FE4"/>
    <w:rsid w:val="00BE68A9"/>
    <w:rsid w:val="00BE6939"/>
    <w:rsid w:val="00BE6B83"/>
    <w:rsid w:val="00BE7035"/>
    <w:rsid w:val="00BE7316"/>
    <w:rsid w:val="00BE7675"/>
    <w:rsid w:val="00BE79FA"/>
    <w:rsid w:val="00BE7D3E"/>
    <w:rsid w:val="00BF04DA"/>
    <w:rsid w:val="00BF1E06"/>
    <w:rsid w:val="00BF1E97"/>
    <w:rsid w:val="00BF1F23"/>
    <w:rsid w:val="00BF22FD"/>
    <w:rsid w:val="00BF3A4C"/>
    <w:rsid w:val="00BF3AB7"/>
    <w:rsid w:val="00BF3D08"/>
    <w:rsid w:val="00BF4208"/>
    <w:rsid w:val="00BF420A"/>
    <w:rsid w:val="00BF45D3"/>
    <w:rsid w:val="00BF5A9F"/>
    <w:rsid w:val="00BF5ECA"/>
    <w:rsid w:val="00BF61E0"/>
    <w:rsid w:val="00BF6562"/>
    <w:rsid w:val="00BF6D45"/>
    <w:rsid w:val="00BF7043"/>
    <w:rsid w:val="00BF7122"/>
    <w:rsid w:val="00C00232"/>
    <w:rsid w:val="00C00E6A"/>
    <w:rsid w:val="00C00E6E"/>
    <w:rsid w:val="00C0134C"/>
    <w:rsid w:val="00C015E4"/>
    <w:rsid w:val="00C018FD"/>
    <w:rsid w:val="00C01A94"/>
    <w:rsid w:val="00C02C2C"/>
    <w:rsid w:val="00C02DEC"/>
    <w:rsid w:val="00C02EA9"/>
    <w:rsid w:val="00C034F5"/>
    <w:rsid w:val="00C038A8"/>
    <w:rsid w:val="00C03C87"/>
    <w:rsid w:val="00C049DD"/>
    <w:rsid w:val="00C05076"/>
    <w:rsid w:val="00C051D0"/>
    <w:rsid w:val="00C052AC"/>
    <w:rsid w:val="00C056B1"/>
    <w:rsid w:val="00C05839"/>
    <w:rsid w:val="00C05966"/>
    <w:rsid w:val="00C05A61"/>
    <w:rsid w:val="00C05E03"/>
    <w:rsid w:val="00C060E2"/>
    <w:rsid w:val="00C06B3B"/>
    <w:rsid w:val="00C07729"/>
    <w:rsid w:val="00C07790"/>
    <w:rsid w:val="00C078A0"/>
    <w:rsid w:val="00C07911"/>
    <w:rsid w:val="00C10045"/>
    <w:rsid w:val="00C100ED"/>
    <w:rsid w:val="00C1029A"/>
    <w:rsid w:val="00C12433"/>
    <w:rsid w:val="00C12665"/>
    <w:rsid w:val="00C12A0F"/>
    <w:rsid w:val="00C13809"/>
    <w:rsid w:val="00C13A1D"/>
    <w:rsid w:val="00C13EC5"/>
    <w:rsid w:val="00C15565"/>
    <w:rsid w:val="00C159D2"/>
    <w:rsid w:val="00C16B30"/>
    <w:rsid w:val="00C16CAB"/>
    <w:rsid w:val="00C16FEF"/>
    <w:rsid w:val="00C17348"/>
    <w:rsid w:val="00C17369"/>
    <w:rsid w:val="00C175EF"/>
    <w:rsid w:val="00C178AB"/>
    <w:rsid w:val="00C17B5E"/>
    <w:rsid w:val="00C17DAE"/>
    <w:rsid w:val="00C17E56"/>
    <w:rsid w:val="00C2007C"/>
    <w:rsid w:val="00C20215"/>
    <w:rsid w:val="00C2088B"/>
    <w:rsid w:val="00C20BBE"/>
    <w:rsid w:val="00C2132D"/>
    <w:rsid w:val="00C22006"/>
    <w:rsid w:val="00C22853"/>
    <w:rsid w:val="00C22A28"/>
    <w:rsid w:val="00C230FA"/>
    <w:rsid w:val="00C2337F"/>
    <w:rsid w:val="00C23928"/>
    <w:rsid w:val="00C2399C"/>
    <w:rsid w:val="00C25115"/>
    <w:rsid w:val="00C2516E"/>
    <w:rsid w:val="00C25CAC"/>
    <w:rsid w:val="00C25E51"/>
    <w:rsid w:val="00C25FDF"/>
    <w:rsid w:val="00C26026"/>
    <w:rsid w:val="00C26CCD"/>
    <w:rsid w:val="00C2701B"/>
    <w:rsid w:val="00C27138"/>
    <w:rsid w:val="00C27EEC"/>
    <w:rsid w:val="00C30D52"/>
    <w:rsid w:val="00C30E74"/>
    <w:rsid w:val="00C31052"/>
    <w:rsid w:val="00C312F7"/>
    <w:rsid w:val="00C318B2"/>
    <w:rsid w:val="00C3226C"/>
    <w:rsid w:val="00C327C9"/>
    <w:rsid w:val="00C32AC9"/>
    <w:rsid w:val="00C32C45"/>
    <w:rsid w:val="00C33DD3"/>
    <w:rsid w:val="00C34055"/>
    <w:rsid w:val="00C34BC7"/>
    <w:rsid w:val="00C3549D"/>
    <w:rsid w:val="00C35BF4"/>
    <w:rsid w:val="00C373F7"/>
    <w:rsid w:val="00C37F5E"/>
    <w:rsid w:val="00C40048"/>
    <w:rsid w:val="00C40151"/>
    <w:rsid w:val="00C40323"/>
    <w:rsid w:val="00C414E2"/>
    <w:rsid w:val="00C41550"/>
    <w:rsid w:val="00C416C6"/>
    <w:rsid w:val="00C41B73"/>
    <w:rsid w:val="00C420EC"/>
    <w:rsid w:val="00C422F4"/>
    <w:rsid w:val="00C42EC3"/>
    <w:rsid w:val="00C4306F"/>
    <w:rsid w:val="00C43A97"/>
    <w:rsid w:val="00C43DC3"/>
    <w:rsid w:val="00C44236"/>
    <w:rsid w:val="00C442A0"/>
    <w:rsid w:val="00C44456"/>
    <w:rsid w:val="00C4450A"/>
    <w:rsid w:val="00C44838"/>
    <w:rsid w:val="00C44863"/>
    <w:rsid w:val="00C44C01"/>
    <w:rsid w:val="00C45B9A"/>
    <w:rsid w:val="00C45E1A"/>
    <w:rsid w:val="00C45E69"/>
    <w:rsid w:val="00C463B4"/>
    <w:rsid w:val="00C468B3"/>
    <w:rsid w:val="00C46E4C"/>
    <w:rsid w:val="00C46FB5"/>
    <w:rsid w:val="00C47058"/>
    <w:rsid w:val="00C513DA"/>
    <w:rsid w:val="00C519D8"/>
    <w:rsid w:val="00C51EDE"/>
    <w:rsid w:val="00C526CE"/>
    <w:rsid w:val="00C5279B"/>
    <w:rsid w:val="00C527CC"/>
    <w:rsid w:val="00C52FC4"/>
    <w:rsid w:val="00C53151"/>
    <w:rsid w:val="00C5346F"/>
    <w:rsid w:val="00C53964"/>
    <w:rsid w:val="00C53B63"/>
    <w:rsid w:val="00C54DDD"/>
    <w:rsid w:val="00C54E5A"/>
    <w:rsid w:val="00C54EC6"/>
    <w:rsid w:val="00C54FE0"/>
    <w:rsid w:val="00C55D64"/>
    <w:rsid w:val="00C56F59"/>
    <w:rsid w:val="00C57FE8"/>
    <w:rsid w:val="00C60408"/>
    <w:rsid w:val="00C60DCC"/>
    <w:rsid w:val="00C6109D"/>
    <w:rsid w:val="00C61422"/>
    <w:rsid w:val="00C61979"/>
    <w:rsid w:val="00C61ED2"/>
    <w:rsid w:val="00C6262F"/>
    <w:rsid w:val="00C627A2"/>
    <w:rsid w:val="00C630DC"/>
    <w:rsid w:val="00C638AA"/>
    <w:rsid w:val="00C63A84"/>
    <w:rsid w:val="00C63C33"/>
    <w:rsid w:val="00C63F54"/>
    <w:rsid w:val="00C64FEA"/>
    <w:rsid w:val="00C65495"/>
    <w:rsid w:val="00C654B8"/>
    <w:rsid w:val="00C6553F"/>
    <w:rsid w:val="00C65C50"/>
    <w:rsid w:val="00C65E43"/>
    <w:rsid w:val="00C66BFA"/>
    <w:rsid w:val="00C67AED"/>
    <w:rsid w:val="00C700E3"/>
    <w:rsid w:val="00C70496"/>
    <w:rsid w:val="00C70A35"/>
    <w:rsid w:val="00C70DF0"/>
    <w:rsid w:val="00C71433"/>
    <w:rsid w:val="00C71E5F"/>
    <w:rsid w:val="00C71EC2"/>
    <w:rsid w:val="00C7238B"/>
    <w:rsid w:val="00C725A2"/>
    <w:rsid w:val="00C726BF"/>
    <w:rsid w:val="00C72B5E"/>
    <w:rsid w:val="00C7316B"/>
    <w:rsid w:val="00C733A5"/>
    <w:rsid w:val="00C7384A"/>
    <w:rsid w:val="00C73904"/>
    <w:rsid w:val="00C73AC1"/>
    <w:rsid w:val="00C74051"/>
    <w:rsid w:val="00C7470A"/>
    <w:rsid w:val="00C7496E"/>
    <w:rsid w:val="00C74AFA"/>
    <w:rsid w:val="00C75285"/>
    <w:rsid w:val="00C7554E"/>
    <w:rsid w:val="00C76368"/>
    <w:rsid w:val="00C76557"/>
    <w:rsid w:val="00C7674A"/>
    <w:rsid w:val="00C77781"/>
    <w:rsid w:val="00C80043"/>
    <w:rsid w:val="00C80146"/>
    <w:rsid w:val="00C808F0"/>
    <w:rsid w:val="00C80B31"/>
    <w:rsid w:val="00C80BBE"/>
    <w:rsid w:val="00C8124E"/>
    <w:rsid w:val="00C82C50"/>
    <w:rsid w:val="00C82FCF"/>
    <w:rsid w:val="00C836E3"/>
    <w:rsid w:val="00C83F7B"/>
    <w:rsid w:val="00C84261"/>
    <w:rsid w:val="00C847F7"/>
    <w:rsid w:val="00C84DE7"/>
    <w:rsid w:val="00C853D7"/>
    <w:rsid w:val="00C85754"/>
    <w:rsid w:val="00C85B04"/>
    <w:rsid w:val="00C85CE5"/>
    <w:rsid w:val="00C85D77"/>
    <w:rsid w:val="00C870A3"/>
    <w:rsid w:val="00C8785C"/>
    <w:rsid w:val="00C8786F"/>
    <w:rsid w:val="00C87A1C"/>
    <w:rsid w:val="00C87BA1"/>
    <w:rsid w:val="00C87C80"/>
    <w:rsid w:val="00C87EF8"/>
    <w:rsid w:val="00C87F20"/>
    <w:rsid w:val="00C90003"/>
    <w:rsid w:val="00C90557"/>
    <w:rsid w:val="00C91915"/>
    <w:rsid w:val="00C91DA3"/>
    <w:rsid w:val="00C921BA"/>
    <w:rsid w:val="00C9264A"/>
    <w:rsid w:val="00C92B35"/>
    <w:rsid w:val="00C92B60"/>
    <w:rsid w:val="00C92DBC"/>
    <w:rsid w:val="00C941F9"/>
    <w:rsid w:val="00C94691"/>
    <w:rsid w:val="00C9604C"/>
    <w:rsid w:val="00C9605A"/>
    <w:rsid w:val="00C96102"/>
    <w:rsid w:val="00C964A8"/>
    <w:rsid w:val="00C966ED"/>
    <w:rsid w:val="00C9686C"/>
    <w:rsid w:val="00C97508"/>
    <w:rsid w:val="00C97510"/>
    <w:rsid w:val="00CA0816"/>
    <w:rsid w:val="00CA150D"/>
    <w:rsid w:val="00CA1A2A"/>
    <w:rsid w:val="00CA28CF"/>
    <w:rsid w:val="00CA33CA"/>
    <w:rsid w:val="00CA362C"/>
    <w:rsid w:val="00CA3E96"/>
    <w:rsid w:val="00CA3EFE"/>
    <w:rsid w:val="00CA4DB6"/>
    <w:rsid w:val="00CA5C2B"/>
    <w:rsid w:val="00CA5C9E"/>
    <w:rsid w:val="00CA60F8"/>
    <w:rsid w:val="00CA628B"/>
    <w:rsid w:val="00CA649B"/>
    <w:rsid w:val="00CA67E9"/>
    <w:rsid w:val="00CA6F53"/>
    <w:rsid w:val="00CA7113"/>
    <w:rsid w:val="00CA751E"/>
    <w:rsid w:val="00CA7EEE"/>
    <w:rsid w:val="00CB00E5"/>
    <w:rsid w:val="00CB0B2B"/>
    <w:rsid w:val="00CB0BD5"/>
    <w:rsid w:val="00CB0EDB"/>
    <w:rsid w:val="00CB0FB1"/>
    <w:rsid w:val="00CB1116"/>
    <w:rsid w:val="00CB11D7"/>
    <w:rsid w:val="00CB1400"/>
    <w:rsid w:val="00CB243B"/>
    <w:rsid w:val="00CB264E"/>
    <w:rsid w:val="00CB2EA6"/>
    <w:rsid w:val="00CB347D"/>
    <w:rsid w:val="00CB36E3"/>
    <w:rsid w:val="00CB3B87"/>
    <w:rsid w:val="00CB3E2A"/>
    <w:rsid w:val="00CB400B"/>
    <w:rsid w:val="00CB42F1"/>
    <w:rsid w:val="00CB4874"/>
    <w:rsid w:val="00CB5640"/>
    <w:rsid w:val="00CB5735"/>
    <w:rsid w:val="00CB605A"/>
    <w:rsid w:val="00CB65C6"/>
    <w:rsid w:val="00CB6F35"/>
    <w:rsid w:val="00CB764D"/>
    <w:rsid w:val="00CB7651"/>
    <w:rsid w:val="00CB765F"/>
    <w:rsid w:val="00CB78E7"/>
    <w:rsid w:val="00CC062F"/>
    <w:rsid w:val="00CC0FC7"/>
    <w:rsid w:val="00CC10DA"/>
    <w:rsid w:val="00CC1BCA"/>
    <w:rsid w:val="00CC1D9C"/>
    <w:rsid w:val="00CC216F"/>
    <w:rsid w:val="00CC2885"/>
    <w:rsid w:val="00CC2E4D"/>
    <w:rsid w:val="00CC2ED4"/>
    <w:rsid w:val="00CC2FDE"/>
    <w:rsid w:val="00CC3146"/>
    <w:rsid w:val="00CC32F7"/>
    <w:rsid w:val="00CC3396"/>
    <w:rsid w:val="00CC3A5B"/>
    <w:rsid w:val="00CC3B67"/>
    <w:rsid w:val="00CC3C13"/>
    <w:rsid w:val="00CC4321"/>
    <w:rsid w:val="00CC4817"/>
    <w:rsid w:val="00CC4C05"/>
    <w:rsid w:val="00CC4C82"/>
    <w:rsid w:val="00CC503D"/>
    <w:rsid w:val="00CC553E"/>
    <w:rsid w:val="00CC639E"/>
    <w:rsid w:val="00CC6604"/>
    <w:rsid w:val="00CC7372"/>
    <w:rsid w:val="00CC7A13"/>
    <w:rsid w:val="00CC7AAC"/>
    <w:rsid w:val="00CC7E94"/>
    <w:rsid w:val="00CD0456"/>
    <w:rsid w:val="00CD0527"/>
    <w:rsid w:val="00CD1977"/>
    <w:rsid w:val="00CD1FEC"/>
    <w:rsid w:val="00CD2AEF"/>
    <w:rsid w:val="00CD2BB9"/>
    <w:rsid w:val="00CD32B2"/>
    <w:rsid w:val="00CD38AF"/>
    <w:rsid w:val="00CD3A91"/>
    <w:rsid w:val="00CD3B35"/>
    <w:rsid w:val="00CD3CDA"/>
    <w:rsid w:val="00CD3F01"/>
    <w:rsid w:val="00CD499E"/>
    <w:rsid w:val="00CD4F65"/>
    <w:rsid w:val="00CD53C1"/>
    <w:rsid w:val="00CD54C2"/>
    <w:rsid w:val="00CD793B"/>
    <w:rsid w:val="00CE02EE"/>
    <w:rsid w:val="00CE036F"/>
    <w:rsid w:val="00CE07F8"/>
    <w:rsid w:val="00CE0925"/>
    <w:rsid w:val="00CE128C"/>
    <w:rsid w:val="00CE1779"/>
    <w:rsid w:val="00CE1860"/>
    <w:rsid w:val="00CE1908"/>
    <w:rsid w:val="00CE1F43"/>
    <w:rsid w:val="00CE2452"/>
    <w:rsid w:val="00CE27FB"/>
    <w:rsid w:val="00CE29BF"/>
    <w:rsid w:val="00CE2E6A"/>
    <w:rsid w:val="00CE3A4A"/>
    <w:rsid w:val="00CE3F17"/>
    <w:rsid w:val="00CE41AC"/>
    <w:rsid w:val="00CE4BDA"/>
    <w:rsid w:val="00CE4DB6"/>
    <w:rsid w:val="00CE54A7"/>
    <w:rsid w:val="00CE55A3"/>
    <w:rsid w:val="00CE5BC5"/>
    <w:rsid w:val="00CE609C"/>
    <w:rsid w:val="00CE60C8"/>
    <w:rsid w:val="00CE66F1"/>
    <w:rsid w:val="00CE74A6"/>
    <w:rsid w:val="00CE75BC"/>
    <w:rsid w:val="00CE76AB"/>
    <w:rsid w:val="00CE7996"/>
    <w:rsid w:val="00CE79A4"/>
    <w:rsid w:val="00CF067A"/>
    <w:rsid w:val="00CF0D7F"/>
    <w:rsid w:val="00CF1246"/>
    <w:rsid w:val="00CF1360"/>
    <w:rsid w:val="00CF17AA"/>
    <w:rsid w:val="00CF17CB"/>
    <w:rsid w:val="00CF30A7"/>
    <w:rsid w:val="00CF37D2"/>
    <w:rsid w:val="00CF3BC5"/>
    <w:rsid w:val="00CF4A47"/>
    <w:rsid w:val="00CF4D21"/>
    <w:rsid w:val="00CF549B"/>
    <w:rsid w:val="00CF5792"/>
    <w:rsid w:val="00CF5CDB"/>
    <w:rsid w:val="00CF61B8"/>
    <w:rsid w:val="00CF7142"/>
    <w:rsid w:val="00CF7185"/>
    <w:rsid w:val="00CF7267"/>
    <w:rsid w:val="00CF78ED"/>
    <w:rsid w:val="00D00C81"/>
    <w:rsid w:val="00D00E19"/>
    <w:rsid w:val="00D010AA"/>
    <w:rsid w:val="00D0126E"/>
    <w:rsid w:val="00D019ED"/>
    <w:rsid w:val="00D01B3A"/>
    <w:rsid w:val="00D01BAA"/>
    <w:rsid w:val="00D01FB6"/>
    <w:rsid w:val="00D02BD9"/>
    <w:rsid w:val="00D0375F"/>
    <w:rsid w:val="00D0392B"/>
    <w:rsid w:val="00D03C9C"/>
    <w:rsid w:val="00D03E9E"/>
    <w:rsid w:val="00D041D7"/>
    <w:rsid w:val="00D0553A"/>
    <w:rsid w:val="00D05634"/>
    <w:rsid w:val="00D05A18"/>
    <w:rsid w:val="00D05CDB"/>
    <w:rsid w:val="00D060BB"/>
    <w:rsid w:val="00D0660D"/>
    <w:rsid w:val="00D06CF0"/>
    <w:rsid w:val="00D0751A"/>
    <w:rsid w:val="00D07656"/>
    <w:rsid w:val="00D10DBB"/>
    <w:rsid w:val="00D115BD"/>
    <w:rsid w:val="00D115D5"/>
    <w:rsid w:val="00D117CB"/>
    <w:rsid w:val="00D11893"/>
    <w:rsid w:val="00D1225C"/>
    <w:rsid w:val="00D122DC"/>
    <w:rsid w:val="00D12C86"/>
    <w:rsid w:val="00D13259"/>
    <w:rsid w:val="00D13C59"/>
    <w:rsid w:val="00D141E4"/>
    <w:rsid w:val="00D14250"/>
    <w:rsid w:val="00D15075"/>
    <w:rsid w:val="00D15AA3"/>
    <w:rsid w:val="00D15FCD"/>
    <w:rsid w:val="00D170C4"/>
    <w:rsid w:val="00D17FAE"/>
    <w:rsid w:val="00D20C50"/>
    <w:rsid w:val="00D211CF"/>
    <w:rsid w:val="00D21352"/>
    <w:rsid w:val="00D218D6"/>
    <w:rsid w:val="00D21E52"/>
    <w:rsid w:val="00D228E1"/>
    <w:rsid w:val="00D22DEA"/>
    <w:rsid w:val="00D2301C"/>
    <w:rsid w:val="00D23E4F"/>
    <w:rsid w:val="00D24053"/>
    <w:rsid w:val="00D24CB3"/>
    <w:rsid w:val="00D257D6"/>
    <w:rsid w:val="00D261D8"/>
    <w:rsid w:val="00D26239"/>
    <w:rsid w:val="00D26EB8"/>
    <w:rsid w:val="00D27093"/>
    <w:rsid w:val="00D271AF"/>
    <w:rsid w:val="00D272B3"/>
    <w:rsid w:val="00D27A25"/>
    <w:rsid w:val="00D27F1E"/>
    <w:rsid w:val="00D30095"/>
    <w:rsid w:val="00D301CE"/>
    <w:rsid w:val="00D30441"/>
    <w:rsid w:val="00D31443"/>
    <w:rsid w:val="00D31763"/>
    <w:rsid w:val="00D32061"/>
    <w:rsid w:val="00D32136"/>
    <w:rsid w:val="00D327BA"/>
    <w:rsid w:val="00D3338A"/>
    <w:rsid w:val="00D3354E"/>
    <w:rsid w:val="00D3383A"/>
    <w:rsid w:val="00D33C5C"/>
    <w:rsid w:val="00D348F2"/>
    <w:rsid w:val="00D34A33"/>
    <w:rsid w:val="00D34B0D"/>
    <w:rsid w:val="00D34D6B"/>
    <w:rsid w:val="00D3529C"/>
    <w:rsid w:val="00D356CE"/>
    <w:rsid w:val="00D35BC3"/>
    <w:rsid w:val="00D360D6"/>
    <w:rsid w:val="00D36398"/>
    <w:rsid w:val="00D36D9F"/>
    <w:rsid w:val="00D3740D"/>
    <w:rsid w:val="00D375DA"/>
    <w:rsid w:val="00D378FC"/>
    <w:rsid w:val="00D37907"/>
    <w:rsid w:val="00D37AFE"/>
    <w:rsid w:val="00D37F89"/>
    <w:rsid w:val="00D405CA"/>
    <w:rsid w:val="00D40962"/>
    <w:rsid w:val="00D40BD3"/>
    <w:rsid w:val="00D41205"/>
    <w:rsid w:val="00D426C5"/>
    <w:rsid w:val="00D42D87"/>
    <w:rsid w:val="00D4314B"/>
    <w:rsid w:val="00D43231"/>
    <w:rsid w:val="00D43251"/>
    <w:rsid w:val="00D434B7"/>
    <w:rsid w:val="00D43714"/>
    <w:rsid w:val="00D438E7"/>
    <w:rsid w:val="00D43A46"/>
    <w:rsid w:val="00D4426F"/>
    <w:rsid w:val="00D4431D"/>
    <w:rsid w:val="00D45B72"/>
    <w:rsid w:val="00D45C58"/>
    <w:rsid w:val="00D45D84"/>
    <w:rsid w:val="00D46326"/>
    <w:rsid w:val="00D4632D"/>
    <w:rsid w:val="00D4688C"/>
    <w:rsid w:val="00D47537"/>
    <w:rsid w:val="00D476BF"/>
    <w:rsid w:val="00D47EC9"/>
    <w:rsid w:val="00D5008B"/>
    <w:rsid w:val="00D50AAE"/>
    <w:rsid w:val="00D51AE9"/>
    <w:rsid w:val="00D51E2D"/>
    <w:rsid w:val="00D524A3"/>
    <w:rsid w:val="00D529C8"/>
    <w:rsid w:val="00D52AEC"/>
    <w:rsid w:val="00D53AF3"/>
    <w:rsid w:val="00D53C5B"/>
    <w:rsid w:val="00D53F47"/>
    <w:rsid w:val="00D54944"/>
    <w:rsid w:val="00D54B07"/>
    <w:rsid w:val="00D55B98"/>
    <w:rsid w:val="00D55F36"/>
    <w:rsid w:val="00D563E7"/>
    <w:rsid w:val="00D57FCE"/>
    <w:rsid w:val="00D602BE"/>
    <w:rsid w:val="00D60434"/>
    <w:rsid w:val="00D605F5"/>
    <w:rsid w:val="00D6083C"/>
    <w:rsid w:val="00D60AAE"/>
    <w:rsid w:val="00D61405"/>
    <w:rsid w:val="00D61AC5"/>
    <w:rsid w:val="00D61FFC"/>
    <w:rsid w:val="00D62E07"/>
    <w:rsid w:val="00D6316B"/>
    <w:rsid w:val="00D63427"/>
    <w:rsid w:val="00D63542"/>
    <w:rsid w:val="00D636D2"/>
    <w:rsid w:val="00D63D16"/>
    <w:rsid w:val="00D63E97"/>
    <w:rsid w:val="00D63F0F"/>
    <w:rsid w:val="00D64107"/>
    <w:rsid w:val="00D641B8"/>
    <w:rsid w:val="00D64F50"/>
    <w:rsid w:val="00D65C43"/>
    <w:rsid w:val="00D65F4C"/>
    <w:rsid w:val="00D65FDD"/>
    <w:rsid w:val="00D66009"/>
    <w:rsid w:val="00D66460"/>
    <w:rsid w:val="00D664EA"/>
    <w:rsid w:val="00D66B9D"/>
    <w:rsid w:val="00D66E84"/>
    <w:rsid w:val="00D67BEF"/>
    <w:rsid w:val="00D67C5C"/>
    <w:rsid w:val="00D70401"/>
    <w:rsid w:val="00D7076A"/>
    <w:rsid w:val="00D7167B"/>
    <w:rsid w:val="00D71D7D"/>
    <w:rsid w:val="00D721C0"/>
    <w:rsid w:val="00D726E4"/>
    <w:rsid w:val="00D72D3D"/>
    <w:rsid w:val="00D72F54"/>
    <w:rsid w:val="00D73EA3"/>
    <w:rsid w:val="00D74E6E"/>
    <w:rsid w:val="00D75B48"/>
    <w:rsid w:val="00D7690A"/>
    <w:rsid w:val="00D77125"/>
    <w:rsid w:val="00D7755F"/>
    <w:rsid w:val="00D77ACE"/>
    <w:rsid w:val="00D8047E"/>
    <w:rsid w:val="00D80A98"/>
    <w:rsid w:val="00D80B15"/>
    <w:rsid w:val="00D81554"/>
    <w:rsid w:val="00D8168B"/>
    <w:rsid w:val="00D8283D"/>
    <w:rsid w:val="00D82B22"/>
    <w:rsid w:val="00D82CB7"/>
    <w:rsid w:val="00D82D69"/>
    <w:rsid w:val="00D84EDD"/>
    <w:rsid w:val="00D85C0A"/>
    <w:rsid w:val="00D865D5"/>
    <w:rsid w:val="00D86C50"/>
    <w:rsid w:val="00D87171"/>
    <w:rsid w:val="00D87196"/>
    <w:rsid w:val="00D87F42"/>
    <w:rsid w:val="00D9000F"/>
    <w:rsid w:val="00D912BC"/>
    <w:rsid w:val="00D929DF"/>
    <w:rsid w:val="00D92F70"/>
    <w:rsid w:val="00D931ED"/>
    <w:rsid w:val="00D93608"/>
    <w:rsid w:val="00D9397F"/>
    <w:rsid w:val="00D93F21"/>
    <w:rsid w:val="00D94B43"/>
    <w:rsid w:val="00D95A65"/>
    <w:rsid w:val="00D95C5F"/>
    <w:rsid w:val="00D96022"/>
    <w:rsid w:val="00D9726A"/>
    <w:rsid w:val="00D972CE"/>
    <w:rsid w:val="00D9746F"/>
    <w:rsid w:val="00DA0596"/>
    <w:rsid w:val="00DA099A"/>
    <w:rsid w:val="00DA0CEF"/>
    <w:rsid w:val="00DA1E15"/>
    <w:rsid w:val="00DA3602"/>
    <w:rsid w:val="00DA3D49"/>
    <w:rsid w:val="00DA3F7F"/>
    <w:rsid w:val="00DA42A0"/>
    <w:rsid w:val="00DA4E89"/>
    <w:rsid w:val="00DA6272"/>
    <w:rsid w:val="00DA7293"/>
    <w:rsid w:val="00DA7FDF"/>
    <w:rsid w:val="00DB0C39"/>
    <w:rsid w:val="00DB13E2"/>
    <w:rsid w:val="00DB14EC"/>
    <w:rsid w:val="00DB1A5E"/>
    <w:rsid w:val="00DB1E2C"/>
    <w:rsid w:val="00DB2580"/>
    <w:rsid w:val="00DB262F"/>
    <w:rsid w:val="00DB26A2"/>
    <w:rsid w:val="00DB34C0"/>
    <w:rsid w:val="00DB35FE"/>
    <w:rsid w:val="00DB3DFE"/>
    <w:rsid w:val="00DB471A"/>
    <w:rsid w:val="00DB482C"/>
    <w:rsid w:val="00DB5614"/>
    <w:rsid w:val="00DB5EF9"/>
    <w:rsid w:val="00DB646E"/>
    <w:rsid w:val="00DB656E"/>
    <w:rsid w:val="00DB680F"/>
    <w:rsid w:val="00DB7537"/>
    <w:rsid w:val="00DB7A02"/>
    <w:rsid w:val="00DC02FF"/>
    <w:rsid w:val="00DC0B10"/>
    <w:rsid w:val="00DC0C42"/>
    <w:rsid w:val="00DC1C0F"/>
    <w:rsid w:val="00DC34CF"/>
    <w:rsid w:val="00DC3805"/>
    <w:rsid w:val="00DC3B56"/>
    <w:rsid w:val="00DC3C6B"/>
    <w:rsid w:val="00DC3F40"/>
    <w:rsid w:val="00DC41B6"/>
    <w:rsid w:val="00DC48BE"/>
    <w:rsid w:val="00DC4BBA"/>
    <w:rsid w:val="00DC4C94"/>
    <w:rsid w:val="00DC4DC4"/>
    <w:rsid w:val="00DC5351"/>
    <w:rsid w:val="00DC5874"/>
    <w:rsid w:val="00DC5A2C"/>
    <w:rsid w:val="00DC5C1E"/>
    <w:rsid w:val="00DC5F31"/>
    <w:rsid w:val="00DC6562"/>
    <w:rsid w:val="00DC6CB6"/>
    <w:rsid w:val="00DC7799"/>
    <w:rsid w:val="00DC7D37"/>
    <w:rsid w:val="00DD007C"/>
    <w:rsid w:val="00DD01BA"/>
    <w:rsid w:val="00DD0A49"/>
    <w:rsid w:val="00DD0B69"/>
    <w:rsid w:val="00DD0CFB"/>
    <w:rsid w:val="00DD11B4"/>
    <w:rsid w:val="00DD15DC"/>
    <w:rsid w:val="00DD18A1"/>
    <w:rsid w:val="00DD1EDD"/>
    <w:rsid w:val="00DD238E"/>
    <w:rsid w:val="00DD23D1"/>
    <w:rsid w:val="00DD2438"/>
    <w:rsid w:val="00DD360F"/>
    <w:rsid w:val="00DD3978"/>
    <w:rsid w:val="00DD4774"/>
    <w:rsid w:val="00DD5810"/>
    <w:rsid w:val="00DD5956"/>
    <w:rsid w:val="00DD63C8"/>
    <w:rsid w:val="00DD6657"/>
    <w:rsid w:val="00DD6953"/>
    <w:rsid w:val="00DD6AD3"/>
    <w:rsid w:val="00DD6E8D"/>
    <w:rsid w:val="00DD6E92"/>
    <w:rsid w:val="00DD6EB9"/>
    <w:rsid w:val="00DD6FEF"/>
    <w:rsid w:val="00DD74B6"/>
    <w:rsid w:val="00DD74E7"/>
    <w:rsid w:val="00DD7E4A"/>
    <w:rsid w:val="00DE1469"/>
    <w:rsid w:val="00DE16D1"/>
    <w:rsid w:val="00DE1D3B"/>
    <w:rsid w:val="00DE254F"/>
    <w:rsid w:val="00DE2B88"/>
    <w:rsid w:val="00DE3808"/>
    <w:rsid w:val="00DE42D1"/>
    <w:rsid w:val="00DE436D"/>
    <w:rsid w:val="00DE45B0"/>
    <w:rsid w:val="00DE484B"/>
    <w:rsid w:val="00DE4DB6"/>
    <w:rsid w:val="00DE4FE8"/>
    <w:rsid w:val="00DE50E3"/>
    <w:rsid w:val="00DE53FB"/>
    <w:rsid w:val="00DE594A"/>
    <w:rsid w:val="00DE596A"/>
    <w:rsid w:val="00DE5CDC"/>
    <w:rsid w:val="00DE5EFB"/>
    <w:rsid w:val="00DE66AE"/>
    <w:rsid w:val="00DE78DF"/>
    <w:rsid w:val="00DE79C0"/>
    <w:rsid w:val="00DE79CD"/>
    <w:rsid w:val="00DF0373"/>
    <w:rsid w:val="00DF0656"/>
    <w:rsid w:val="00DF0C2E"/>
    <w:rsid w:val="00DF11A3"/>
    <w:rsid w:val="00DF1500"/>
    <w:rsid w:val="00DF182A"/>
    <w:rsid w:val="00DF1F13"/>
    <w:rsid w:val="00DF287E"/>
    <w:rsid w:val="00DF2EA9"/>
    <w:rsid w:val="00DF3323"/>
    <w:rsid w:val="00DF3D8F"/>
    <w:rsid w:val="00DF4731"/>
    <w:rsid w:val="00DF5A16"/>
    <w:rsid w:val="00DF5B00"/>
    <w:rsid w:val="00DF5B68"/>
    <w:rsid w:val="00DF6089"/>
    <w:rsid w:val="00DF63F3"/>
    <w:rsid w:val="00DF6CE6"/>
    <w:rsid w:val="00DF6D2B"/>
    <w:rsid w:val="00DF76DF"/>
    <w:rsid w:val="00DF7728"/>
    <w:rsid w:val="00DF7873"/>
    <w:rsid w:val="00DF7C4D"/>
    <w:rsid w:val="00DF7C6B"/>
    <w:rsid w:val="00DF7CB2"/>
    <w:rsid w:val="00DF7FE5"/>
    <w:rsid w:val="00E00A5B"/>
    <w:rsid w:val="00E015D2"/>
    <w:rsid w:val="00E0170D"/>
    <w:rsid w:val="00E01869"/>
    <w:rsid w:val="00E01978"/>
    <w:rsid w:val="00E029A4"/>
    <w:rsid w:val="00E0346D"/>
    <w:rsid w:val="00E034CA"/>
    <w:rsid w:val="00E03A1B"/>
    <w:rsid w:val="00E04082"/>
    <w:rsid w:val="00E0414B"/>
    <w:rsid w:val="00E041FF"/>
    <w:rsid w:val="00E0422F"/>
    <w:rsid w:val="00E04656"/>
    <w:rsid w:val="00E04B78"/>
    <w:rsid w:val="00E052FB"/>
    <w:rsid w:val="00E064AF"/>
    <w:rsid w:val="00E06E87"/>
    <w:rsid w:val="00E070B6"/>
    <w:rsid w:val="00E07AAA"/>
    <w:rsid w:val="00E07DBE"/>
    <w:rsid w:val="00E100A3"/>
    <w:rsid w:val="00E1105A"/>
    <w:rsid w:val="00E11D69"/>
    <w:rsid w:val="00E11E0D"/>
    <w:rsid w:val="00E12113"/>
    <w:rsid w:val="00E12B42"/>
    <w:rsid w:val="00E13973"/>
    <w:rsid w:val="00E1411C"/>
    <w:rsid w:val="00E1478C"/>
    <w:rsid w:val="00E14C38"/>
    <w:rsid w:val="00E14E9B"/>
    <w:rsid w:val="00E15072"/>
    <w:rsid w:val="00E15B3F"/>
    <w:rsid w:val="00E164B5"/>
    <w:rsid w:val="00E16A1C"/>
    <w:rsid w:val="00E17518"/>
    <w:rsid w:val="00E2065C"/>
    <w:rsid w:val="00E20B9B"/>
    <w:rsid w:val="00E2133C"/>
    <w:rsid w:val="00E219D1"/>
    <w:rsid w:val="00E21E8A"/>
    <w:rsid w:val="00E2215E"/>
    <w:rsid w:val="00E22805"/>
    <w:rsid w:val="00E233FB"/>
    <w:rsid w:val="00E243C3"/>
    <w:rsid w:val="00E24428"/>
    <w:rsid w:val="00E24506"/>
    <w:rsid w:val="00E247A0"/>
    <w:rsid w:val="00E24B12"/>
    <w:rsid w:val="00E25036"/>
    <w:rsid w:val="00E2506F"/>
    <w:rsid w:val="00E257FA"/>
    <w:rsid w:val="00E25998"/>
    <w:rsid w:val="00E261FE"/>
    <w:rsid w:val="00E26F3D"/>
    <w:rsid w:val="00E27144"/>
    <w:rsid w:val="00E2751A"/>
    <w:rsid w:val="00E31361"/>
    <w:rsid w:val="00E31662"/>
    <w:rsid w:val="00E31667"/>
    <w:rsid w:val="00E318ED"/>
    <w:rsid w:val="00E31DC2"/>
    <w:rsid w:val="00E31EDD"/>
    <w:rsid w:val="00E320C2"/>
    <w:rsid w:val="00E32588"/>
    <w:rsid w:val="00E32667"/>
    <w:rsid w:val="00E33392"/>
    <w:rsid w:val="00E33739"/>
    <w:rsid w:val="00E33D07"/>
    <w:rsid w:val="00E33F44"/>
    <w:rsid w:val="00E34388"/>
    <w:rsid w:val="00E349BA"/>
    <w:rsid w:val="00E34C13"/>
    <w:rsid w:val="00E3518A"/>
    <w:rsid w:val="00E3519B"/>
    <w:rsid w:val="00E35457"/>
    <w:rsid w:val="00E358CE"/>
    <w:rsid w:val="00E35A71"/>
    <w:rsid w:val="00E360AB"/>
    <w:rsid w:val="00E36AA8"/>
    <w:rsid w:val="00E3701E"/>
    <w:rsid w:val="00E37A75"/>
    <w:rsid w:val="00E37FE8"/>
    <w:rsid w:val="00E40145"/>
    <w:rsid w:val="00E4051B"/>
    <w:rsid w:val="00E4079D"/>
    <w:rsid w:val="00E40806"/>
    <w:rsid w:val="00E40AB0"/>
    <w:rsid w:val="00E40FD0"/>
    <w:rsid w:val="00E41448"/>
    <w:rsid w:val="00E4182D"/>
    <w:rsid w:val="00E41896"/>
    <w:rsid w:val="00E41AEE"/>
    <w:rsid w:val="00E41F4F"/>
    <w:rsid w:val="00E42899"/>
    <w:rsid w:val="00E42C9F"/>
    <w:rsid w:val="00E4346E"/>
    <w:rsid w:val="00E4364C"/>
    <w:rsid w:val="00E438A2"/>
    <w:rsid w:val="00E4413B"/>
    <w:rsid w:val="00E44418"/>
    <w:rsid w:val="00E44E87"/>
    <w:rsid w:val="00E44F49"/>
    <w:rsid w:val="00E45455"/>
    <w:rsid w:val="00E45774"/>
    <w:rsid w:val="00E457E1"/>
    <w:rsid w:val="00E458F1"/>
    <w:rsid w:val="00E45BED"/>
    <w:rsid w:val="00E45ED3"/>
    <w:rsid w:val="00E468A8"/>
    <w:rsid w:val="00E46A1B"/>
    <w:rsid w:val="00E46F5B"/>
    <w:rsid w:val="00E4726A"/>
    <w:rsid w:val="00E475C1"/>
    <w:rsid w:val="00E47635"/>
    <w:rsid w:val="00E47DE1"/>
    <w:rsid w:val="00E503B1"/>
    <w:rsid w:val="00E51566"/>
    <w:rsid w:val="00E5193B"/>
    <w:rsid w:val="00E52F1E"/>
    <w:rsid w:val="00E53874"/>
    <w:rsid w:val="00E5394D"/>
    <w:rsid w:val="00E53BD6"/>
    <w:rsid w:val="00E53D20"/>
    <w:rsid w:val="00E54124"/>
    <w:rsid w:val="00E543F6"/>
    <w:rsid w:val="00E54780"/>
    <w:rsid w:val="00E54A92"/>
    <w:rsid w:val="00E54A9A"/>
    <w:rsid w:val="00E55077"/>
    <w:rsid w:val="00E5640B"/>
    <w:rsid w:val="00E569A9"/>
    <w:rsid w:val="00E56B5C"/>
    <w:rsid w:val="00E570F0"/>
    <w:rsid w:val="00E57B19"/>
    <w:rsid w:val="00E60144"/>
    <w:rsid w:val="00E603AA"/>
    <w:rsid w:val="00E6089E"/>
    <w:rsid w:val="00E61236"/>
    <w:rsid w:val="00E61D0B"/>
    <w:rsid w:val="00E6208A"/>
    <w:rsid w:val="00E623AA"/>
    <w:rsid w:val="00E62703"/>
    <w:rsid w:val="00E63068"/>
    <w:rsid w:val="00E632F6"/>
    <w:rsid w:val="00E63393"/>
    <w:rsid w:val="00E635F7"/>
    <w:rsid w:val="00E639EC"/>
    <w:rsid w:val="00E63A6F"/>
    <w:rsid w:val="00E63B0A"/>
    <w:rsid w:val="00E63E11"/>
    <w:rsid w:val="00E6508E"/>
    <w:rsid w:val="00E65DE3"/>
    <w:rsid w:val="00E67793"/>
    <w:rsid w:val="00E67D97"/>
    <w:rsid w:val="00E70510"/>
    <w:rsid w:val="00E720CE"/>
    <w:rsid w:val="00E721F2"/>
    <w:rsid w:val="00E73C27"/>
    <w:rsid w:val="00E73C4C"/>
    <w:rsid w:val="00E7427C"/>
    <w:rsid w:val="00E746EF"/>
    <w:rsid w:val="00E74902"/>
    <w:rsid w:val="00E74C67"/>
    <w:rsid w:val="00E74EA8"/>
    <w:rsid w:val="00E750C5"/>
    <w:rsid w:val="00E753A1"/>
    <w:rsid w:val="00E762FB"/>
    <w:rsid w:val="00E7667D"/>
    <w:rsid w:val="00E76C36"/>
    <w:rsid w:val="00E76E73"/>
    <w:rsid w:val="00E77B05"/>
    <w:rsid w:val="00E8000E"/>
    <w:rsid w:val="00E80186"/>
    <w:rsid w:val="00E80225"/>
    <w:rsid w:val="00E804E0"/>
    <w:rsid w:val="00E80643"/>
    <w:rsid w:val="00E8174E"/>
    <w:rsid w:val="00E81B71"/>
    <w:rsid w:val="00E81D01"/>
    <w:rsid w:val="00E82E01"/>
    <w:rsid w:val="00E833C0"/>
    <w:rsid w:val="00E835E0"/>
    <w:rsid w:val="00E843C2"/>
    <w:rsid w:val="00E8456D"/>
    <w:rsid w:val="00E846BE"/>
    <w:rsid w:val="00E84C6F"/>
    <w:rsid w:val="00E8538D"/>
    <w:rsid w:val="00E85535"/>
    <w:rsid w:val="00E85ECE"/>
    <w:rsid w:val="00E85F51"/>
    <w:rsid w:val="00E86072"/>
    <w:rsid w:val="00E86287"/>
    <w:rsid w:val="00E86295"/>
    <w:rsid w:val="00E86C00"/>
    <w:rsid w:val="00E86ED5"/>
    <w:rsid w:val="00E8729D"/>
    <w:rsid w:val="00E873C5"/>
    <w:rsid w:val="00E87410"/>
    <w:rsid w:val="00E87CA6"/>
    <w:rsid w:val="00E90179"/>
    <w:rsid w:val="00E90367"/>
    <w:rsid w:val="00E90CDA"/>
    <w:rsid w:val="00E90CE0"/>
    <w:rsid w:val="00E918A7"/>
    <w:rsid w:val="00E9198C"/>
    <w:rsid w:val="00E91B45"/>
    <w:rsid w:val="00E92433"/>
    <w:rsid w:val="00E926BF"/>
    <w:rsid w:val="00E926D7"/>
    <w:rsid w:val="00E92E9A"/>
    <w:rsid w:val="00E92F7E"/>
    <w:rsid w:val="00E9301C"/>
    <w:rsid w:val="00E93749"/>
    <w:rsid w:val="00E93D48"/>
    <w:rsid w:val="00E93DEF"/>
    <w:rsid w:val="00E945E6"/>
    <w:rsid w:val="00E957CA"/>
    <w:rsid w:val="00E96146"/>
    <w:rsid w:val="00E9651E"/>
    <w:rsid w:val="00E973EB"/>
    <w:rsid w:val="00E97679"/>
    <w:rsid w:val="00E977EA"/>
    <w:rsid w:val="00E97DBB"/>
    <w:rsid w:val="00EA0221"/>
    <w:rsid w:val="00EA050B"/>
    <w:rsid w:val="00EA14D6"/>
    <w:rsid w:val="00EA1B1D"/>
    <w:rsid w:val="00EA1F7A"/>
    <w:rsid w:val="00EA20E7"/>
    <w:rsid w:val="00EA2232"/>
    <w:rsid w:val="00EA2A73"/>
    <w:rsid w:val="00EA2D7A"/>
    <w:rsid w:val="00EA3196"/>
    <w:rsid w:val="00EA3453"/>
    <w:rsid w:val="00EA35BB"/>
    <w:rsid w:val="00EA3929"/>
    <w:rsid w:val="00EA39BA"/>
    <w:rsid w:val="00EA3BB5"/>
    <w:rsid w:val="00EA3BCD"/>
    <w:rsid w:val="00EA3BF9"/>
    <w:rsid w:val="00EA3E47"/>
    <w:rsid w:val="00EA4474"/>
    <w:rsid w:val="00EA4A75"/>
    <w:rsid w:val="00EA544A"/>
    <w:rsid w:val="00EA5841"/>
    <w:rsid w:val="00EA587D"/>
    <w:rsid w:val="00EA5E47"/>
    <w:rsid w:val="00EA606B"/>
    <w:rsid w:val="00EA671A"/>
    <w:rsid w:val="00EA68D5"/>
    <w:rsid w:val="00EA6B2B"/>
    <w:rsid w:val="00EA6CAA"/>
    <w:rsid w:val="00EA6D4E"/>
    <w:rsid w:val="00EA6DDA"/>
    <w:rsid w:val="00EA7A64"/>
    <w:rsid w:val="00EB0ACC"/>
    <w:rsid w:val="00EB1014"/>
    <w:rsid w:val="00EB2EC7"/>
    <w:rsid w:val="00EB2F30"/>
    <w:rsid w:val="00EB3161"/>
    <w:rsid w:val="00EB352E"/>
    <w:rsid w:val="00EB3CCE"/>
    <w:rsid w:val="00EB3D3D"/>
    <w:rsid w:val="00EB429F"/>
    <w:rsid w:val="00EB469D"/>
    <w:rsid w:val="00EB46ED"/>
    <w:rsid w:val="00EB4F73"/>
    <w:rsid w:val="00EB54E1"/>
    <w:rsid w:val="00EB5577"/>
    <w:rsid w:val="00EB566E"/>
    <w:rsid w:val="00EB6169"/>
    <w:rsid w:val="00EB76E2"/>
    <w:rsid w:val="00EB7703"/>
    <w:rsid w:val="00EB7A0E"/>
    <w:rsid w:val="00EC0F25"/>
    <w:rsid w:val="00EC128D"/>
    <w:rsid w:val="00EC16FA"/>
    <w:rsid w:val="00EC1AAC"/>
    <w:rsid w:val="00EC2282"/>
    <w:rsid w:val="00EC2587"/>
    <w:rsid w:val="00EC30E4"/>
    <w:rsid w:val="00EC34BD"/>
    <w:rsid w:val="00EC3A2B"/>
    <w:rsid w:val="00EC3B80"/>
    <w:rsid w:val="00EC3FD6"/>
    <w:rsid w:val="00EC453B"/>
    <w:rsid w:val="00EC4FEA"/>
    <w:rsid w:val="00EC5108"/>
    <w:rsid w:val="00EC5470"/>
    <w:rsid w:val="00EC5B9F"/>
    <w:rsid w:val="00EC61CF"/>
    <w:rsid w:val="00EC6387"/>
    <w:rsid w:val="00EC642A"/>
    <w:rsid w:val="00EC6D6A"/>
    <w:rsid w:val="00EC6FB0"/>
    <w:rsid w:val="00EC726C"/>
    <w:rsid w:val="00EC7C46"/>
    <w:rsid w:val="00ED0186"/>
    <w:rsid w:val="00ED031D"/>
    <w:rsid w:val="00ED073D"/>
    <w:rsid w:val="00ED0870"/>
    <w:rsid w:val="00ED0C00"/>
    <w:rsid w:val="00ED0E15"/>
    <w:rsid w:val="00ED25BE"/>
    <w:rsid w:val="00ED27E6"/>
    <w:rsid w:val="00ED2961"/>
    <w:rsid w:val="00ED32EF"/>
    <w:rsid w:val="00ED3591"/>
    <w:rsid w:val="00ED432E"/>
    <w:rsid w:val="00ED46C9"/>
    <w:rsid w:val="00ED4745"/>
    <w:rsid w:val="00ED4F3D"/>
    <w:rsid w:val="00ED5405"/>
    <w:rsid w:val="00ED5C6E"/>
    <w:rsid w:val="00ED5CC3"/>
    <w:rsid w:val="00ED68FE"/>
    <w:rsid w:val="00ED6B0A"/>
    <w:rsid w:val="00ED71C0"/>
    <w:rsid w:val="00ED7359"/>
    <w:rsid w:val="00ED7B7F"/>
    <w:rsid w:val="00ED7D59"/>
    <w:rsid w:val="00ED7DB0"/>
    <w:rsid w:val="00EE09CF"/>
    <w:rsid w:val="00EE0C21"/>
    <w:rsid w:val="00EE110A"/>
    <w:rsid w:val="00EE1290"/>
    <w:rsid w:val="00EE1CB0"/>
    <w:rsid w:val="00EE20E6"/>
    <w:rsid w:val="00EE21E6"/>
    <w:rsid w:val="00EE2BE3"/>
    <w:rsid w:val="00EE31EF"/>
    <w:rsid w:val="00EE3305"/>
    <w:rsid w:val="00EE3656"/>
    <w:rsid w:val="00EE3B29"/>
    <w:rsid w:val="00EE3BF7"/>
    <w:rsid w:val="00EE508D"/>
    <w:rsid w:val="00EE5724"/>
    <w:rsid w:val="00EE592D"/>
    <w:rsid w:val="00EE650B"/>
    <w:rsid w:val="00EE712F"/>
    <w:rsid w:val="00EE7C44"/>
    <w:rsid w:val="00EF0335"/>
    <w:rsid w:val="00EF035C"/>
    <w:rsid w:val="00EF095C"/>
    <w:rsid w:val="00EF0A20"/>
    <w:rsid w:val="00EF0F18"/>
    <w:rsid w:val="00EF108B"/>
    <w:rsid w:val="00EF15EE"/>
    <w:rsid w:val="00EF2302"/>
    <w:rsid w:val="00EF2ACD"/>
    <w:rsid w:val="00EF31DB"/>
    <w:rsid w:val="00EF32D7"/>
    <w:rsid w:val="00EF3453"/>
    <w:rsid w:val="00EF3ACE"/>
    <w:rsid w:val="00EF4319"/>
    <w:rsid w:val="00EF44CE"/>
    <w:rsid w:val="00EF5138"/>
    <w:rsid w:val="00EF539A"/>
    <w:rsid w:val="00EF6253"/>
    <w:rsid w:val="00EF6812"/>
    <w:rsid w:val="00EF6FD7"/>
    <w:rsid w:val="00EF7618"/>
    <w:rsid w:val="00EF77A9"/>
    <w:rsid w:val="00EF77DC"/>
    <w:rsid w:val="00EF7ABD"/>
    <w:rsid w:val="00EF7E8C"/>
    <w:rsid w:val="00F004D8"/>
    <w:rsid w:val="00F00F77"/>
    <w:rsid w:val="00F01076"/>
    <w:rsid w:val="00F01543"/>
    <w:rsid w:val="00F017D7"/>
    <w:rsid w:val="00F01893"/>
    <w:rsid w:val="00F019AA"/>
    <w:rsid w:val="00F022E7"/>
    <w:rsid w:val="00F029B1"/>
    <w:rsid w:val="00F02A96"/>
    <w:rsid w:val="00F03134"/>
    <w:rsid w:val="00F0389F"/>
    <w:rsid w:val="00F03A1F"/>
    <w:rsid w:val="00F03D62"/>
    <w:rsid w:val="00F057A3"/>
    <w:rsid w:val="00F059E6"/>
    <w:rsid w:val="00F05E33"/>
    <w:rsid w:val="00F0644D"/>
    <w:rsid w:val="00F069C0"/>
    <w:rsid w:val="00F06DF5"/>
    <w:rsid w:val="00F06FA8"/>
    <w:rsid w:val="00F070A3"/>
    <w:rsid w:val="00F07122"/>
    <w:rsid w:val="00F07276"/>
    <w:rsid w:val="00F07FE8"/>
    <w:rsid w:val="00F102AA"/>
    <w:rsid w:val="00F103E4"/>
    <w:rsid w:val="00F10B0B"/>
    <w:rsid w:val="00F10B1A"/>
    <w:rsid w:val="00F11178"/>
    <w:rsid w:val="00F1151C"/>
    <w:rsid w:val="00F11CA6"/>
    <w:rsid w:val="00F11F2D"/>
    <w:rsid w:val="00F1259E"/>
    <w:rsid w:val="00F1263B"/>
    <w:rsid w:val="00F128D0"/>
    <w:rsid w:val="00F12CE4"/>
    <w:rsid w:val="00F12E58"/>
    <w:rsid w:val="00F139D2"/>
    <w:rsid w:val="00F13E74"/>
    <w:rsid w:val="00F13E99"/>
    <w:rsid w:val="00F13F40"/>
    <w:rsid w:val="00F1406B"/>
    <w:rsid w:val="00F143B6"/>
    <w:rsid w:val="00F146D6"/>
    <w:rsid w:val="00F14813"/>
    <w:rsid w:val="00F14C4E"/>
    <w:rsid w:val="00F14C9E"/>
    <w:rsid w:val="00F14E23"/>
    <w:rsid w:val="00F14E68"/>
    <w:rsid w:val="00F14F7C"/>
    <w:rsid w:val="00F154D7"/>
    <w:rsid w:val="00F1571E"/>
    <w:rsid w:val="00F1598E"/>
    <w:rsid w:val="00F1665E"/>
    <w:rsid w:val="00F168BF"/>
    <w:rsid w:val="00F16CED"/>
    <w:rsid w:val="00F173B2"/>
    <w:rsid w:val="00F175AF"/>
    <w:rsid w:val="00F17CA2"/>
    <w:rsid w:val="00F21517"/>
    <w:rsid w:val="00F219A6"/>
    <w:rsid w:val="00F21BCC"/>
    <w:rsid w:val="00F22268"/>
    <w:rsid w:val="00F22CB7"/>
    <w:rsid w:val="00F231C6"/>
    <w:rsid w:val="00F237CA"/>
    <w:rsid w:val="00F2417A"/>
    <w:rsid w:val="00F242C3"/>
    <w:rsid w:val="00F244FE"/>
    <w:rsid w:val="00F24680"/>
    <w:rsid w:val="00F249BF"/>
    <w:rsid w:val="00F255E5"/>
    <w:rsid w:val="00F25D2C"/>
    <w:rsid w:val="00F25EF0"/>
    <w:rsid w:val="00F26C1E"/>
    <w:rsid w:val="00F275F3"/>
    <w:rsid w:val="00F27921"/>
    <w:rsid w:val="00F279FF"/>
    <w:rsid w:val="00F27DC4"/>
    <w:rsid w:val="00F30092"/>
    <w:rsid w:val="00F3023E"/>
    <w:rsid w:val="00F3067F"/>
    <w:rsid w:val="00F309AA"/>
    <w:rsid w:val="00F30B04"/>
    <w:rsid w:val="00F31158"/>
    <w:rsid w:val="00F318C6"/>
    <w:rsid w:val="00F31947"/>
    <w:rsid w:val="00F31986"/>
    <w:rsid w:val="00F32005"/>
    <w:rsid w:val="00F3209C"/>
    <w:rsid w:val="00F32410"/>
    <w:rsid w:val="00F3268E"/>
    <w:rsid w:val="00F327DB"/>
    <w:rsid w:val="00F330C1"/>
    <w:rsid w:val="00F3356F"/>
    <w:rsid w:val="00F33991"/>
    <w:rsid w:val="00F33A58"/>
    <w:rsid w:val="00F34076"/>
    <w:rsid w:val="00F34464"/>
    <w:rsid w:val="00F345A6"/>
    <w:rsid w:val="00F34705"/>
    <w:rsid w:val="00F3488D"/>
    <w:rsid w:val="00F34A8C"/>
    <w:rsid w:val="00F35ACE"/>
    <w:rsid w:val="00F35BA1"/>
    <w:rsid w:val="00F35F57"/>
    <w:rsid w:val="00F36342"/>
    <w:rsid w:val="00F370B9"/>
    <w:rsid w:val="00F37547"/>
    <w:rsid w:val="00F376DA"/>
    <w:rsid w:val="00F37BA2"/>
    <w:rsid w:val="00F37C7F"/>
    <w:rsid w:val="00F37E36"/>
    <w:rsid w:val="00F4035D"/>
    <w:rsid w:val="00F40442"/>
    <w:rsid w:val="00F40F25"/>
    <w:rsid w:val="00F41046"/>
    <w:rsid w:val="00F413BC"/>
    <w:rsid w:val="00F41A1C"/>
    <w:rsid w:val="00F42553"/>
    <w:rsid w:val="00F42B64"/>
    <w:rsid w:val="00F42C43"/>
    <w:rsid w:val="00F434F0"/>
    <w:rsid w:val="00F44220"/>
    <w:rsid w:val="00F44BAD"/>
    <w:rsid w:val="00F45C7C"/>
    <w:rsid w:val="00F4611A"/>
    <w:rsid w:val="00F46295"/>
    <w:rsid w:val="00F46438"/>
    <w:rsid w:val="00F46500"/>
    <w:rsid w:val="00F46648"/>
    <w:rsid w:val="00F46689"/>
    <w:rsid w:val="00F50154"/>
    <w:rsid w:val="00F50577"/>
    <w:rsid w:val="00F508F1"/>
    <w:rsid w:val="00F50CC2"/>
    <w:rsid w:val="00F510D6"/>
    <w:rsid w:val="00F5197C"/>
    <w:rsid w:val="00F528CF"/>
    <w:rsid w:val="00F528F0"/>
    <w:rsid w:val="00F52A37"/>
    <w:rsid w:val="00F52FA2"/>
    <w:rsid w:val="00F536C3"/>
    <w:rsid w:val="00F53BE4"/>
    <w:rsid w:val="00F5418B"/>
    <w:rsid w:val="00F54516"/>
    <w:rsid w:val="00F54B98"/>
    <w:rsid w:val="00F54E96"/>
    <w:rsid w:val="00F56026"/>
    <w:rsid w:val="00F569CB"/>
    <w:rsid w:val="00F57B41"/>
    <w:rsid w:val="00F6030C"/>
    <w:rsid w:val="00F60DAF"/>
    <w:rsid w:val="00F60F46"/>
    <w:rsid w:val="00F6221C"/>
    <w:rsid w:val="00F623F9"/>
    <w:rsid w:val="00F62AD0"/>
    <w:rsid w:val="00F62CE7"/>
    <w:rsid w:val="00F62CED"/>
    <w:rsid w:val="00F63749"/>
    <w:rsid w:val="00F63882"/>
    <w:rsid w:val="00F63FF4"/>
    <w:rsid w:val="00F64182"/>
    <w:rsid w:val="00F64203"/>
    <w:rsid w:val="00F64920"/>
    <w:rsid w:val="00F649D8"/>
    <w:rsid w:val="00F649E6"/>
    <w:rsid w:val="00F64A86"/>
    <w:rsid w:val="00F66580"/>
    <w:rsid w:val="00F668B0"/>
    <w:rsid w:val="00F668C6"/>
    <w:rsid w:val="00F668FF"/>
    <w:rsid w:val="00F66D1A"/>
    <w:rsid w:val="00F67458"/>
    <w:rsid w:val="00F67E9E"/>
    <w:rsid w:val="00F7037C"/>
    <w:rsid w:val="00F7072E"/>
    <w:rsid w:val="00F70914"/>
    <w:rsid w:val="00F71017"/>
    <w:rsid w:val="00F711DC"/>
    <w:rsid w:val="00F7156F"/>
    <w:rsid w:val="00F722F9"/>
    <w:rsid w:val="00F7249D"/>
    <w:rsid w:val="00F724C7"/>
    <w:rsid w:val="00F72907"/>
    <w:rsid w:val="00F73373"/>
    <w:rsid w:val="00F736DF"/>
    <w:rsid w:val="00F738A8"/>
    <w:rsid w:val="00F73A07"/>
    <w:rsid w:val="00F73E2A"/>
    <w:rsid w:val="00F74143"/>
    <w:rsid w:val="00F74205"/>
    <w:rsid w:val="00F74853"/>
    <w:rsid w:val="00F75D87"/>
    <w:rsid w:val="00F76083"/>
    <w:rsid w:val="00F7640B"/>
    <w:rsid w:val="00F76CAC"/>
    <w:rsid w:val="00F76D71"/>
    <w:rsid w:val="00F76DB1"/>
    <w:rsid w:val="00F77490"/>
    <w:rsid w:val="00F77A9E"/>
    <w:rsid w:val="00F77FC6"/>
    <w:rsid w:val="00F80215"/>
    <w:rsid w:val="00F806F4"/>
    <w:rsid w:val="00F80859"/>
    <w:rsid w:val="00F80BD7"/>
    <w:rsid w:val="00F811F0"/>
    <w:rsid w:val="00F813B1"/>
    <w:rsid w:val="00F8156E"/>
    <w:rsid w:val="00F819B2"/>
    <w:rsid w:val="00F8206E"/>
    <w:rsid w:val="00F82632"/>
    <w:rsid w:val="00F83183"/>
    <w:rsid w:val="00F83541"/>
    <w:rsid w:val="00F83C43"/>
    <w:rsid w:val="00F83FC1"/>
    <w:rsid w:val="00F840D8"/>
    <w:rsid w:val="00F84708"/>
    <w:rsid w:val="00F85387"/>
    <w:rsid w:val="00F85D7C"/>
    <w:rsid w:val="00F8692D"/>
    <w:rsid w:val="00F86EB8"/>
    <w:rsid w:val="00F873ED"/>
    <w:rsid w:val="00F87C39"/>
    <w:rsid w:val="00F87F09"/>
    <w:rsid w:val="00F90F66"/>
    <w:rsid w:val="00F90FAD"/>
    <w:rsid w:val="00F910C7"/>
    <w:rsid w:val="00F9127F"/>
    <w:rsid w:val="00F9173F"/>
    <w:rsid w:val="00F91804"/>
    <w:rsid w:val="00F925CF"/>
    <w:rsid w:val="00F93D8B"/>
    <w:rsid w:val="00F947C2"/>
    <w:rsid w:val="00F948DE"/>
    <w:rsid w:val="00F94A62"/>
    <w:rsid w:val="00F95CA2"/>
    <w:rsid w:val="00F96583"/>
    <w:rsid w:val="00F967DA"/>
    <w:rsid w:val="00F96D25"/>
    <w:rsid w:val="00FA0BB0"/>
    <w:rsid w:val="00FA0F6B"/>
    <w:rsid w:val="00FA1545"/>
    <w:rsid w:val="00FA19AB"/>
    <w:rsid w:val="00FA19DF"/>
    <w:rsid w:val="00FA1C67"/>
    <w:rsid w:val="00FA1CFF"/>
    <w:rsid w:val="00FA1EEB"/>
    <w:rsid w:val="00FA2012"/>
    <w:rsid w:val="00FA233A"/>
    <w:rsid w:val="00FA2622"/>
    <w:rsid w:val="00FA2699"/>
    <w:rsid w:val="00FA278E"/>
    <w:rsid w:val="00FA2FC5"/>
    <w:rsid w:val="00FA3462"/>
    <w:rsid w:val="00FA438F"/>
    <w:rsid w:val="00FA49FD"/>
    <w:rsid w:val="00FA4BB9"/>
    <w:rsid w:val="00FA50AF"/>
    <w:rsid w:val="00FA5378"/>
    <w:rsid w:val="00FA652B"/>
    <w:rsid w:val="00FA777A"/>
    <w:rsid w:val="00FA797B"/>
    <w:rsid w:val="00FA79AA"/>
    <w:rsid w:val="00FB04A6"/>
    <w:rsid w:val="00FB087B"/>
    <w:rsid w:val="00FB09B3"/>
    <w:rsid w:val="00FB19ED"/>
    <w:rsid w:val="00FB223B"/>
    <w:rsid w:val="00FB2334"/>
    <w:rsid w:val="00FB24D2"/>
    <w:rsid w:val="00FB264A"/>
    <w:rsid w:val="00FB2AA0"/>
    <w:rsid w:val="00FB2E04"/>
    <w:rsid w:val="00FB2E54"/>
    <w:rsid w:val="00FB37C5"/>
    <w:rsid w:val="00FB3A10"/>
    <w:rsid w:val="00FB3BC8"/>
    <w:rsid w:val="00FB3BE8"/>
    <w:rsid w:val="00FB435D"/>
    <w:rsid w:val="00FB439A"/>
    <w:rsid w:val="00FB5890"/>
    <w:rsid w:val="00FB5EA7"/>
    <w:rsid w:val="00FB630E"/>
    <w:rsid w:val="00FB63B1"/>
    <w:rsid w:val="00FB65AD"/>
    <w:rsid w:val="00FB6914"/>
    <w:rsid w:val="00FB761A"/>
    <w:rsid w:val="00FB7B99"/>
    <w:rsid w:val="00FB7EA2"/>
    <w:rsid w:val="00FC023C"/>
    <w:rsid w:val="00FC07E4"/>
    <w:rsid w:val="00FC0C2D"/>
    <w:rsid w:val="00FC0C65"/>
    <w:rsid w:val="00FC1526"/>
    <w:rsid w:val="00FC1743"/>
    <w:rsid w:val="00FC1A50"/>
    <w:rsid w:val="00FC2117"/>
    <w:rsid w:val="00FC237C"/>
    <w:rsid w:val="00FC26BB"/>
    <w:rsid w:val="00FC29AD"/>
    <w:rsid w:val="00FC2E84"/>
    <w:rsid w:val="00FC30DC"/>
    <w:rsid w:val="00FC34CD"/>
    <w:rsid w:val="00FC3543"/>
    <w:rsid w:val="00FC358D"/>
    <w:rsid w:val="00FC3979"/>
    <w:rsid w:val="00FC3F9C"/>
    <w:rsid w:val="00FC44DC"/>
    <w:rsid w:val="00FC45C4"/>
    <w:rsid w:val="00FC50C9"/>
    <w:rsid w:val="00FC50F2"/>
    <w:rsid w:val="00FC5257"/>
    <w:rsid w:val="00FC58B9"/>
    <w:rsid w:val="00FC5C66"/>
    <w:rsid w:val="00FC5F0F"/>
    <w:rsid w:val="00FC5F51"/>
    <w:rsid w:val="00FC6A87"/>
    <w:rsid w:val="00FC6AE7"/>
    <w:rsid w:val="00FC6AF5"/>
    <w:rsid w:val="00FC6F7D"/>
    <w:rsid w:val="00FC7249"/>
    <w:rsid w:val="00FC7D13"/>
    <w:rsid w:val="00FC7EC7"/>
    <w:rsid w:val="00FD012F"/>
    <w:rsid w:val="00FD144E"/>
    <w:rsid w:val="00FD1878"/>
    <w:rsid w:val="00FD1F03"/>
    <w:rsid w:val="00FD3847"/>
    <w:rsid w:val="00FD5085"/>
    <w:rsid w:val="00FD50BC"/>
    <w:rsid w:val="00FD5429"/>
    <w:rsid w:val="00FD573D"/>
    <w:rsid w:val="00FD5900"/>
    <w:rsid w:val="00FD5EBC"/>
    <w:rsid w:val="00FD5FEE"/>
    <w:rsid w:val="00FD60EB"/>
    <w:rsid w:val="00FD68CA"/>
    <w:rsid w:val="00FD6AC4"/>
    <w:rsid w:val="00FD6AF0"/>
    <w:rsid w:val="00FD7320"/>
    <w:rsid w:val="00FD7EDC"/>
    <w:rsid w:val="00FD7FA2"/>
    <w:rsid w:val="00FE00ED"/>
    <w:rsid w:val="00FE0B50"/>
    <w:rsid w:val="00FE0C81"/>
    <w:rsid w:val="00FE1439"/>
    <w:rsid w:val="00FE1802"/>
    <w:rsid w:val="00FE18D6"/>
    <w:rsid w:val="00FE1A8A"/>
    <w:rsid w:val="00FE1C96"/>
    <w:rsid w:val="00FE205E"/>
    <w:rsid w:val="00FE2499"/>
    <w:rsid w:val="00FE25F3"/>
    <w:rsid w:val="00FE2969"/>
    <w:rsid w:val="00FE29A5"/>
    <w:rsid w:val="00FE2ED6"/>
    <w:rsid w:val="00FE308E"/>
    <w:rsid w:val="00FE3D0B"/>
    <w:rsid w:val="00FE4D69"/>
    <w:rsid w:val="00FE5601"/>
    <w:rsid w:val="00FE5D86"/>
    <w:rsid w:val="00FE5E29"/>
    <w:rsid w:val="00FE5F0C"/>
    <w:rsid w:val="00FE61CD"/>
    <w:rsid w:val="00FE692D"/>
    <w:rsid w:val="00FE69FA"/>
    <w:rsid w:val="00FE6C8F"/>
    <w:rsid w:val="00FE726C"/>
    <w:rsid w:val="00FE768C"/>
    <w:rsid w:val="00FE787D"/>
    <w:rsid w:val="00FF0643"/>
    <w:rsid w:val="00FF14B7"/>
    <w:rsid w:val="00FF15B5"/>
    <w:rsid w:val="00FF1650"/>
    <w:rsid w:val="00FF1B4A"/>
    <w:rsid w:val="00FF1BE7"/>
    <w:rsid w:val="00FF1DAE"/>
    <w:rsid w:val="00FF2A01"/>
    <w:rsid w:val="00FF34DF"/>
    <w:rsid w:val="00FF38E8"/>
    <w:rsid w:val="00FF3B24"/>
    <w:rsid w:val="00FF3F8A"/>
    <w:rsid w:val="00FF4120"/>
    <w:rsid w:val="00FF473C"/>
    <w:rsid w:val="00FF57B2"/>
    <w:rsid w:val="00FF58C0"/>
    <w:rsid w:val="00FF5961"/>
    <w:rsid w:val="00FF59CF"/>
    <w:rsid w:val="00FF5A4A"/>
    <w:rsid w:val="00FF5DD9"/>
    <w:rsid w:val="00FF62B1"/>
    <w:rsid w:val="00FF6405"/>
    <w:rsid w:val="00FF64D7"/>
    <w:rsid w:val="00FF7043"/>
    <w:rsid w:val="00FF7C6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F50154"/>
    <w:pPr>
      <w:spacing w:after="200" w:line="276" w:lineRule="auto"/>
    </w:pPr>
    <w:rPr>
      <w:sz w:val="22"/>
      <w:szCs w:val="22"/>
      <w:lang w:eastAsia="en-US"/>
    </w:rPr>
  </w:style>
  <w:style w:type="paragraph" w:styleId="10">
    <w:name w:val="heading 1"/>
    <w:basedOn w:val="a"/>
    <w:next w:val="a"/>
    <w:link w:val="11"/>
    <w:uiPriority w:val="99"/>
    <w:qFormat/>
    <w:rsid w:val="003B0F27"/>
    <w:pPr>
      <w:keepNext/>
      <w:keepLines/>
      <w:spacing w:before="480" w:after="0"/>
      <w:outlineLvl w:val="0"/>
    </w:pPr>
    <w:rPr>
      <w:rFonts w:ascii="Times New Roman" w:eastAsia="Times New Roman" w:hAnsi="Times New Roman"/>
      <w:b/>
      <w:bCs/>
      <w:sz w:val="32"/>
      <w:szCs w:val="28"/>
    </w:rPr>
  </w:style>
  <w:style w:type="paragraph" w:styleId="20">
    <w:name w:val="heading 2"/>
    <w:basedOn w:val="a"/>
    <w:next w:val="a"/>
    <w:link w:val="21"/>
    <w:uiPriority w:val="99"/>
    <w:qFormat/>
    <w:rsid w:val="003B0F27"/>
    <w:pPr>
      <w:keepNext/>
      <w:keepLines/>
      <w:spacing w:before="200" w:after="0"/>
      <w:outlineLvl w:val="1"/>
    </w:pPr>
    <w:rPr>
      <w:rFonts w:ascii="Cambria" w:eastAsia="Times New Roman" w:hAnsi="Cambria"/>
      <w:b/>
      <w:bCs/>
      <w:sz w:val="26"/>
      <w:szCs w:val="26"/>
    </w:rPr>
  </w:style>
  <w:style w:type="paragraph" w:styleId="3">
    <w:name w:val="heading 3"/>
    <w:basedOn w:val="a"/>
    <w:next w:val="a"/>
    <w:link w:val="30"/>
    <w:uiPriority w:val="99"/>
    <w:qFormat/>
    <w:rsid w:val="00EC2282"/>
    <w:pPr>
      <w:keepNext/>
      <w:keepLines/>
      <w:spacing w:before="200" w:after="0"/>
      <w:outlineLvl w:val="2"/>
    </w:pPr>
    <w:rPr>
      <w:rFonts w:ascii="Cambria" w:eastAsia="Times New Roman" w:hAnsi="Cambria"/>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3B0F27"/>
    <w:rPr>
      <w:rFonts w:ascii="Times New Roman" w:hAnsi="Times New Roman" w:cs="Times New Roman"/>
      <w:b/>
      <w:bCs/>
      <w:sz w:val="28"/>
      <w:szCs w:val="28"/>
    </w:rPr>
  </w:style>
  <w:style w:type="character" w:customStyle="1" w:styleId="21">
    <w:name w:val="Заголовок 2 Знак"/>
    <w:link w:val="20"/>
    <w:uiPriority w:val="99"/>
    <w:locked/>
    <w:rsid w:val="003B0F27"/>
    <w:rPr>
      <w:rFonts w:ascii="Cambria" w:hAnsi="Cambria" w:cs="Times New Roman"/>
      <w:b/>
      <w:bCs/>
      <w:sz w:val="26"/>
      <w:szCs w:val="26"/>
    </w:rPr>
  </w:style>
  <w:style w:type="character" w:customStyle="1" w:styleId="30">
    <w:name w:val="Заголовок 3 Знак"/>
    <w:link w:val="3"/>
    <w:uiPriority w:val="99"/>
    <w:locked/>
    <w:rsid w:val="00EC2282"/>
    <w:rPr>
      <w:rFonts w:ascii="Cambria" w:hAnsi="Cambria" w:cs="Times New Roman"/>
      <w:b/>
      <w:bCs/>
    </w:rPr>
  </w:style>
  <w:style w:type="table" w:styleId="a3">
    <w:name w:val="Table Grid"/>
    <w:basedOn w:val="a1"/>
    <w:uiPriority w:val="59"/>
    <w:rsid w:val="005B3A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rsid w:val="005B41E6"/>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5B41E6"/>
    <w:rPr>
      <w:rFonts w:ascii="Tahoma" w:hAnsi="Tahoma" w:cs="Tahoma"/>
      <w:sz w:val="16"/>
      <w:szCs w:val="16"/>
    </w:rPr>
  </w:style>
  <w:style w:type="paragraph" w:styleId="a6">
    <w:name w:val="footnote text"/>
    <w:aliases w:val="Текст сноски-FN,Table_Footnote_last,single space,footnote text,Footnote Text Char Char,Footnote Text Char Char Char Char,Footnote Text1,Footnote Text Char Char Char,Footnote Text Char,Footnote Text Char Знак,Footnote Text Char Знак Знак"/>
    <w:basedOn w:val="a"/>
    <w:link w:val="a7"/>
    <w:uiPriority w:val="99"/>
    <w:rsid w:val="00516506"/>
    <w:pPr>
      <w:spacing w:after="0" w:line="240" w:lineRule="auto"/>
    </w:pPr>
    <w:rPr>
      <w:sz w:val="20"/>
      <w:szCs w:val="20"/>
    </w:rPr>
  </w:style>
  <w:style w:type="character" w:customStyle="1" w:styleId="a7">
    <w:name w:val="Текст сноски Знак"/>
    <w:aliases w:val="Текст сноски-FN Знак,Table_Footnote_last Знак,single space Знак,footnote text Знак,Footnote Text Char Char Знак,Footnote Text Char Char Char Char Знак,Footnote Text1 Знак,Footnote Text Char Char Char Знак,Footnote Text Char Знак1"/>
    <w:link w:val="a6"/>
    <w:uiPriority w:val="99"/>
    <w:locked/>
    <w:rsid w:val="00516506"/>
    <w:rPr>
      <w:rFonts w:cs="Times New Roman"/>
      <w:sz w:val="20"/>
      <w:szCs w:val="20"/>
    </w:rPr>
  </w:style>
  <w:style w:type="character" w:styleId="a8">
    <w:name w:val="footnote reference"/>
    <w:aliases w:val="Знак сноски-FN,Ciae niinee-FN,SUPERS,Знак сноски 1"/>
    <w:uiPriority w:val="99"/>
    <w:rsid w:val="00516506"/>
    <w:rPr>
      <w:rFonts w:cs="Times New Roman"/>
      <w:vertAlign w:val="superscript"/>
    </w:rPr>
  </w:style>
  <w:style w:type="paragraph" w:styleId="a9">
    <w:name w:val="List Paragraph"/>
    <w:basedOn w:val="a"/>
    <w:uiPriority w:val="34"/>
    <w:qFormat/>
    <w:rsid w:val="00793803"/>
    <w:pPr>
      <w:ind w:left="720"/>
      <w:contextualSpacing/>
    </w:pPr>
  </w:style>
  <w:style w:type="paragraph" w:customStyle="1" w:styleId="ConsPlusNormal">
    <w:name w:val="ConsPlusNormal"/>
    <w:uiPriority w:val="99"/>
    <w:rsid w:val="00242FB0"/>
    <w:pPr>
      <w:autoSpaceDE w:val="0"/>
      <w:autoSpaceDN w:val="0"/>
      <w:adjustRightInd w:val="0"/>
    </w:pPr>
    <w:rPr>
      <w:rFonts w:ascii="Times New Roman" w:hAnsi="Times New Roman"/>
      <w:sz w:val="28"/>
      <w:szCs w:val="28"/>
      <w:lang w:eastAsia="en-US"/>
    </w:rPr>
  </w:style>
  <w:style w:type="paragraph" w:styleId="aa">
    <w:name w:val="header"/>
    <w:basedOn w:val="a"/>
    <w:link w:val="ab"/>
    <w:uiPriority w:val="99"/>
    <w:rsid w:val="00742731"/>
    <w:pPr>
      <w:tabs>
        <w:tab w:val="center" w:pos="4677"/>
        <w:tab w:val="right" w:pos="9355"/>
      </w:tabs>
      <w:spacing w:after="0" w:line="240" w:lineRule="auto"/>
    </w:pPr>
  </w:style>
  <w:style w:type="character" w:customStyle="1" w:styleId="ab">
    <w:name w:val="Верхний колонтитул Знак"/>
    <w:link w:val="aa"/>
    <w:uiPriority w:val="99"/>
    <w:locked/>
    <w:rsid w:val="00742731"/>
    <w:rPr>
      <w:rFonts w:cs="Times New Roman"/>
    </w:rPr>
  </w:style>
  <w:style w:type="paragraph" w:styleId="ac">
    <w:name w:val="footer"/>
    <w:basedOn w:val="a"/>
    <w:link w:val="ad"/>
    <w:uiPriority w:val="99"/>
    <w:rsid w:val="00742731"/>
    <w:pPr>
      <w:tabs>
        <w:tab w:val="center" w:pos="4677"/>
        <w:tab w:val="right" w:pos="9355"/>
      </w:tabs>
      <w:spacing w:after="0" w:line="240" w:lineRule="auto"/>
    </w:pPr>
  </w:style>
  <w:style w:type="character" w:customStyle="1" w:styleId="ad">
    <w:name w:val="Нижний колонтитул Знак"/>
    <w:link w:val="ac"/>
    <w:uiPriority w:val="99"/>
    <w:locked/>
    <w:rsid w:val="00742731"/>
    <w:rPr>
      <w:rFonts w:cs="Times New Roman"/>
    </w:rPr>
  </w:style>
  <w:style w:type="paragraph" w:styleId="ae">
    <w:name w:val="No Spacing"/>
    <w:link w:val="af"/>
    <w:uiPriority w:val="99"/>
    <w:qFormat/>
    <w:rsid w:val="00A80C45"/>
    <w:rPr>
      <w:rFonts w:eastAsia="Times New Roman"/>
      <w:sz w:val="22"/>
      <w:szCs w:val="22"/>
      <w:lang w:val="en-US" w:eastAsia="en-US"/>
    </w:rPr>
  </w:style>
  <w:style w:type="character" w:customStyle="1" w:styleId="af">
    <w:name w:val="Без интервала Знак"/>
    <w:link w:val="ae"/>
    <w:uiPriority w:val="99"/>
    <w:locked/>
    <w:rsid w:val="00A80C45"/>
    <w:rPr>
      <w:rFonts w:eastAsia="Times New Roman" w:cs="Times New Roman"/>
      <w:sz w:val="22"/>
      <w:szCs w:val="22"/>
      <w:lang w:val="en-US" w:eastAsia="en-US" w:bidi="ar-SA"/>
    </w:rPr>
  </w:style>
  <w:style w:type="paragraph" w:styleId="af0">
    <w:name w:val="TOC Heading"/>
    <w:basedOn w:val="10"/>
    <w:next w:val="a"/>
    <w:uiPriority w:val="99"/>
    <w:qFormat/>
    <w:rsid w:val="00A80C45"/>
    <w:pPr>
      <w:spacing w:before="240" w:line="259" w:lineRule="auto"/>
      <w:outlineLvl w:val="9"/>
    </w:pPr>
    <w:rPr>
      <w:b w:val="0"/>
      <w:bCs w:val="0"/>
      <w:szCs w:val="32"/>
      <w:lang w:val="en-US"/>
    </w:rPr>
  </w:style>
  <w:style w:type="paragraph" w:styleId="22">
    <w:name w:val="toc 2"/>
    <w:basedOn w:val="a"/>
    <w:next w:val="a"/>
    <w:autoRedefine/>
    <w:uiPriority w:val="39"/>
    <w:rsid w:val="000607B9"/>
    <w:pPr>
      <w:tabs>
        <w:tab w:val="left" w:pos="880"/>
        <w:tab w:val="right" w:leader="dot" w:pos="9062"/>
      </w:tabs>
      <w:spacing w:after="120" w:line="312" w:lineRule="auto"/>
      <w:ind w:left="221"/>
    </w:pPr>
  </w:style>
  <w:style w:type="character" w:styleId="af1">
    <w:name w:val="Hyperlink"/>
    <w:uiPriority w:val="99"/>
    <w:rsid w:val="00A80C45"/>
    <w:rPr>
      <w:rFonts w:cs="Times New Roman"/>
      <w:color w:val="0000FF"/>
      <w:u w:val="single"/>
    </w:rPr>
  </w:style>
  <w:style w:type="paragraph" w:styleId="12">
    <w:name w:val="toc 1"/>
    <w:basedOn w:val="a"/>
    <w:next w:val="a"/>
    <w:autoRedefine/>
    <w:uiPriority w:val="39"/>
    <w:rsid w:val="00F96D25"/>
    <w:pPr>
      <w:tabs>
        <w:tab w:val="right" w:leader="dot" w:pos="9062"/>
      </w:tabs>
      <w:spacing w:after="100"/>
    </w:pPr>
  </w:style>
  <w:style w:type="paragraph" w:styleId="af2">
    <w:name w:val="endnote text"/>
    <w:basedOn w:val="a"/>
    <w:link w:val="af3"/>
    <w:uiPriority w:val="99"/>
    <w:semiHidden/>
    <w:rsid w:val="00365A45"/>
    <w:pPr>
      <w:spacing w:after="0" w:line="240" w:lineRule="auto"/>
    </w:pPr>
    <w:rPr>
      <w:sz w:val="20"/>
      <w:szCs w:val="20"/>
    </w:rPr>
  </w:style>
  <w:style w:type="character" w:customStyle="1" w:styleId="af3">
    <w:name w:val="Текст концевой сноски Знак"/>
    <w:link w:val="af2"/>
    <w:uiPriority w:val="99"/>
    <w:semiHidden/>
    <w:locked/>
    <w:rsid w:val="00365A45"/>
    <w:rPr>
      <w:rFonts w:cs="Times New Roman"/>
      <w:sz w:val="20"/>
      <w:szCs w:val="20"/>
    </w:rPr>
  </w:style>
  <w:style w:type="character" w:styleId="af4">
    <w:name w:val="endnote reference"/>
    <w:uiPriority w:val="99"/>
    <w:semiHidden/>
    <w:rsid w:val="00365A45"/>
    <w:rPr>
      <w:rFonts w:cs="Times New Roman"/>
      <w:vertAlign w:val="superscript"/>
    </w:rPr>
  </w:style>
  <w:style w:type="character" w:styleId="af5">
    <w:name w:val="annotation reference"/>
    <w:uiPriority w:val="99"/>
    <w:semiHidden/>
    <w:rsid w:val="001D67D3"/>
    <w:rPr>
      <w:rFonts w:cs="Times New Roman"/>
      <w:sz w:val="16"/>
      <w:szCs w:val="16"/>
    </w:rPr>
  </w:style>
  <w:style w:type="paragraph" w:styleId="af6">
    <w:name w:val="annotation text"/>
    <w:basedOn w:val="a"/>
    <w:link w:val="af7"/>
    <w:uiPriority w:val="99"/>
    <w:semiHidden/>
    <w:rsid w:val="001D67D3"/>
    <w:pPr>
      <w:spacing w:line="240" w:lineRule="auto"/>
    </w:pPr>
    <w:rPr>
      <w:sz w:val="20"/>
      <w:szCs w:val="20"/>
    </w:rPr>
  </w:style>
  <w:style w:type="character" w:customStyle="1" w:styleId="af7">
    <w:name w:val="Текст примечания Знак"/>
    <w:link w:val="af6"/>
    <w:uiPriority w:val="99"/>
    <w:semiHidden/>
    <w:locked/>
    <w:rsid w:val="001D67D3"/>
    <w:rPr>
      <w:rFonts w:cs="Times New Roman"/>
      <w:sz w:val="20"/>
      <w:szCs w:val="20"/>
    </w:rPr>
  </w:style>
  <w:style w:type="paragraph" w:styleId="af8">
    <w:name w:val="annotation subject"/>
    <w:basedOn w:val="af6"/>
    <w:next w:val="af6"/>
    <w:link w:val="af9"/>
    <w:uiPriority w:val="99"/>
    <w:semiHidden/>
    <w:rsid w:val="001D67D3"/>
    <w:rPr>
      <w:b/>
      <w:bCs/>
    </w:rPr>
  </w:style>
  <w:style w:type="character" w:customStyle="1" w:styleId="af9">
    <w:name w:val="Тема примечания Знак"/>
    <w:link w:val="af8"/>
    <w:uiPriority w:val="99"/>
    <w:semiHidden/>
    <w:locked/>
    <w:rsid w:val="001D67D3"/>
    <w:rPr>
      <w:rFonts w:cs="Times New Roman"/>
      <w:b/>
      <w:bCs/>
      <w:sz w:val="20"/>
      <w:szCs w:val="20"/>
    </w:rPr>
  </w:style>
  <w:style w:type="paragraph" w:customStyle="1" w:styleId="TabText">
    <w:name w:val="Tab_Text"/>
    <w:aliases w:val="Black,Normal + HelveticaNeue LT 55 Roman,10 pt,Justified"/>
    <w:link w:val="TabTextChar"/>
    <w:rsid w:val="00E65DE3"/>
    <w:rPr>
      <w:rFonts w:ascii="HelveticaNeue LT 55 Roman" w:eastAsia="Times New Roman" w:hAnsi="HelveticaNeue LT 55 Roman" w:cs="HelveticaNeue LT 55 Roman"/>
      <w:sz w:val="14"/>
      <w:szCs w:val="14"/>
      <w:lang w:val="en-GB" w:bidi="ml-IN"/>
    </w:rPr>
  </w:style>
  <w:style w:type="character" w:customStyle="1" w:styleId="TabTextChar">
    <w:name w:val="Tab_Text Char"/>
    <w:aliases w:val="Black Char"/>
    <w:link w:val="TabText"/>
    <w:locked/>
    <w:rsid w:val="00E65DE3"/>
    <w:rPr>
      <w:rFonts w:ascii="HelveticaNeue LT 55 Roman" w:hAnsi="HelveticaNeue LT 55 Roman"/>
      <w:sz w:val="14"/>
      <w:lang w:val="en-GB"/>
    </w:rPr>
  </w:style>
  <w:style w:type="paragraph" w:customStyle="1" w:styleId="SourceLarge">
    <w:name w:val="SourceLarge"/>
    <w:next w:val="a"/>
    <w:link w:val="SourceLargeChar"/>
    <w:rsid w:val="00E65DE3"/>
    <w:pPr>
      <w:suppressAutoHyphens/>
      <w:spacing w:after="360" w:line="160" w:lineRule="atLeast"/>
    </w:pPr>
    <w:rPr>
      <w:rFonts w:ascii="HelveticaNeue LT 65 Medium" w:eastAsia="Times New Roman" w:hAnsi="HelveticaNeue LT 65 Medium" w:cs="HelveticaNeue LT 65 Medium"/>
      <w:sz w:val="11"/>
      <w:szCs w:val="11"/>
      <w:lang w:val="en-GB" w:bidi="ml-IN"/>
    </w:rPr>
  </w:style>
  <w:style w:type="character" w:customStyle="1" w:styleId="SourceLargeChar">
    <w:name w:val="SourceLarge Char"/>
    <w:link w:val="SourceLarge"/>
    <w:locked/>
    <w:rsid w:val="00E65DE3"/>
    <w:rPr>
      <w:rFonts w:ascii="HelveticaNeue LT 65 Medium" w:hAnsi="HelveticaNeue LT 65 Medium"/>
      <w:sz w:val="11"/>
      <w:lang w:val="en-GB"/>
    </w:rPr>
  </w:style>
  <w:style w:type="paragraph" w:customStyle="1" w:styleId="GraphTitle">
    <w:name w:val="Graph_Title"/>
    <w:basedOn w:val="a"/>
    <w:link w:val="GraphTitleChar"/>
    <w:rsid w:val="00E65DE3"/>
    <w:pPr>
      <w:suppressAutoHyphens/>
      <w:spacing w:before="120" w:after="40" w:line="240" w:lineRule="auto"/>
    </w:pPr>
    <w:rPr>
      <w:rFonts w:ascii="HelveticaNeue LT 65 Medium" w:eastAsia="Times New Roman" w:hAnsi="HelveticaNeue LT 65 Medium" w:cs="HelveticaNeue LT 65 Medium"/>
      <w:sz w:val="17"/>
      <w:szCs w:val="17"/>
      <w:lang w:val="en-GB" w:eastAsia="ru-RU" w:bidi="ml-IN"/>
    </w:rPr>
  </w:style>
  <w:style w:type="character" w:customStyle="1" w:styleId="GraphTitleChar">
    <w:name w:val="Graph_Title Char"/>
    <w:link w:val="GraphTitle"/>
    <w:locked/>
    <w:rsid w:val="00E65DE3"/>
    <w:rPr>
      <w:rFonts w:ascii="HelveticaNeue LT 65 Medium" w:hAnsi="HelveticaNeue LT 65 Medium"/>
      <w:sz w:val="17"/>
      <w:lang w:val="en-GB"/>
    </w:rPr>
  </w:style>
  <w:style w:type="table" w:customStyle="1" w:styleId="28">
    <w:name w:val="28"/>
    <w:uiPriority w:val="99"/>
    <w:pPr>
      <w:widowControl w:val="0"/>
      <w:autoSpaceDE w:val="0"/>
      <w:autoSpaceDN w:val="0"/>
      <w:adjustRightInd w:val="0"/>
    </w:pPr>
    <w:rPr>
      <w:rFonts w:ascii="Times New Roman" w:eastAsia="Times New Roman" w:hAnsi="Times New Roman"/>
      <w:sz w:val="24"/>
      <w:szCs w:val="24"/>
    </w:rPr>
    <w:tblPr>
      <w:tblInd w:w="2608" w:type="dxa"/>
      <w:tblCellMar>
        <w:top w:w="0" w:type="dxa"/>
        <w:left w:w="0" w:type="dxa"/>
        <w:bottom w:w="0" w:type="dxa"/>
        <w:right w:w="0" w:type="dxa"/>
      </w:tblCellMar>
    </w:tblPr>
  </w:style>
  <w:style w:type="paragraph" w:styleId="afa">
    <w:name w:val="Revision"/>
    <w:hidden/>
    <w:uiPriority w:val="99"/>
    <w:semiHidden/>
    <w:rsid w:val="009A7C9A"/>
    <w:rPr>
      <w:sz w:val="22"/>
      <w:szCs w:val="22"/>
      <w:lang w:eastAsia="en-US"/>
    </w:rPr>
  </w:style>
  <w:style w:type="paragraph" w:styleId="afb">
    <w:name w:val="Normal (Web)"/>
    <w:basedOn w:val="a"/>
    <w:uiPriority w:val="99"/>
    <w:semiHidden/>
    <w:rsid w:val="009C27DD"/>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41">
    <w:name w:val="Таблица простая 41"/>
    <w:uiPriority w:val="99"/>
    <w:rsid w:val="004A0A82"/>
    <w:tblPr>
      <w:tblStyleRowBandSize w:val="1"/>
      <w:tblStyleColBandSize w:val="1"/>
      <w:tblInd w:w="0" w:type="dxa"/>
      <w:tblCellMar>
        <w:top w:w="0" w:type="dxa"/>
        <w:left w:w="108" w:type="dxa"/>
        <w:bottom w:w="0" w:type="dxa"/>
        <w:right w:w="108" w:type="dxa"/>
      </w:tblCellMar>
    </w:tblPr>
  </w:style>
  <w:style w:type="character" w:styleId="afc">
    <w:name w:val="Placeholder Text"/>
    <w:uiPriority w:val="99"/>
    <w:semiHidden/>
    <w:rsid w:val="00F255E5"/>
    <w:rPr>
      <w:rFonts w:cs="Times New Roman"/>
      <w:color w:val="808080"/>
    </w:rPr>
  </w:style>
  <w:style w:type="paragraph" w:styleId="31">
    <w:name w:val="toc 3"/>
    <w:basedOn w:val="a"/>
    <w:next w:val="a"/>
    <w:autoRedefine/>
    <w:uiPriority w:val="39"/>
    <w:rsid w:val="002D1C3F"/>
    <w:pPr>
      <w:spacing w:after="100"/>
      <w:ind w:left="440"/>
    </w:pPr>
  </w:style>
  <w:style w:type="paragraph" w:customStyle="1" w:styleId="ConsPlusTitle">
    <w:name w:val="ConsPlusTitle"/>
    <w:uiPriority w:val="99"/>
    <w:rsid w:val="00A17F02"/>
    <w:pPr>
      <w:widowControl w:val="0"/>
      <w:autoSpaceDE w:val="0"/>
      <w:autoSpaceDN w:val="0"/>
      <w:adjustRightInd w:val="0"/>
    </w:pPr>
    <w:rPr>
      <w:rFonts w:ascii="Times New Roman" w:eastAsia="Times New Roman" w:hAnsi="Times New Roman"/>
      <w:b/>
      <w:bCs/>
      <w:sz w:val="24"/>
      <w:szCs w:val="24"/>
    </w:rPr>
  </w:style>
  <w:style w:type="character" w:customStyle="1" w:styleId="CharStyle6">
    <w:name w:val="Char Style 6"/>
    <w:link w:val="Style4"/>
    <w:uiPriority w:val="99"/>
    <w:locked/>
    <w:rsid w:val="00A17F02"/>
    <w:rPr>
      <w:rFonts w:cs="Times New Roman"/>
      <w:shd w:val="clear" w:color="auto" w:fill="FFFFFF"/>
    </w:rPr>
  </w:style>
  <w:style w:type="paragraph" w:customStyle="1" w:styleId="Style4">
    <w:name w:val="Style 4"/>
    <w:basedOn w:val="a"/>
    <w:link w:val="CharStyle6"/>
    <w:uiPriority w:val="99"/>
    <w:rsid w:val="00A17F02"/>
    <w:pPr>
      <w:widowControl w:val="0"/>
      <w:shd w:val="clear" w:color="auto" w:fill="FFFFFF"/>
      <w:spacing w:after="0" w:line="336" w:lineRule="exact"/>
      <w:jc w:val="center"/>
    </w:pPr>
  </w:style>
  <w:style w:type="paragraph" w:customStyle="1" w:styleId="Style8">
    <w:name w:val="Style8"/>
    <w:basedOn w:val="a"/>
    <w:uiPriority w:val="99"/>
    <w:rsid w:val="0080098C"/>
    <w:pPr>
      <w:widowControl w:val="0"/>
      <w:autoSpaceDE w:val="0"/>
      <w:autoSpaceDN w:val="0"/>
      <w:adjustRightInd w:val="0"/>
      <w:spacing w:after="0" w:line="369" w:lineRule="exact"/>
      <w:ind w:firstLine="698"/>
      <w:jc w:val="both"/>
    </w:pPr>
    <w:rPr>
      <w:rFonts w:ascii="Times New Roman" w:hAnsi="Times New Roman"/>
      <w:sz w:val="24"/>
      <w:szCs w:val="24"/>
      <w:lang w:eastAsia="ru-RU"/>
    </w:rPr>
  </w:style>
  <w:style w:type="character" w:customStyle="1" w:styleId="FontStyle23">
    <w:name w:val="Font Style23"/>
    <w:uiPriority w:val="99"/>
    <w:rsid w:val="0080098C"/>
    <w:rPr>
      <w:rFonts w:ascii="Times New Roman" w:hAnsi="Times New Roman"/>
      <w:sz w:val="24"/>
    </w:rPr>
  </w:style>
  <w:style w:type="numbering" w:customStyle="1" w:styleId="2">
    <w:name w:val="Стиль2"/>
    <w:rsid w:val="00373920"/>
    <w:pPr>
      <w:numPr>
        <w:numId w:val="2"/>
      </w:numPr>
    </w:pPr>
  </w:style>
  <w:style w:type="numbering" w:customStyle="1" w:styleId="1">
    <w:name w:val="Стиль1"/>
    <w:rsid w:val="00373920"/>
    <w:pPr>
      <w:numPr>
        <w:numId w:val="1"/>
      </w:numPr>
    </w:pPr>
  </w:style>
  <w:style w:type="paragraph" w:customStyle="1" w:styleId="afd">
    <w:name w:val="Обычный текст"/>
    <w:basedOn w:val="a"/>
    <w:link w:val="afe"/>
    <w:qFormat/>
    <w:rsid w:val="007867FE"/>
    <w:pPr>
      <w:spacing w:after="0" w:line="360" w:lineRule="auto"/>
      <w:ind w:firstLine="709"/>
      <w:jc w:val="both"/>
    </w:pPr>
    <w:rPr>
      <w:rFonts w:ascii="Times New Roman" w:eastAsia="Times New Roman" w:hAnsi="Times New Roman"/>
      <w:sz w:val="24"/>
      <w:szCs w:val="24"/>
      <w:lang w:eastAsia="ru-RU"/>
    </w:rPr>
  </w:style>
  <w:style w:type="character" w:customStyle="1" w:styleId="afe">
    <w:name w:val="Обычный текст Знак"/>
    <w:link w:val="afd"/>
    <w:rsid w:val="007867FE"/>
    <w:rPr>
      <w:rFonts w:ascii="Times New Roman" w:eastAsia="Times New Roman" w:hAnsi="Times New Roman"/>
      <w:sz w:val="24"/>
      <w:szCs w:val="24"/>
    </w:rPr>
  </w:style>
  <w:style w:type="paragraph" w:customStyle="1" w:styleId="aff">
    <w:name w:val="Рисунок примечание"/>
    <w:basedOn w:val="a"/>
    <w:link w:val="aff0"/>
    <w:qFormat/>
    <w:rsid w:val="007867FE"/>
    <w:pPr>
      <w:keepNext/>
      <w:keepLines/>
      <w:spacing w:before="20" w:after="0" w:line="240" w:lineRule="auto"/>
      <w:ind w:firstLine="709"/>
    </w:pPr>
    <w:rPr>
      <w:rFonts w:ascii="Times New Roman" w:eastAsia="Times New Roman" w:hAnsi="Times New Roman"/>
      <w:i/>
      <w:sz w:val="20"/>
      <w:szCs w:val="20"/>
    </w:rPr>
  </w:style>
  <w:style w:type="character" w:customStyle="1" w:styleId="aff0">
    <w:name w:val="Рисунок примечание Знак"/>
    <w:link w:val="aff"/>
    <w:rsid w:val="007867FE"/>
    <w:rPr>
      <w:rFonts w:ascii="Times New Roman" w:eastAsia="Times New Roman" w:hAnsi="Times New Roman"/>
      <w:i/>
      <w:sz w:val="20"/>
      <w:szCs w:val="20"/>
      <w:lang w:eastAsia="en-US"/>
    </w:rPr>
  </w:style>
  <w:style w:type="paragraph" w:customStyle="1" w:styleId="-">
    <w:name w:val="Рисунок - название"/>
    <w:basedOn w:val="a"/>
    <w:link w:val="-0"/>
    <w:qFormat/>
    <w:rsid w:val="007867FE"/>
    <w:pPr>
      <w:keepNext/>
      <w:keepLines/>
      <w:tabs>
        <w:tab w:val="num" w:pos="0"/>
      </w:tabs>
      <w:spacing w:before="60" w:after="240" w:line="360" w:lineRule="auto"/>
      <w:ind w:left="709"/>
      <w:jc w:val="center"/>
    </w:pPr>
    <w:rPr>
      <w:rFonts w:ascii="Times New Roman" w:eastAsia="Times New Roman" w:hAnsi="Times New Roman"/>
      <w:b/>
      <w:sz w:val="24"/>
      <w:szCs w:val="24"/>
      <w:lang w:eastAsia="ru-RU"/>
    </w:rPr>
  </w:style>
  <w:style w:type="character" w:customStyle="1" w:styleId="-0">
    <w:name w:val="Рисунок - название Знак"/>
    <w:link w:val="-"/>
    <w:rsid w:val="007867FE"/>
    <w:rPr>
      <w:rFonts w:ascii="Times New Roman" w:eastAsia="Times New Roman" w:hAnsi="Times New Roman"/>
      <w:b/>
      <w:sz w:val="24"/>
      <w:szCs w:val="24"/>
    </w:rPr>
  </w:style>
  <w:style w:type="paragraph" w:customStyle="1" w:styleId="Default">
    <w:name w:val="Default"/>
    <w:rsid w:val="00776499"/>
    <w:pPr>
      <w:autoSpaceDE w:val="0"/>
      <w:autoSpaceDN w:val="0"/>
      <w:adjustRightInd w:val="0"/>
    </w:pPr>
    <w:rPr>
      <w:rFonts w:ascii="Times New Roman" w:hAnsi="Times New Roman"/>
      <w:color w:val="000000"/>
      <w:sz w:val="24"/>
      <w:szCs w:val="24"/>
    </w:rPr>
  </w:style>
  <w:style w:type="table" w:customStyle="1" w:styleId="Smalltable">
    <w:name w:val="Small table"/>
    <w:basedOn w:val="a1"/>
    <w:rsid w:val="005609BB"/>
    <w:pPr>
      <w:jc w:val="both"/>
    </w:pPr>
    <w:rPr>
      <w:rFonts w:ascii="HelveticaNeue LT 65 Medium" w:eastAsia="Times New Roman" w:hAnsi="HelveticaNeue LT 65 Medium"/>
      <w:sz w:val="14"/>
      <w:szCs w:val="14"/>
      <w:lang w:val="en-US" w:eastAsia="en-US"/>
    </w:rPr>
    <w:tblPr>
      <w:tblInd w:w="2608" w:type="dxa"/>
      <w:tblCellMar>
        <w:left w:w="0" w:type="dxa"/>
        <w:right w:w="0" w:type="dxa"/>
      </w:tblCellMar>
    </w:tblPr>
    <w:tcPr>
      <w:tcMar>
        <w:left w:w="28" w:type="dxa"/>
        <w:right w:w="28" w:type="dxa"/>
      </w:tcMar>
    </w:tcPr>
  </w:style>
  <w:style w:type="table" w:styleId="aff1">
    <w:name w:val="Light Shading"/>
    <w:basedOn w:val="a1"/>
    <w:uiPriority w:val="60"/>
    <w:rsid w:val="00AA1BF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f2">
    <w:name w:val="Emphasis"/>
    <w:basedOn w:val="a0"/>
    <w:qFormat/>
    <w:locked/>
    <w:rsid w:val="003A5E48"/>
    <w:rPr>
      <w:i/>
      <w:iCs/>
    </w:rPr>
  </w:style>
  <w:style w:type="character" w:customStyle="1" w:styleId="CharStyle11">
    <w:name w:val="Char Style 11"/>
    <w:basedOn w:val="a0"/>
    <w:link w:val="Style10"/>
    <w:uiPriority w:val="99"/>
    <w:locked/>
    <w:rsid w:val="00675B8E"/>
    <w:rPr>
      <w:sz w:val="23"/>
      <w:szCs w:val="23"/>
      <w:shd w:val="clear" w:color="auto" w:fill="FFFFFF"/>
    </w:rPr>
  </w:style>
  <w:style w:type="character" w:customStyle="1" w:styleId="CharStyle450">
    <w:name w:val="Char Style 450"/>
    <w:basedOn w:val="CharStyle11"/>
    <w:uiPriority w:val="99"/>
    <w:rsid w:val="00675B8E"/>
    <w:rPr>
      <w:b/>
      <w:bCs/>
      <w:sz w:val="19"/>
      <w:szCs w:val="19"/>
      <w:shd w:val="clear" w:color="auto" w:fill="FFFFFF"/>
    </w:rPr>
  </w:style>
  <w:style w:type="paragraph" w:customStyle="1" w:styleId="Style10">
    <w:name w:val="Style 10"/>
    <w:basedOn w:val="a"/>
    <w:link w:val="CharStyle11"/>
    <w:uiPriority w:val="99"/>
    <w:rsid w:val="00675B8E"/>
    <w:pPr>
      <w:widowControl w:val="0"/>
      <w:shd w:val="clear" w:color="auto" w:fill="FFFFFF"/>
      <w:spacing w:before="3480" w:after="0" w:line="240" w:lineRule="atLeast"/>
      <w:ind w:hanging="360"/>
    </w:pPr>
    <w:rPr>
      <w:sz w:val="23"/>
      <w:szCs w:val="23"/>
      <w:lang w:eastAsia="ru-RU"/>
    </w:rPr>
  </w:style>
  <w:style w:type="character" w:customStyle="1" w:styleId="CharStyle453">
    <w:name w:val="Char Style 453"/>
    <w:basedOn w:val="CharStyle11"/>
    <w:uiPriority w:val="99"/>
    <w:rsid w:val="00675B8E"/>
    <w:rPr>
      <w:rFonts w:cs="Times New Roman"/>
      <w:sz w:val="19"/>
      <w:szCs w:val="19"/>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F50154"/>
    <w:pPr>
      <w:spacing w:after="200" w:line="276" w:lineRule="auto"/>
    </w:pPr>
    <w:rPr>
      <w:sz w:val="22"/>
      <w:szCs w:val="22"/>
      <w:lang w:eastAsia="en-US"/>
    </w:rPr>
  </w:style>
  <w:style w:type="paragraph" w:styleId="10">
    <w:name w:val="heading 1"/>
    <w:basedOn w:val="a"/>
    <w:next w:val="a"/>
    <w:link w:val="11"/>
    <w:uiPriority w:val="99"/>
    <w:qFormat/>
    <w:rsid w:val="003B0F27"/>
    <w:pPr>
      <w:keepNext/>
      <w:keepLines/>
      <w:spacing w:before="480" w:after="0"/>
      <w:outlineLvl w:val="0"/>
    </w:pPr>
    <w:rPr>
      <w:rFonts w:ascii="Times New Roman" w:eastAsia="Times New Roman" w:hAnsi="Times New Roman"/>
      <w:b/>
      <w:bCs/>
      <w:sz w:val="32"/>
      <w:szCs w:val="28"/>
    </w:rPr>
  </w:style>
  <w:style w:type="paragraph" w:styleId="20">
    <w:name w:val="heading 2"/>
    <w:basedOn w:val="a"/>
    <w:next w:val="a"/>
    <w:link w:val="21"/>
    <w:uiPriority w:val="99"/>
    <w:qFormat/>
    <w:rsid w:val="003B0F27"/>
    <w:pPr>
      <w:keepNext/>
      <w:keepLines/>
      <w:spacing w:before="200" w:after="0"/>
      <w:outlineLvl w:val="1"/>
    </w:pPr>
    <w:rPr>
      <w:rFonts w:ascii="Cambria" w:eastAsia="Times New Roman" w:hAnsi="Cambria"/>
      <w:b/>
      <w:bCs/>
      <w:sz w:val="26"/>
      <w:szCs w:val="26"/>
    </w:rPr>
  </w:style>
  <w:style w:type="paragraph" w:styleId="3">
    <w:name w:val="heading 3"/>
    <w:basedOn w:val="a"/>
    <w:next w:val="a"/>
    <w:link w:val="30"/>
    <w:uiPriority w:val="99"/>
    <w:qFormat/>
    <w:rsid w:val="00EC2282"/>
    <w:pPr>
      <w:keepNext/>
      <w:keepLines/>
      <w:spacing w:before="200" w:after="0"/>
      <w:outlineLvl w:val="2"/>
    </w:pPr>
    <w:rPr>
      <w:rFonts w:ascii="Cambria" w:eastAsia="Times New Roman" w:hAnsi="Cambria"/>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3B0F27"/>
    <w:rPr>
      <w:rFonts w:ascii="Times New Roman" w:hAnsi="Times New Roman" w:cs="Times New Roman"/>
      <w:b/>
      <w:bCs/>
      <w:sz w:val="28"/>
      <w:szCs w:val="28"/>
    </w:rPr>
  </w:style>
  <w:style w:type="character" w:customStyle="1" w:styleId="21">
    <w:name w:val="Заголовок 2 Знак"/>
    <w:link w:val="20"/>
    <w:uiPriority w:val="99"/>
    <w:locked/>
    <w:rsid w:val="003B0F27"/>
    <w:rPr>
      <w:rFonts w:ascii="Cambria" w:hAnsi="Cambria" w:cs="Times New Roman"/>
      <w:b/>
      <w:bCs/>
      <w:sz w:val="26"/>
      <w:szCs w:val="26"/>
    </w:rPr>
  </w:style>
  <w:style w:type="character" w:customStyle="1" w:styleId="30">
    <w:name w:val="Заголовок 3 Знак"/>
    <w:link w:val="3"/>
    <w:uiPriority w:val="99"/>
    <w:locked/>
    <w:rsid w:val="00EC2282"/>
    <w:rPr>
      <w:rFonts w:ascii="Cambria" w:hAnsi="Cambria" w:cs="Times New Roman"/>
      <w:b/>
      <w:bCs/>
    </w:rPr>
  </w:style>
  <w:style w:type="table" w:styleId="a3">
    <w:name w:val="Table Grid"/>
    <w:basedOn w:val="a1"/>
    <w:uiPriority w:val="59"/>
    <w:rsid w:val="005B3A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rsid w:val="005B41E6"/>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5B41E6"/>
    <w:rPr>
      <w:rFonts w:ascii="Tahoma" w:hAnsi="Tahoma" w:cs="Tahoma"/>
      <w:sz w:val="16"/>
      <w:szCs w:val="16"/>
    </w:rPr>
  </w:style>
  <w:style w:type="paragraph" w:styleId="a6">
    <w:name w:val="footnote text"/>
    <w:aliases w:val="Текст сноски-FN,Table_Footnote_last,single space,footnote text,Footnote Text Char Char,Footnote Text Char Char Char Char,Footnote Text1,Footnote Text Char Char Char,Footnote Text Char,Footnote Text Char Знак,Footnote Text Char Знак Знак"/>
    <w:basedOn w:val="a"/>
    <w:link w:val="a7"/>
    <w:uiPriority w:val="99"/>
    <w:rsid w:val="00516506"/>
    <w:pPr>
      <w:spacing w:after="0" w:line="240" w:lineRule="auto"/>
    </w:pPr>
    <w:rPr>
      <w:sz w:val="20"/>
      <w:szCs w:val="20"/>
    </w:rPr>
  </w:style>
  <w:style w:type="character" w:customStyle="1" w:styleId="a7">
    <w:name w:val="Текст сноски Знак"/>
    <w:aliases w:val="Текст сноски-FN Знак,Table_Footnote_last Знак,single space Знак,footnote text Знак,Footnote Text Char Char Знак,Footnote Text Char Char Char Char Знак,Footnote Text1 Знак,Footnote Text Char Char Char Знак,Footnote Text Char Знак1"/>
    <w:link w:val="a6"/>
    <w:uiPriority w:val="99"/>
    <w:locked/>
    <w:rsid w:val="00516506"/>
    <w:rPr>
      <w:rFonts w:cs="Times New Roman"/>
      <w:sz w:val="20"/>
      <w:szCs w:val="20"/>
    </w:rPr>
  </w:style>
  <w:style w:type="character" w:styleId="a8">
    <w:name w:val="footnote reference"/>
    <w:aliases w:val="Знак сноски-FN,Ciae niinee-FN,SUPERS,Знак сноски 1"/>
    <w:uiPriority w:val="99"/>
    <w:rsid w:val="00516506"/>
    <w:rPr>
      <w:rFonts w:cs="Times New Roman"/>
      <w:vertAlign w:val="superscript"/>
    </w:rPr>
  </w:style>
  <w:style w:type="paragraph" w:styleId="a9">
    <w:name w:val="List Paragraph"/>
    <w:basedOn w:val="a"/>
    <w:uiPriority w:val="34"/>
    <w:qFormat/>
    <w:rsid w:val="00793803"/>
    <w:pPr>
      <w:ind w:left="720"/>
      <w:contextualSpacing/>
    </w:pPr>
  </w:style>
  <w:style w:type="paragraph" w:customStyle="1" w:styleId="ConsPlusNormal">
    <w:name w:val="ConsPlusNormal"/>
    <w:uiPriority w:val="99"/>
    <w:rsid w:val="00242FB0"/>
    <w:pPr>
      <w:autoSpaceDE w:val="0"/>
      <w:autoSpaceDN w:val="0"/>
      <w:adjustRightInd w:val="0"/>
    </w:pPr>
    <w:rPr>
      <w:rFonts w:ascii="Times New Roman" w:hAnsi="Times New Roman"/>
      <w:sz w:val="28"/>
      <w:szCs w:val="28"/>
      <w:lang w:eastAsia="en-US"/>
    </w:rPr>
  </w:style>
  <w:style w:type="paragraph" w:styleId="aa">
    <w:name w:val="header"/>
    <w:basedOn w:val="a"/>
    <w:link w:val="ab"/>
    <w:uiPriority w:val="99"/>
    <w:rsid w:val="00742731"/>
    <w:pPr>
      <w:tabs>
        <w:tab w:val="center" w:pos="4677"/>
        <w:tab w:val="right" w:pos="9355"/>
      </w:tabs>
      <w:spacing w:after="0" w:line="240" w:lineRule="auto"/>
    </w:pPr>
  </w:style>
  <w:style w:type="character" w:customStyle="1" w:styleId="ab">
    <w:name w:val="Верхний колонтитул Знак"/>
    <w:link w:val="aa"/>
    <w:uiPriority w:val="99"/>
    <w:locked/>
    <w:rsid w:val="00742731"/>
    <w:rPr>
      <w:rFonts w:cs="Times New Roman"/>
    </w:rPr>
  </w:style>
  <w:style w:type="paragraph" w:styleId="ac">
    <w:name w:val="footer"/>
    <w:basedOn w:val="a"/>
    <w:link w:val="ad"/>
    <w:uiPriority w:val="99"/>
    <w:rsid w:val="00742731"/>
    <w:pPr>
      <w:tabs>
        <w:tab w:val="center" w:pos="4677"/>
        <w:tab w:val="right" w:pos="9355"/>
      </w:tabs>
      <w:spacing w:after="0" w:line="240" w:lineRule="auto"/>
    </w:pPr>
  </w:style>
  <w:style w:type="character" w:customStyle="1" w:styleId="ad">
    <w:name w:val="Нижний колонтитул Знак"/>
    <w:link w:val="ac"/>
    <w:uiPriority w:val="99"/>
    <w:locked/>
    <w:rsid w:val="00742731"/>
    <w:rPr>
      <w:rFonts w:cs="Times New Roman"/>
    </w:rPr>
  </w:style>
  <w:style w:type="paragraph" w:styleId="ae">
    <w:name w:val="No Spacing"/>
    <w:link w:val="af"/>
    <w:uiPriority w:val="99"/>
    <w:qFormat/>
    <w:rsid w:val="00A80C45"/>
    <w:rPr>
      <w:rFonts w:eastAsia="Times New Roman"/>
      <w:sz w:val="22"/>
      <w:szCs w:val="22"/>
      <w:lang w:val="en-US" w:eastAsia="en-US"/>
    </w:rPr>
  </w:style>
  <w:style w:type="character" w:customStyle="1" w:styleId="af">
    <w:name w:val="Без интервала Знак"/>
    <w:link w:val="ae"/>
    <w:uiPriority w:val="99"/>
    <w:locked/>
    <w:rsid w:val="00A80C45"/>
    <w:rPr>
      <w:rFonts w:eastAsia="Times New Roman" w:cs="Times New Roman"/>
      <w:sz w:val="22"/>
      <w:szCs w:val="22"/>
      <w:lang w:val="en-US" w:eastAsia="en-US" w:bidi="ar-SA"/>
    </w:rPr>
  </w:style>
  <w:style w:type="paragraph" w:styleId="af0">
    <w:name w:val="TOC Heading"/>
    <w:basedOn w:val="10"/>
    <w:next w:val="a"/>
    <w:uiPriority w:val="99"/>
    <w:qFormat/>
    <w:rsid w:val="00A80C45"/>
    <w:pPr>
      <w:spacing w:before="240" w:line="259" w:lineRule="auto"/>
      <w:outlineLvl w:val="9"/>
    </w:pPr>
    <w:rPr>
      <w:b w:val="0"/>
      <w:bCs w:val="0"/>
      <w:szCs w:val="32"/>
      <w:lang w:val="en-US"/>
    </w:rPr>
  </w:style>
  <w:style w:type="paragraph" w:styleId="22">
    <w:name w:val="toc 2"/>
    <w:basedOn w:val="a"/>
    <w:next w:val="a"/>
    <w:autoRedefine/>
    <w:uiPriority w:val="39"/>
    <w:rsid w:val="000607B9"/>
    <w:pPr>
      <w:tabs>
        <w:tab w:val="left" w:pos="880"/>
        <w:tab w:val="right" w:leader="dot" w:pos="9062"/>
      </w:tabs>
      <w:spacing w:after="120" w:line="312" w:lineRule="auto"/>
      <w:ind w:left="221"/>
    </w:pPr>
  </w:style>
  <w:style w:type="character" w:styleId="af1">
    <w:name w:val="Hyperlink"/>
    <w:uiPriority w:val="99"/>
    <w:rsid w:val="00A80C45"/>
    <w:rPr>
      <w:rFonts w:cs="Times New Roman"/>
      <w:color w:val="0000FF"/>
      <w:u w:val="single"/>
    </w:rPr>
  </w:style>
  <w:style w:type="paragraph" w:styleId="12">
    <w:name w:val="toc 1"/>
    <w:basedOn w:val="a"/>
    <w:next w:val="a"/>
    <w:autoRedefine/>
    <w:uiPriority w:val="39"/>
    <w:rsid w:val="00F96D25"/>
    <w:pPr>
      <w:tabs>
        <w:tab w:val="right" w:leader="dot" w:pos="9062"/>
      </w:tabs>
      <w:spacing w:after="100"/>
    </w:pPr>
  </w:style>
  <w:style w:type="paragraph" w:styleId="af2">
    <w:name w:val="endnote text"/>
    <w:basedOn w:val="a"/>
    <w:link w:val="af3"/>
    <w:uiPriority w:val="99"/>
    <w:semiHidden/>
    <w:rsid w:val="00365A45"/>
    <w:pPr>
      <w:spacing w:after="0" w:line="240" w:lineRule="auto"/>
    </w:pPr>
    <w:rPr>
      <w:sz w:val="20"/>
      <w:szCs w:val="20"/>
    </w:rPr>
  </w:style>
  <w:style w:type="character" w:customStyle="1" w:styleId="af3">
    <w:name w:val="Текст концевой сноски Знак"/>
    <w:link w:val="af2"/>
    <w:uiPriority w:val="99"/>
    <w:semiHidden/>
    <w:locked/>
    <w:rsid w:val="00365A45"/>
    <w:rPr>
      <w:rFonts w:cs="Times New Roman"/>
      <w:sz w:val="20"/>
      <w:szCs w:val="20"/>
    </w:rPr>
  </w:style>
  <w:style w:type="character" w:styleId="af4">
    <w:name w:val="endnote reference"/>
    <w:uiPriority w:val="99"/>
    <w:semiHidden/>
    <w:rsid w:val="00365A45"/>
    <w:rPr>
      <w:rFonts w:cs="Times New Roman"/>
      <w:vertAlign w:val="superscript"/>
    </w:rPr>
  </w:style>
  <w:style w:type="character" w:styleId="af5">
    <w:name w:val="annotation reference"/>
    <w:uiPriority w:val="99"/>
    <w:semiHidden/>
    <w:rsid w:val="001D67D3"/>
    <w:rPr>
      <w:rFonts w:cs="Times New Roman"/>
      <w:sz w:val="16"/>
      <w:szCs w:val="16"/>
    </w:rPr>
  </w:style>
  <w:style w:type="paragraph" w:styleId="af6">
    <w:name w:val="annotation text"/>
    <w:basedOn w:val="a"/>
    <w:link w:val="af7"/>
    <w:uiPriority w:val="99"/>
    <w:semiHidden/>
    <w:rsid w:val="001D67D3"/>
    <w:pPr>
      <w:spacing w:line="240" w:lineRule="auto"/>
    </w:pPr>
    <w:rPr>
      <w:sz w:val="20"/>
      <w:szCs w:val="20"/>
    </w:rPr>
  </w:style>
  <w:style w:type="character" w:customStyle="1" w:styleId="af7">
    <w:name w:val="Текст примечания Знак"/>
    <w:link w:val="af6"/>
    <w:uiPriority w:val="99"/>
    <w:semiHidden/>
    <w:locked/>
    <w:rsid w:val="001D67D3"/>
    <w:rPr>
      <w:rFonts w:cs="Times New Roman"/>
      <w:sz w:val="20"/>
      <w:szCs w:val="20"/>
    </w:rPr>
  </w:style>
  <w:style w:type="paragraph" w:styleId="af8">
    <w:name w:val="annotation subject"/>
    <w:basedOn w:val="af6"/>
    <w:next w:val="af6"/>
    <w:link w:val="af9"/>
    <w:uiPriority w:val="99"/>
    <w:semiHidden/>
    <w:rsid w:val="001D67D3"/>
    <w:rPr>
      <w:b/>
      <w:bCs/>
    </w:rPr>
  </w:style>
  <w:style w:type="character" w:customStyle="1" w:styleId="af9">
    <w:name w:val="Тема примечания Знак"/>
    <w:link w:val="af8"/>
    <w:uiPriority w:val="99"/>
    <w:semiHidden/>
    <w:locked/>
    <w:rsid w:val="001D67D3"/>
    <w:rPr>
      <w:rFonts w:cs="Times New Roman"/>
      <w:b/>
      <w:bCs/>
      <w:sz w:val="20"/>
      <w:szCs w:val="20"/>
    </w:rPr>
  </w:style>
  <w:style w:type="paragraph" w:customStyle="1" w:styleId="TabText">
    <w:name w:val="Tab_Text"/>
    <w:aliases w:val="Black,Normal + HelveticaNeue LT 55 Roman,10 pt,Justified"/>
    <w:link w:val="TabTextChar"/>
    <w:rsid w:val="00E65DE3"/>
    <w:rPr>
      <w:rFonts w:ascii="HelveticaNeue LT 55 Roman" w:eastAsia="Times New Roman" w:hAnsi="HelveticaNeue LT 55 Roman" w:cs="HelveticaNeue LT 55 Roman"/>
      <w:sz w:val="14"/>
      <w:szCs w:val="14"/>
      <w:lang w:val="en-GB" w:bidi="ml-IN"/>
    </w:rPr>
  </w:style>
  <w:style w:type="character" w:customStyle="1" w:styleId="TabTextChar">
    <w:name w:val="Tab_Text Char"/>
    <w:aliases w:val="Black Char"/>
    <w:link w:val="TabText"/>
    <w:locked/>
    <w:rsid w:val="00E65DE3"/>
    <w:rPr>
      <w:rFonts w:ascii="HelveticaNeue LT 55 Roman" w:hAnsi="HelveticaNeue LT 55 Roman"/>
      <w:sz w:val="14"/>
      <w:lang w:val="en-GB"/>
    </w:rPr>
  </w:style>
  <w:style w:type="paragraph" w:customStyle="1" w:styleId="SourceLarge">
    <w:name w:val="SourceLarge"/>
    <w:next w:val="a"/>
    <w:link w:val="SourceLargeChar"/>
    <w:rsid w:val="00E65DE3"/>
    <w:pPr>
      <w:suppressAutoHyphens/>
      <w:spacing w:after="360" w:line="160" w:lineRule="atLeast"/>
    </w:pPr>
    <w:rPr>
      <w:rFonts w:ascii="HelveticaNeue LT 65 Medium" w:eastAsia="Times New Roman" w:hAnsi="HelveticaNeue LT 65 Medium" w:cs="HelveticaNeue LT 65 Medium"/>
      <w:sz w:val="11"/>
      <w:szCs w:val="11"/>
      <w:lang w:val="en-GB" w:bidi="ml-IN"/>
    </w:rPr>
  </w:style>
  <w:style w:type="character" w:customStyle="1" w:styleId="SourceLargeChar">
    <w:name w:val="SourceLarge Char"/>
    <w:link w:val="SourceLarge"/>
    <w:locked/>
    <w:rsid w:val="00E65DE3"/>
    <w:rPr>
      <w:rFonts w:ascii="HelveticaNeue LT 65 Medium" w:hAnsi="HelveticaNeue LT 65 Medium"/>
      <w:sz w:val="11"/>
      <w:lang w:val="en-GB"/>
    </w:rPr>
  </w:style>
  <w:style w:type="paragraph" w:customStyle="1" w:styleId="GraphTitle">
    <w:name w:val="Graph_Title"/>
    <w:basedOn w:val="a"/>
    <w:link w:val="GraphTitleChar"/>
    <w:rsid w:val="00E65DE3"/>
    <w:pPr>
      <w:suppressAutoHyphens/>
      <w:spacing w:before="120" w:after="40" w:line="240" w:lineRule="auto"/>
    </w:pPr>
    <w:rPr>
      <w:rFonts w:ascii="HelveticaNeue LT 65 Medium" w:eastAsia="Times New Roman" w:hAnsi="HelveticaNeue LT 65 Medium" w:cs="HelveticaNeue LT 65 Medium"/>
      <w:sz w:val="17"/>
      <w:szCs w:val="17"/>
      <w:lang w:val="en-GB" w:eastAsia="ru-RU" w:bidi="ml-IN"/>
    </w:rPr>
  </w:style>
  <w:style w:type="character" w:customStyle="1" w:styleId="GraphTitleChar">
    <w:name w:val="Graph_Title Char"/>
    <w:link w:val="GraphTitle"/>
    <w:locked/>
    <w:rsid w:val="00E65DE3"/>
    <w:rPr>
      <w:rFonts w:ascii="HelveticaNeue LT 65 Medium" w:hAnsi="HelveticaNeue LT 65 Medium"/>
      <w:sz w:val="17"/>
      <w:lang w:val="en-GB"/>
    </w:rPr>
  </w:style>
  <w:style w:type="table" w:customStyle="1" w:styleId="28">
    <w:name w:val="28"/>
    <w:uiPriority w:val="99"/>
    <w:pPr>
      <w:widowControl w:val="0"/>
      <w:autoSpaceDE w:val="0"/>
      <w:autoSpaceDN w:val="0"/>
      <w:adjustRightInd w:val="0"/>
    </w:pPr>
    <w:rPr>
      <w:rFonts w:ascii="Times New Roman" w:eastAsia="Times New Roman" w:hAnsi="Times New Roman"/>
      <w:sz w:val="24"/>
      <w:szCs w:val="24"/>
    </w:rPr>
    <w:tblPr>
      <w:tblInd w:w="2608" w:type="dxa"/>
      <w:tblCellMar>
        <w:top w:w="0" w:type="dxa"/>
        <w:left w:w="0" w:type="dxa"/>
        <w:bottom w:w="0" w:type="dxa"/>
        <w:right w:w="0" w:type="dxa"/>
      </w:tblCellMar>
    </w:tblPr>
  </w:style>
  <w:style w:type="paragraph" w:styleId="afa">
    <w:name w:val="Revision"/>
    <w:hidden/>
    <w:uiPriority w:val="99"/>
    <w:semiHidden/>
    <w:rsid w:val="009A7C9A"/>
    <w:rPr>
      <w:sz w:val="22"/>
      <w:szCs w:val="22"/>
      <w:lang w:eastAsia="en-US"/>
    </w:rPr>
  </w:style>
  <w:style w:type="paragraph" w:styleId="afb">
    <w:name w:val="Normal (Web)"/>
    <w:basedOn w:val="a"/>
    <w:uiPriority w:val="99"/>
    <w:semiHidden/>
    <w:rsid w:val="009C27DD"/>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41">
    <w:name w:val="Таблица простая 41"/>
    <w:uiPriority w:val="99"/>
    <w:rsid w:val="004A0A82"/>
    <w:tblPr>
      <w:tblStyleRowBandSize w:val="1"/>
      <w:tblStyleColBandSize w:val="1"/>
      <w:tblInd w:w="0" w:type="dxa"/>
      <w:tblCellMar>
        <w:top w:w="0" w:type="dxa"/>
        <w:left w:w="108" w:type="dxa"/>
        <w:bottom w:w="0" w:type="dxa"/>
        <w:right w:w="108" w:type="dxa"/>
      </w:tblCellMar>
    </w:tblPr>
  </w:style>
  <w:style w:type="character" w:styleId="afc">
    <w:name w:val="Placeholder Text"/>
    <w:uiPriority w:val="99"/>
    <w:semiHidden/>
    <w:rsid w:val="00F255E5"/>
    <w:rPr>
      <w:rFonts w:cs="Times New Roman"/>
      <w:color w:val="808080"/>
    </w:rPr>
  </w:style>
  <w:style w:type="paragraph" w:styleId="31">
    <w:name w:val="toc 3"/>
    <w:basedOn w:val="a"/>
    <w:next w:val="a"/>
    <w:autoRedefine/>
    <w:uiPriority w:val="39"/>
    <w:rsid w:val="002D1C3F"/>
    <w:pPr>
      <w:spacing w:after="100"/>
      <w:ind w:left="440"/>
    </w:pPr>
  </w:style>
  <w:style w:type="paragraph" w:customStyle="1" w:styleId="ConsPlusTitle">
    <w:name w:val="ConsPlusTitle"/>
    <w:uiPriority w:val="99"/>
    <w:rsid w:val="00A17F02"/>
    <w:pPr>
      <w:widowControl w:val="0"/>
      <w:autoSpaceDE w:val="0"/>
      <w:autoSpaceDN w:val="0"/>
      <w:adjustRightInd w:val="0"/>
    </w:pPr>
    <w:rPr>
      <w:rFonts w:ascii="Times New Roman" w:eastAsia="Times New Roman" w:hAnsi="Times New Roman"/>
      <w:b/>
      <w:bCs/>
      <w:sz w:val="24"/>
      <w:szCs w:val="24"/>
    </w:rPr>
  </w:style>
  <w:style w:type="character" w:customStyle="1" w:styleId="CharStyle6">
    <w:name w:val="Char Style 6"/>
    <w:link w:val="Style4"/>
    <w:uiPriority w:val="99"/>
    <w:locked/>
    <w:rsid w:val="00A17F02"/>
    <w:rPr>
      <w:rFonts w:cs="Times New Roman"/>
      <w:shd w:val="clear" w:color="auto" w:fill="FFFFFF"/>
    </w:rPr>
  </w:style>
  <w:style w:type="paragraph" w:customStyle="1" w:styleId="Style4">
    <w:name w:val="Style 4"/>
    <w:basedOn w:val="a"/>
    <w:link w:val="CharStyle6"/>
    <w:uiPriority w:val="99"/>
    <w:rsid w:val="00A17F02"/>
    <w:pPr>
      <w:widowControl w:val="0"/>
      <w:shd w:val="clear" w:color="auto" w:fill="FFFFFF"/>
      <w:spacing w:after="0" w:line="336" w:lineRule="exact"/>
      <w:jc w:val="center"/>
    </w:pPr>
  </w:style>
  <w:style w:type="paragraph" w:customStyle="1" w:styleId="Style8">
    <w:name w:val="Style8"/>
    <w:basedOn w:val="a"/>
    <w:uiPriority w:val="99"/>
    <w:rsid w:val="0080098C"/>
    <w:pPr>
      <w:widowControl w:val="0"/>
      <w:autoSpaceDE w:val="0"/>
      <w:autoSpaceDN w:val="0"/>
      <w:adjustRightInd w:val="0"/>
      <w:spacing w:after="0" w:line="369" w:lineRule="exact"/>
      <w:ind w:firstLine="698"/>
      <w:jc w:val="both"/>
    </w:pPr>
    <w:rPr>
      <w:rFonts w:ascii="Times New Roman" w:hAnsi="Times New Roman"/>
      <w:sz w:val="24"/>
      <w:szCs w:val="24"/>
      <w:lang w:eastAsia="ru-RU"/>
    </w:rPr>
  </w:style>
  <w:style w:type="character" w:customStyle="1" w:styleId="FontStyle23">
    <w:name w:val="Font Style23"/>
    <w:uiPriority w:val="99"/>
    <w:rsid w:val="0080098C"/>
    <w:rPr>
      <w:rFonts w:ascii="Times New Roman" w:hAnsi="Times New Roman"/>
      <w:sz w:val="24"/>
    </w:rPr>
  </w:style>
  <w:style w:type="numbering" w:customStyle="1" w:styleId="2">
    <w:name w:val="Стиль2"/>
    <w:rsid w:val="00373920"/>
    <w:pPr>
      <w:numPr>
        <w:numId w:val="2"/>
      </w:numPr>
    </w:pPr>
  </w:style>
  <w:style w:type="numbering" w:customStyle="1" w:styleId="1">
    <w:name w:val="Стиль1"/>
    <w:rsid w:val="00373920"/>
    <w:pPr>
      <w:numPr>
        <w:numId w:val="1"/>
      </w:numPr>
    </w:pPr>
  </w:style>
  <w:style w:type="paragraph" w:customStyle="1" w:styleId="afd">
    <w:name w:val="Обычный текст"/>
    <w:basedOn w:val="a"/>
    <w:link w:val="afe"/>
    <w:qFormat/>
    <w:rsid w:val="007867FE"/>
    <w:pPr>
      <w:spacing w:after="0" w:line="360" w:lineRule="auto"/>
      <w:ind w:firstLine="709"/>
      <w:jc w:val="both"/>
    </w:pPr>
    <w:rPr>
      <w:rFonts w:ascii="Times New Roman" w:eastAsia="Times New Roman" w:hAnsi="Times New Roman"/>
      <w:sz w:val="24"/>
      <w:szCs w:val="24"/>
      <w:lang w:eastAsia="ru-RU"/>
    </w:rPr>
  </w:style>
  <w:style w:type="character" w:customStyle="1" w:styleId="afe">
    <w:name w:val="Обычный текст Знак"/>
    <w:link w:val="afd"/>
    <w:rsid w:val="007867FE"/>
    <w:rPr>
      <w:rFonts w:ascii="Times New Roman" w:eastAsia="Times New Roman" w:hAnsi="Times New Roman"/>
      <w:sz w:val="24"/>
      <w:szCs w:val="24"/>
    </w:rPr>
  </w:style>
  <w:style w:type="paragraph" w:customStyle="1" w:styleId="aff">
    <w:name w:val="Рисунок примечание"/>
    <w:basedOn w:val="a"/>
    <w:link w:val="aff0"/>
    <w:qFormat/>
    <w:rsid w:val="007867FE"/>
    <w:pPr>
      <w:keepNext/>
      <w:keepLines/>
      <w:spacing w:before="20" w:after="0" w:line="240" w:lineRule="auto"/>
      <w:ind w:firstLine="709"/>
    </w:pPr>
    <w:rPr>
      <w:rFonts w:ascii="Times New Roman" w:eastAsia="Times New Roman" w:hAnsi="Times New Roman"/>
      <w:i/>
      <w:sz w:val="20"/>
      <w:szCs w:val="20"/>
    </w:rPr>
  </w:style>
  <w:style w:type="character" w:customStyle="1" w:styleId="aff0">
    <w:name w:val="Рисунок примечание Знак"/>
    <w:link w:val="aff"/>
    <w:rsid w:val="007867FE"/>
    <w:rPr>
      <w:rFonts w:ascii="Times New Roman" w:eastAsia="Times New Roman" w:hAnsi="Times New Roman"/>
      <w:i/>
      <w:sz w:val="20"/>
      <w:szCs w:val="20"/>
      <w:lang w:eastAsia="en-US"/>
    </w:rPr>
  </w:style>
  <w:style w:type="paragraph" w:customStyle="1" w:styleId="-">
    <w:name w:val="Рисунок - название"/>
    <w:basedOn w:val="a"/>
    <w:link w:val="-0"/>
    <w:qFormat/>
    <w:rsid w:val="007867FE"/>
    <w:pPr>
      <w:keepNext/>
      <w:keepLines/>
      <w:tabs>
        <w:tab w:val="num" w:pos="0"/>
      </w:tabs>
      <w:spacing w:before="60" w:after="240" w:line="360" w:lineRule="auto"/>
      <w:ind w:left="709"/>
      <w:jc w:val="center"/>
    </w:pPr>
    <w:rPr>
      <w:rFonts w:ascii="Times New Roman" w:eastAsia="Times New Roman" w:hAnsi="Times New Roman"/>
      <w:b/>
      <w:sz w:val="24"/>
      <w:szCs w:val="24"/>
      <w:lang w:eastAsia="ru-RU"/>
    </w:rPr>
  </w:style>
  <w:style w:type="character" w:customStyle="1" w:styleId="-0">
    <w:name w:val="Рисунок - название Знак"/>
    <w:link w:val="-"/>
    <w:rsid w:val="007867FE"/>
    <w:rPr>
      <w:rFonts w:ascii="Times New Roman" w:eastAsia="Times New Roman" w:hAnsi="Times New Roman"/>
      <w:b/>
      <w:sz w:val="24"/>
      <w:szCs w:val="24"/>
    </w:rPr>
  </w:style>
  <w:style w:type="paragraph" w:customStyle="1" w:styleId="Default">
    <w:name w:val="Default"/>
    <w:rsid w:val="00776499"/>
    <w:pPr>
      <w:autoSpaceDE w:val="0"/>
      <w:autoSpaceDN w:val="0"/>
      <w:adjustRightInd w:val="0"/>
    </w:pPr>
    <w:rPr>
      <w:rFonts w:ascii="Times New Roman" w:hAnsi="Times New Roman"/>
      <w:color w:val="000000"/>
      <w:sz w:val="24"/>
      <w:szCs w:val="24"/>
    </w:rPr>
  </w:style>
  <w:style w:type="table" w:customStyle="1" w:styleId="Smalltable">
    <w:name w:val="Small table"/>
    <w:basedOn w:val="a1"/>
    <w:rsid w:val="005609BB"/>
    <w:pPr>
      <w:jc w:val="both"/>
    </w:pPr>
    <w:rPr>
      <w:rFonts w:ascii="HelveticaNeue LT 65 Medium" w:eastAsia="Times New Roman" w:hAnsi="HelveticaNeue LT 65 Medium"/>
      <w:sz w:val="14"/>
      <w:szCs w:val="14"/>
      <w:lang w:val="en-US" w:eastAsia="en-US"/>
    </w:rPr>
    <w:tblPr>
      <w:tblInd w:w="2608" w:type="dxa"/>
      <w:tblCellMar>
        <w:left w:w="0" w:type="dxa"/>
        <w:right w:w="0" w:type="dxa"/>
      </w:tblCellMar>
    </w:tblPr>
    <w:tcPr>
      <w:tcMar>
        <w:left w:w="28" w:type="dxa"/>
        <w:right w:w="28" w:type="dxa"/>
      </w:tcMar>
    </w:tcPr>
  </w:style>
  <w:style w:type="table" w:styleId="aff1">
    <w:name w:val="Light Shading"/>
    <w:basedOn w:val="a1"/>
    <w:uiPriority w:val="60"/>
    <w:rsid w:val="00AA1BF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f2">
    <w:name w:val="Emphasis"/>
    <w:basedOn w:val="a0"/>
    <w:qFormat/>
    <w:locked/>
    <w:rsid w:val="003A5E48"/>
    <w:rPr>
      <w:i/>
      <w:iCs/>
    </w:rPr>
  </w:style>
  <w:style w:type="character" w:customStyle="1" w:styleId="CharStyle11">
    <w:name w:val="Char Style 11"/>
    <w:basedOn w:val="a0"/>
    <w:link w:val="Style10"/>
    <w:uiPriority w:val="99"/>
    <w:locked/>
    <w:rsid w:val="00675B8E"/>
    <w:rPr>
      <w:sz w:val="23"/>
      <w:szCs w:val="23"/>
      <w:shd w:val="clear" w:color="auto" w:fill="FFFFFF"/>
    </w:rPr>
  </w:style>
  <w:style w:type="character" w:customStyle="1" w:styleId="CharStyle450">
    <w:name w:val="Char Style 450"/>
    <w:basedOn w:val="CharStyle11"/>
    <w:uiPriority w:val="99"/>
    <w:rsid w:val="00675B8E"/>
    <w:rPr>
      <w:b/>
      <w:bCs/>
      <w:sz w:val="19"/>
      <w:szCs w:val="19"/>
      <w:shd w:val="clear" w:color="auto" w:fill="FFFFFF"/>
    </w:rPr>
  </w:style>
  <w:style w:type="paragraph" w:customStyle="1" w:styleId="Style10">
    <w:name w:val="Style 10"/>
    <w:basedOn w:val="a"/>
    <w:link w:val="CharStyle11"/>
    <w:uiPriority w:val="99"/>
    <w:rsid w:val="00675B8E"/>
    <w:pPr>
      <w:widowControl w:val="0"/>
      <w:shd w:val="clear" w:color="auto" w:fill="FFFFFF"/>
      <w:spacing w:before="3480" w:after="0" w:line="240" w:lineRule="atLeast"/>
      <w:ind w:hanging="360"/>
    </w:pPr>
    <w:rPr>
      <w:sz w:val="23"/>
      <w:szCs w:val="23"/>
      <w:lang w:eastAsia="ru-RU"/>
    </w:rPr>
  </w:style>
  <w:style w:type="character" w:customStyle="1" w:styleId="CharStyle453">
    <w:name w:val="Char Style 453"/>
    <w:basedOn w:val="CharStyle11"/>
    <w:uiPriority w:val="99"/>
    <w:rsid w:val="00675B8E"/>
    <w:rPr>
      <w:rFonts w:cs="Times New Roman"/>
      <w:sz w:val="19"/>
      <w:szCs w:val="19"/>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56579">
      <w:bodyDiv w:val="1"/>
      <w:marLeft w:val="0"/>
      <w:marRight w:val="0"/>
      <w:marTop w:val="0"/>
      <w:marBottom w:val="0"/>
      <w:divBdr>
        <w:top w:val="none" w:sz="0" w:space="0" w:color="auto"/>
        <w:left w:val="none" w:sz="0" w:space="0" w:color="auto"/>
        <w:bottom w:val="none" w:sz="0" w:space="0" w:color="auto"/>
        <w:right w:val="none" w:sz="0" w:space="0" w:color="auto"/>
      </w:divBdr>
    </w:div>
    <w:div w:id="86199789">
      <w:bodyDiv w:val="1"/>
      <w:marLeft w:val="0"/>
      <w:marRight w:val="0"/>
      <w:marTop w:val="0"/>
      <w:marBottom w:val="0"/>
      <w:divBdr>
        <w:top w:val="none" w:sz="0" w:space="0" w:color="auto"/>
        <w:left w:val="none" w:sz="0" w:space="0" w:color="auto"/>
        <w:bottom w:val="none" w:sz="0" w:space="0" w:color="auto"/>
        <w:right w:val="none" w:sz="0" w:space="0" w:color="auto"/>
      </w:divBdr>
    </w:div>
    <w:div w:id="132527636">
      <w:bodyDiv w:val="1"/>
      <w:marLeft w:val="0"/>
      <w:marRight w:val="0"/>
      <w:marTop w:val="0"/>
      <w:marBottom w:val="0"/>
      <w:divBdr>
        <w:top w:val="none" w:sz="0" w:space="0" w:color="auto"/>
        <w:left w:val="none" w:sz="0" w:space="0" w:color="auto"/>
        <w:bottom w:val="none" w:sz="0" w:space="0" w:color="auto"/>
        <w:right w:val="none" w:sz="0" w:space="0" w:color="auto"/>
      </w:divBdr>
    </w:div>
    <w:div w:id="148406018">
      <w:bodyDiv w:val="1"/>
      <w:marLeft w:val="0"/>
      <w:marRight w:val="0"/>
      <w:marTop w:val="0"/>
      <w:marBottom w:val="0"/>
      <w:divBdr>
        <w:top w:val="none" w:sz="0" w:space="0" w:color="auto"/>
        <w:left w:val="none" w:sz="0" w:space="0" w:color="auto"/>
        <w:bottom w:val="none" w:sz="0" w:space="0" w:color="auto"/>
        <w:right w:val="none" w:sz="0" w:space="0" w:color="auto"/>
      </w:divBdr>
    </w:div>
    <w:div w:id="152382136">
      <w:bodyDiv w:val="1"/>
      <w:marLeft w:val="0"/>
      <w:marRight w:val="0"/>
      <w:marTop w:val="0"/>
      <w:marBottom w:val="0"/>
      <w:divBdr>
        <w:top w:val="none" w:sz="0" w:space="0" w:color="auto"/>
        <w:left w:val="none" w:sz="0" w:space="0" w:color="auto"/>
        <w:bottom w:val="none" w:sz="0" w:space="0" w:color="auto"/>
        <w:right w:val="none" w:sz="0" w:space="0" w:color="auto"/>
      </w:divBdr>
    </w:div>
    <w:div w:id="190188387">
      <w:bodyDiv w:val="1"/>
      <w:marLeft w:val="0"/>
      <w:marRight w:val="0"/>
      <w:marTop w:val="0"/>
      <w:marBottom w:val="0"/>
      <w:divBdr>
        <w:top w:val="none" w:sz="0" w:space="0" w:color="auto"/>
        <w:left w:val="none" w:sz="0" w:space="0" w:color="auto"/>
        <w:bottom w:val="none" w:sz="0" w:space="0" w:color="auto"/>
        <w:right w:val="none" w:sz="0" w:space="0" w:color="auto"/>
      </w:divBdr>
    </w:div>
    <w:div w:id="284846393">
      <w:bodyDiv w:val="1"/>
      <w:marLeft w:val="0"/>
      <w:marRight w:val="0"/>
      <w:marTop w:val="0"/>
      <w:marBottom w:val="0"/>
      <w:divBdr>
        <w:top w:val="none" w:sz="0" w:space="0" w:color="auto"/>
        <w:left w:val="none" w:sz="0" w:space="0" w:color="auto"/>
        <w:bottom w:val="none" w:sz="0" w:space="0" w:color="auto"/>
        <w:right w:val="none" w:sz="0" w:space="0" w:color="auto"/>
      </w:divBdr>
    </w:div>
    <w:div w:id="339702579">
      <w:bodyDiv w:val="1"/>
      <w:marLeft w:val="0"/>
      <w:marRight w:val="0"/>
      <w:marTop w:val="0"/>
      <w:marBottom w:val="0"/>
      <w:divBdr>
        <w:top w:val="none" w:sz="0" w:space="0" w:color="auto"/>
        <w:left w:val="none" w:sz="0" w:space="0" w:color="auto"/>
        <w:bottom w:val="none" w:sz="0" w:space="0" w:color="auto"/>
        <w:right w:val="none" w:sz="0" w:space="0" w:color="auto"/>
      </w:divBdr>
      <w:divsChild>
        <w:div w:id="864292472">
          <w:marLeft w:val="432"/>
          <w:marRight w:val="0"/>
          <w:marTop w:val="0"/>
          <w:marBottom w:val="0"/>
          <w:divBdr>
            <w:top w:val="none" w:sz="0" w:space="0" w:color="auto"/>
            <w:left w:val="none" w:sz="0" w:space="0" w:color="auto"/>
            <w:bottom w:val="none" w:sz="0" w:space="0" w:color="auto"/>
            <w:right w:val="none" w:sz="0" w:space="0" w:color="auto"/>
          </w:divBdr>
        </w:div>
      </w:divsChild>
    </w:div>
    <w:div w:id="348409030">
      <w:bodyDiv w:val="1"/>
      <w:marLeft w:val="0"/>
      <w:marRight w:val="0"/>
      <w:marTop w:val="0"/>
      <w:marBottom w:val="0"/>
      <w:divBdr>
        <w:top w:val="none" w:sz="0" w:space="0" w:color="auto"/>
        <w:left w:val="none" w:sz="0" w:space="0" w:color="auto"/>
        <w:bottom w:val="none" w:sz="0" w:space="0" w:color="auto"/>
        <w:right w:val="none" w:sz="0" w:space="0" w:color="auto"/>
      </w:divBdr>
    </w:div>
    <w:div w:id="413211193">
      <w:bodyDiv w:val="1"/>
      <w:marLeft w:val="0"/>
      <w:marRight w:val="0"/>
      <w:marTop w:val="0"/>
      <w:marBottom w:val="0"/>
      <w:divBdr>
        <w:top w:val="none" w:sz="0" w:space="0" w:color="auto"/>
        <w:left w:val="none" w:sz="0" w:space="0" w:color="auto"/>
        <w:bottom w:val="none" w:sz="0" w:space="0" w:color="auto"/>
        <w:right w:val="none" w:sz="0" w:space="0" w:color="auto"/>
      </w:divBdr>
    </w:div>
    <w:div w:id="418332961">
      <w:bodyDiv w:val="1"/>
      <w:marLeft w:val="0"/>
      <w:marRight w:val="0"/>
      <w:marTop w:val="0"/>
      <w:marBottom w:val="0"/>
      <w:divBdr>
        <w:top w:val="none" w:sz="0" w:space="0" w:color="auto"/>
        <w:left w:val="none" w:sz="0" w:space="0" w:color="auto"/>
        <w:bottom w:val="none" w:sz="0" w:space="0" w:color="auto"/>
        <w:right w:val="none" w:sz="0" w:space="0" w:color="auto"/>
      </w:divBdr>
    </w:div>
    <w:div w:id="432870027">
      <w:bodyDiv w:val="1"/>
      <w:marLeft w:val="0"/>
      <w:marRight w:val="0"/>
      <w:marTop w:val="0"/>
      <w:marBottom w:val="0"/>
      <w:divBdr>
        <w:top w:val="none" w:sz="0" w:space="0" w:color="auto"/>
        <w:left w:val="none" w:sz="0" w:space="0" w:color="auto"/>
        <w:bottom w:val="none" w:sz="0" w:space="0" w:color="auto"/>
        <w:right w:val="none" w:sz="0" w:space="0" w:color="auto"/>
      </w:divBdr>
    </w:div>
    <w:div w:id="497504157">
      <w:bodyDiv w:val="1"/>
      <w:marLeft w:val="0"/>
      <w:marRight w:val="0"/>
      <w:marTop w:val="0"/>
      <w:marBottom w:val="0"/>
      <w:divBdr>
        <w:top w:val="none" w:sz="0" w:space="0" w:color="auto"/>
        <w:left w:val="none" w:sz="0" w:space="0" w:color="auto"/>
        <w:bottom w:val="none" w:sz="0" w:space="0" w:color="auto"/>
        <w:right w:val="none" w:sz="0" w:space="0" w:color="auto"/>
      </w:divBdr>
    </w:div>
    <w:div w:id="499855617">
      <w:bodyDiv w:val="1"/>
      <w:marLeft w:val="0"/>
      <w:marRight w:val="0"/>
      <w:marTop w:val="0"/>
      <w:marBottom w:val="0"/>
      <w:divBdr>
        <w:top w:val="none" w:sz="0" w:space="0" w:color="auto"/>
        <w:left w:val="none" w:sz="0" w:space="0" w:color="auto"/>
        <w:bottom w:val="none" w:sz="0" w:space="0" w:color="auto"/>
        <w:right w:val="none" w:sz="0" w:space="0" w:color="auto"/>
      </w:divBdr>
    </w:div>
    <w:div w:id="514268905">
      <w:bodyDiv w:val="1"/>
      <w:marLeft w:val="0"/>
      <w:marRight w:val="0"/>
      <w:marTop w:val="0"/>
      <w:marBottom w:val="0"/>
      <w:divBdr>
        <w:top w:val="none" w:sz="0" w:space="0" w:color="auto"/>
        <w:left w:val="none" w:sz="0" w:space="0" w:color="auto"/>
        <w:bottom w:val="none" w:sz="0" w:space="0" w:color="auto"/>
        <w:right w:val="none" w:sz="0" w:space="0" w:color="auto"/>
      </w:divBdr>
    </w:div>
    <w:div w:id="522594788">
      <w:bodyDiv w:val="1"/>
      <w:marLeft w:val="0"/>
      <w:marRight w:val="0"/>
      <w:marTop w:val="0"/>
      <w:marBottom w:val="0"/>
      <w:divBdr>
        <w:top w:val="none" w:sz="0" w:space="0" w:color="auto"/>
        <w:left w:val="none" w:sz="0" w:space="0" w:color="auto"/>
        <w:bottom w:val="none" w:sz="0" w:space="0" w:color="auto"/>
        <w:right w:val="none" w:sz="0" w:space="0" w:color="auto"/>
      </w:divBdr>
    </w:div>
    <w:div w:id="528757242">
      <w:bodyDiv w:val="1"/>
      <w:marLeft w:val="0"/>
      <w:marRight w:val="0"/>
      <w:marTop w:val="0"/>
      <w:marBottom w:val="0"/>
      <w:divBdr>
        <w:top w:val="none" w:sz="0" w:space="0" w:color="auto"/>
        <w:left w:val="none" w:sz="0" w:space="0" w:color="auto"/>
        <w:bottom w:val="none" w:sz="0" w:space="0" w:color="auto"/>
        <w:right w:val="none" w:sz="0" w:space="0" w:color="auto"/>
      </w:divBdr>
    </w:div>
    <w:div w:id="541403067">
      <w:bodyDiv w:val="1"/>
      <w:marLeft w:val="0"/>
      <w:marRight w:val="0"/>
      <w:marTop w:val="0"/>
      <w:marBottom w:val="0"/>
      <w:divBdr>
        <w:top w:val="none" w:sz="0" w:space="0" w:color="auto"/>
        <w:left w:val="none" w:sz="0" w:space="0" w:color="auto"/>
        <w:bottom w:val="none" w:sz="0" w:space="0" w:color="auto"/>
        <w:right w:val="none" w:sz="0" w:space="0" w:color="auto"/>
      </w:divBdr>
    </w:div>
    <w:div w:id="567959107">
      <w:bodyDiv w:val="1"/>
      <w:marLeft w:val="0"/>
      <w:marRight w:val="0"/>
      <w:marTop w:val="0"/>
      <w:marBottom w:val="0"/>
      <w:divBdr>
        <w:top w:val="none" w:sz="0" w:space="0" w:color="auto"/>
        <w:left w:val="none" w:sz="0" w:space="0" w:color="auto"/>
        <w:bottom w:val="none" w:sz="0" w:space="0" w:color="auto"/>
        <w:right w:val="none" w:sz="0" w:space="0" w:color="auto"/>
      </w:divBdr>
    </w:div>
    <w:div w:id="609360285">
      <w:bodyDiv w:val="1"/>
      <w:marLeft w:val="0"/>
      <w:marRight w:val="0"/>
      <w:marTop w:val="0"/>
      <w:marBottom w:val="0"/>
      <w:divBdr>
        <w:top w:val="none" w:sz="0" w:space="0" w:color="auto"/>
        <w:left w:val="none" w:sz="0" w:space="0" w:color="auto"/>
        <w:bottom w:val="none" w:sz="0" w:space="0" w:color="auto"/>
        <w:right w:val="none" w:sz="0" w:space="0" w:color="auto"/>
      </w:divBdr>
    </w:div>
    <w:div w:id="621502838">
      <w:bodyDiv w:val="1"/>
      <w:marLeft w:val="0"/>
      <w:marRight w:val="0"/>
      <w:marTop w:val="0"/>
      <w:marBottom w:val="0"/>
      <w:divBdr>
        <w:top w:val="none" w:sz="0" w:space="0" w:color="auto"/>
        <w:left w:val="none" w:sz="0" w:space="0" w:color="auto"/>
        <w:bottom w:val="none" w:sz="0" w:space="0" w:color="auto"/>
        <w:right w:val="none" w:sz="0" w:space="0" w:color="auto"/>
      </w:divBdr>
    </w:div>
    <w:div w:id="627275217">
      <w:bodyDiv w:val="1"/>
      <w:marLeft w:val="0"/>
      <w:marRight w:val="0"/>
      <w:marTop w:val="0"/>
      <w:marBottom w:val="0"/>
      <w:divBdr>
        <w:top w:val="none" w:sz="0" w:space="0" w:color="auto"/>
        <w:left w:val="none" w:sz="0" w:space="0" w:color="auto"/>
        <w:bottom w:val="none" w:sz="0" w:space="0" w:color="auto"/>
        <w:right w:val="none" w:sz="0" w:space="0" w:color="auto"/>
      </w:divBdr>
      <w:divsChild>
        <w:div w:id="1277253956">
          <w:marLeft w:val="432"/>
          <w:marRight w:val="0"/>
          <w:marTop w:val="0"/>
          <w:marBottom w:val="0"/>
          <w:divBdr>
            <w:top w:val="none" w:sz="0" w:space="0" w:color="auto"/>
            <w:left w:val="none" w:sz="0" w:space="0" w:color="auto"/>
            <w:bottom w:val="none" w:sz="0" w:space="0" w:color="auto"/>
            <w:right w:val="none" w:sz="0" w:space="0" w:color="auto"/>
          </w:divBdr>
        </w:div>
      </w:divsChild>
    </w:div>
    <w:div w:id="637683810">
      <w:bodyDiv w:val="1"/>
      <w:marLeft w:val="0"/>
      <w:marRight w:val="0"/>
      <w:marTop w:val="0"/>
      <w:marBottom w:val="0"/>
      <w:divBdr>
        <w:top w:val="none" w:sz="0" w:space="0" w:color="auto"/>
        <w:left w:val="none" w:sz="0" w:space="0" w:color="auto"/>
        <w:bottom w:val="none" w:sz="0" w:space="0" w:color="auto"/>
        <w:right w:val="none" w:sz="0" w:space="0" w:color="auto"/>
      </w:divBdr>
      <w:divsChild>
        <w:div w:id="883374015">
          <w:marLeft w:val="432"/>
          <w:marRight w:val="0"/>
          <w:marTop w:val="0"/>
          <w:marBottom w:val="0"/>
          <w:divBdr>
            <w:top w:val="none" w:sz="0" w:space="0" w:color="auto"/>
            <w:left w:val="none" w:sz="0" w:space="0" w:color="auto"/>
            <w:bottom w:val="none" w:sz="0" w:space="0" w:color="auto"/>
            <w:right w:val="none" w:sz="0" w:space="0" w:color="auto"/>
          </w:divBdr>
        </w:div>
      </w:divsChild>
    </w:div>
    <w:div w:id="648635434">
      <w:bodyDiv w:val="1"/>
      <w:marLeft w:val="0"/>
      <w:marRight w:val="0"/>
      <w:marTop w:val="0"/>
      <w:marBottom w:val="0"/>
      <w:divBdr>
        <w:top w:val="none" w:sz="0" w:space="0" w:color="auto"/>
        <w:left w:val="none" w:sz="0" w:space="0" w:color="auto"/>
        <w:bottom w:val="none" w:sz="0" w:space="0" w:color="auto"/>
        <w:right w:val="none" w:sz="0" w:space="0" w:color="auto"/>
      </w:divBdr>
    </w:div>
    <w:div w:id="684988231">
      <w:bodyDiv w:val="1"/>
      <w:marLeft w:val="0"/>
      <w:marRight w:val="0"/>
      <w:marTop w:val="0"/>
      <w:marBottom w:val="0"/>
      <w:divBdr>
        <w:top w:val="none" w:sz="0" w:space="0" w:color="auto"/>
        <w:left w:val="none" w:sz="0" w:space="0" w:color="auto"/>
        <w:bottom w:val="none" w:sz="0" w:space="0" w:color="auto"/>
        <w:right w:val="none" w:sz="0" w:space="0" w:color="auto"/>
      </w:divBdr>
    </w:div>
    <w:div w:id="697007124">
      <w:bodyDiv w:val="1"/>
      <w:marLeft w:val="0"/>
      <w:marRight w:val="0"/>
      <w:marTop w:val="0"/>
      <w:marBottom w:val="0"/>
      <w:divBdr>
        <w:top w:val="none" w:sz="0" w:space="0" w:color="auto"/>
        <w:left w:val="none" w:sz="0" w:space="0" w:color="auto"/>
        <w:bottom w:val="none" w:sz="0" w:space="0" w:color="auto"/>
        <w:right w:val="none" w:sz="0" w:space="0" w:color="auto"/>
      </w:divBdr>
    </w:div>
    <w:div w:id="739520889">
      <w:bodyDiv w:val="1"/>
      <w:marLeft w:val="0"/>
      <w:marRight w:val="0"/>
      <w:marTop w:val="0"/>
      <w:marBottom w:val="0"/>
      <w:divBdr>
        <w:top w:val="none" w:sz="0" w:space="0" w:color="auto"/>
        <w:left w:val="none" w:sz="0" w:space="0" w:color="auto"/>
        <w:bottom w:val="none" w:sz="0" w:space="0" w:color="auto"/>
        <w:right w:val="none" w:sz="0" w:space="0" w:color="auto"/>
      </w:divBdr>
    </w:div>
    <w:div w:id="745108007">
      <w:bodyDiv w:val="1"/>
      <w:marLeft w:val="0"/>
      <w:marRight w:val="0"/>
      <w:marTop w:val="0"/>
      <w:marBottom w:val="0"/>
      <w:divBdr>
        <w:top w:val="none" w:sz="0" w:space="0" w:color="auto"/>
        <w:left w:val="none" w:sz="0" w:space="0" w:color="auto"/>
        <w:bottom w:val="none" w:sz="0" w:space="0" w:color="auto"/>
        <w:right w:val="none" w:sz="0" w:space="0" w:color="auto"/>
      </w:divBdr>
    </w:div>
    <w:div w:id="784731183">
      <w:bodyDiv w:val="1"/>
      <w:marLeft w:val="0"/>
      <w:marRight w:val="0"/>
      <w:marTop w:val="0"/>
      <w:marBottom w:val="0"/>
      <w:divBdr>
        <w:top w:val="none" w:sz="0" w:space="0" w:color="auto"/>
        <w:left w:val="none" w:sz="0" w:space="0" w:color="auto"/>
        <w:bottom w:val="none" w:sz="0" w:space="0" w:color="auto"/>
        <w:right w:val="none" w:sz="0" w:space="0" w:color="auto"/>
      </w:divBdr>
    </w:div>
    <w:div w:id="833494434">
      <w:bodyDiv w:val="1"/>
      <w:marLeft w:val="0"/>
      <w:marRight w:val="0"/>
      <w:marTop w:val="0"/>
      <w:marBottom w:val="0"/>
      <w:divBdr>
        <w:top w:val="none" w:sz="0" w:space="0" w:color="auto"/>
        <w:left w:val="none" w:sz="0" w:space="0" w:color="auto"/>
        <w:bottom w:val="none" w:sz="0" w:space="0" w:color="auto"/>
        <w:right w:val="none" w:sz="0" w:space="0" w:color="auto"/>
      </w:divBdr>
    </w:div>
    <w:div w:id="834108241">
      <w:bodyDiv w:val="1"/>
      <w:marLeft w:val="0"/>
      <w:marRight w:val="0"/>
      <w:marTop w:val="0"/>
      <w:marBottom w:val="0"/>
      <w:divBdr>
        <w:top w:val="none" w:sz="0" w:space="0" w:color="auto"/>
        <w:left w:val="none" w:sz="0" w:space="0" w:color="auto"/>
        <w:bottom w:val="none" w:sz="0" w:space="0" w:color="auto"/>
        <w:right w:val="none" w:sz="0" w:space="0" w:color="auto"/>
      </w:divBdr>
    </w:div>
    <w:div w:id="838231795">
      <w:bodyDiv w:val="1"/>
      <w:marLeft w:val="0"/>
      <w:marRight w:val="0"/>
      <w:marTop w:val="0"/>
      <w:marBottom w:val="0"/>
      <w:divBdr>
        <w:top w:val="none" w:sz="0" w:space="0" w:color="auto"/>
        <w:left w:val="none" w:sz="0" w:space="0" w:color="auto"/>
        <w:bottom w:val="none" w:sz="0" w:space="0" w:color="auto"/>
        <w:right w:val="none" w:sz="0" w:space="0" w:color="auto"/>
      </w:divBdr>
    </w:div>
    <w:div w:id="843983076">
      <w:bodyDiv w:val="1"/>
      <w:marLeft w:val="0"/>
      <w:marRight w:val="0"/>
      <w:marTop w:val="0"/>
      <w:marBottom w:val="0"/>
      <w:divBdr>
        <w:top w:val="none" w:sz="0" w:space="0" w:color="auto"/>
        <w:left w:val="none" w:sz="0" w:space="0" w:color="auto"/>
        <w:bottom w:val="none" w:sz="0" w:space="0" w:color="auto"/>
        <w:right w:val="none" w:sz="0" w:space="0" w:color="auto"/>
      </w:divBdr>
      <w:divsChild>
        <w:div w:id="1097284914">
          <w:marLeft w:val="432"/>
          <w:marRight w:val="0"/>
          <w:marTop w:val="0"/>
          <w:marBottom w:val="0"/>
          <w:divBdr>
            <w:top w:val="none" w:sz="0" w:space="0" w:color="auto"/>
            <w:left w:val="none" w:sz="0" w:space="0" w:color="auto"/>
            <w:bottom w:val="none" w:sz="0" w:space="0" w:color="auto"/>
            <w:right w:val="none" w:sz="0" w:space="0" w:color="auto"/>
          </w:divBdr>
        </w:div>
      </w:divsChild>
    </w:div>
    <w:div w:id="931357771">
      <w:marLeft w:val="0"/>
      <w:marRight w:val="0"/>
      <w:marTop w:val="0"/>
      <w:marBottom w:val="0"/>
      <w:divBdr>
        <w:top w:val="none" w:sz="0" w:space="0" w:color="auto"/>
        <w:left w:val="none" w:sz="0" w:space="0" w:color="auto"/>
        <w:bottom w:val="none" w:sz="0" w:space="0" w:color="auto"/>
        <w:right w:val="none" w:sz="0" w:space="0" w:color="auto"/>
      </w:divBdr>
    </w:div>
    <w:div w:id="931357772">
      <w:marLeft w:val="0"/>
      <w:marRight w:val="0"/>
      <w:marTop w:val="0"/>
      <w:marBottom w:val="0"/>
      <w:divBdr>
        <w:top w:val="none" w:sz="0" w:space="0" w:color="auto"/>
        <w:left w:val="none" w:sz="0" w:space="0" w:color="auto"/>
        <w:bottom w:val="none" w:sz="0" w:space="0" w:color="auto"/>
        <w:right w:val="none" w:sz="0" w:space="0" w:color="auto"/>
      </w:divBdr>
    </w:div>
    <w:div w:id="931357773">
      <w:marLeft w:val="0"/>
      <w:marRight w:val="0"/>
      <w:marTop w:val="0"/>
      <w:marBottom w:val="0"/>
      <w:divBdr>
        <w:top w:val="none" w:sz="0" w:space="0" w:color="auto"/>
        <w:left w:val="none" w:sz="0" w:space="0" w:color="auto"/>
        <w:bottom w:val="none" w:sz="0" w:space="0" w:color="auto"/>
        <w:right w:val="none" w:sz="0" w:space="0" w:color="auto"/>
      </w:divBdr>
    </w:div>
    <w:div w:id="931357774">
      <w:marLeft w:val="0"/>
      <w:marRight w:val="0"/>
      <w:marTop w:val="0"/>
      <w:marBottom w:val="0"/>
      <w:divBdr>
        <w:top w:val="none" w:sz="0" w:space="0" w:color="auto"/>
        <w:left w:val="none" w:sz="0" w:space="0" w:color="auto"/>
        <w:bottom w:val="none" w:sz="0" w:space="0" w:color="auto"/>
        <w:right w:val="none" w:sz="0" w:space="0" w:color="auto"/>
      </w:divBdr>
    </w:div>
    <w:div w:id="931357775">
      <w:marLeft w:val="0"/>
      <w:marRight w:val="0"/>
      <w:marTop w:val="0"/>
      <w:marBottom w:val="0"/>
      <w:divBdr>
        <w:top w:val="none" w:sz="0" w:space="0" w:color="auto"/>
        <w:left w:val="none" w:sz="0" w:space="0" w:color="auto"/>
        <w:bottom w:val="none" w:sz="0" w:space="0" w:color="auto"/>
        <w:right w:val="none" w:sz="0" w:space="0" w:color="auto"/>
      </w:divBdr>
    </w:div>
    <w:div w:id="931357776">
      <w:marLeft w:val="0"/>
      <w:marRight w:val="0"/>
      <w:marTop w:val="0"/>
      <w:marBottom w:val="0"/>
      <w:divBdr>
        <w:top w:val="none" w:sz="0" w:space="0" w:color="auto"/>
        <w:left w:val="none" w:sz="0" w:space="0" w:color="auto"/>
        <w:bottom w:val="none" w:sz="0" w:space="0" w:color="auto"/>
        <w:right w:val="none" w:sz="0" w:space="0" w:color="auto"/>
      </w:divBdr>
    </w:div>
    <w:div w:id="931357777">
      <w:marLeft w:val="0"/>
      <w:marRight w:val="0"/>
      <w:marTop w:val="0"/>
      <w:marBottom w:val="0"/>
      <w:divBdr>
        <w:top w:val="none" w:sz="0" w:space="0" w:color="auto"/>
        <w:left w:val="none" w:sz="0" w:space="0" w:color="auto"/>
        <w:bottom w:val="none" w:sz="0" w:space="0" w:color="auto"/>
        <w:right w:val="none" w:sz="0" w:space="0" w:color="auto"/>
      </w:divBdr>
    </w:div>
    <w:div w:id="931357778">
      <w:marLeft w:val="0"/>
      <w:marRight w:val="0"/>
      <w:marTop w:val="0"/>
      <w:marBottom w:val="0"/>
      <w:divBdr>
        <w:top w:val="none" w:sz="0" w:space="0" w:color="auto"/>
        <w:left w:val="none" w:sz="0" w:space="0" w:color="auto"/>
        <w:bottom w:val="none" w:sz="0" w:space="0" w:color="auto"/>
        <w:right w:val="none" w:sz="0" w:space="0" w:color="auto"/>
      </w:divBdr>
    </w:div>
    <w:div w:id="931357779">
      <w:marLeft w:val="0"/>
      <w:marRight w:val="0"/>
      <w:marTop w:val="0"/>
      <w:marBottom w:val="0"/>
      <w:divBdr>
        <w:top w:val="none" w:sz="0" w:space="0" w:color="auto"/>
        <w:left w:val="none" w:sz="0" w:space="0" w:color="auto"/>
        <w:bottom w:val="none" w:sz="0" w:space="0" w:color="auto"/>
        <w:right w:val="none" w:sz="0" w:space="0" w:color="auto"/>
      </w:divBdr>
    </w:div>
    <w:div w:id="931357780">
      <w:marLeft w:val="0"/>
      <w:marRight w:val="0"/>
      <w:marTop w:val="0"/>
      <w:marBottom w:val="0"/>
      <w:divBdr>
        <w:top w:val="none" w:sz="0" w:space="0" w:color="auto"/>
        <w:left w:val="none" w:sz="0" w:space="0" w:color="auto"/>
        <w:bottom w:val="none" w:sz="0" w:space="0" w:color="auto"/>
        <w:right w:val="none" w:sz="0" w:space="0" w:color="auto"/>
      </w:divBdr>
    </w:div>
    <w:div w:id="931357781">
      <w:marLeft w:val="0"/>
      <w:marRight w:val="0"/>
      <w:marTop w:val="0"/>
      <w:marBottom w:val="0"/>
      <w:divBdr>
        <w:top w:val="none" w:sz="0" w:space="0" w:color="auto"/>
        <w:left w:val="none" w:sz="0" w:space="0" w:color="auto"/>
        <w:bottom w:val="none" w:sz="0" w:space="0" w:color="auto"/>
        <w:right w:val="none" w:sz="0" w:space="0" w:color="auto"/>
      </w:divBdr>
    </w:div>
    <w:div w:id="931357782">
      <w:marLeft w:val="0"/>
      <w:marRight w:val="0"/>
      <w:marTop w:val="0"/>
      <w:marBottom w:val="0"/>
      <w:divBdr>
        <w:top w:val="none" w:sz="0" w:space="0" w:color="auto"/>
        <w:left w:val="none" w:sz="0" w:space="0" w:color="auto"/>
        <w:bottom w:val="none" w:sz="0" w:space="0" w:color="auto"/>
        <w:right w:val="none" w:sz="0" w:space="0" w:color="auto"/>
      </w:divBdr>
    </w:div>
    <w:div w:id="931357783">
      <w:marLeft w:val="0"/>
      <w:marRight w:val="0"/>
      <w:marTop w:val="0"/>
      <w:marBottom w:val="0"/>
      <w:divBdr>
        <w:top w:val="none" w:sz="0" w:space="0" w:color="auto"/>
        <w:left w:val="none" w:sz="0" w:space="0" w:color="auto"/>
        <w:bottom w:val="none" w:sz="0" w:space="0" w:color="auto"/>
        <w:right w:val="none" w:sz="0" w:space="0" w:color="auto"/>
      </w:divBdr>
    </w:div>
    <w:div w:id="931357784">
      <w:marLeft w:val="0"/>
      <w:marRight w:val="0"/>
      <w:marTop w:val="0"/>
      <w:marBottom w:val="0"/>
      <w:divBdr>
        <w:top w:val="none" w:sz="0" w:space="0" w:color="auto"/>
        <w:left w:val="none" w:sz="0" w:space="0" w:color="auto"/>
        <w:bottom w:val="none" w:sz="0" w:space="0" w:color="auto"/>
        <w:right w:val="none" w:sz="0" w:space="0" w:color="auto"/>
      </w:divBdr>
    </w:div>
    <w:div w:id="931357785">
      <w:marLeft w:val="0"/>
      <w:marRight w:val="0"/>
      <w:marTop w:val="0"/>
      <w:marBottom w:val="0"/>
      <w:divBdr>
        <w:top w:val="none" w:sz="0" w:space="0" w:color="auto"/>
        <w:left w:val="none" w:sz="0" w:space="0" w:color="auto"/>
        <w:bottom w:val="none" w:sz="0" w:space="0" w:color="auto"/>
        <w:right w:val="none" w:sz="0" w:space="0" w:color="auto"/>
      </w:divBdr>
    </w:div>
    <w:div w:id="931357786">
      <w:marLeft w:val="0"/>
      <w:marRight w:val="0"/>
      <w:marTop w:val="0"/>
      <w:marBottom w:val="0"/>
      <w:divBdr>
        <w:top w:val="none" w:sz="0" w:space="0" w:color="auto"/>
        <w:left w:val="none" w:sz="0" w:space="0" w:color="auto"/>
        <w:bottom w:val="none" w:sz="0" w:space="0" w:color="auto"/>
        <w:right w:val="none" w:sz="0" w:space="0" w:color="auto"/>
      </w:divBdr>
    </w:div>
    <w:div w:id="931357787">
      <w:marLeft w:val="0"/>
      <w:marRight w:val="0"/>
      <w:marTop w:val="0"/>
      <w:marBottom w:val="0"/>
      <w:divBdr>
        <w:top w:val="none" w:sz="0" w:space="0" w:color="auto"/>
        <w:left w:val="none" w:sz="0" w:space="0" w:color="auto"/>
        <w:bottom w:val="none" w:sz="0" w:space="0" w:color="auto"/>
        <w:right w:val="none" w:sz="0" w:space="0" w:color="auto"/>
      </w:divBdr>
    </w:div>
    <w:div w:id="931357788">
      <w:marLeft w:val="0"/>
      <w:marRight w:val="0"/>
      <w:marTop w:val="0"/>
      <w:marBottom w:val="0"/>
      <w:divBdr>
        <w:top w:val="none" w:sz="0" w:space="0" w:color="auto"/>
        <w:left w:val="none" w:sz="0" w:space="0" w:color="auto"/>
        <w:bottom w:val="none" w:sz="0" w:space="0" w:color="auto"/>
        <w:right w:val="none" w:sz="0" w:space="0" w:color="auto"/>
      </w:divBdr>
    </w:div>
    <w:div w:id="931357789">
      <w:marLeft w:val="0"/>
      <w:marRight w:val="0"/>
      <w:marTop w:val="0"/>
      <w:marBottom w:val="0"/>
      <w:divBdr>
        <w:top w:val="none" w:sz="0" w:space="0" w:color="auto"/>
        <w:left w:val="none" w:sz="0" w:space="0" w:color="auto"/>
        <w:bottom w:val="none" w:sz="0" w:space="0" w:color="auto"/>
        <w:right w:val="none" w:sz="0" w:space="0" w:color="auto"/>
      </w:divBdr>
    </w:div>
    <w:div w:id="931357790">
      <w:marLeft w:val="0"/>
      <w:marRight w:val="0"/>
      <w:marTop w:val="0"/>
      <w:marBottom w:val="0"/>
      <w:divBdr>
        <w:top w:val="none" w:sz="0" w:space="0" w:color="auto"/>
        <w:left w:val="none" w:sz="0" w:space="0" w:color="auto"/>
        <w:bottom w:val="none" w:sz="0" w:space="0" w:color="auto"/>
        <w:right w:val="none" w:sz="0" w:space="0" w:color="auto"/>
      </w:divBdr>
    </w:div>
    <w:div w:id="931357791">
      <w:marLeft w:val="0"/>
      <w:marRight w:val="0"/>
      <w:marTop w:val="0"/>
      <w:marBottom w:val="0"/>
      <w:divBdr>
        <w:top w:val="none" w:sz="0" w:space="0" w:color="auto"/>
        <w:left w:val="none" w:sz="0" w:space="0" w:color="auto"/>
        <w:bottom w:val="none" w:sz="0" w:space="0" w:color="auto"/>
        <w:right w:val="none" w:sz="0" w:space="0" w:color="auto"/>
      </w:divBdr>
    </w:div>
    <w:div w:id="931357792">
      <w:marLeft w:val="0"/>
      <w:marRight w:val="0"/>
      <w:marTop w:val="0"/>
      <w:marBottom w:val="0"/>
      <w:divBdr>
        <w:top w:val="none" w:sz="0" w:space="0" w:color="auto"/>
        <w:left w:val="none" w:sz="0" w:space="0" w:color="auto"/>
        <w:bottom w:val="none" w:sz="0" w:space="0" w:color="auto"/>
        <w:right w:val="none" w:sz="0" w:space="0" w:color="auto"/>
      </w:divBdr>
    </w:div>
    <w:div w:id="931357793">
      <w:marLeft w:val="0"/>
      <w:marRight w:val="0"/>
      <w:marTop w:val="0"/>
      <w:marBottom w:val="0"/>
      <w:divBdr>
        <w:top w:val="none" w:sz="0" w:space="0" w:color="auto"/>
        <w:left w:val="none" w:sz="0" w:space="0" w:color="auto"/>
        <w:bottom w:val="none" w:sz="0" w:space="0" w:color="auto"/>
        <w:right w:val="none" w:sz="0" w:space="0" w:color="auto"/>
      </w:divBdr>
    </w:div>
    <w:div w:id="931357794">
      <w:marLeft w:val="0"/>
      <w:marRight w:val="0"/>
      <w:marTop w:val="0"/>
      <w:marBottom w:val="0"/>
      <w:divBdr>
        <w:top w:val="none" w:sz="0" w:space="0" w:color="auto"/>
        <w:left w:val="none" w:sz="0" w:space="0" w:color="auto"/>
        <w:bottom w:val="none" w:sz="0" w:space="0" w:color="auto"/>
        <w:right w:val="none" w:sz="0" w:space="0" w:color="auto"/>
      </w:divBdr>
    </w:div>
    <w:div w:id="931357795">
      <w:marLeft w:val="0"/>
      <w:marRight w:val="0"/>
      <w:marTop w:val="0"/>
      <w:marBottom w:val="0"/>
      <w:divBdr>
        <w:top w:val="none" w:sz="0" w:space="0" w:color="auto"/>
        <w:left w:val="none" w:sz="0" w:space="0" w:color="auto"/>
        <w:bottom w:val="none" w:sz="0" w:space="0" w:color="auto"/>
        <w:right w:val="none" w:sz="0" w:space="0" w:color="auto"/>
      </w:divBdr>
    </w:div>
    <w:div w:id="931357796">
      <w:marLeft w:val="0"/>
      <w:marRight w:val="0"/>
      <w:marTop w:val="0"/>
      <w:marBottom w:val="0"/>
      <w:divBdr>
        <w:top w:val="none" w:sz="0" w:space="0" w:color="auto"/>
        <w:left w:val="none" w:sz="0" w:space="0" w:color="auto"/>
        <w:bottom w:val="none" w:sz="0" w:space="0" w:color="auto"/>
        <w:right w:val="none" w:sz="0" w:space="0" w:color="auto"/>
      </w:divBdr>
    </w:div>
    <w:div w:id="931357797">
      <w:marLeft w:val="0"/>
      <w:marRight w:val="0"/>
      <w:marTop w:val="0"/>
      <w:marBottom w:val="0"/>
      <w:divBdr>
        <w:top w:val="none" w:sz="0" w:space="0" w:color="auto"/>
        <w:left w:val="none" w:sz="0" w:space="0" w:color="auto"/>
        <w:bottom w:val="none" w:sz="0" w:space="0" w:color="auto"/>
        <w:right w:val="none" w:sz="0" w:space="0" w:color="auto"/>
      </w:divBdr>
    </w:div>
    <w:div w:id="931357798">
      <w:marLeft w:val="0"/>
      <w:marRight w:val="0"/>
      <w:marTop w:val="0"/>
      <w:marBottom w:val="0"/>
      <w:divBdr>
        <w:top w:val="none" w:sz="0" w:space="0" w:color="auto"/>
        <w:left w:val="none" w:sz="0" w:space="0" w:color="auto"/>
        <w:bottom w:val="none" w:sz="0" w:space="0" w:color="auto"/>
        <w:right w:val="none" w:sz="0" w:space="0" w:color="auto"/>
      </w:divBdr>
    </w:div>
    <w:div w:id="931357799">
      <w:marLeft w:val="0"/>
      <w:marRight w:val="0"/>
      <w:marTop w:val="0"/>
      <w:marBottom w:val="0"/>
      <w:divBdr>
        <w:top w:val="none" w:sz="0" w:space="0" w:color="auto"/>
        <w:left w:val="none" w:sz="0" w:space="0" w:color="auto"/>
        <w:bottom w:val="none" w:sz="0" w:space="0" w:color="auto"/>
        <w:right w:val="none" w:sz="0" w:space="0" w:color="auto"/>
      </w:divBdr>
    </w:div>
    <w:div w:id="931357800">
      <w:marLeft w:val="0"/>
      <w:marRight w:val="0"/>
      <w:marTop w:val="0"/>
      <w:marBottom w:val="0"/>
      <w:divBdr>
        <w:top w:val="none" w:sz="0" w:space="0" w:color="auto"/>
        <w:left w:val="none" w:sz="0" w:space="0" w:color="auto"/>
        <w:bottom w:val="none" w:sz="0" w:space="0" w:color="auto"/>
        <w:right w:val="none" w:sz="0" w:space="0" w:color="auto"/>
      </w:divBdr>
    </w:div>
    <w:div w:id="931357801">
      <w:marLeft w:val="0"/>
      <w:marRight w:val="0"/>
      <w:marTop w:val="0"/>
      <w:marBottom w:val="0"/>
      <w:divBdr>
        <w:top w:val="none" w:sz="0" w:space="0" w:color="auto"/>
        <w:left w:val="none" w:sz="0" w:space="0" w:color="auto"/>
        <w:bottom w:val="none" w:sz="0" w:space="0" w:color="auto"/>
        <w:right w:val="none" w:sz="0" w:space="0" w:color="auto"/>
      </w:divBdr>
    </w:div>
    <w:div w:id="931357802">
      <w:marLeft w:val="0"/>
      <w:marRight w:val="0"/>
      <w:marTop w:val="0"/>
      <w:marBottom w:val="0"/>
      <w:divBdr>
        <w:top w:val="none" w:sz="0" w:space="0" w:color="auto"/>
        <w:left w:val="none" w:sz="0" w:space="0" w:color="auto"/>
        <w:bottom w:val="none" w:sz="0" w:space="0" w:color="auto"/>
        <w:right w:val="none" w:sz="0" w:space="0" w:color="auto"/>
      </w:divBdr>
    </w:div>
    <w:div w:id="931357803">
      <w:marLeft w:val="0"/>
      <w:marRight w:val="0"/>
      <w:marTop w:val="0"/>
      <w:marBottom w:val="0"/>
      <w:divBdr>
        <w:top w:val="none" w:sz="0" w:space="0" w:color="auto"/>
        <w:left w:val="none" w:sz="0" w:space="0" w:color="auto"/>
        <w:bottom w:val="none" w:sz="0" w:space="0" w:color="auto"/>
        <w:right w:val="none" w:sz="0" w:space="0" w:color="auto"/>
      </w:divBdr>
    </w:div>
    <w:div w:id="931357804">
      <w:marLeft w:val="0"/>
      <w:marRight w:val="0"/>
      <w:marTop w:val="0"/>
      <w:marBottom w:val="0"/>
      <w:divBdr>
        <w:top w:val="none" w:sz="0" w:space="0" w:color="auto"/>
        <w:left w:val="none" w:sz="0" w:space="0" w:color="auto"/>
        <w:bottom w:val="none" w:sz="0" w:space="0" w:color="auto"/>
        <w:right w:val="none" w:sz="0" w:space="0" w:color="auto"/>
      </w:divBdr>
    </w:div>
    <w:div w:id="931357805">
      <w:marLeft w:val="0"/>
      <w:marRight w:val="0"/>
      <w:marTop w:val="0"/>
      <w:marBottom w:val="0"/>
      <w:divBdr>
        <w:top w:val="none" w:sz="0" w:space="0" w:color="auto"/>
        <w:left w:val="none" w:sz="0" w:space="0" w:color="auto"/>
        <w:bottom w:val="none" w:sz="0" w:space="0" w:color="auto"/>
        <w:right w:val="none" w:sz="0" w:space="0" w:color="auto"/>
      </w:divBdr>
    </w:div>
    <w:div w:id="931357806">
      <w:marLeft w:val="0"/>
      <w:marRight w:val="0"/>
      <w:marTop w:val="0"/>
      <w:marBottom w:val="0"/>
      <w:divBdr>
        <w:top w:val="none" w:sz="0" w:space="0" w:color="auto"/>
        <w:left w:val="none" w:sz="0" w:space="0" w:color="auto"/>
        <w:bottom w:val="none" w:sz="0" w:space="0" w:color="auto"/>
        <w:right w:val="none" w:sz="0" w:space="0" w:color="auto"/>
      </w:divBdr>
    </w:div>
    <w:div w:id="931357807">
      <w:marLeft w:val="0"/>
      <w:marRight w:val="0"/>
      <w:marTop w:val="0"/>
      <w:marBottom w:val="0"/>
      <w:divBdr>
        <w:top w:val="none" w:sz="0" w:space="0" w:color="auto"/>
        <w:left w:val="none" w:sz="0" w:space="0" w:color="auto"/>
        <w:bottom w:val="none" w:sz="0" w:space="0" w:color="auto"/>
        <w:right w:val="none" w:sz="0" w:space="0" w:color="auto"/>
      </w:divBdr>
    </w:div>
    <w:div w:id="931357808">
      <w:marLeft w:val="0"/>
      <w:marRight w:val="0"/>
      <w:marTop w:val="0"/>
      <w:marBottom w:val="0"/>
      <w:divBdr>
        <w:top w:val="none" w:sz="0" w:space="0" w:color="auto"/>
        <w:left w:val="none" w:sz="0" w:space="0" w:color="auto"/>
        <w:bottom w:val="none" w:sz="0" w:space="0" w:color="auto"/>
        <w:right w:val="none" w:sz="0" w:space="0" w:color="auto"/>
      </w:divBdr>
    </w:div>
    <w:div w:id="931357809">
      <w:marLeft w:val="0"/>
      <w:marRight w:val="0"/>
      <w:marTop w:val="0"/>
      <w:marBottom w:val="0"/>
      <w:divBdr>
        <w:top w:val="none" w:sz="0" w:space="0" w:color="auto"/>
        <w:left w:val="none" w:sz="0" w:space="0" w:color="auto"/>
        <w:bottom w:val="none" w:sz="0" w:space="0" w:color="auto"/>
        <w:right w:val="none" w:sz="0" w:space="0" w:color="auto"/>
      </w:divBdr>
    </w:div>
    <w:div w:id="931357810">
      <w:marLeft w:val="0"/>
      <w:marRight w:val="0"/>
      <w:marTop w:val="0"/>
      <w:marBottom w:val="0"/>
      <w:divBdr>
        <w:top w:val="none" w:sz="0" w:space="0" w:color="auto"/>
        <w:left w:val="none" w:sz="0" w:space="0" w:color="auto"/>
        <w:bottom w:val="none" w:sz="0" w:space="0" w:color="auto"/>
        <w:right w:val="none" w:sz="0" w:space="0" w:color="auto"/>
      </w:divBdr>
    </w:div>
    <w:div w:id="931357811">
      <w:marLeft w:val="0"/>
      <w:marRight w:val="0"/>
      <w:marTop w:val="0"/>
      <w:marBottom w:val="0"/>
      <w:divBdr>
        <w:top w:val="none" w:sz="0" w:space="0" w:color="auto"/>
        <w:left w:val="none" w:sz="0" w:space="0" w:color="auto"/>
        <w:bottom w:val="none" w:sz="0" w:space="0" w:color="auto"/>
        <w:right w:val="none" w:sz="0" w:space="0" w:color="auto"/>
      </w:divBdr>
    </w:div>
    <w:div w:id="931357812">
      <w:marLeft w:val="0"/>
      <w:marRight w:val="0"/>
      <w:marTop w:val="0"/>
      <w:marBottom w:val="0"/>
      <w:divBdr>
        <w:top w:val="none" w:sz="0" w:space="0" w:color="auto"/>
        <w:left w:val="none" w:sz="0" w:space="0" w:color="auto"/>
        <w:bottom w:val="none" w:sz="0" w:space="0" w:color="auto"/>
        <w:right w:val="none" w:sz="0" w:space="0" w:color="auto"/>
      </w:divBdr>
    </w:div>
    <w:div w:id="931357813">
      <w:marLeft w:val="0"/>
      <w:marRight w:val="0"/>
      <w:marTop w:val="0"/>
      <w:marBottom w:val="0"/>
      <w:divBdr>
        <w:top w:val="none" w:sz="0" w:space="0" w:color="auto"/>
        <w:left w:val="none" w:sz="0" w:space="0" w:color="auto"/>
        <w:bottom w:val="none" w:sz="0" w:space="0" w:color="auto"/>
        <w:right w:val="none" w:sz="0" w:space="0" w:color="auto"/>
      </w:divBdr>
    </w:div>
    <w:div w:id="931357814">
      <w:marLeft w:val="0"/>
      <w:marRight w:val="0"/>
      <w:marTop w:val="0"/>
      <w:marBottom w:val="0"/>
      <w:divBdr>
        <w:top w:val="none" w:sz="0" w:space="0" w:color="auto"/>
        <w:left w:val="none" w:sz="0" w:space="0" w:color="auto"/>
        <w:bottom w:val="none" w:sz="0" w:space="0" w:color="auto"/>
        <w:right w:val="none" w:sz="0" w:space="0" w:color="auto"/>
      </w:divBdr>
    </w:div>
    <w:div w:id="931357815">
      <w:marLeft w:val="0"/>
      <w:marRight w:val="0"/>
      <w:marTop w:val="0"/>
      <w:marBottom w:val="0"/>
      <w:divBdr>
        <w:top w:val="none" w:sz="0" w:space="0" w:color="auto"/>
        <w:left w:val="none" w:sz="0" w:space="0" w:color="auto"/>
        <w:bottom w:val="none" w:sz="0" w:space="0" w:color="auto"/>
        <w:right w:val="none" w:sz="0" w:space="0" w:color="auto"/>
      </w:divBdr>
    </w:div>
    <w:div w:id="931357816">
      <w:marLeft w:val="0"/>
      <w:marRight w:val="0"/>
      <w:marTop w:val="0"/>
      <w:marBottom w:val="0"/>
      <w:divBdr>
        <w:top w:val="none" w:sz="0" w:space="0" w:color="auto"/>
        <w:left w:val="none" w:sz="0" w:space="0" w:color="auto"/>
        <w:bottom w:val="none" w:sz="0" w:space="0" w:color="auto"/>
        <w:right w:val="none" w:sz="0" w:space="0" w:color="auto"/>
      </w:divBdr>
    </w:div>
    <w:div w:id="931357817">
      <w:marLeft w:val="0"/>
      <w:marRight w:val="0"/>
      <w:marTop w:val="0"/>
      <w:marBottom w:val="0"/>
      <w:divBdr>
        <w:top w:val="none" w:sz="0" w:space="0" w:color="auto"/>
        <w:left w:val="none" w:sz="0" w:space="0" w:color="auto"/>
        <w:bottom w:val="none" w:sz="0" w:space="0" w:color="auto"/>
        <w:right w:val="none" w:sz="0" w:space="0" w:color="auto"/>
      </w:divBdr>
    </w:div>
    <w:div w:id="931357818">
      <w:marLeft w:val="0"/>
      <w:marRight w:val="0"/>
      <w:marTop w:val="0"/>
      <w:marBottom w:val="0"/>
      <w:divBdr>
        <w:top w:val="none" w:sz="0" w:space="0" w:color="auto"/>
        <w:left w:val="none" w:sz="0" w:space="0" w:color="auto"/>
        <w:bottom w:val="none" w:sz="0" w:space="0" w:color="auto"/>
        <w:right w:val="none" w:sz="0" w:space="0" w:color="auto"/>
      </w:divBdr>
    </w:div>
    <w:div w:id="931357819">
      <w:marLeft w:val="0"/>
      <w:marRight w:val="0"/>
      <w:marTop w:val="0"/>
      <w:marBottom w:val="0"/>
      <w:divBdr>
        <w:top w:val="none" w:sz="0" w:space="0" w:color="auto"/>
        <w:left w:val="none" w:sz="0" w:space="0" w:color="auto"/>
        <w:bottom w:val="none" w:sz="0" w:space="0" w:color="auto"/>
        <w:right w:val="none" w:sz="0" w:space="0" w:color="auto"/>
      </w:divBdr>
    </w:div>
    <w:div w:id="931357820">
      <w:marLeft w:val="0"/>
      <w:marRight w:val="0"/>
      <w:marTop w:val="0"/>
      <w:marBottom w:val="0"/>
      <w:divBdr>
        <w:top w:val="none" w:sz="0" w:space="0" w:color="auto"/>
        <w:left w:val="none" w:sz="0" w:space="0" w:color="auto"/>
        <w:bottom w:val="none" w:sz="0" w:space="0" w:color="auto"/>
        <w:right w:val="none" w:sz="0" w:space="0" w:color="auto"/>
      </w:divBdr>
    </w:div>
    <w:div w:id="931357821">
      <w:marLeft w:val="0"/>
      <w:marRight w:val="0"/>
      <w:marTop w:val="0"/>
      <w:marBottom w:val="0"/>
      <w:divBdr>
        <w:top w:val="none" w:sz="0" w:space="0" w:color="auto"/>
        <w:left w:val="none" w:sz="0" w:space="0" w:color="auto"/>
        <w:bottom w:val="none" w:sz="0" w:space="0" w:color="auto"/>
        <w:right w:val="none" w:sz="0" w:space="0" w:color="auto"/>
      </w:divBdr>
    </w:div>
    <w:div w:id="931357822">
      <w:marLeft w:val="0"/>
      <w:marRight w:val="0"/>
      <w:marTop w:val="0"/>
      <w:marBottom w:val="0"/>
      <w:divBdr>
        <w:top w:val="none" w:sz="0" w:space="0" w:color="auto"/>
        <w:left w:val="none" w:sz="0" w:space="0" w:color="auto"/>
        <w:bottom w:val="none" w:sz="0" w:space="0" w:color="auto"/>
        <w:right w:val="none" w:sz="0" w:space="0" w:color="auto"/>
      </w:divBdr>
    </w:div>
    <w:div w:id="931357823">
      <w:marLeft w:val="0"/>
      <w:marRight w:val="0"/>
      <w:marTop w:val="0"/>
      <w:marBottom w:val="0"/>
      <w:divBdr>
        <w:top w:val="none" w:sz="0" w:space="0" w:color="auto"/>
        <w:left w:val="none" w:sz="0" w:space="0" w:color="auto"/>
        <w:bottom w:val="none" w:sz="0" w:space="0" w:color="auto"/>
        <w:right w:val="none" w:sz="0" w:space="0" w:color="auto"/>
      </w:divBdr>
    </w:div>
    <w:div w:id="931357824">
      <w:marLeft w:val="0"/>
      <w:marRight w:val="0"/>
      <w:marTop w:val="0"/>
      <w:marBottom w:val="0"/>
      <w:divBdr>
        <w:top w:val="none" w:sz="0" w:space="0" w:color="auto"/>
        <w:left w:val="none" w:sz="0" w:space="0" w:color="auto"/>
        <w:bottom w:val="none" w:sz="0" w:space="0" w:color="auto"/>
        <w:right w:val="none" w:sz="0" w:space="0" w:color="auto"/>
      </w:divBdr>
    </w:div>
    <w:div w:id="931357825">
      <w:marLeft w:val="0"/>
      <w:marRight w:val="0"/>
      <w:marTop w:val="0"/>
      <w:marBottom w:val="0"/>
      <w:divBdr>
        <w:top w:val="none" w:sz="0" w:space="0" w:color="auto"/>
        <w:left w:val="none" w:sz="0" w:space="0" w:color="auto"/>
        <w:bottom w:val="none" w:sz="0" w:space="0" w:color="auto"/>
        <w:right w:val="none" w:sz="0" w:space="0" w:color="auto"/>
      </w:divBdr>
    </w:div>
    <w:div w:id="931357826">
      <w:marLeft w:val="0"/>
      <w:marRight w:val="0"/>
      <w:marTop w:val="0"/>
      <w:marBottom w:val="0"/>
      <w:divBdr>
        <w:top w:val="none" w:sz="0" w:space="0" w:color="auto"/>
        <w:left w:val="none" w:sz="0" w:space="0" w:color="auto"/>
        <w:bottom w:val="none" w:sz="0" w:space="0" w:color="auto"/>
        <w:right w:val="none" w:sz="0" w:space="0" w:color="auto"/>
      </w:divBdr>
    </w:div>
    <w:div w:id="931357827">
      <w:marLeft w:val="0"/>
      <w:marRight w:val="0"/>
      <w:marTop w:val="0"/>
      <w:marBottom w:val="0"/>
      <w:divBdr>
        <w:top w:val="none" w:sz="0" w:space="0" w:color="auto"/>
        <w:left w:val="none" w:sz="0" w:space="0" w:color="auto"/>
        <w:bottom w:val="none" w:sz="0" w:space="0" w:color="auto"/>
        <w:right w:val="none" w:sz="0" w:space="0" w:color="auto"/>
      </w:divBdr>
    </w:div>
    <w:div w:id="931357828">
      <w:marLeft w:val="0"/>
      <w:marRight w:val="0"/>
      <w:marTop w:val="0"/>
      <w:marBottom w:val="0"/>
      <w:divBdr>
        <w:top w:val="none" w:sz="0" w:space="0" w:color="auto"/>
        <w:left w:val="none" w:sz="0" w:space="0" w:color="auto"/>
        <w:bottom w:val="none" w:sz="0" w:space="0" w:color="auto"/>
        <w:right w:val="none" w:sz="0" w:space="0" w:color="auto"/>
      </w:divBdr>
    </w:div>
    <w:div w:id="931357829">
      <w:marLeft w:val="0"/>
      <w:marRight w:val="0"/>
      <w:marTop w:val="0"/>
      <w:marBottom w:val="0"/>
      <w:divBdr>
        <w:top w:val="none" w:sz="0" w:space="0" w:color="auto"/>
        <w:left w:val="none" w:sz="0" w:space="0" w:color="auto"/>
        <w:bottom w:val="none" w:sz="0" w:space="0" w:color="auto"/>
        <w:right w:val="none" w:sz="0" w:space="0" w:color="auto"/>
      </w:divBdr>
    </w:div>
    <w:div w:id="931357830">
      <w:marLeft w:val="0"/>
      <w:marRight w:val="0"/>
      <w:marTop w:val="0"/>
      <w:marBottom w:val="0"/>
      <w:divBdr>
        <w:top w:val="none" w:sz="0" w:space="0" w:color="auto"/>
        <w:left w:val="none" w:sz="0" w:space="0" w:color="auto"/>
        <w:bottom w:val="none" w:sz="0" w:space="0" w:color="auto"/>
        <w:right w:val="none" w:sz="0" w:space="0" w:color="auto"/>
      </w:divBdr>
    </w:div>
    <w:div w:id="931357831">
      <w:marLeft w:val="0"/>
      <w:marRight w:val="0"/>
      <w:marTop w:val="0"/>
      <w:marBottom w:val="0"/>
      <w:divBdr>
        <w:top w:val="none" w:sz="0" w:space="0" w:color="auto"/>
        <w:left w:val="none" w:sz="0" w:space="0" w:color="auto"/>
        <w:bottom w:val="none" w:sz="0" w:space="0" w:color="auto"/>
        <w:right w:val="none" w:sz="0" w:space="0" w:color="auto"/>
      </w:divBdr>
    </w:div>
    <w:div w:id="931357832">
      <w:marLeft w:val="0"/>
      <w:marRight w:val="0"/>
      <w:marTop w:val="0"/>
      <w:marBottom w:val="0"/>
      <w:divBdr>
        <w:top w:val="none" w:sz="0" w:space="0" w:color="auto"/>
        <w:left w:val="none" w:sz="0" w:space="0" w:color="auto"/>
        <w:bottom w:val="none" w:sz="0" w:space="0" w:color="auto"/>
        <w:right w:val="none" w:sz="0" w:space="0" w:color="auto"/>
      </w:divBdr>
    </w:div>
    <w:div w:id="931357833">
      <w:marLeft w:val="0"/>
      <w:marRight w:val="0"/>
      <w:marTop w:val="0"/>
      <w:marBottom w:val="0"/>
      <w:divBdr>
        <w:top w:val="none" w:sz="0" w:space="0" w:color="auto"/>
        <w:left w:val="none" w:sz="0" w:space="0" w:color="auto"/>
        <w:bottom w:val="none" w:sz="0" w:space="0" w:color="auto"/>
        <w:right w:val="none" w:sz="0" w:space="0" w:color="auto"/>
      </w:divBdr>
    </w:div>
    <w:div w:id="931357834">
      <w:marLeft w:val="0"/>
      <w:marRight w:val="0"/>
      <w:marTop w:val="0"/>
      <w:marBottom w:val="0"/>
      <w:divBdr>
        <w:top w:val="none" w:sz="0" w:space="0" w:color="auto"/>
        <w:left w:val="none" w:sz="0" w:space="0" w:color="auto"/>
        <w:bottom w:val="none" w:sz="0" w:space="0" w:color="auto"/>
        <w:right w:val="none" w:sz="0" w:space="0" w:color="auto"/>
      </w:divBdr>
    </w:div>
    <w:div w:id="931357835">
      <w:marLeft w:val="0"/>
      <w:marRight w:val="0"/>
      <w:marTop w:val="0"/>
      <w:marBottom w:val="0"/>
      <w:divBdr>
        <w:top w:val="none" w:sz="0" w:space="0" w:color="auto"/>
        <w:left w:val="none" w:sz="0" w:space="0" w:color="auto"/>
        <w:bottom w:val="none" w:sz="0" w:space="0" w:color="auto"/>
        <w:right w:val="none" w:sz="0" w:space="0" w:color="auto"/>
      </w:divBdr>
    </w:div>
    <w:div w:id="931357836">
      <w:marLeft w:val="0"/>
      <w:marRight w:val="0"/>
      <w:marTop w:val="0"/>
      <w:marBottom w:val="0"/>
      <w:divBdr>
        <w:top w:val="none" w:sz="0" w:space="0" w:color="auto"/>
        <w:left w:val="none" w:sz="0" w:space="0" w:color="auto"/>
        <w:bottom w:val="none" w:sz="0" w:space="0" w:color="auto"/>
        <w:right w:val="none" w:sz="0" w:space="0" w:color="auto"/>
      </w:divBdr>
    </w:div>
    <w:div w:id="931357837">
      <w:marLeft w:val="0"/>
      <w:marRight w:val="0"/>
      <w:marTop w:val="0"/>
      <w:marBottom w:val="0"/>
      <w:divBdr>
        <w:top w:val="none" w:sz="0" w:space="0" w:color="auto"/>
        <w:left w:val="none" w:sz="0" w:space="0" w:color="auto"/>
        <w:bottom w:val="none" w:sz="0" w:space="0" w:color="auto"/>
        <w:right w:val="none" w:sz="0" w:space="0" w:color="auto"/>
      </w:divBdr>
    </w:div>
    <w:div w:id="931357838">
      <w:marLeft w:val="0"/>
      <w:marRight w:val="0"/>
      <w:marTop w:val="0"/>
      <w:marBottom w:val="0"/>
      <w:divBdr>
        <w:top w:val="none" w:sz="0" w:space="0" w:color="auto"/>
        <w:left w:val="none" w:sz="0" w:space="0" w:color="auto"/>
        <w:bottom w:val="none" w:sz="0" w:space="0" w:color="auto"/>
        <w:right w:val="none" w:sz="0" w:space="0" w:color="auto"/>
      </w:divBdr>
    </w:div>
    <w:div w:id="931357839">
      <w:marLeft w:val="0"/>
      <w:marRight w:val="0"/>
      <w:marTop w:val="0"/>
      <w:marBottom w:val="0"/>
      <w:divBdr>
        <w:top w:val="none" w:sz="0" w:space="0" w:color="auto"/>
        <w:left w:val="none" w:sz="0" w:space="0" w:color="auto"/>
        <w:bottom w:val="none" w:sz="0" w:space="0" w:color="auto"/>
        <w:right w:val="none" w:sz="0" w:space="0" w:color="auto"/>
      </w:divBdr>
    </w:div>
    <w:div w:id="931357840">
      <w:marLeft w:val="0"/>
      <w:marRight w:val="0"/>
      <w:marTop w:val="0"/>
      <w:marBottom w:val="0"/>
      <w:divBdr>
        <w:top w:val="none" w:sz="0" w:space="0" w:color="auto"/>
        <w:left w:val="none" w:sz="0" w:space="0" w:color="auto"/>
        <w:bottom w:val="none" w:sz="0" w:space="0" w:color="auto"/>
        <w:right w:val="none" w:sz="0" w:space="0" w:color="auto"/>
      </w:divBdr>
    </w:div>
    <w:div w:id="931357841">
      <w:marLeft w:val="0"/>
      <w:marRight w:val="0"/>
      <w:marTop w:val="0"/>
      <w:marBottom w:val="0"/>
      <w:divBdr>
        <w:top w:val="none" w:sz="0" w:space="0" w:color="auto"/>
        <w:left w:val="none" w:sz="0" w:space="0" w:color="auto"/>
        <w:bottom w:val="none" w:sz="0" w:space="0" w:color="auto"/>
        <w:right w:val="none" w:sz="0" w:space="0" w:color="auto"/>
      </w:divBdr>
    </w:div>
    <w:div w:id="931357842">
      <w:marLeft w:val="0"/>
      <w:marRight w:val="0"/>
      <w:marTop w:val="0"/>
      <w:marBottom w:val="0"/>
      <w:divBdr>
        <w:top w:val="none" w:sz="0" w:space="0" w:color="auto"/>
        <w:left w:val="none" w:sz="0" w:space="0" w:color="auto"/>
        <w:bottom w:val="none" w:sz="0" w:space="0" w:color="auto"/>
        <w:right w:val="none" w:sz="0" w:space="0" w:color="auto"/>
      </w:divBdr>
    </w:div>
    <w:div w:id="931357843">
      <w:marLeft w:val="0"/>
      <w:marRight w:val="0"/>
      <w:marTop w:val="0"/>
      <w:marBottom w:val="0"/>
      <w:divBdr>
        <w:top w:val="none" w:sz="0" w:space="0" w:color="auto"/>
        <w:left w:val="none" w:sz="0" w:space="0" w:color="auto"/>
        <w:bottom w:val="none" w:sz="0" w:space="0" w:color="auto"/>
        <w:right w:val="none" w:sz="0" w:space="0" w:color="auto"/>
      </w:divBdr>
    </w:div>
    <w:div w:id="931357844">
      <w:marLeft w:val="0"/>
      <w:marRight w:val="0"/>
      <w:marTop w:val="0"/>
      <w:marBottom w:val="0"/>
      <w:divBdr>
        <w:top w:val="none" w:sz="0" w:space="0" w:color="auto"/>
        <w:left w:val="none" w:sz="0" w:space="0" w:color="auto"/>
        <w:bottom w:val="none" w:sz="0" w:space="0" w:color="auto"/>
        <w:right w:val="none" w:sz="0" w:space="0" w:color="auto"/>
      </w:divBdr>
    </w:div>
    <w:div w:id="931357845">
      <w:marLeft w:val="0"/>
      <w:marRight w:val="0"/>
      <w:marTop w:val="0"/>
      <w:marBottom w:val="0"/>
      <w:divBdr>
        <w:top w:val="none" w:sz="0" w:space="0" w:color="auto"/>
        <w:left w:val="none" w:sz="0" w:space="0" w:color="auto"/>
        <w:bottom w:val="none" w:sz="0" w:space="0" w:color="auto"/>
        <w:right w:val="none" w:sz="0" w:space="0" w:color="auto"/>
      </w:divBdr>
    </w:div>
    <w:div w:id="931357846">
      <w:marLeft w:val="0"/>
      <w:marRight w:val="0"/>
      <w:marTop w:val="0"/>
      <w:marBottom w:val="0"/>
      <w:divBdr>
        <w:top w:val="none" w:sz="0" w:space="0" w:color="auto"/>
        <w:left w:val="none" w:sz="0" w:space="0" w:color="auto"/>
        <w:bottom w:val="none" w:sz="0" w:space="0" w:color="auto"/>
        <w:right w:val="none" w:sz="0" w:space="0" w:color="auto"/>
      </w:divBdr>
    </w:div>
    <w:div w:id="931357847">
      <w:marLeft w:val="0"/>
      <w:marRight w:val="0"/>
      <w:marTop w:val="0"/>
      <w:marBottom w:val="0"/>
      <w:divBdr>
        <w:top w:val="none" w:sz="0" w:space="0" w:color="auto"/>
        <w:left w:val="none" w:sz="0" w:space="0" w:color="auto"/>
        <w:bottom w:val="none" w:sz="0" w:space="0" w:color="auto"/>
        <w:right w:val="none" w:sz="0" w:space="0" w:color="auto"/>
      </w:divBdr>
    </w:div>
    <w:div w:id="931357848">
      <w:marLeft w:val="0"/>
      <w:marRight w:val="0"/>
      <w:marTop w:val="0"/>
      <w:marBottom w:val="0"/>
      <w:divBdr>
        <w:top w:val="none" w:sz="0" w:space="0" w:color="auto"/>
        <w:left w:val="none" w:sz="0" w:space="0" w:color="auto"/>
        <w:bottom w:val="none" w:sz="0" w:space="0" w:color="auto"/>
        <w:right w:val="none" w:sz="0" w:space="0" w:color="auto"/>
      </w:divBdr>
    </w:div>
    <w:div w:id="931357849">
      <w:marLeft w:val="0"/>
      <w:marRight w:val="0"/>
      <w:marTop w:val="0"/>
      <w:marBottom w:val="0"/>
      <w:divBdr>
        <w:top w:val="none" w:sz="0" w:space="0" w:color="auto"/>
        <w:left w:val="none" w:sz="0" w:space="0" w:color="auto"/>
        <w:bottom w:val="none" w:sz="0" w:space="0" w:color="auto"/>
        <w:right w:val="none" w:sz="0" w:space="0" w:color="auto"/>
      </w:divBdr>
    </w:div>
    <w:div w:id="931357850">
      <w:marLeft w:val="0"/>
      <w:marRight w:val="0"/>
      <w:marTop w:val="0"/>
      <w:marBottom w:val="0"/>
      <w:divBdr>
        <w:top w:val="none" w:sz="0" w:space="0" w:color="auto"/>
        <w:left w:val="none" w:sz="0" w:space="0" w:color="auto"/>
        <w:bottom w:val="none" w:sz="0" w:space="0" w:color="auto"/>
        <w:right w:val="none" w:sz="0" w:space="0" w:color="auto"/>
      </w:divBdr>
    </w:div>
    <w:div w:id="931357851">
      <w:marLeft w:val="0"/>
      <w:marRight w:val="0"/>
      <w:marTop w:val="0"/>
      <w:marBottom w:val="0"/>
      <w:divBdr>
        <w:top w:val="none" w:sz="0" w:space="0" w:color="auto"/>
        <w:left w:val="none" w:sz="0" w:space="0" w:color="auto"/>
        <w:bottom w:val="none" w:sz="0" w:space="0" w:color="auto"/>
        <w:right w:val="none" w:sz="0" w:space="0" w:color="auto"/>
      </w:divBdr>
    </w:div>
    <w:div w:id="931357852">
      <w:marLeft w:val="0"/>
      <w:marRight w:val="0"/>
      <w:marTop w:val="0"/>
      <w:marBottom w:val="0"/>
      <w:divBdr>
        <w:top w:val="none" w:sz="0" w:space="0" w:color="auto"/>
        <w:left w:val="none" w:sz="0" w:space="0" w:color="auto"/>
        <w:bottom w:val="none" w:sz="0" w:space="0" w:color="auto"/>
        <w:right w:val="none" w:sz="0" w:space="0" w:color="auto"/>
      </w:divBdr>
    </w:div>
    <w:div w:id="931357853">
      <w:marLeft w:val="0"/>
      <w:marRight w:val="0"/>
      <w:marTop w:val="0"/>
      <w:marBottom w:val="0"/>
      <w:divBdr>
        <w:top w:val="none" w:sz="0" w:space="0" w:color="auto"/>
        <w:left w:val="none" w:sz="0" w:space="0" w:color="auto"/>
        <w:bottom w:val="none" w:sz="0" w:space="0" w:color="auto"/>
        <w:right w:val="none" w:sz="0" w:space="0" w:color="auto"/>
      </w:divBdr>
    </w:div>
    <w:div w:id="931357854">
      <w:marLeft w:val="0"/>
      <w:marRight w:val="0"/>
      <w:marTop w:val="0"/>
      <w:marBottom w:val="0"/>
      <w:divBdr>
        <w:top w:val="none" w:sz="0" w:space="0" w:color="auto"/>
        <w:left w:val="none" w:sz="0" w:space="0" w:color="auto"/>
        <w:bottom w:val="none" w:sz="0" w:space="0" w:color="auto"/>
        <w:right w:val="none" w:sz="0" w:space="0" w:color="auto"/>
      </w:divBdr>
    </w:div>
    <w:div w:id="931357855">
      <w:marLeft w:val="0"/>
      <w:marRight w:val="0"/>
      <w:marTop w:val="0"/>
      <w:marBottom w:val="0"/>
      <w:divBdr>
        <w:top w:val="none" w:sz="0" w:space="0" w:color="auto"/>
        <w:left w:val="none" w:sz="0" w:space="0" w:color="auto"/>
        <w:bottom w:val="none" w:sz="0" w:space="0" w:color="auto"/>
        <w:right w:val="none" w:sz="0" w:space="0" w:color="auto"/>
      </w:divBdr>
    </w:div>
    <w:div w:id="931357856">
      <w:marLeft w:val="0"/>
      <w:marRight w:val="0"/>
      <w:marTop w:val="0"/>
      <w:marBottom w:val="0"/>
      <w:divBdr>
        <w:top w:val="none" w:sz="0" w:space="0" w:color="auto"/>
        <w:left w:val="none" w:sz="0" w:space="0" w:color="auto"/>
        <w:bottom w:val="none" w:sz="0" w:space="0" w:color="auto"/>
        <w:right w:val="none" w:sz="0" w:space="0" w:color="auto"/>
      </w:divBdr>
    </w:div>
    <w:div w:id="931357857">
      <w:marLeft w:val="0"/>
      <w:marRight w:val="0"/>
      <w:marTop w:val="0"/>
      <w:marBottom w:val="0"/>
      <w:divBdr>
        <w:top w:val="none" w:sz="0" w:space="0" w:color="auto"/>
        <w:left w:val="none" w:sz="0" w:space="0" w:color="auto"/>
        <w:bottom w:val="none" w:sz="0" w:space="0" w:color="auto"/>
        <w:right w:val="none" w:sz="0" w:space="0" w:color="auto"/>
      </w:divBdr>
    </w:div>
    <w:div w:id="931357858">
      <w:marLeft w:val="0"/>
      <w:marRight w:val="0"/>
      <w:marTop w:val="0"/>
      <w:marBottom w:val="0"/>
      <w:divBdr>
        <w:top w:val="none" w:sz="0" w:space="0" w:color="auto"/>
        <w:left w:val="none" w:sz="0" w:space="0" w:color="auto"/>
        <w:bottom w:val="none" w:sz="0" w:space="0" w:color="auto"/>
        <w:right w:val="none" w:sz="0" w:space="0" w:color="auto"/>
      </w:divBdr>
    </w:div>
    <w:div w:id="931357859">
      <w:marLeft w:val="0"/>
      <w:marRight w:val="0"/>
      <w:marTop w:val="0"/>
      <w:marBottom w:val="0"/>
      <w:divBdr>
        <w:top w:val="none" w:sz="0" w:space="0" w:color="auto"/>
        <w:left w:val="none" w:sz="0" w:space="0" w:color="auto"/>
        <w:bottom w:val="none" w:sz="0" w:space="0" w:color="auto"/>
        <w:right w:val="none" w:sz="0" w:space="0" w:color="auto"/>
      </w:divBdr>
    </w:div>
    <w:div w:id="931357860">
      <w:marLeft w:val="0"/>
      <w:marRight w:val="0"/>
      <w:marTop w:val="0"/>
      <w:marBottom w:val="0"/>
      <w:divBdr>
        <w:top w:val="none" w:sz="0" w:space="0" w:color="auto"/>
        <w:left w:val="none" w:sz="0" w:space="0" w:color="auto"/>
        <w:bottom w:val="none" w:sz="0" w:space="0" w:color="auto"/>
        <w:right w:val="none" w:sz="0" w:space="0" w:color="auto"/>
      </w:divBdr>
    </w:div>
    <w:div w:id="931357861">
      <w:marLeft w:val="0"/>
      <w:marRight w:val="0"/>
      <w:marTop w:val="0"/>
      <w:marBottom w:val="0"/>
      <w:divBdr>
        <w:top w:val="none" w:sz="0" w:space="0" w:color="auto"/>
        <w:left w:val="none" w:sz="0" w:space="0" w:color="auto"/>
        <w:bottom w:val="none" w:sz="0" w:space="0" w:color="auto"/>
        <w:right w:val="none" w:sz="0" w:space="0" w:color="auto"/>
      </w:divBdr>
    </w:div>
    <w:div w:id="931357862">
      <w:marLeft w:val="0"/>
      <w:marRight w:val="0"/>
      <w:marTop w:val="0"/>
      <w:marBottom w:val="0"/>
      <w:divBdr>
        <w:top w:val="none" w:sz="0" w:space="0" w:color="auto"/>
        <w:left w:val="none" w:sz="0" w:space="0" w:color="auto"/>
        <w:bottom w:val="none" w:sz="0" w:space="0" w:color="auto"/>
        <w:right w:val="none" w:sz="0" w:space="0" w:color="auto"/>
      </w:divBdr>
    </w:div>
    <w:div w:id="931357863">
      <w:marLeft w:val="0"/>
      <w:marRight w:val="0"/>
      <w:marTop w:val="0"/>
      <w:marBottom w:val="0"/>
      <w:divBdr>
        <w:top w:val="none" w:sz="0" w:space="0" w:color="auto"/>
        <w:left w:val="none" w:sz="0" w:space="0" w:color="auto"/>
        <w:bottom w:val="none" w:sz="0" w:space="0" w:color="auto"/>
        <w:right w:val="none" w:sz="0" w:space="0" w:color="auto"/>
      </w:divBdr>
    </w:div>
    <w:div w:id="931357864">
      <w:marLeft w:val="0"/>
      <w:marRight w:val="0"/>
      <w:marTop w:val="0"/>
      <w:marBottom w:val="0"/>
      <w:divBdr>
        <w:top w:val="none" w:sz="0" w:space="0" w:color="auto"/>
        <w:left w:val="none" w:sz="0" w:space="0" w:color="auto"/>
        <w:bottom w:val="none" w:sz="0" w:space="0" w:color="auto"/>
        <w:right w:val="none" w:sz="0" w:space="0" w:color="auto"/>
      </w:divBdr>
    </w:div>
    <w:div w:id="931357865">
      <w:marLeft w:val="0"/>
      <w:marRight w:val="0"/>
      <w:marTop w:val="0"/>
      <w:marBottom w:val="0"/>
      <w:divBdr>
        <w:top w:val="none" w:sz="0" w:space="0" w:color="auto"/>
        <w:left w:val="none" w:sz="0" w:space="0" w:color="auto"/>
        <w:bottom w:val="none" w:sz="0" w:space="0" w:color="auto"/>
        <w:right w:val="none" w:sz="0" w:space="0" w:color="auto"/>
      </w:divBdr>
    </w:div>
    <w:div w:id="931357866">
      <w:marLeft w:val="0"/>
      <w:marRight w:val="0"/>
      <w:marTop w:val="0"/>
      <w:marBottom w:val="0"/>
      <w:divBdr>
        <w:top w:val="none" w:sz="0" w:space="0" w:color="auto"/>
        <w:left w:val="none" w:sz="0" w:space="0" w:color="auto"/>
        <w:bottom w:val="none" w:sz="0" w:space="0" w:color="auto"/>
        <w:right w:val="none" w:sz="0" w:space="0" w:color="auto"/>
      </w:divBdr>
    </w:div>
    <w:div w:id="931357867">
      <w:marLeft w:val="0"/>
      <w:marRight w:val="0"/>
      <w:marTop w:val="0"/>
      <w:marBottom w:val="0"/>
      <w:divBdr>
        <w:top w:val="none" w:sz="0" w:space="0" w:color="auto"/>
        <w:left w:val="none" w:sz="0" w:space="0" w:color="auto"/>
        <w:bottom w:val="none" w:sz="0" w:space="0" w:color="auto"/>
        <w:right w:val="none" w:sz="0" w:space="0" w:color="auto"/>
      </w:divBdr>
    </w:div>
    <w:div w:id="931357868">
      <w:marLeft w:val="0"/>
      <w:marRight w:val="0"/>
      <w:marTop w:val="0"/>
      <w:marBottom w:val="0"/>
      <w:divBdr>
        <w:top w:val="none" w:sz="0" w:space="0" w:color="auto"/>
        <w:left w:val="none" w:sz="0" w:space="0" w:color="auto"/>
        <w:bottom w:val="none" w:sz="0" w:space="0" w:color="auto"/>
        <w:right w:val="none" w:sz="0" w:space="0" w:color="auto"/>
      </w:divBdr>
    </w:div>
    <w:div w:id="931357869">
      <w:marLeft w:val="0"/>
      <w:marRight w:val="0"/>
      <w:marTop w:val="0"/>
      <w:marBottom w:val="0"/>
      <w:divBdr>
        <w:top w:val="none" w:sz="0" w:space="0" w:color="auto"/>
        <w:left w:val="none" w:sz="0" w:space="0" w:color="auto"/>
        <w:bottom w:val="none" w:sz="0" w:space="0" w:color="auto"/>
        <w:right w:val="none" w:sz="0" w:space="0" w:color="auto"/>
      </w:divBdr>
    </w:div>
    <w:div w:id="931357870">
      <w:marLeft w:val="0"/>
      <w:marRight w:val="0"/>
      <w:marTop w:val="0"/>
      <w:marBottom w:val="0"/>
      <w:divBdr>
        <w:top w:val="none" w:sz="0" w:space="0" w:color="auto"/>
        <w:left w:val="none" w:sz="0" w:space="0" w:color="auto"/>
        <w:bottom w:val="none" w:sz="0" w:space="0" w:color="auto"/>
        <w:right w:val="none" w:sz="0" w:space="0" w:color="auto"/>
      </w:divBdr>
    </w:div>
    <w:div w:id="931357871">
      <w:marLeft w:val="0"/>
      <w:marRight w:val="0"/>
      <w:marTop w:val="0"/>
      <w:marBottom w:val="0"/>
      <w:divBdr>
        <w:top w:val="none" w:sz="0" w:space="0" w:color="auto"/>
        <w:left w:val="none" w:sz="0" w:space="0" w:color="auto"/>
        <w:bottom w:val="none" w:sz="0" w:space="0" w:color="auto"/>
        <w:right w:val="none" w:sz="0" w:space="0" w:color="auto"/>
      </w:divBdr>
    </w:div>
    <w:div w:id="931357872">
      <w:marLeft w:val="0"/>
      <w:marRight w:val="0"/>
      <w:marTop w:val="0"/>
      <w:marBottom w:val="0"/>
      <w:divBdr>
        <w:top w:val="none" w:sz="0" w:space="0" w:color="auto"/>
        <w:left w:val="none" w:sz="0" w:space="0" w:color="auto"/>
        <w:bottom w:val="none" w:sz="0" w:space="0" w:color="auto"/>
        <w:right w:val="none" w:sz="0" w:space="0" w:color="auto"/>
      </w:divBdr>
    </w:div>
    <w:div w:id="931357873">
      <w:marLeft w:val="0"/>
      <w:marRight w:val="0"/>
      <w:marTop w:val="0"/>
      <w:marBottom w:val="0"/>
      <w:divBdr>
        <w:top w:val="none" w:sz="0" w:space="0" w:color="auto"/>
        <w:left w:val="none" w:sz="0" w:space="0" w:color="auto"/>
        <w:bottom w:val="none" w:sz="0" w:space="0" w:color="auto"/>
        <w:right w:val="none" w:sz="0" w:space="0" w:color="auto"/>
      </w:divBdr>
    </w:div>
    <w:div w:id="931357874">
      <w:marLeft w:val="0"/>
      <w:marRight w:val="0"/>
      <w:marTop w:val="0"/>
      <w:marBottom w:val="0"/>
      <w:divBdr>
        <w:top w:val="none" w:sz="0" w:space="0" w:color="auto"/>
        <w:left w:val="none" w:sz="0" w:space="0" w:color="auto"/>
        <w:bottom w:val="none" w:sz="0" w:space="0" w:color="auto"/>
        <w:right w:val="none" w:sz="0" w:space="0" w:color="auto"/>
      </w:divBdr>
    </w:div>
    <w:div w:id="931357875">
      <w:marLeft w:val="0"/>
      <w:marRight w:val="0"/>
      <w:marTop w:val="0"/>
      <w:marBottom w:val="0"/>
      <w:divBdr>
        <w:top w:val="none" w:sz="0" w:space="0" w:color="auto"/>
        <w:left w:val="none" w:sz="0" w:space="0" w:color="auto"/>
        <w:bottom w:val="none" w:sz="0" w:space="0" w:color="auto"/>
        <w:right w:val="none" w:sz="0" w:space="0" w:color="auto"/>
      </w:divBdr>
    </w:div>
    <w:div w:id="931357876">
      <w:marLeft w:val="0"/>
      <w:marRight w:val="0"/>
      <w:marTop w:val="0"/>
      <w:marBottom w:val="0"/>
      <w:divBdr>
        <w:top w:val="none" w:sz="0" w:space="0" w:color="auto"/>
        <w:left w:val="none" w:sz="0" w:space="0" w:color="auto"/>
        <w:bottom w:val="none" w:sz="0" w:space="0" w:color="auto"/>
        <w:right w:val="none" w:sz="0" w:space="0" w:color="auto"/>
      </w:divBdr>
    </w:div>
    <w:div w:id="931357877">
      <w:marLeft w:val="0"/>
      <w:marRight w:val="0"/>
      <w:marTop w:val="0"/>
      <w:marBottom w:val="0"/>
      <w:divBdr>
        <w:top w:val="none" w:sz="0" w:space="0" w:color="auto"/>
        <w:left w:val="none" w:sz="0" w:space="0" w:color="auto"/>
        <w:bottom w:val="none" w:sz="0" w:space="0" w:color="auto"/>
        <w:right w:val="none" w:sz="0" w:space="0" w:color="auto"/>
      </w:divBdr>
    </w:div>
    <w:div w:id="931357878">
      <w:marLeft w:val="0"/>
      <w:marRight w:val="0"/>
      <w:marTop w:val="0"/>
      <w:marBottom w:val="0"/>
      <w:divBdr>
        <w:top w:val="none" w:sz="0" w:space="0" w:color="auto"/>
        <w:left w:val="none" w:sz="0" w:space="0" w:color="auto"/>
        <w:bottom w:val="none" w:sz="0" w:space="0" w:color="auto"/>
        <w:right w:val="none" w:sz="0" w:space="0" w:color="auto"/>
      </w:divBdr>
    </w:div>
    <w:div w:id="931357879">
      <w:marLeft w:val="0"/>
      <w:marRight w:val="0"/>
      <w:marTop w:val="0"/>
      <w:marBottom w:val="0"/>
      <w:divBdr>
        <w:top w:val="none" w:sz="0" w:space="0" w:color="auto"/>
        <w:left w:val="none" w:sz="0" w:space="0" w:color="auto"/>
        <w:bottom w:val="none" w:sz="0" w:space="0" w:color="auto"/>
        <w:right w:val="none" w:sz="0" w:space="0" w:color="auto"/>
      </w:divBdr>
    </w:div>
    <w:div w:id="931357880">
      <w:marLeft w:val="0"/>
      <w:marRight w:val="0"/>
      <w:marTop w:val="0"/>
      <w:marBottom w:val="0"/>
      <w:divBdr>
        <w:top w:val="none" w:sz="0" w:space="0" w:color="auto"/>
        <w:left w:val="none" w:sz="0" w:space="0" w:color="auto"/>
        <w:bottom w:val="none" w:sz="0" w:space="0" w:color="auto"/>
        <w:right w:val="none" w:sz="0" w:space="0" w:color="auto"/>
      </w:divBdr>
    </w:div>
    <w:div w:id="931357881">
      <w:marLeft w:val="0"/>
      <w:marRight w:val="0"/>
      <w:marTop w:val="0"/>
      <w:marBottom w:val="0"/>
      <w:divBdr>
        <w:top w:val="none" w:sz="0" w:space="0" w:color="auto"/>
        <w:left w:val="none" w:sz="0" w:space="0" w:color="auto"/>
        <w:bottom w:val="none" w:sz="0" w:space="0" w:color="auto"/>
        <w:right w:val="none" w:sz="0" w:space="0" w:color="auto"/>
      </w:divBdr>
    </w:div>
    <w:div w:id="931357882">
      <w:marLeft w:val="0"/>
      <w:marRight w:val="0"/>
      <w:marTop w:val="0"/>
      <w:marBottom w:val="0"/>
      <w:divBdr>
        <w:top w:val="none" w:sz="0" w:space="0" w:color="auto"/>
        <w:left w:val="none" w:sz="0" w:space="0" w:color="auto"/>
        <w:bottom w:val="none" w:sz="0" w:space="0" w:color="auto"/>
        <w:right w:val="none" w:sz="0" w:space="0" w:color="auto"/>
      </w:divBdr>
    </w:div>
    <w:div w:id="931357883">
      <w:marLeft w:val="0"/>
      <w:marRight w:val="0"/>
      <w:marTop w:val="0"/>
      <w:marBottom w:val="0"/>
      <w:divBdr>
        <w:top w:val="none" w:sz="0" w:space="0" w:color="auto"/>
        <w:left w:val="none" w:sz="0" w:space="0" w:color="auto"/>
        <w:bottom w:val="none" w:sz="0" w:space="0" w:color="auto"/>
        <w:right w:val="none" w:sz="0" w:space="0" w:color="auto"/>
      </w:divBdr>
    </w:div>
    <w:div w:id="931357884">
      <w:marLeft w:val="0"/>
      <w:marRight w:val="0"/>
      <w:marTop w:val="0"/>
      <w:marBottom w:val="0"/>
      <w:divBdr>
        <w:top w:val="none" w:sz="0" w:space="0" w:color="auto"/>
        <w:left w:val="none" w:sz="0" w:space="0" w:color="auto"/>
        <w:bottom w:val="none" w:sz="0" w:space="0" w:color="auto"/>
        <w:right w:val="none" w:sz="0" w:space="0" w:color="auto"/>
      </w:divBdr>
    </w:div>
    <w:div w:id="931357885">
      <w:marLeft w:val="0"/>
      <w:marRight w:val="0"/>
      <w:marTop w:val="0"/>
      <w:marBottom w:val="0"/>
      <w:divBdr>
        <w:top w:val="none" w:sz="0" w:space="0" w:color="auto"/>
        <w:left w:val="none" w:sz="0" w:space="0" w:color="auto"/>
        <w:bottom w:val="none" w:sz="0" w:space="0" w:color="auto"/>
        <w:right w:val="none" w:sz="0" w:space="0" w:color="auto"/>
      </w:divBdr>
    </w:div>
    <w:div w:id="931357886">
      <w:marLeft w:val="0"/>
      <w:marRight w:val="0"/>
      <w:marTop w:val="0"/>
      <w:marBottom w:val="0"/>
      <w:divBdr>
        <w:top w:val="none" w:sz="0" w:space="0" w:color="auto"/>
        <w:left w:val="none" w:sz="0" w:space="0" w:color="auto"/>
        <w:bottom w:val="none" w:sz="0" w:space="0" w:color="auto"/>
        <w:right w:val="none" w:sz="0" w:space="0" w:color="auto"/>
      </w:divBdr>
    </w:div>
    <w:div w:id="931357887">
      <w:marLeft w:val="0"/>
      <w:marRight w:val="0"/>
      <w:marTop w:val="0"/>
      <w:marBottom w:val="0"/>
      <w:divBdr>
        <w:top w:val="none" w:sz="0" w:space="0" w:color="auto"/>
        <w:left w:val="none" w:sz="0" w:space="0" w:color="auto"/>
        <w:bottom w:val="none" w:sz="0" w:space="0" w:color="auto"/>
        <w:right w:val="none" w:sz="0" w:space="0" w:color="auto"/>
      </w:divBdr>
    </w:div>
    <w:div w:id="931357888">
      <w:marLeft w:val="0"/>
      <w:marRight w:val="0"/>
      <w:marTop w:val="0"/>
      <w:marBottom w:val="0"/>
      <w:divBdr>
        <w:top w:val="none" w:sz="0" w:space="0" w:color="auto"/>
        <w:left w:val="none" w:sz="0" w:space="0" w:color="auto"/>
        <w:bottom w:val="none" w:sz="0" w:space="0" w:color="auto"/>
        <w:right w:val="none" w:sz="0" w:space="0" w:color="auto"/>
      </w:divBdr>
    </w:div>
    <w:div w:id="931357889">
      <w:marLeft w:val="0"/>
      <w:marRight w:val="0"/>
      <w:marTop w:val="0"/>
      <w:marBottom w:val="0"/>
      <w:divBdr>
        <w:top w:val="none" w:sz="0" w:space="0" w:color="auto"/>
        <w:left w:val="none" w:sz="0" w:space="0" w:color="auto"/>
        <w:bottom w:val="none" w:sz="0" w:space="0" w:color="auto"/>
        <w:right w:val="none" w:sz="0" w:space="0" w:color="auto"/>
      </w:divBdr>
    </w:div>
    <w:div w:id="931357890">
      <w:marLeft w:val="0"/>
      <w:marRight w:val="0"/>
      <w:marTop w:val="0"/>
      <w:marBottom w:val="0"/>
      <w:divBdr>
        <w:top w:val="none" w:sz="0" w:space="0" w:color="auto"/>
        <w:left w:val="none" w:sz="0" w:space="0" w:color="auto"/>
        <w:bottom w:val="none" w:sz="0" w:space="0" w:color="auto"/>
        <w:right w:val="none" w:sz="0" w:space="0" w:color="auto"/>
      </w:divBdr>
    </w:div>
    <w:div w:id="931357891">
      <w:marLeft w:val="0"/>
      <w:marRight w:val="0"/>
      <w:marTop w:val="0"/>
      <w:marBottom w:val="0"/>
      <w:divBdr>
        <w:top w:val="none" w:sz="0" w:space="0" w:color="auto"/>
        <w:left w:val="none" w:sz="0" w:space="0" w:color="auto"/>
        <w:bottom w:val="none" w:sz="0" w:space="0" w:color="auto"/>
        <w:right w:val="none" w:sz="0" w:space="0" w:color="auto"/>
      </w:divBdr>
    </w:div>
    <w:div w:id="931357892">
      <w:marLeft w:val="0"/>
      <w:marRight w:val="0"/>
      <w:marTop w:val="0"/>
      <w:marBottom w:val="0"/>
      <w:divBdr>
        <w:top w:val="none" w:sz="0" w:space="0" w:color="auto"/>
        <w:left w:val="none" w:sz="0" w:space="0" w:color="auto"/>
        <w:bottom w:val="none" w:sz="0" w:space="0" w:color="auto"/>
        <w:right w:val="none" w:sz="0" w:space="0" w:color="auto"/>
      </w:divBdr>
    </w:div>
    <w:div w:id="931357893">
      <w:marLeft w:val="0"/>
      <w:marRight w:val="0"/>
      <w:marTop w:val="0"/>
      <w:marBottom w:val="0"/>
      <w:divBdr>
        <w:top w:val="none" w:sz="0" w:space="0" w:color="auto"/>
        <w:left w:val="none" w:sz="0" w:space="0" w:color="auto"/>
        <w:bottom w:val="none" w:sz="0" w:space="0" w:color="auto"/>
        <w:right w:val="none" w:sz="0" w:space="0" w:color="auto"/>
      </w:divBdr>
    </w:div>
    <w:div w:id="931357894">
      <w:marLeft w:val="0"/>
      <w:marRight w:val="0"/>
      <w:marTop w:val="0"/>
      <w:marBottom w:val="0"/>
      <w:divBdr>
        <w:top w:val="none" w:sz="0" w:space="0" w:color="auto"/>
        <w:left w:val="none" w:sz="0" w:space="0" w:color="auto"/>
        <w:bottom w:val="none" w:sz="0" w:space="0" w:color="auto"/>
        <w:right w:val="none" w:sz="0" w:space="0" w:color="auto"/>
      </w:divBdr>
    </w:div>
    <w:div w:id="931357895">
      <w:marLeft w:val="0"/>
      <w:marRight w:val="0"/>
      <w:marTop w:val="0"/>
      <w:marBottom w:val="0"/>
      <w:divBdr>
        <w:top w:val="none" w:sz="0" w:space="0" w:color="auto"/>
        <w:left w:val="none" w:sz="0" w:space="0" w:color="auto"/>
        <w:bottom w:val="none" w:sz="0" w:space="0" w:color="auto"/>
        <w:right w:val="none" w:sz="0" w:space="0" w:color="auto"/>
      </w:divBdr>
    </w:div>
    <w:div w:id="931357896">
      <w:marLeft w:val="0"/>
      <w:marRight w:val="0"/>
      <w:marTop w:val="0"/>
      <w:marBottom w:val="0"/>
      <w:divBdr>
        <w:top w:val="none" w:sz="0" w:space="0" w:color="auto"/>
        <w:left w:val="none" w:sz="0" w:space="0" w:color="auto"/>
        <w:bottom w:val="none" w:sz="0" w:space="0" w:color="auto"/>
        <w:right w:val="none" w:sz="0" w:space="0" w:color="auto"/>
      </w:divBdr>
    </w:div>
    <w:div w:id="931357897">
      <w:marLeft w:val="0"/>
      <w:marRight w:val="0"/>
      <w:marTop w:val="0"/>
      <w:marBottom w:val="0"/>
      <w:divBdr>
        <w:top w:val="none" w:sz="0" w:space="0" w:color="auto"/>
        <w:left w:val="none" w:sz="0" w:space="0" w:color="auto"/>
        <w:bottom w:val="none" w:sz="0" w:space="0" w:color="auto"/>
        <w:right w:val="none" w:sz="0" w:space="0" w:color="auto"/>
      </w:divBdr>
    </w:div>
    <w:div w:id="931357898">
      <w:marLeft w:val="0"/>
      <w:marRight w:val="0"/>
      <w:marTop w:val="0"/>
      <w:marBottom w:val="0"/>
      <w:divBdr>
        <w:top w:val="none" w:sz="0" w:space="0" w:color="auto"/>
        <w:left w:val="none" w:sz="0" w:space="0" w:color="auto"/>
        <w:bottom w:val="none" w:sz="0" w:space="0" w:color="auto"/>
        <w:right w:val="none" w:sz="0" w:space="0" w:color="auto"/>
      </w:divBdr>
    </w:div>
    <w:div w:id="931357899">
      <w:marLeft w:val="0"/>
      <w:marRight w:val="0"/>
      <w:marTop w:val="0"/>
      <w:marBottom w:val="0"/>
      <w:divBdr>
        <w:top w:val="none" w:sz="0" w:space="0" w:color="auto"/>
        <w:left w:val="none" w:sz="0" w:space="0" w:color="auto"/>
        <w:bottom w:val="none" w:sz="0" w:space="0" w:color="auto"/>
        <w:right w:val="none" w:sz="0" w:space="0" w:color="auto"/>
      </w:divBdr>
    </w:div>
    <w:div w:id="931357900">
      <w:marLeft w:val="0"/>
      <w:marRight w:val="0"/>
      <w:marTop w:val="0"/>
      <w:marBottom w:val="0"/>
      <w:divBdr>
        <w:top w:val="none" w:sz="0" w:space="0" w:color="auto"/>
        <w:left w:val="none" w:sz="0" w:space="0" w:color="auto"/>
        <w:bottom w:val="none" w:sz="0" w:space="0" w:color="auto"/>
        <w:right w:val="none" w:sz="0" w:space="0" w:color="auto"/>
      </w:divBdr>
    </w:div>
    <w:div w:id="931357901">
      <w:marLeft w:val="0"/>
      <w:marRight w:val="0"/>
      <w:marTop w:val="0"/>
      <w:marBottom w:val="0"/>
      <w:divBdr>
        <w:top w:val="none" w:sz="0" w:space="0" w:color="auto"/>
        <w:left w:val="none" w:sz="0" w:space="0" w:color="auto"/>
        <w:bottom w:val="none" w:sz="0" w:space="0" w:color="auto"/>
        <w:right w:val="none" w:sz="0" w:space="0" w:color="auto"/>
      </w:divBdr>
    </w:div>
    <w:div w:id="931357902">
      <w:marLeft w:val="0"/>
      <w:marRight w:val="0"/>
      <w:marTop w:val="0"/>
      <w:marBottom w:val="0"/>
      <w:divBdr>
        <w:top w:val="none" w:sz="0" w:space="0" w:color="auto"/>
        <w:left w:val="none" w:sz="0" w:space="0" w:color="auto"/>
        <w:bottom w:val="none" w:sz="0" w:space="0" w:color="auto"/>
        <w:right w:val="none" w:sz="0" w:space="0" w:color="auto"/>
      </w:divBdr>
    </w:div>
    <w:div w:id="931357903">
      <w:marLeft w:val="0"/>
      <w:marRight w:val="0"/>
      <w:marTop w:val="0"/>
      <w:marBottom w:val="0"/>
      <w:divBdr>
        <w:top w:val="none" w:sz="0" w:space="0" w:color="auto"/>
        <w:left w:val="none" w:sz="0" w:space="0" w:color="auto"/>
        <w:bottom w:val="none" w:sz="0" w:space="0" w:color="auto"/>
        <w:right w:val="none" w:sz="0" w:space="0" w:color="auto"/>
      </w:divBdr>
    </w:div>
    <w:div w:id="931357904">
      <w:marLeft w:val="0"/>
      <w:marRight w:val="0"/>
      <w:marTop w:val="0"/>
      <w:marBottom w:val="0"/>
      <w:divBdr>
        <w:top w:val="none" w:sz="0" w:space="0" w:color="auto"/>
        <w:left w:val="none" w:sz="0" w:space="0" w:color="auto"/>
        <w:bottom w:val="none" w:sz="0" w:space="0" w:color="auto"/>
        <w:right w:val="none" w:sz="0" w:space="0" w:color="auto"/>
      </w:divBdr>
    </w:div>
    <w:div w:id="931357905">
      <w:marLeft w:val="0"/>
      <w:marRight w:val="0"/>
      <w:marTop w:val="0"/>
      <w:marBottom w:val="0"/>
      <w:divBdr>
        <w:top w:val="none" w:sz="0" w:space="0" w:color="auto"/>
        <w:left w:val="none" w:sz="0" w:space="0" w:color="auto"/>
        <w:bottom w:val="none" w:sz="0" w:space="0" w:color="auto"/>
        <w:right w:val="none" w:sz="0" w:space="0" w:color="auto"/>
      </w:divBdr>
    </w:div>
    <w:div w:id="931357906">
      <w:marLeft w:val="0"/>
      <w:marRight w:val="0"/>
      <w:marTop w:val="0"/>
      <w:marBottom w:val="0"/>
      <w:divBdr>
        <w:top w:val="none" w:sz="0" w:space="0" w:color="auto"/>
        <w:left w:val="none" w:sz="0" w:space="0" w:color="auto"/>
        <w:bottom w:val="none" w:sz="0" w:space="0" w:color="auto"/>
        <w:right w:val="none" w:sz="0" w:space="0" w:color="auto"/>
      </w:divBdr>
    </w:div>
    <w:div w:id="931357907">
      <w:marLeft w:val="0"/>
      <w:marRight w:val="0"/>
      <w:marTop w:val="0"/>
      <w:marBottom w:val="0"/>
      <w:divBdr>
        <w:top w:val="none" w:sz="0" w:space="0" w:color="auto"/>
        <w:left w:val="none" w:sz="0" w:space="0" w:color="auto"/>
        <w:bottom w:val="none" w:sz="0" w:space="0" w:color="auto"/>
        <w:right w:val="none" w:sz="0" w:space="0" w:color="auto"/>
      </w:divBdr>
    </w:div>
    <w:div w:id="931357908">
      <w:marLeft w:val="0"/>
      <w:marRight w:val="0"/>
      <w:marTop w:val="0"/>
      <w:marBottom w:val="0"/>
      <w:divBdr>
        <w:top w:val="none" w:sz="0" w:space="0" w:color="auto"/>
        <w:left w:val="none" w:sz="0" w:space="0" w:color="auto"/>
        <w:bottom w:val="none" w:sz="0" w:space="0" w:color="auto"/>
        <w:right w:val="none" w:sz="0" w:space="0" w:color="auto"/>
      </w:divBdr>
    </w:div>
    <w:div w:id="931357909">
      <w:marLeft w:val="0"/>
      <w:marRight w:val="0"/>
      <w:marTop w:val="0"/>
      <w:marBottom w:val="0"/>
      <w:divBdr>
        <w:top w:val="none" w:sz="0" w:space="0" w:color="auto"/>
        <w:left w:val="none" w:sz="0" w:space="0" w:color="auto"/>
        <w:bottom w:val="none" w:sz="0" w:space="0" w:color="auto"/>
        <w:right w:val="none" w:sz="0" w:space="0" w:color="auto"/>
      </w:divBdr>
    </w:div>
    <w:div w:id="931357910">
      <w:marLeft w:val="0"/>
      <w:marRight w:val="0"/>
      <w:marTop w:val="0"/>
      <w:marBottom w:val="0"/>
      <w:divBdr>
        <w:top w:val="none" w:sz="0" w:space="0" w:color="auto"/>
        <w:left w:val="none" w:sz="0" w:space="0" w:color="auto"/>
        <w:bottom w:val="none" w:sz="0" w:space="0" w:color="auto"/>
        <w:right w:val="none" w:sz="0" w:space="0" w:color="auto"/>
      </w:divBdr>
    </w:div>
    <w:div w:id="931357911">
      <w:marLeft w:val="0"/>
      <w:marRight w:val="0"/>
      <w:marTop w:val="0"/>
      <w:marBottom w:val="0"/>
      <w:divBdr>
        <w:top w:val="none" w:sz="0" w:space="0" w:color="auto"/>
        <w:left w:val="none" w:sz="0" w:space="0" w:color="auto"/>
        <w:bottom w:val="none" w:sz="0" w:space="0" w:color="auto"/>
        <w:right w:val="none" w:sz="0" w:space="0" w:color="auto"/>
      </w:divBdr>
    </w:div>
    <w:div w:id="931357912">
      <w:marLeft w:val="0"/>
      <w:marRight w:val="0"/>
      <w:marTop w:val="0"/>
      <w:marBottom w:val="0"/>
      <w:divBdr>
        <w:top w:val="none" w:sz="0" w:space="0" w:color="auto"/>
        <w:left w:val="none" w:sz="0" w:space="0" w:color="auto"/>
        <w:bottom w:val="none" w:sz="0" w:space="0" w:color="auto"/>
        <w:right w:val="none" w:sz="0" w:space="0" w:color="auto"/>
      </w:divBdr>
    </w:div>
    <w:div w:id="931357913">
      <w:marLeft w:val="0"/>
      <w:marRight w:val="0"/>
      <w:marTop w:val="0"/>
      <w:marBottom w:val="0"/>
      <w:divBdr>
        <w:top w:val="none" w:sz="0" w:space="0" w:color="auto"/>
        <w:left w:val="none" w:sz="0" w:space="0" w:color="auto"/>
        <w:bottom w:val="none" w:sz="0" w:space="0" w:color="auto"/>
        <w:right w:val="none" w:sz="0" w:space="0" w:color="auto"/>
      </w:divBdr>
    </w:div>
    <w:div w:id="931357914">
      <w:marLeft w:val="0"/>
      <w:marRight w:val="0"/>
      <w:marTop w:val="0"/>
      <w:marBottom w:val="0"/>
      <w:divBdr>
        <w:top w:val="none" w:sz="0" w:space="0" w:color="auto"/>
        <w:left w:val="none" w:sz="0" w:space="0" w:color="auto"/>
        <w:bottom w:val="none" w:sz="0" w:space="0" w:color="auto"/>
        <w:right w:val="none" w:sz="0" w:space="0" w:color="auto"/>
      </w:divBdr>
    </w:div>
    <w:div w:id="931357915">
      <w:marLeft w:val="0"/>
      <w:marRight w:val="0"/>
      <w:marTop w:val="0"/>
      <w:marBottom w:val="0"/>
      <w:divBdr>
        <w:top w:val="none" w:sz="0" w:space="0" w:color="auto"/>
        <w:left w:val="none" w:sz="0" w:space="0" w:color="auto"/>
        <w:bottom w:val="none" w:sz="0" w:space="0" w:color="auto"/>
        <w:right w:val="none" w:sz="0" w:space="0" w:color="auto"/>
      </w:divBdr>
    </w:div>
    <w:div w:id="942499273">
      <w:bodyDiv w:val="1"/>
      <w:marLeft w:val="0"/>
      <w:marRight w:val="0"/>
      <w:marTop w:val="0"/>
      <w:marBottom w:val="0"/>
      <w:divBdr>
        <w:top w:val="none" w:sz="0" w:space="0" w:color="auto"/>
        <w:left w:val="none" w:sz="0" w:space="0" w:color="auto"/>
        <w:bottom w:val="none" w:sz="0" w:space="0" w:color="auto"/>
        <w:right w:val="none" w:sz="0" w:space="0" w:color="auto"/>
      </w:divBdr>
    </w:div>
    <w:div w:id="944187982">
      <w:bodyDiv w:val="1"/>
      <w:marLeft w:val="0"/>
      <w:marRight w:val="0"/>
      <w:marTop w:val="0"/>
      <w:marBottom w:val="0"/>
      <w:divBdr>
        <w:top w:val="none" w:sz="0" w:space="0" w:color="auto"/>
        <w:left w:val="none" w:sz="0" w:space="0" w:color="auto"/>
        <w:bottom w:val="none" w:sz="0" w:space="0" w:color="auto"/>
        <w:right w:val="none" w:sz="0" w:space="0" w:color="auto"/>
      </w:divBdr>
    </w:div>
    <w:div w:id="964965737">
      <w:bodyDiv w:val="1"/>
      <w:marLeft w:val="0"/>
      <w:marRight w:val="0"/>
      <w:marTop w:val="0"/>
      <w:marBottom w:val="0"/>
      <w:divBdr>
        <w:top w:val="none" w:sz="0" w:space="0" w:color="auto"/>
        <w:left w:val="none" w:sz="0" w:space="0" w:color="auto"/>
        <w:bottom w:val="none" w:sz="0" w:space="0" w:color="auto"/>
        <w:right w:val="none" w:sz="0" w:space="0" w:color="auto"/>
      </w:divBdr>
    </w:div>
    <w:div w:id="973870741">
      <w:bodyDiv w:val="1"/>
      <w:marLeft w:val="0"/>
      <w:marRight w:val="0"/>
      <w:marTop w:val="0"/>
      <w:marBottom w:val="0"/>
      <w:divBdr>
        <w:top w:val="none" w:sz="0" w:space="0" w:color="auto"/>
        <w:left w:val="none" w:sz="0" w:space="0" w:color="auto"/>
        <w:bottom w:val="none" w:sz="0" w:space="0" w:color="auto"/>
        <w:right w:val="none" w:sz="0" w:space="0" w:color="auto"/>
      </w:divBdr>
    </w:div>
    <w:div w:id="1020744178">
      <w:bodyDiv w:val="1"/>
      <w:marLeft w:val="0"/>
      <w:marRight w:val="0"/>
      <w:marTop w:val="0"/>
      <w:marBottom w:val="0"/>
      <w:divBdr>
        <w:top w:val="none" w:sz="0" w:space="0" w:color="auto"/>
        <w:left w:val="none" w:sz="0" w:space="0" w:color="auto"/>
        <w:bottom w:val="none" w:sz="0" w:space="0" w:color="auto"/>
        <w:right w:val="none" w:sz="0" w:space="0" w:color="auto"/>
      </w:divBdr>
    </w:div>
    <w:div w:id="1052192158">
      <w:bodyDiv w:val="1"/>
      <w:marLeft w:val="0"/>
      <w:marRight w:val="0"/>
      <w:marTop w:val="0"/>
      <w:marBottom w:val="0"/>
      <w:divBdr>
        <w:top w:val="none" w:sz="0" w:space="0" w:color="auto"/>
        <w:left w:val="none" w:sz="0" w:space="0" w:color="auto"/>
        <w:bottom w:val="none" w:sz="0" w:space="0" w:color="auto"/>
        <w:right w:val="none" w:sz="0" w:space="0" w:color="auto"/>
      </w:divBdr>
    </w:div>
    <w:div w:id="1064373342">
      <w:bodyDiv w:val="1"/>
      <w:marLeft w:val="0"/>
      <w:marRight w:val="0"/>
      <w:marTop w:val="0"/>
      <w:marBottom w:val="0"/>
      <w:divBdr>
        <w:top w:val="none" w:sz="0" w:space="0" w:color="auto"/>
        <w:left w:val="none" w:sz="0" w:space="0" w:color="auto"/>
        <w:bottom w:val="none" w:sz="0" w:space="0" w:color="auto"/>
        <w:right w:val="none" w:sz="0" w:space="0" w:color="auto"/>
      </w:divBdr>
    </w:div>
    <w:div w:id="1163472046">
      <w:bodyDiv w:val="1"/>
      <w:marLeft w:val="0"/>
      <w:marRight w:val="0"/>
      <w:marTop w:val="0"/>
      <w:marBottom w:val="0"/>
      <w:divBdr>
        <w:top w:val="none" w:sz="0" w:space="0" w:color="auto"/>
        <w:left w:val="none" w:sz="0" w:space="0" w:color="auto"/>
        <w:bottom w:val="none" w:sz="0" w:space="0" w:color="auto"/>
        <w:right w:val="none" w:sz="0" w:space="0" w:color="auto"/>
      </w:divBdr>
    </w:div>
    <w:div w:id="1170483809">
      <w:bodyDiv w:val="1"/>
      <w:marLeft w:val="0"/>
      <w:marRight w:val="0"/>
      <w:marTop w:val="0"/>
      <w:marBottom w:val="0"/>
      <w:divBdr>
        <w:top w:val="none" w:sz="0" w:space="0" w:color="auto"/>
        <w:left w:val="none" w:sz="0" w:space="0" w:color="auto"/>
        <w:bottom w:val="none" w:sz="0" w:space="0" w:color="auto"/>
        <w:right w:val="none" w:sz="0" w:space="0" w:color="auto"/>
      </w:divBdr>
    </w:div>
    <w:div w:id="1206990705">
      <w:bodyDiv w:val="1"/>
      <w:marLeft w:val="0"/>
      <w:marRight w:val="0"/>
      <w:marTop w:val="0"/>
      <w:marBottom w:val="0"/>
      <w:divBdr>
        <w:top w:val="none" w:sz="0" w:space="0" w:color="auto"/>
        <w:left w:val="none" w:sz="0" w:space="0" w:color="auto"/>
        <w:bottom w:val="none" w:sz="0" w:space="0" w:color="auto"/>
        <w:right w:val="none" w:sz="0" w:space="0" w:color="auto"/>
      </w:divBdr>
    </w:div>
    <w:div w:id="1215234937">
      <w:bodyDiv w:val="1"/>
      <w:marLeft w:val="0"/>
      <w:marRight w:val="0"/>
      <w:marTop w:val="0"/>
      <w:marBottom w:val="0"/>
      <w:divBdr>
        <w:top w:val="none" w:sz="0" w:space="0" w:color="auto"/>
        <w:left w:val="none" w:sz="0" w:space="0" w:color="auto"/>
        <w:bottom w:val="none" w:sz="0" w:space="0" w:color="auto"/>
        <w:right w:val="none" w:sz="0" w:space="0" w:color="auto"/>
      </w:divBdr>
    </w:div>
    <w:div w:id="1227646378">
      <w:bodyDiv w:val="1"/>
      <w:marLeft w:val="0"/>
      <w:marRight w:val="0"/>
      <w:marTop w:val="0"/>
      <w:marBottom w:val="0"/>
      <w:divBdr>
        <w:top w:val="none" w:sz="0" w:space="0" w:color="auto"/>
        <w:left w:val="none" w:sz="0" w:space="0" w:color="auto"/>
        <w:bottom w:val="none" w:sz="0" w:space="0" w:color="auto"/>
        <w:right w:val="none" w:sz="0" w:space="0" w:color="auto"/>
      </w:divBdr>
    </w:div>
    <w:div w:id="1256666222">
      <w:bodyDiv w:val="1"/>
      <w:marLeft w:val="0"/>
      <w:marRight w:val="0"/>
      <w:marTop w:val="0"/>
      <w:marBottom w:val="0"/>
      <w:divBdr>
        <w:top w:val="none" w:sz="0" w:space="0" w:color="auto"/>
        <w:left w:val="none" w:sz="0" w:space="0" w:color="auto"/>
        <w:bottom w:val="none" w:sz="0" w:space="0" w:color="auto"/>
        <w:right w:val="none" w:sz="0" w:space="0" w:color="auto"/>
      </w:divBdr>
    </w:div>
    <w:div w:id="1295284799">
      <w:bodyDiv w:val="1"/>
      <w:marLeft w:val="0"/>
      <w:marRight w:val="0"/>
      <w:marTop w:val="0"/>
      <w:marBottom w:val="0"/>
      <w:divBdr>
        <w:top w:val="none" w:sz="0" w:space="0" w:color="auto"/>
        <w:left w:val="none" w:sz="0" w:space="0" w:color="auto"/>
        <w:bottom w:val="none" w:sz="0" w:space="0" w:color="auto"/>
        <w:right w:val="none" w:sz="0" w:space="0" w:color="auto"/>
      </w:divBdr>
      <w:divsChild>
        <w:div w:id="1184784733">
          <w:marLeft w:val="432"/>
          <w:marRight w:val="0"/>
          <w:marTop w:val="0"/>
          <w:marBottom w:val="0"/>
          <w:divBdr>
            <w:top w:val="none" w:sz="0" w:space="0" w:color="auto"/>
            <w:left w:val="none" w:sz="0" w:space="0" w:color="auto"/>
            <w:bottom w:val="none" w:sz="0" w:space="0" w:color="auto"/>
            <w:right w:val="none" w:sz="0" w:space="0" w:color="auto"/>
          </w:divBdr>
        </w:div>
      </w:divsChild>
    </w:div>
    <w:div w:id="1315642548">
      <w:bodyDiv w:val="1"/>
      <w:marLeft w:val="0"/>
      <w:marRight w:val="0"/>
      <w:marTop w:val="0"/>
      <w:marBottom w:val="0"/>
      <w:divBdr>
        <w:top w:val="none" w:sz="0" w:space="0" w:color="auto"/>
        <w:left w:val="none" w:sz="0" w:space="0" w:color="auto"/>
        <w:bottom w:val="none" w:sz="0" w:space="0" w:color="auto"/>
        <w:right w:val="none" w:sz="0" w:space="0" w:color="auto"/>
      </w:divBdr>
    </w:div>
    <w:div w:id="1324117608">
      <w:bodyDiv w:val="1"/>
      <w:marLeft w:val="0"/>
      <w:marRight w:val="0"/>
      <w:marTop w:val="0"/>
      <w:marBottom w:val="0"/>
      <w:divBdr>
        <w:top w:val="none" w:sz="0" w:space="0" w:color="auto"/>
        <w:left w:val="none" w:sz="0" w:space="0" w:color="auto"/>
        <w:bottom w:val="none" w:sz="0" w:space="0" w:color="auto"/>
        <w:right w:val="none" w:sz="0" w:space="0" w:color="auto"/>
      </w:divBdr>
    </w:div>
    <w:div w:id="1352952435">
      <w:bodyDiv w:val="1"/>
      <w:marLeft w:val="0"/>
      <w:marRight w:val="0"/>
      <w:marTop w:val="0"/>
      <w:marBottom w:val="0"/>
      <w:divBdr>
        <w:top w:val="none" w:sz="0" w:space="0" w:color="auto"/>
        <w:left w:val="none" w:sz="0" w:space="0" w:color="auto"/>
        <w:bottom w:val="none" w:sz="0" w:space="0" w:color="auto"/>
        <w:right w:val="none" w:sz="0" w:space="0" w:color="auto"/>
      </w:divBdr>
    </w:div>
    <w:div w:id="1356881586">
      <w:bodyDiv w:val="1"/>
      <w:marLeft w:val="0"/>
      <w:marRight w:val="0"/>
      <w:marTop w:val="0"/>
      <w:marBottom w:val="0"/>
      <w:divBdr>
        <w:top w:val="none" w:sz="0" w:space="0" w:color="auto"/>
        <w:left w:val="none" w:sz="0" w:space="0" w:color="auto"/>
        <w:bottom w:val="none" w:sz="0" w:space="0" w:color="auto"/>
        <w:right w:val="none" w:sz="0" w:space="0" w:color="auto"/>
      </w:divBdr>
    </w:div>
    <w:div w:id="1368066870">
      <w:bodyDiv w:val="1"/>
      <w:marLeft w:val="0"/>
      <w:marRight w:val="0"/>
      <w:marTop w:val="0"/>
      <w:marBottom w:val="0"/>
      <w:divBdr>
        <w:top w:val="none" w:sz="0" w:space="0" w:color="auto"/>
        <w:left w:val="none" w:sz="0" w:space="0" w:color="auto"/>
        <w:bottom w:val="none" w:sz="0" w:space="0" w:color="auto"/>
        <w:right w:val="none" w:sz="0" w:space="0" w:color="auto"/>
      </w:divBdr>
      <w:divsChild>
        <w:div w:id="97800416">
          <w:marLeft w:val="446"/>
          <w:marRight w:val="0"/>
          <w:marTop w:val="80"/>
          <w:marBottom w:val="80"/>
          <w:divBdr>
            <w:top w:val="none" w:sz="0" w:space="0" w:color="auto"/>
            <w:left w:val="none" w:sz="0" w:space="0" w:color="auto"/>
            <w:bottom w:val="none" w:sz="0" w:space="0" w:color="auto"/>
            <w:right w:val="none" w:sz="0" w:space="0" w:color="auto"/>
          </w:divBdr>
        </w:div>
        <w:div w:id="499581575">
          <w:marLeft w:val="446"/>
          <w:marRight w:val="0"/>
          <w:marTop w:val="80"/>
          <w:marBottom w:val="80"/>
          <w:divBdr>
            <w:top w:val="none" w:sz="0" w:space="0" w:color="auto"/>
            <w:left w:val="none" w:sz="0" w:space="0" w:color="auto"/>
            <w:bottom w:val="none" w:sz="0" w:space="0" w:color="auto"/>
            <w:right w:val="none" w:sz="0" w:space="0" w:color="auto"/>
          </w:divBdr>
        </w:div>
        <w:div w:id="718087096">
          <w:marLeft w:val="446"/>
          <w:marRight w:val="0"/>
          <w:marTop w:val="80"/>
          <w:marBottom w:val="80"/>
          <w:divBdr>
            <w:top w:val="none" w:sz="0" w:space="0" w:color="auto"/>
            <w:left w:val="none" w:sz="0" w:space="0" w:color="auto"/>
            <w:bottom w:val="none" w:sz="0" w:space="0" w:color="auto"/>
            <w:right w:val="none" w:sz="0" w:space="0" w:color="auto"/>
          </w:divBdr>
        </w:div>
      </w:divsChild>
    </w:div>
    <w:div w:id="1390032532">
      <w:bodyDiv w:val="1"/>
      <w:marLeft w:val="0"/>
      <w:marRight w:val="0"/>
      <w:marTop w:val="0"/>
      <w:marBottom w:val="0"/>
      <w:divBdr>
        <w:top w:val="none" w:sz="0" w:space="0" w:color="auto"/>
        <w:left w:val="none" w:sz="0" w:space="0" w:color="auto"/>
        <w:bottom w:val="none" w:sz="0" w:space="0" w:color="auto"/>
        <w:right w:val="none" w:sz="0" w:space="0" w:color="auto"/>
      </w:divBdr>
    </w:div>
    <w:div w:id="1431464571">
      <w:bodyDiv w:val="1"/>
      <w:marLeft w:val="0"/>
      <w:marRight w:val="0"/>
      <w:marTop w:val="0"/>
      <w:marBottom w:val="0"/>
      <w:divBdr>
        <w:top w:val="none" w:sz="0" w:space="0" w:color="auto"/>
        <w:left w:val="none" w:sz="0" w:space="0" w:color="auto"/>
        <w:bottom w:val="none" w:sz="0" w:space="0" w:color="auto"/>
        <w:right w:val="none" w:sz="0" w:space="0" w:color="auto"/>
      </w:divBdr>
    </w:div>
    <w:div w:id="1476683073">
      <w:bodyDiv w:val="1"/>
      <w:marLeft w:val="0"/>
      <w:marRight w:val="0"/>
      <w:marTop w:val="0"/>
      <w:marBottom w:val="0"/>
      <w:divBdr>
        <w:top w:val="none" w:sz="0" w:space="0" w:color="auto"/>
        <w:left w:val="none" w:sz="0" w:space="0" w:color="auto"/>
        <w:bottom w:val="none" w:sz="0" w:space="0" w:color="auto"/>
        <w:right w:val="none" w:sz="0" w:space="0" w:color="auto"/>
      </w:divBdr>
    </w:div>
    <w:div w:id="1543202622">
      <w:bodyDiv w:val="1"/>
      <w:marLeft w:val="0"/>
      <w:marRight w:val="0"/>
      <w:marTop w:val="0"/>
      <w:marBottom w:val="0"/>
      <w:divBdr>
        <w:top w:val="none" w:sz="0" w:space="0" w:color="auto"/>
        <w:left w:val="none" w:sz="0" w:space="0" w:color="auto"/>
        <w:bottom w:val="none" w:sz="0" w:space="0" w:color="auto"/>
        <w:right w:val="none" w:sz="0" w:space="0" w:color="auto"/>
      </w:divBdr>
      <w:divsChild>
        <w:div w:id="1269580473">
          <w:marLeft w:val="432"/>
          <w:marRight w:val="0"/>
          <w:marTop w:val="0"/>
          <w:marBottom w:val="0"/>
          <w:divBdr>
            <w:top w:val="none" w:sz="0" w:space="0" w:color="auto"/>
            <w:left w:val="none" w:sz="0" w:space="0" w:color="auto"/>
            <w:bottom w:val="none" w:sz="0" w:space="0" w:color="auto"/>
            <w:right w:val="none" w:sz="0" w:space="0" w:color="auto"/>
          </w:divBdr>
        </w:div>
      </w:divsChild>
    </w:div>
    <w:div w:id="1600135821">
      <w:bodyDiv w:val="1"/>
      <w:marLeft w:val="0"/>
      <w:marRight w:val="0"/>
      <w:marTop w:val="0"/>
      <w:marBottom w:val="0"/>
      <w:divBdr>
        <w:top w:val="none" w:sz="0" w:space="0" w:color="auto"/>
        <w:left w:val="none" w:sz="0" w:space="0" w:color="auto"/>
        <w:bottom w:val="none" w:sz="0" w:space="0" w:color="auto"/>
        <w:right w:val="none" w:sz="0" w:space="0" w:color="auto"/>
      </w:divBdr>
      <w:divsChild>
        <w:div w:id="1807508926">
          <w:marLeft w:val="432"/>
          <w:marRight w:val="0"/>
          <w:marTop w:val="0"/>
          <w:marBottom w:val="0"/>
          <w:divBdr>
            <w:top w:val="none" w:sz="0" w:space="0" w:color="auto"/>
            <w:left w:val="none" w:sz="0" w:space="0" w:color="auto"/>
            <w:bottom w:val="none" w:sz="0" w:space="0" w:color="auto"/>
            <w:right w:val="none" w:sz="0" w:space="0" w:color="auto"/>
          </w:divBdr>
        </w:div>
      </w:divsChild>
    </w:div>
    <w:div w:id="1606571380">
      <w:bodyDiv w:val="1"/>
      <w:marLeft w:val="0"/>
      <w:marRight w:val="0"/>
      <w:marTop w:val="0"/>
      <w:marBottom w:val="0"/>
      <w:divBdr>
        <w:top w:val="none" w:sz="0" w:space="0" w:color="auto"/>
        <w:left w:val="none" w:sz="0" w:space="0" w:color="auto"/>
        <w:bottom w:val="none" w:sz="0" w:space="0" w:color="auto"/>
        <w:right w:val="none" w:sz="0" w:space="0" w:color="auto"/>
      </w:divBdr>
    </w:div>
    <w:div w:id="1609464013">
      <w:bodyDiv w:val="1"/>
      <w:marLeft w:val="0"/>
      <w:marRight w:val="0"/>
      <w:marTop w:val="0"/>
      <w:marBottom w:val="0"/>
      <w:divBdr>
        <w:top w:val="none" w:sz="0" w:space="0" w:color="auto"/>
        <w:left w:val="none" w:sz="0" w:space="0" w:color="auto"/>
        <w:bottom w:val="none" w:sz="0" w:space="0" w:color="auto"/>
        <w:right w:val="none" w:sz="0" w:space="0" w:color="auto"/>
      </w:divBdr>
    </w:div>
    <w:div w:id="1627271447">
      <w:bodyDiv w:val="1"/>
      <w:marLeft w:val="0"/>
      <w:marRight w:val="0"/>
      <w:marTop w:val="0"/>
      <w:marBottom w:val="0"/>
      <w:divBdr>
        <w:top w:val="none" w:sz="0" w:space="0" w:color="auto"/>
        <w:left w:val="none" w:sz="0" w:space="0" w:color="auto"/>
        <w:bottom w:val="none" w:sz="0" w:space="0" w:color="auto"/>
        <w:right w:val="none" w:sz="0" w:space="0" w:color="auto"/>
      </w:divBdr>
    </w:div>
    <w:div w:id="1642923562">
      <w:bodyDiv w:val="1"/>
      <w:marLeft w:val="0"/>
      <w:marRight w:val="0"/>
      <w:marTop w:val="0"/>
      <w:marBottom w:val="0"/>
      <w:divBdr>
        <w:top w:val="none" w:sz="0" w:space="0" w:color="auto"/>
        <w:left w:val="none" w:sz="0" w:space="0" w:color="auto"/>
        <w:bottom w:val="none" w:sz="0" w:space="0" w:color="auto"/>
        <w:right w:val="none" w:sz="0" w:space="0" w:color="auto"/>
      </w:divBdr>
    </w:div>
    <w:div w:id="1646273587">
      <w:bodyDiv w:val="1"/>
      <w:marLeft w:val="0"/>
      <w:marRight w:val="0"/>
      <w:marTop w:val="0"/>
      <w:marBottom w:val="0"/>
      <w:divBdr>
        <w:top w:val="none" w:sz="0" w:space="0" w:color="auto"/>
        <w:left w:val="none" w:sz="0" w:space="0" w:color="auto"/>
        <w:bottom w:val="none" w:sz="0" w:space="0" w:color="auto"/>
        <w:right w:val="none" w:sz="0" w:space="0" w:color="auto"/>
      </w:divBdr>
    </w:div>
    <w:div w:id="1646474490">
      <w:bodyDiv w:val="1"/>
      <w:marLeft w:val="0"/>
      <w:marRight w:val="0"/>
      <w:marTop w:val="0"/>
      <w:marBottom w:val="0"/>
      <w:divBdr>
        <w:top w:val="none" w:sz="0" w:space="0" w:color="auto"/>
        <w:left w:val="none" w:sz="0" w:space="0" w:color="auto"/>
        <w:bottom w:val="none" w:sz="0" w:space="0" w:color="auto"/>
        <w:right w:val="none" w:sz="0" w:space="0" w:color="auto"/>
      </w:divBdr>
    </w:div>
    <w:div w:id="1699349081">
      <w:bodyDiv w:val="1"/>
      <w:marLeft w:val="0"/>
      <w:marRight w:val="0"/>
      <w:marTop w:val="0"/>
      <w:marBottom w:val="0"/>
      <w:divBdr>
        <w:top w:val="none" w:sz="0" w:space="0" w:color="auto"/>
        <w:left w:val="none" w:sz="0" w:space="0" w:color="auto"/>
        <w:bottom w:val="none" w:sz="0" w:space="0" w:color="auto"/>
        <w:right w:val="none" w:sz="0" w:space="0" w:color="auto"/>
      </w:divBdr>
    </w:div>
    <w:div w:id="1723670724">
      <w:bodyDiv w:val="1"/>
      <w:marLeft w:val="0"/>
      <w:marRight w:val="0"/>
      <w:marTop w:val="0"/>
      <w:marBottom w:val="0"/>
      <w:divBdr>
        <w:top w:val="none" w:sz="0" w:space="0" w:color="auto"/>
        <w:left w:val="none" w:sz="0" w:space="0" w:color="auto"/>
        <w:bottom w:val="none" w:sz="0" w:space="0" w:color="auto"/>
        <w:right w:val="none" w:sz="0" w:space="0" w:color="auto"/>
      </w:divBdr>
    </w:div>
    <w:div w:id="1727953237">
      <w:bodyDiv w:val="1"/>
      <w:marLeft w:val="0"/>
      <w:marRight w:val="0"/>
      <w:marTop w:val="0"/>
      <w:marBottom w:val="0"/>
      <w:divBdr>
        <w:top w:val="none" w:sz="0" w:space="0" w:color="auto"/>
        <w:left w:val="none" w:sz="0" w:space="0" w:color="auto"/>
        <w:bottom w:val="none" w:sz="0" w:space="0" w:color="auto"/>
        <w:right w:val="none" w:sz="0" w:space="0" w:color="auto"/>
      </w:divBdr>
    </w:div>
    <w:div w:id="1735161445">
      <w:bodyDiv w:val="1"/>
      <w:marLeft w:val="0"/>
      <w:marRight w:val="0"/>
      <w:marTop w:val="0"/>
      <w:marBottom w:val="0"/>
      <w:divBdr>
        <w:top w:val="none" w:sz="0" w:space="0" w:color="auto"/>
        <w:left w:val="none" w:sz="0" w:space="0" w:color="auto"/>
        <w:bottom w:val="none" w:sz="0" w:space="0" w:color="auto"/>
        <w:right w:val="none" w:sz="0" w:space="0" w:color="auto"/>
      </w:divBdr>
    </w:div>
    <w:div w:id="1785927435">
      <w:bodyDiv w:val="1"/>
      <w:marLeft w:val="0"/>
      <w:marRight w:val="0"/>
      <w:marTop w:val="0"/>
      <w:marBottom w:val="0"/>
      <w:divBdr>
        <w:top w:val="none" w:sz="0" w:space="0" w:color="auto"/>
        <w:left w:val="none" w:sz="0" w:space="0" w:color="auto"/>
        <w:bottom w:val="none" w:sz="0" w:space="0" w:color="auto"/>
        <w:right w:val="none" w:sz="0" w:space="0" w:color="auto"/>
      </w:divBdr>
    </w:div>
    <w:div w:id="1791437411">
      <w:bodyDiv w:val="1"/>
      <w:marLeft w:val="0"/>
      <w:marRight w:val="0"/>
      <w:marTop w:val="0"/>
      <w:marBottom w:val="0"/>
      <w:divBdr>
        <w:top w:val="none" w:sz="0" w:space="0" w:color="auto"/>
        <w:left w:val="none" w:sz="0" w:space="0" w:color="auto"/>
        <w:bottom w:val="none" w:sz="0" w:space="0" w:color="auto"/>
        <w:right w:val="none" w:sz="0" w:space="0" w:color="auto"/>
      </w:divBdr>
    </w:div>
    <w:div w:id="1794133448">
      <w:bodyDiv w:val="1"/>
      <w:marLeft w:val="0"/>
      <w:marRight w:val="0"/>
      <w:marTop w:val="0"/>
      <w:marBottom w:val="0"/>
      <w:divBdr>
        <w:top w:val="none" w:sz="0" w:space="0" w:color="auto"/>
        <w:left w:val="none" w:sz="0" w:space="0" w:color="auto"/>
        <w:bottom w:val="none" w:sz="0" w:space="0" w:color="auto"/>
        <w:right w:val="none" w:sz="0" w:space="0" w:color="auto"/>
      </w:divBdr>
      <w:divsChild>
        <w:div w:id="1591037840">
          <w:marLeft w:val="432"/>
          <w:marRight w:val="0"/>
          <w:marTop w:val="0"/>
          <w:marBottom w:val="0"/>
          <w:divBdr>
            <w:top w:val="none" w:sz="0" w:space="0" w:color="auto"/>
            <w:left w:val="none" w:sz="0" w:space="0" w:color="auto"/>
            <w:bottom w:val="none" w:sz="0" w:space="0" w:color="auto"/>
            <w:right w:val="none" w:sz="0" w:space="0" w:color="auto"/>
          </w:divBdr>
        </w:div>
      </w:divsChild>
    </w:div>
    <w:div w:id="1805082364">
      <w:bodyDiv w:val="1"/>
      <w:marLeft w:val="0"/>
      <w:marRight w:val="0"/>
      <w:marTop w:val="0"/>
      <w:marBottom w:val="0"/>
      <w:divBdr>
        <w:top w:val="none" w:sz="0" w:space="0" w:color="auto"/>
        <w:left w:val="none" w:sz="0" w:space="0" w:color="auto"/>
        <w:bottom w:val="none" w:sz="0" w:space="0" w:color="auto"/>
        <w:right w:val="none" w:sz="0" w:space="0" w:color="auto"/>
      </w:divBdr>
      <w:divsChild>
        <w:div w:id="1785690166">
          <w:marLeft w:val="432"/>
          <w:marRight w:val="0"/>
          <w:marTop w:val="0"/>
          <w:marBottom w:val="0"/>
          <w:divBdr>
            <w:top w:val="none" w:sz="0" w:space="0" w:color="auto"/>
            <w:left w:val="none" w:sz="0" w:space="0" w:color="auto"/>
            <w:bottom w:val="none" w:sz="0" w:space="0" w:color="auto"/>
            <w:right w:val="none" w:sz="0" w:space="0" w:color="auto"/>
          </w:divBdr>
        </w:div>
      </w:divsChild>
    </w:div>
    <w:div w:id="1870677722">
      <w:bodyDiv w:val="1"/>
      <w:marLeft w:val="0"/>
      <w:marRight w:val="0"/>
      <w:marTop w:val="0"/>
      <w:marBottom w:val="0"/>
      <w:divBdr>
        <w:top w:val="none" w:sz="0" w:space="0" w:color="auto"/>
        <w:left w:val="none" w:sz="0" w:space="0" w:color="auto"/>
        <w:bottom w:val="none" w:sz="0" w:space="0" w:color="auto"/>
        <w:right w:val="none" w:sz="0" w:space="0" w:color="auto"/>
      </w:divBdr>
    </w:div>
    <w:div w:id="1940945870">
      <w:bodyDiv w:val="1"/>
      <w:marLeft w:val="0"/>
      <w:marRight w:val="0"/>
      <w:marTop w:val="0"/>
      <w:marBottom w:val="0"/>
      <w:divBdr>
        <w:top w:val="none" w:sz="0" w:space="0" w:color="auto"/>
        <w:left w:val="none" w:sz="0" w:space="0" w:color="auto"/>
        <w:bottom w:val="none" w:sz="0" w:space="0" w:color="auto"/>
        <w:right w:val="none" w:sz="0" w:space="0" w:color="auto"/>
      </w:divBdr>
    </w:div>
    <w:div w:id="1970699657">
      <w:bodyDiv w:val="1"/>
      <w:marLeft w:val="0"/>
      <w:marRight w:val="0"/>
      <w:marTop w:val="0"/>
      <w:marBottom w:val="0"/>
      <w:divBdr>
        <w:top w:val="none" w:sz="0" w:space="0" w:color="auto"/>
        <w:left w:val="none" w:sz="0" w:space="0" w:color="auto"/>
        <w:bottom w:val="none" w:sz="0" w:space="0" w:color="auto"/>
        <w:right w:val="none" w:sz="0" w:space="0" w:color="auto"/>
      </w:divBdr>
    </w:div>
    <w:div w:id="1992708439">
      <w:bodyDiv w:val="1"/>
      <w:marLeft w:val="0"/>
      <w:marRight w:val="0"/>
      <w:marTop w:val="0"/>
      <w:marBottom w:val="0"/>
      <w:divBdr>
        <w:top w:val="none" w:sz="0" w:space="0" w:color="auto"/>
        <w:left w:val="none" w:sz="0" w:space="0" w:color="auto"/>
        <w:bottom w:val="none" w:sz="0" w:space="0" w:color="auto"/>
        <w:right w:val="none" w:sz="0" w:space="0" w:color="auto"/>
      </w:divBdr>
      <w:divsChild>
        <w:div w:id="1428961394">
          <w:marLeft w:val="432"/>
          <w:marRight w:val="0"/>
          <w:marTop w:val="0"/>
          <w:marBottom w:val="0"/>
          <w:divBdr>
            <w:top w:val="none" w:sz="0" w:space="0" w:color="auto"/>
            <w:left w:val="none" w:sz="0" w:space="0" w:color="auto"/>
            <w:bottom w:val="none" w:sz="0" w:space="0" w:color="auto"/>
            <w:right w:val="none" w:sz="0" w:space="0" w:color="auto"/>
          </w:divBdr>
        </w:div>
      </w:divsChild>
    </w:div>
    <w:div w:id="2045783415">
      <w:bodyDiv w:val="1"/>
      <w:marLeft w:val="0"/>
      <w:marRight w:val="0"/>
      <w:marTop w:val="0"/>
      <w:marBottom w:val="0"/>
      <w:divBdr>
        <w:top w:val="none" w:sz="0" w:space="0" w:color="auto"/>
        <w:left w:val="none" w:sz="0" w:space="0" w:color="auto"/>
        <w:bottom w:val="none" w:sz="0" w:space="0" w:color="auto"/>
        <w:right w:val="none" w:sz="0" w:space="0" w:color="auto"/>
      </w:divBdr>
    </w:div>
    <w:div w:id="2142770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6.xml"/><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2.wmf"/><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5.xml"/><Relationship Id="rId33" Type="http://schemas.openxmlformats.org/officeDocument/2006/relationships/chart" Target="charts/chart22.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4.xml"/><Relationship Id="rId32" Type="http://schemas.openxmlformats.org/officeDocument/2006/relationships/chart" Target="charts/chart2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image" Target="media/image3.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oleObject" Target="file:///\\main.minfin.ru\minfin\DiskL\15\Working\Macro\WorkingFilesOnMacro\SectorEmployment_annual.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1044;&#1080;&#1072;&#1075;&#1088;&#1072;&#1084;&#1084;&#1072;%20&#1074;%20Microsoft%20PowerPoint"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1044;&#1080;&#1072;&#1075;&#1088;&#1072;&#1084;&#1084;&#1072;%20&#1074;%20Microsoft%20PowerPoint"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1057;&#1090;&#1072;&#1090;&#1100;&#1080;%20&#1074;%20&#1088;&#1072;&#1073;&#1086;&#1090;&#1077;\&#1062;&#1077;&#1085;&#1099;%20&#1085;&#1072;%20&#1085;&#1077;&#1092;&#1090;&#1100;%20-%20&#1073;&#1102;&#1076;&#1078;&#1077;&#1090;\&#1094;&#1077;&#1085;&#1099;%20%20&#1085;&#1072;%20&#1085;&#1077;&#1092;&#1090;&#1100;%20%20&#1080;%20&#1080;&#1085;&#1074;&#1077;&#1089;&#1090;&#1080;&#1094;&#1080;&#108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inFin\OneDrive\Oil_my\&#1052;&#1072;&#1088;&#1078;&#1080;&#1085;&#1072;&#1083;&#1100;&#1085;&#1072;&#1103;%20&#1082;&#1088;&#1080;&#1074;&#1072;&#1103;%20G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OneDrive\Oil_my\Model\June2017_model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F:\15\Working\Macro\WorkingFilesOnMacro\Demographics\Demographics_n.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15\Working\Macro\WorkingFilesOnMacro\Demographics\Demographics_n.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VTBC_OfficeComp\Research\Economy&amp;strategy\Main\Russia_presentations\&#1050;&#1085;&#1080;&#1075;&#1072;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Work\Macro\WorkingFilesOnMacro\ULC.LEAN2006.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main.minfin.ru\minfin\DiskL\15\Working\BudgetProcess\2017_2019\&#1048;&#1085;&#1090;&#1077;&#1088;&#1074;&#1077;&#1085;&#1094;&#1080;&#1080;&#1051;&#1080;&#1082;&#1074;&#1080;&#1076;&#1085;&#1086;&#1089;&#1090;&#1100;&#1041;&#1055;_17061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main.minfin.ru\minfin\DiskL\15\Working\Macro\WorkingFilesOnMacro\SectorEmployment_annual.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main.minfin.ru\minfin\DiskL\15\Working\&#1047;&#1072;&#1087;&#1080;&#1089;&#1091;&#1083;&#1080;\&#1057;&#1090;&#1088;&#1091;&#1082;&#1090;&#1091;&#1088;&#1085;&#1099;&#1077;&#1056;&#1077;&#1092;&#1086;&#1088;&#1084;&#1099;\&#1053;&#1072;&#1083;&#1086;&#1075;&#1080;\&#1053;&#1072;&#1083;&#1086;&#1075;&#1080;_&#1089;&#1088;&#1072;&#1074;&#1085;&#1077;&#1085;&#1080;&#1077;.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main.minfin.ru\minfin\DiskL\15\Working\&#1047;&#1072;&#1087;&#1080;&#1089;&#1091;&#1083;&#1080;\&#1057;&#1090;&#1088;&#1091;&#1082;&#1090;&#1091;&#1088;&#1085;&#1099;&#1077;&#1056;&#1077;&#1092;&#1086;&#1088;&#1084;&#1099;\&#1053;&#1072;&#1083;&#1086;&#1075;&#1080;\&#1053;&#1072;&#1083;&#1086;&#1075;&#1080;_&#1089;&#1088;&#1072;&#1074;&#1085;&#1077;&#1085;&#1080;&#1077;.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F:\15\Working\BudgetProcess\Divs\&#1044;&#1080;&#1074;&#1080;&#1076;&#1077;&#1085;&#1076;&#1099;&#1050;&#1088;&#1091;&#1087;&#1085;&#1099;&#1093;&#1043;&#1086;&#1089;&#1082;&#1086;&#1084;&#1087;&#1072;&#1085;&#1080;&#1081;.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main.minfin.ru\minfin\DiskL\15\Working\trash\&#1076;&#1083;&#1103;%20&#1088;&#1086;&#1083;&#1080;&#1082;&#1072;.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main.minfin.ru\minfin\DiskL\15\Working\Macro\&#1040;&#1088;&#1080;&#1082;\trade_by_countri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vvkol_000\Downloads\170701-Fiscal_breakeve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inFin\OneDrive\&#1058;&#1077;&#1082;&#1091;&#1097;&#1077;&#1077;\Fiscal_BreakEven\170701-Fiscal_breakeve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0374\AppData\Roaming\Microsoft\Excel\&#1056;&#1080;&#1089;%20(version%201).xlsb"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main.minfin.ru\minfin\DiskL\15\Working\BudgetProcess\2018_2020\3.%20&#1054;&#1053;&#1041;&#1053;&#1080;&#1058;&#1058;&#1055;\&#1053;&#1044;&#1057;%20&#1080;%20&#1040;&#1083;&#1082;&#1086;&#1075;&#1086;&#1083;&#110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main.minfin.ru\minfin\DiskL\15\Working\BudgetProcess\2018_2020\3.%20&#1054;&#1053;&#1041;&#1053;&#1080;&#1058;&#1058;&#1055;\&#1053;&#1044;&#1057;%20&#1080;%20&#1040;&#1083;&#1082;&#1086;&#1075;&#1086;&#1083;&#110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06465778316171"/>
          <c:y val="5.0925925925925923E-2"/>
          <c:w val="0.85267893196042799"/>
          <c:h val="0.76297098279381748"/>
        </c:manualLayout>
      </c:layout>
      <c:barChart>
        <c:barDir val="col"/>
        <c:grouping val="stacked"/>
        <c:varyColors val="0"/>
        <c:ser>
          <c:idx val="0"/>
          <c:order val="0"/>
          <c:tx>
            <c:strRef>
              <c:f>WebCDM!$B$39</c:f>
              <c:strCache>
                <c:ptCount val="1"/>
                <c:pt idx="0">
                  <c:v>оплата труда</c:v>
                </c:pt>
              </c:strCache>
            </c:strRef>
          </c:tx>
          <c:spPr>
            <a:solidFill>
              <a:schemeClr val="accent1">
                <a:lumMod val="60000"/>
                <a:lumOff val="40000"/>
              </a:schemeClr>
            </a:solidFill>
            <a:ln>
              <a:noFill/>
            </a:ln>
            <a:effectLst/>
          </c:spPr>
          <c:invertIfNegative val="0"/>
          <c:dLbls>
            <c:numFmt formatCode="#,##0.0" sourceLinked="0"/>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WebCDM!$A$48:$A$53</c:f>
              <c:strCache>
                <c:ptCount val="6"/>
                <c:pt idx="0">
                  <c:v>1997*</c:v>
                </c:pt>
                <c:pt idx="1">
                  <c:v>2000*</c:v>
                </c:pt>
                <c:pt idx="2">
                  <c:v>2007*</c:v>
                </c:pt>
                <c:pt idx="3">
                  <c:v>2014</c:v>
                </c:pt>
                <c:pt idx="4">
                  <c:v>2015</c:v>
                </c:pt>
                <c:pt idx="5">
                  <c:v>2016</c:v>
                </c:pt>
              </c:strCache>
            </c:strRef>
          </c:cat>
          <c:val>
            <c:numRef>
              <c:f>WebCDM!$B$48:$B$53</c:f>
              <c:numCache>
                <c:formatCode>0.0</c:formatCode>
                <c:ptCount val="6"/>
                <c:pt idx="0">
                  <c:v>44.75788435625401</c:v>
                </c:pt>
                <c:pt idx="1">
                  <c:v>33.742268217328707</c:v>
                </c:pt>
                <c:pt idx="2">
                  <c:v>40.754988736208674</c:v>
                </c:pt>
                <c:pt idx="3">
                  <c:v>47.206234337789105</c:v>
                </c:pt>
                <c:pt idx="4">
                  <c:v>45.765053350733034</c:v>
                </c:pt>
                <c:pt idx="5">
                  <c:v>47.393722974859486</c:v>
                </c:pt>
              </c:numCache>
            </c:numRef>
          </c:val>
          <c:extLst xmlns:c16r2="http://schemas.microsoft.com/office/drawing/2015/06/chart">
            <c:ext xmlns:c16="http://schemas.microsoft.com/office/drawing/2014/chart" uri="{C3380CC4-5D6E-409C-BE32-E72D297353CC}">
              <c16:uniqueId val="{00000000-31B2-48DC-ADB6-52E11ED645E6}"/>
            </c:ext>
          </c:extLst>
        </c:ser>
        <c:ser>
          <c:idx val="1"/>
          <c:order val="1"/>
          <c:tx>
            <c:strRef>
              <c:f>WebCDM!$C$39</c:f>
              <c:strCache>
                <c:ptCount val="1"/>
                <c:pt idx="0">
                  <c:v>налоги на производство и импорт</c:v>
                </c:pt>
              </c:strCache>
            </c:strRef>
          </c:tx>
          <c:spPr>
            <a:solidFill>
              <a:schemeClr val="bg2">
                <a:lumMod val="50000"/>
              </a:schemeClr>
            </a:solidFill>
            <a:ln>
              <a:noFill/>
            </a:ln>
            <a:effectLst/>
          </c:spPr>
          <c:invertIfNegative val="0"/>
          <c:dLbls>
            <c:numFmt formatCode="#,##0.0" sourceLinked="0"/>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WebCDM!$A$48:$A$53</c:f>
              <c:strCache>
                <c:ptCount val="6"/>
                <c:pt idx="0">
                  <c:v>1997*</c:v>
                </c:pt>
                <c:pt idx="1">
                  <c:v>2000*</c:v>
                </c:pt>
                <c:pt idx="2">
                  <c:v>2007*</c:v>
                </c:pt>
                <c:pt idx="3">
                  <c:v>2014</c:v>
                </c:pt>
                <c:pt idx="4">
                  <c:v>2015</c:v>
                </c:pt>
                <c:pt idx="5">
                  <c:v>2016</c:v>
                </c:pt>
              </c:strCache>
            </c:strRef>
          </c:cat>
          <c:val>
            <c:numRef>
              <c:f>WebCDM!$C$48:$C$53</c:f>
              <c:numCache>
                <c:formatCode>0.0</c:formatCode>
                <c:ptCount val="6"/>
                <c:pt idx="0">
                  <c:v>11.33197231105726</c:v>
                </c:pt>
                <c:pt idx="1">
                  <c:v>12.25967501427983</c:v>
                </c:pt>
                <c:pt idx="2">
                  <c:v>14.212400373862913</c:v>
                </c:pt>
                <c:pt idx="3">
                  <c:v>13.894302492606126</c:v>
                </c:pt>
                <c:pt idx="4">
                  <c:v>11.14069429418314</c:v>
                </c:pt>
                <c:pt idx="5">
                  <c:v>10.940086021195693</c:v>
                </c:pt>
              </c:numCache>
            </c:numRef>
          </c:val>
          <c:extLst xmlns:c16r2="http://schemas.microsoft.com/office/drawing/2015/06/chart">
            <c:ext xmlns:c16="http://schemas.microsoft.com/office/drawing/2014/chart" uri="{C3380CC4-5D6E-409C-BE32-E72D297353CC}">
              <c16:uniqueId val="{00000001-31B2-48DC-ADB6-52E11ED645E6}"/>
            </c:ext>
          </c:extLst>
        </c:ser>
        <c:ser>
          <c:idx val="2"/>
          <c:order val="2"/>
          <c:tx>
            <c:strRef>
              <c:f>WebCDM!$D$39</c:f>
              <c:strCache>
                <c:ptCount val="1"/>
                <c:pt idx="0">
                  <c:v>прибыль</c:v>
                </c:pt>
              </c:strCache>
            </c:strRef>
          </c:tx>
          <c:spPr>
            <a:solidFill>
              <a:schemeClr val="bg1">
                <a:lumMod val="65000"/>
              </a:schemeClr>
            </a:solidFill>
            <a:ln>
              <a:noFill/>
            </a:ln>
            <a:effectLst/>
          </c:spPr>
          <c:invertIfNegative val="0"/>
          <c:dLbls>
            <c:numFmt formatCode="#,##0.0" sourceLinked="0"/>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WebCDM!$A$48:$A$53</c:f>
              <c:strCache>
                <c:ptCount val="6"/>
                <c:pt idx="0">
                  <c:v>1997*</c:v>
                </c:pt>
                <c:pt idx="1">
                  <c:v>2000*</c:v>
                </c:pt>
                <c:pt idx="2">
                  <c:v>2007*</c:v>
                </c:pt>
                <c:pt idx="3">
                  <c:v>2014</c:v>
                </c:pt>
                <c:pt idx="4">
                  <c:v>2015</c:v>
                </c:pt>
                <c:pt idx="5">
                  <c:v>2016</c:v>
                </c:pt>
              </c:strCache>
            </c:strRef>
          </c:cat>
          <c:val>
            <c:numRef>
              <c:f>WebCDM!$D$48:$D$53</c:f>
              <c:numCache>
                <c:formatCode>0.0</c:formatCode>
                <c:ptCount val="6"/>
                <c:pt idx="0">
                  <c:v>43.910143332688733</c:v>
                </c:pt>
                <c:pt idx="1">
                  <c:v>53.998056768391464</c:v>
                </c:pt>
                <c:pt idx="2">
                  <c:v>45.032610889928407</c:v>
                </c:pt>
                <c:pt idx="3">
                  <c:v>38.89947579592183</c:v>
                </c:pt>
                <c:pt idx="4">
                  <c:v>43.094222318782549</c:v>
                </c:pt>
                <c:pt idx="5">
                  <c:v>41.666184030739856</c:v>
                </c:pt>
              </c:numCache>
            </c:numRef>
          </c:val>
          <c:extLst xmlns:c16r2="http://schemas.microsoft.com/office/drawing/2015/06/chart">
            <c:ext xmlns:c16="http://schemas.microsoft.com/office/drawing/2014/chart" uri="{C3380CC4-5D6E-409C-BE32-E72D297353CC}">
              <c16:uniqueId val="{00000002-31B2-48DC-ADB6-52E11ED645E6}"/>
            </c:ext>
          </c:extLst>
        </c:ser>
        <c:dLbls>
          <c:dLblPos val="ctr"/>
          <c:showLegendKey val="0"/>
          <c:showVal val="1"/>
          <c:showCatName val="0"/>
          <c:showSerName val="0"/>
          <c:showPercent val="0"/>
          <c:showBubbleSize val="0"/>
        </c:dLbls>
        <c:gapWidth val="40"/>
        <c:overlap val="100"/>
        <c:axId val="127048320"/>
        <c:axId val="128319872"/>
      </c:barChart>
      <c:catAx>
        <c:axId val="12704832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28319872"/>
        <c:crosses val="autoZero"/>
        <c:auto val="1"/>
        <c:lblAlgn val="ctr"/>
        <c:lblOffset val="100"/>
        <c:noMultiLvlLbl val="0"/>
      </c:catAx>
      <c:valAx>
        <c:axId val="128319872"/>
        <c:scaling>
          <c:orientation val="minMax"/>
          <c:max val="100"/>
        </c:scaling>
        <c:delete val="0"/>
        <c:axPos val="l"/>
        <c:numFmt formatCode="#,##0" sourceLinked="0"/>
        <c:majorTickMark val="none"/>
        <c:minorTickMark val="none"/>
        <c:tickLblPos val="nextTo"/>
        <c:spPr>
          <a:noFill/>
          <a:ln>
            <a:noFill/>
          </a:ln>
          <a:effectLst/>
        </c:spPr>
        <c:txPr>
          <a:bodyPr rot="-60000000" vert="horz"/>
          <a:lstStyle/>
          <a:p>
            <a:pPr>
              <a:defRPr/>
            </a:pPr>
            <a:endParaRPr lang="ru-RU"/>
          </a:p>
        </c:txPr>
        <c:crossAx val="127048320"/>
        <c:crosses val="autoZero"/>
        <c:crossBetween val="between"/>
      </c:valAx>
      <c:spPr>
        <a:noFill/>
        <a:ln>
          <a:noFill/>
        </a:ln>
        <a:effectLst/>
      </c:spPr>
    </c:plotArea>
    <c:legend>
      <c:legendPos val="b"/>
      <c:layout>
        <c:manualLayout>
          <c:xMode val="edge"/>
          <c:yMode val="edge"/>
          <c:x val="7.5321017565112058E-2"/>
          <c:y val="0.88020778652668419"/>
          <c:w val="0.89999989836122718"/>
          <c:h val="7.9690007613096928E-2"/>
        </c:manualLayout>
      </c:layout>
      <c:overlay val="0"/>
      <c:spPr>
        <a:noFill/>
        <a:ln>
          <a:noFill/>
        </a:ln>
        <a:effectLst/>
      </c:spPr>
      <c:txPr>
        <a:bodyPr rot="0" vert="horz"/>
        <a:lstStyle/>
        <a:p>
          <a:pPr>
            <a:defRPr/>
          </a:pPr>
          <a:endParaRPr lang="ru-RU"/>
        </a:p>
      </c:txPr>
    </c:legend>
    <c:plotVisOnly val="1"/>
    <c:dispBlanksAs val="gap"/>
    <c:showDLblsOverMax val="0"/>
  </c:chart>
  <c:spPr>
    <a:solidFill>
      <a:sysClr val="window" lastClr="FFFFFF">
        <a:lumMod val="95000"/>
      </a:sysClr>
    </a:solidFill>
    <a:ln w="9525" cap="flat" cmpd="sng" algn="ctr">
      <a:noFill/>
      <a:round/>
    </a:ln>
    <a:effectLst/>
  </c:spPr>
  <c:txPr>
    <a:bodyPr/>
    <a:lstStyle/>
    <a:p>
      <a:pPr>
        <a:defRPr sz="600">
          <a:solidFill>
            <a:sysClr val="windowText" lastClr="000000"/>
          </a:solidFill>
          <a:latin typeface="Century" panose="02040604050505020304"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125937660159337E-2"/>
          <c:y val="3.9024388991407997E-2"/>
          <c:w val="0.82423333178027303"/>
          <c:h val="0.70533573187185095"/>
        </c:manualLayout>
      </c:layout>
      <c:barChart>
        <c:barDir val="col"/>
        <c:grouping val="clustered"/>
        <c:varyColors val="0"/>
        <c:ser>
          <c:idx val="0"/>
          <c:order val="0"/>
          <c:tx>
            <c:strRef>
              <c:f>'[Диаграмма в Microsoft PowerPoint]Лист1'!$B$1</c:f>
              <c:strCache>
                <c:ptCount val="1"/>
                <c:pt idx="0">
                  <c:v>дефицит дефицитных субъектов</c:v>
                </c:pt>
              </c:strCache>
            </c:strRef>
          </c:tx>
          <c:spPr>
            <a:solidFill>
              <a:srgbClr val="006600"/>
            </a:solidFill>
            <a:ln>
              <a:noFill/>
            </a:ln>
          </c:spPr>
          <c:invertIfNegative val="0"/>
          <c:cat>
            <c:numRef>
              <c:f>'[Диаграмма в Microsoft PowerPoint]Лист1'!$A$2:$A$5</c:f>
              <c:numCache>
                <c:formatCode>General</c:formatCode>
                <c:ptCount val="4"/>
                <c:pt idx="0">
                  <c:v>2013</c:v>
                </c:pt>
                <c:pt idx="1">
                  <c:v>2014</c:v>
                </c:pt>
                <c:pt idx="2">
                  <c:v>2015</c:v>
                </c:pt>
                <c:pt idx="3">
                  <c:v>2016</c:v>
                </c:pt>
              </c:numCache>
            </c:numRef>
          </c:cat>
          <c:val>
            <c:numRef>
              <c:f>'[Диаграмма в Microsoft PowerPoint]Лист1'!$B$2:$B$5</c:f>
              <c:numCache>
                <c:formatCode>0.0</c:formatCode>
                <c:ptCount val="4"/>
                <c:pt idx="0">
                  <c:v>-668.14</c:v>
                </c:pt>
                <c:pt idx="1">
                  <c:v>-523.59</c:v>
                </c:pt>
                <c:pt idx="2">
                  <c:v>-370.52</c:v>
                </c:pt>
                <c:pt idx="3">
                  <c:v>-201.41</c:v>
                </c:pt>
              </c:numCache>
            </c:numRef>
          </c:val>
          <c:extLst xmlns:c16r2="http://schemas.microsoft.com/office/drawing/2015/06/chart">
            <c:ext xmlns:c16="http://schemas.microsoft.com/office/drawing/2014/chart" uri="{C3380CC4-5D6E-409C-BE32-E72D297353CC}">
              <c16:uniqueId val="{00000000-E2F7-41D0-90F8-60BF328C6804}"/>
            </c:ext>
          </c:extLst>
        </c:ser>
        <c:ser>
          <c:idx val="1"/>
          <c:order val="1"/>
          <c:tx>
            <c:strRef>
              <c:f>'[Диаграмма в Microsoft PowerPoint]Лист1'!$C$1</c:f>
              <c:strCache>
                <c:ptCount val="1"/>
                <c:pt idx="0">
                  <c:v>дефицит</c:v>
                </c:pt>
              </c:strCache>
            </c:strRef>
          </c:tx>
          <c:spPr>
            <a:solidFill>
              <a:schemeClr val="bg2">
                <a:lumMod val="50000"/>
              </a:schemeClr>
            </a:solidFill>
            <a:ln>
              <a:noFill/>
            </a:ln>
          </c:spPr>
          <c:invertIfNegative val="0"/>
          <c:cat>
            <c:numRef>
              <c:f>'[Диаграмма в Microsoft PowerPoint]Лист1'!$A$2:$A$5</c:f>
              <c:numCache>
                <c:formatCode>General</c:formatCode>
                <c:ptCount val="4"/>
                <c:pt idx="0">
                  <c:v>2013</c:v>
                </c:pt>
                <c:pt idx="1">
                  <c:v>2014</c:v>
                </c:pt>
                <c:pt idx="2">
                  <c:v>2015</c:v>
                </c:pt>
                <c:pt idx="3">
                  <c:v>2016</c:v>
                </c:pt>
              </c:numCache>
            </c:numRef>
          </c:cat>
          <c:val>
            <c:numRef>
              <c:f>'[Диаграмма в Microsoft PowerPoint]Лист1'!$C$2:$C$5</c:f>
              <c:numCache>
                <c:formatCode>0.0</c:formatCode>
                <c:ptCount val="4"/>
                <c:pt idx="0">
                  <c:v>-641.48</c:v>
                </c:pt>
                <c:pt idx="1">
                  <c:v>-447.55</c:v>
                </c:pt>
                <c:pt idx="2">
                  <c:v>-171.48</c:v>
                </c:pt>
                <c:pt idx="3">
                  <c:v>-12.46</c:v>
                </c:pt>
              </c:numCache>
            </c:numRef>
          </c:val>
          <c:extLst xmlns:c16r2="http://schemas.microsoft.com/office/drawing/2015/06/chart">
            <c:ext xmlns:c16="http://schemas.microsoft.com/office/drawing/2014/chart" uri="{C3380CC4-5D6E-409C-BE32-E72D297353CC}">
              <c16:uniqueId val="{00000001-E2F7-41D0-90F8-60BF328C6804}"/>
            </c:ext>
          </c:extLst>
        </c:ser>
        <c:dLbls>
          <c:showLegendKey val="0"/>
          <c:showVal val="0"/>
          <c:showCatName val="0"/>
          <c:showSerName val="0"/>
          <c:showPercent val="0"/>
          <c:showBubbleSize val="0"/>
        </c:dLbls>
        <c:gapWidth val="40"/>
        <c:axId val="133107072"/>
        <c:axId val="133117440"/>
      </c:barChart>
      <c:lineChart>
        <c:grouping val="standard"/>
        <c:varyColors val="0"/>
        <c:ser>
          <c:idx val="2"/>
          <c:order val="2"/>
          <c:tx>
            <c:strRef>
              <c:f>'[Диаграмма в Microsoft PowerPoint]Лист1'!$D$1</c:f>
              <c:strCache>
                <c:ptCount val="1"/>
                <c:pt idx="0">
                  <c:v>дефицит к собственным доходам (пр.шк.)</c:v>
                </c:pt>
              </c:strCache>
            </c:strRef>
          </c:tx>
          <c:spPr>
            <a:ln w="19050">
              <a:solidFill>
                <a:schemeClr val="tx1"/>
              </a:solidFill>
            </a:ln>
          </c:spPr>
          <c:marker>
            <c:symbol val="circle"/>
            <c:size val="6"/>
            <c:spPr>
              <a:solidFill>
                <a:schemeClr val="bg1"/>
              </a:solidFill>
              <a:ln>
                <a:solidFill>
                  <a:schemeClr val="tx1"/>
                </a:solidFill>
              </a:ln>
            </c:spPr>
          </c:marker>
          <c:cat>
            <c:numRef>
              <c:f>'[Диаграмма в Microsoft PowerPoint]Лист1'!$A$2:$A$5</c:f>
              <c:numCache>
                <c:formatCode>General</c:formatCode>
                <c:ptCount val="4"/>
                <c:pt idx="0">
                  <c:v>2013</c:v>
                </c:pt>
                <c:pt idx="1">
                  <c:v>2014</c:v>
                </c:pt>
                <c:pt idx="2">
                  <c:v>2015</c:v>
                </c:pt>
                <c:pt idx="3">
                  <c:v>2016</c:v>
                </c:pt>
              </c:numCache>
            </c:numRef>
          </c:cat>
          <c:val>
            <c:numRef>
              <c:f>'[Диаграмма в Microsoft PowerPoint]Лист1'!$D$2:$D$5</c:f>
              <c:numCache>
                <c:formatCode>0.0%</c:formatCode>
                <c:ptCount val="4"/>
                <c:pt idx="0">
                  <c:v>-9.7000000000000003E-2</c:v>
                </c:pt>
                <c:pt idx="1">
                  <c:v>-6.2E-2</c:v>
                </c:pt>
                <c:pt idx="2">
                  <c:v>-2.1999999999999999E-2</c:v>
                </c:pt>
                <c:pt idx="3">
                  <c:v>-2E-3</c:v>
                </c:pt>
              </c:numCache>
            </c:numRef>
          </c:val>
          <c:smooth val="0"/>
          <c:extLst xmlns:c16r2="http://schemas.microsoft.com/office/drawing/2015/06/chart">
            <c:ext xmlns:c16="http://schemas.microsoft.com/office/drawing/2014/chart" uri="{C3380CC4-5D6E-409C-BE32-E72D297353CC}">
              <c16:uniqueId val="{00000002-E2F7-41D0-90F8-60BF328C6804}"/>
            </c:ext>
          </c:extLst>
        </c:ser>
        <c:dLbls>
          <c:showLegendKey val="0"/>
          <c:showVal val="0"/>
          <c:showCatName val="0"/>
          <c:showSerName val="0"/>
          <c:showPercent val="0"/>
          <c:showBubbleSize val="0"/>
        </c:dLbls>
        <c:marker val="1"/>
        <c:smooth val="0"/>
        <c:axId val="133121536"/>
        <c:axId val="133120000"/>
      </c:lineChart>
      <c:catAx>
        <c:axId val="133107072"/>
        <c:scaling>
          <c:orientation val="minMax"/>
        </c:scaling>
        <c:delete val="0"/>
        <c:axPos val="b"/>
        <c:numFmt formatCode="General" sourceLinked="0"/>
        <c:majorTickMark val="out"/>
        <c:minorTickMark val="none"/>
        <c:tickLblPos val="low"/>
        <c:spPr>
          <a:ln>
            <a:solidFill>
              <a:schemeClr val="tx1"/>
            </a:solidFill>
          </a:ln>
        </c:spPr>
        <c:crossAx val="133117440"/>
        <c:crosses val="autoZero"/>
        <c:auto val="1"/>
        <c:lblAlgn val="ctr"/>
        <c:lblOffset val="100"/>
        <c:noMultiLvlLbl val="0"/>
      </c:catAx>
      <c:valAx>
        <c:axId val="133117440"/>
        <c:scaling>
          <c:orientation val="minMax"/>
        </c:scaling>
        <c:delete val="0"/>
        <c:axPos val="l"/>
        <c:majorGridlines>
          <c:spPr>
            <a:ln>
              <a:noFill/>
            </a:ln>
          </c:spPr>
        </c:majorGridlines>
        <c:title>
          <c:tx>
            <c:rich>
              <a:bodyPr rot="0" vert="horz"/>
              <a:lstStyle/>
              <a:p>
                <a:pPr>
                  <a:defRPr b="0"/>
                </a:pPr>
                <a:r>
                  <a:rPr lang="ru-RU" b="0"/>
                  <a:t>трлн руб.</a:t>
                </a:r>
              </a:p>
            </c:rich>
          </c:tx>
          <c:layout>
            <c:manualLayout>
              <c:xMode val="edge"/>
              <c:yMode val="edge"/>
              <c:x val="0.10256410256410256"/>
              <c:y val="0.67396467745500821"/>
            </c:manualLayout>
          </c:layout>
          <c:overlay val="0"/>
        </c:title>
        <c:numFmt formatCode="#,##0.0" sourceLinked="0"/>
        <c:majorTickMark val="out"/>
        <c:minorTickMark val="none"/>
        <c:tickLblPos val="nextTo"/>
        <c:spPr>
          <a:ln>
            <a:solidFill>
              <a:schemeClr val="tx1"/>
            </a:solidFill>
          </a:ln>
        </c:spPr>
        <c:crossAx val="133107072"/>
        <c:crosses val="autoZero"/>
        <c:crossBetween val="between"/>
        <c:dispUnits>
          <c:builtInUnit val="thousands"/>
        </c:dispUnits>
      </c:valAx>
      <c:valAx>
        <c:axId val="133120000"/>
        <c:scaling>
          <c:orientation val="minMax"/>
        </c:scaling>
        <c:delete val="0"/>
        <c:axPos val="r"/>
        <c:numFmt formatCode="0%" sourceLinked="0"/>
        <c:majorTickMark val="out"/>
        <c:minorTickMark val="none"/>
        <c:tickLblPos val="nextTo"/>
        <c:spPr>
          <a:ln>
            <a:solidFill>
              <a:schemeClr val="tx1"/>
            </a:solidFill>
          </a:ln>
        </c:spPr>
        <c:crossAx val="133121536"/>
        <c:crosses val="max"/>
        <c:crossBetween val="between"/>
      </c:valAx>
      <c:catAx>
        <c:axId val="133121536"/>
        <c:scaling>
          <c:orientation val="minMax"/>
        </c:scaling>
        <c:delete val="1"/>
        <c:axPos val="b"/>
        <c:numFmt formatCode="General" sourceLinked="1"/>
        <c:majorTickMark val="out"/>
        <c:minorTickMark val="none"/>
        <c:tickLblPos val="nextTo"/>
        <c:crossAx val="133120000"/>
        <c:crosses val="autoZero"/>
        <c:auto val="1"/>
        <c:lblAlgn val="ctr"/>
        <c:lblOffset val="100"/>
        <c:noMultiLvlLbl val="0"/>
      </c:catAx>
      <c:spPr>
        <a:noFill/>
        <a:ln>
          <a:noFill/>
        </a:ln>
      </c:spPr>
    </c:plotArea>
    <c:legend>
      <c:legendPos val="b"/>
      <c:layout>
        <c:manualLayout>
          <c:xMode val="edge"/>
          <c:yMode val="edge"/>
          <c:x val="1.1504449517774774E-2"/>
          <c:y val="0.85991836330236071"/>
          <c:w val="0.98849567961308205"/>
          <c:h val="0.14008163669763932"/>
        </c:manualLayout>
      </c:layout>
      <c:overlay val="0"/>
      <c:spPr>
        <a:noFill/>
        <a:ln>
          <a:noFill/>
        </a:ln>
      </c:spPr>
    </c:legend>
    <c:plotVisOnly val="1"/>
    <c:dispBlanksAs val="gap"/>
    <c:showDLblsOverMax val="0"/>
  </c:chart>
  <c:spPr>
    <a:noFill/>
    <a:ln>
      <a:noFill/>
    </a:ln>
  </c:spPr>
  <c:txPr>
    <a:bodyPr/>
    <a:lstStyle/>
    <a:p>
      <a:pPr algn="just">
        <a:defRPr sz="800">
          <a:latin typeface="Century" panose="020406040505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125937660159337E-2"/>
          <c:y val="3.9024388991407997E-2"/>
          <c:w val="0.82423333178027303"/>
          <c:h val="0.70049546081667191"/>
        </c:manualLayout>
      </c:layout>
      <c:barChart>
        <c:barDir val="col"/>
        <c:grouping val="clustered"/>
        <c:varyColors val="0"/>
        <c:ser>
          <c:idx val="0"/>
          <c:order val="0"/>
          <c:tx>
            <c:strRef>
              <c:f>'[Диаграмма в Microsoft PowerPoint]Лист1'!$B$1</c:f>
              <c:strCache>
                <c:ptCount val="1"/>
                <c:pt idx="0">
                  <c:v>государственный долг</c:v>
                </c:pt>
              </c:strCache>
            </c:strRef>
          </c:tx>
          <c:spPr>
            <a:solidFill>
              <a:srgbClr val="006600"/>
            </a:solidFill>
            <a:ln>
              <a:noFill/>
            </a:ln>
          </c:spPr>
          <c:invertIfNegative val="0"/>
          <c:cat>
            <c:numRef>
              <c:f>'[Диаграмма в Microsoft PowerPoint]Лист1'!$A$2:$A$5</c:f>
              <c:numCache>
                <c:formatCode>General</c:formatCode>
                <c:ptCount val="4"/>
                <c:pt idx="0">
                  <c:v>2013</c:v>
                </c:pt>
                <c:pt idx="1">
                  <c:v>2014</c:v>
                </c:pt>
                <c:pt idx="2">
                  <c:v>2015</c:v>
                </c:pt>
                <c:pt idx="3">
                  <c:v>2016</c:v>
                </c:pt>
              </c:numCache>
            </c:numRef>
          </c:cat>
          <c:val>
            <c:numRef>
              <c:f>'[Диаграмма в Microsoft PowerPoint]Лист1'!$B$2:$B$5</c:f>
              <c:numCache>
                <c:formatCode>0.0</c:formatCode>
                <c:ptCount val="4"/>
                <c:pt idx="0">
                  <c:v>1737.5</c:v>
                </c:pt>
                <c:pt idx="1">
                  <c:v>2089.5</c:v>
                </c:pt>
                <c:pt idx="2">
                  <c:v>2318.6</c:v>
                </c:pt>
                <c:pt idx="3">
                  <c:v>2352.6</c:v>
                </c:pt>
              </c:numCache>
            </c:numRef>
          </c:val>
          <c:extLst xmlns:c16r2="http://schemas.microsoft.com/office/drawing/2015/06/chart">
            <c:ext xmlns:c16="http://schemas.microsoft.com/office/drawing/2014/chart" uri="{C3380CC4-5D6E-409C-BE32-E72D297353CC}">
              <c16:uniqueId val="{00000000-6DC9-44C8-8FB4-DDEAEDF2D939}"/>
            </c:ext>
          </c:extLst>
        </c:ser>
        <c:ser>
          <c:idx val="1"/>
          <c:order val="1"/>
          <c:tx>
            <c:strRef>
              <c:f>'[Диаграмма в Microsoft PowerPoint]Лист1'!$C$1</c:f>
              <c:strCache>
                <c:ptCount val="1"/>
                <c:pt idx="0">
                  <c:v>рыночный долг</c:v>
                </c:pt>
              </c:strCache>
            </c:strRef>
          </c:tx>
          <c:spPr>
            <a:solidFill>
              <a:schemeClr val="bg2">
                <a:lumMod val="50000"/>
              </a:schemeClr>
            </a:solidFill>
            <a:ln>
              <a:noFill/>
            </a:ln>
          </c:spPr>
          <c:invertIfNegative val="0"/>
          <c:cat>
            <c:numRef>
              <c:f>'[Диаграмма в Microsoft PowerPoint]Лист1'!$A$2:$A$5</c:f>
              <c:numCache>
                <c:formatCode>General</c:formatCode>
                <c:ptCount val="4"/>
                <c:pt idx="0">
                  <c:v>2013</c:v>
                </c:pt>
                <c:pt idx="1">
                  <c:v>2014</c:v>
                </c:pt>
                <c:pt idx="2">
                  <c:v>2015</c:v>
                </c:pt>
                <c:pt idx="3">
                  <c:v>2016</c:v>
                </c:pt>
              </c:numCache>
            </c:numRef>
          </c:cat>
          <c:val>
            <c:numRef>
              <c:f>'[Диаграмма в Microsoft PowerPoint]Лист1'!$C$2:$C$5</c:f>
              <c:numCache>
                <c:formatCode>0.0</c:formatCode>
                <c:ptCount val="4"/>
                <c:pt idx="0">
                  <c:v>1142.2</c:v>
                </c:pt>
                <c:pt idx="1">
                  <c:v>1330.2</c:v>
                </c:pt>
                <c:pt idx="2">
                  <c:v>1398.2</c:v>
                </c:pt>
                <c:pt idx="3">
                  <c:v>1266</c:v>
                </c:pt>
              </c:numCache>
            </c:numRef>
          </c:val>
          <c:extLst xmlns:c16r2="http://schemas.microsoft.com/office/drawing/2015/06/chart">
            <c:ext xmlns:c16="http://schemas.microsoft.com/office/drawing/2014/chart" uri="{C3380CC4-5D6E-409C-BE32-E72D297353CC}">
              <c16:uniqueId val="{00000001-6DC9-44C8-8FB4-DDEAEDF2D939}"/>
            </c:ext>
          </c:extLst>
        </c:ser>
        <c:dLbls>
          <c:showLegendKey val="0"/>
          <c:showVal val="0"/>
          <c:showCatName val="0"/>
          <c:showSerName val="0"/>
          <c:showPercent val="0"/>
          <c:showBubbleSize val="0"/>
        </c:dLbls>
        <c:gapWidth val="40"/>
        <c:axId val="133154688"/>
        <c:axId val="133169152"/>
      </c:barChart>
      <c:lineChart>
        <c:grouping val="standard"/>
        <c:varyColors val="0"/>
        <c:ser>
          <c:idx val="2"/>
          <c:order val="2"/>
          <c:tx>
            <c:strRef>
              <c:f>'[Диаграмма в Microsoft PowerPoint]Лист1'!$D$1</c:f>
              <c:strCache>
                <c:ptCount val="1"/>
                <c:pt idx="0">
                  <c:v>долговая нагрузка (пр.шк.)</c:v>
                </c:pt>
              </c:strCache>
            </c:strRef>
          </c:tx>
          <c:spPr>
            <a:ln w="19050">
              <a:solidFill>
                <a:schemeClr val="tx1"/>
              </a:solidFill>
            </a:ln>
          </c:spPr>
          <c:marker>
            <c:symbol val="circle"/>
            <c:size val="6"/>
            <c:spPr>
              <a:solidFill>
                <a:schemeClr val="bg1"/>
              </a:solidFill>
              <a:ln>
                <a:solidFill>
                  <a:schemeClr val="tx1"/>
                </a:solidFill>
              </a:ln>
            </c:spPr>
          </c:marker>
          <c:cat>
            <c:numRef>
              <c:f>'[Диаграмма в Microsoft PowerPoint]Лист1'!$A$2:$A$5</c:f>
              <c:numCache>
                <c:formatCode>General</c:formatCode>
                <c:ptCount val="4"/>
                <c:pt idx="0">
                  <c:v>2013</c:v>
                </c:pt>
                <c:pt idx="1">
                  <c:v>2014</c:v>
                </c:pt>
                <c:pt idx="2">
                  <c:v>2015</c:v>
                </c:pt>
                <c:pt idx="3">
                  <c:v>2016</c:v>
                </c:pt>
              </c:numCache>
            </c:numRef>
          </c:cat>
          <c:val>
            <c:numRef>
              <c:f>'[Диаграмма в Microsoft PowerPoint]Лист1'!$D$2:$D$5</c:f>
              <c:numCache>
                <c:formatCode>0.0%</c:formatCode>
                <c:ptCount val="4"/>
                <c:pt idx="0">
                  <c:v>0.33</c:v>
                </c:pt>
                <c:pt idx="1">
                  <c:v>0.35399999999999998</c:v>
                </c:pt>
                <c:pt idx="2">
                  <c:v>0.36499999999999999</c:v>
                </c:pt>
                <c:pt idx="3">
                  <c:v>0.33800000000000002</c:v>
                </c:pt>
              </c:numCache>
            </c:numRef>
          </c:val>
          <c:smooth val="0"/>
          <c:extLst xmlns:c16r2="http://schemas.microsoft.com/office/drawing/2015/06/chart">
            <c:ext xmlns:c16="http://schemas.microsoft.com/office/drawing/2014/chart" uri="{C3380CC4-5D6E-409C-BE32-E72D297353CC}">
              <c16:uniqueId val="{00000002-6DC9-44C8-8FB4-DDEAEDF2D939}"/>
            </c:ext>
          </c:extLst>
        </c:ser>
        <c:ser>
          <c:idx val="3"/>
          <c:order val="3"/>
          <c:tx>
            <c:strRef>
              <c:f>'[Диаграмма в Microsoft PowerPoint]Лист1'!$E$1</c:f>
              <c:strCache>
                <c:ptCount val="1"/>
                <c:pt idx="0">
                  <c:v>нагрузка по рыночному долгу (пр.шк.)</c:v>
                </c:pt>
              </c:strCache>
            </c:strRef>
          </c:tx>
          <c:spPr>
            <a:ln w="19050">
              <a:solidFill>
                <a:srgbClr val="C00000"/>
              </a:solidFill>
            </a:ln>
          </c:spPr>
          <c:marker>
            <c:symbol val="circle"/>
            <c:size val="6"/>
            <c:spPr>
              <a:solidFill>
                <a:schemeClr val="bg1"/>
              </a:solidFill>
              <a:ln>
                <a:solidFill>
                  <a:srgbClr val="C00000"/>
                </a:solidFill>
              </a:ln>
            </c:spPr>
          </c:marker>
          <c:cat>
            <c:numRef>
              <c:f>'[Диаграмма в Microsoft PowerPoint]Лист1'!$A$2:$A$5</c:f>
              <c:numCache>
                <c:formatCode>General</c:formatCode>
                <c:ptCount val="4"/>
                <c:pt idx="0">
                  <c:v>2013</c:v>
                </c:pt>
                <c:pt idx="1">
                  <c:v>2014</c:v>
                </c:pt>
                <c:pt idx="2">
                  <c:v>2015</c:v>
                </c:pt>
                <c:pt idx="3">
                  <c:v>2016</c:v>
                </c:pt>
              </c:numCache>
            </c:numRef>
          </c:cat>
          <c:val>
            <c:numRef>
              <c:f>'[Диаграмма в Microsoft PowerPoint]Лист1'!$E$2:$E$5</c:f>
              <c:numCache>
                <c:formatCode>0.0%</c:formatCode>
                <c:ptCount val="4"/>
                <c:pt idx="0">
                  <c:v>0.217</c:v>
                </c:pt>
                <c:pt idx="1">
                  <c:v>0.22500000000000001</c:v>
                </c:pt>
                <c:pt idx="2">
                  <c:v>0.22</c:v>
                </c:pt>
                <c:pt idx="3">
                  <c:v>0.182</c:v>
                </c:pt>
              </c:numCache>
            </c:numRef>
          </c:val>
          <c:smooth val="0"/>
          <c:extLst xmlns:c16r2="http://schemas.microsoft.com/office/drawing/2015/06/chart">
            <c:ext xmlns:c16="http://schemas.microsoft.com/office/drawing/2014/chart" uri="{C3380CC4-5D6E-409C-BE32-E72D297353CC}">
              <c16:uniqueId val="{00000003-6DC9-44C8-8FB4-DDEAEDF2D939}"/>
            </c:ext>
          </c:extLst>
        </c:ser>
        <c:dLbls>
          <c:showLegendKey val="0"/>
          <c:showVal val="0"/>
          <c:showCatName val="0"/>
          <c:showSerName val="0"/>
          <c:showPercent val="0"/>
          <c:showBubbleSize val="0"/>
        </c:dLbls>
        <c:marker val="1"/>
        <c:smooth val="0"/>
        <c:axId val="133177344"/>
        <c:axId val="133171456"/>
      </c:lineChart>
      <c:catAx>
        <c:axId val="133154688"/>
        <c:scaling>
          <c:orientation val="minMax"/>
        </c:scaling>
        <c:delete val="0"/>
        <c:axPos val="b"/>
        <c:numFmt formatCode="General" sourceLinked="0"/>
        <c:majorTickMark val="out"/>
        <c:minorTickMark val="none"/>
        <c:tickLblPos val="low"/>
        <c:spPr>
          <a:ln>
            <a:solidFill>
              <a:schemeClr val="tx1"/>
            </a:solidFill>
          </a:ln>
        </c:spPr>
        <c:crossAx val="133169152"/>
        <c:crosses val="autoZero"/>
        <c:auto val="1"/>
        <c:lblAlgn val="ctr"/>
        <c:lblOffset val="100"/>
        <c:noMultiLvlLbl val="0"/>
      </c:catAx>
      <c:valAx>
        <c:axId val="133169152"/>
        <c:scaling>
          <c:orientation val="minMax"/>
        </c:scaling>
        <c:delete val="0"/>
        <c:axPos val="l"/>
        <c:majorGridlines>
          <c:spPr>
            <a:ln>
              <a:noFill/>
            </a:ln>
          </c:spPr>
        </c:majorGridlines>
        <c:title>
          <c:tx>
            <c:rich>
              <a:bodyPr rot="0" vert="horz"/>
              <a:lstStyle/>
              <a:p>
                <a:pPr>
                  <a:defRPr b="0"/>
                </a:pPr>
                <a:r>
                  <a:rPr lang="ru-RU" b="0"/>
                  <a:t>трлн руб.</a:t>
                </a:r>
              </a:p>
            </c:rich>
          </c:tx>
          <c:layout>
            <c:manualLayout>
              <c:xMode val="edge"/>
              <c:yMode val="edge"/>
              <c:x val="8.6785009861932938E-2"/>
              <c:y val="3.9889169226547533E-2"/>
            </c:manualLayout>
          </c:layout>
          <c:overlay val="0"/>
        </c:title>
        <c:numFmt formatCode="#,##0.0" sourceLinked="0"/>
        <c:majorTickMark val="out"/>
        <c:minorTickMark val="none"/>
        <c:tickLblPos val="nextTo"/>
        <c:spPr>
          <a:ln>
            <a:solidFill>
              <a:schemeClr val="tx1"/>
            </a:solidFill>
          </a:ln>
        </c:spPr>
        <c:crossAx val="133154688"/>
        <c:crosses val="autoZero"/>
        <c:crossBetween val="between"/>
        <c:dispUnits>
          <c:builtInUnit val="thousands"/>
        </c:dispUnits>
      </c:valAx>
      <c:valAx>
        <c:axId val="133171456"/>
        <c:scaling>
          <c:orientation val="minMax"/>
          <c:min val="5.000000000000001E-2"/>
        </c:scaling>
        <c:delete val="0"/>
        <c:axPos val="r"/>
        <c:numFmt formatCode="0%" sourceLinked="0"/>
        <c:majorTickMark val="out"/>
        <c:minorTickMark val="none"/>
        <c:tickLblPos val="nextTo"/>
        <c:spPr>
          <a:ln>
            <a:solidFill>
              <a:schemeClr val="tx1"/>
            </a:solidFill>
          </a:ln>
        </c:spPr>
        <c:crossAx val="133177344"/>
        <c:crosses val="max"/>
        <c:crossBetween val="between"/>
      </c:valAx>
      <c:catAx>
        <c:axId val="133177344"/>
        <c:scaling>
          <c:orientation val="minMax"/>
        </c:scaling>
        <c:delete val="1"/>
        <c:axPos val="b"/>
        <c:numFmt formatCode="General" sourceLinked="1"/>
        <c:majorTickMark val="out"/>
        <c:minorTickMark val="none"/>
        <c:tickLblPos val="nextTo"/>
        <c:crossAx val="133171456"/>
        <c:crosses val="autoZero"/>
        <c:auto val="1"/>
        <c:lblAlgn val="ctr"/>
        <c:lblOffset val="100"/>
        <c:noMultiLvlLbl val="0"/>
      </c:catAx>
    </c:plotArea>
    <c:legend>
      <c:legendPos val="b"/>
      <c:layout>
        <c:manualLayout>
          <c:xMode val="edge"/>
          <c:yMode val="edge"/>
          <c:x val="1.1504307309310751E-2"/>
          <c:y val="0.80667538169539088"/>
          <c:w val="0.98849567961308205"/>
          <c:h val="0.19332461830460934"/>
        </c:manualLayout>
      </c:layout>
      <c:overlay val="0"/>
      <c:spPr>
        <a:noFill/>
        <a:ln>
          <a:noFill/>
        </a:ln>
      </c:spPr>
    </c:legend>
    <c:plotVisOnly val="1"/>
    <c:dispBlanksAs val="gap"/>
    <c:showDLblsOverMax val="0"/>
  </c:chart>
  <c:spPr>
    <a:noFill/>
    <a:ln>
      <a:noFill/>
    </a:ln>
  </c:spPr>
  <c:txPr>
    <a:bodyPr/>
    <a:lstStyle/>
    <a:p>
      <a:pPr algn="just">
        <a:defRPr sz="800">
          <a:latin typeface="Century" panose="020406040505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88515095218601"/>
          <c:y val="6.7487495666815195E-2"/>
          <c:w val="0.73911144598524903"/>
          <c:h val="0.73500222849502295"/>
        </c:manualLayout>
      </c:layout>
      <c:lineChart>
        <c:grouping val="standard"/>
        <c:varyColors val="0"/>
        <c:ser>
          <c:idx val="0"/>
          <c:order val="0"/>
          <c:tx>
            <c:v>инвестиции, млрд долл. 2014 г.</c:v>
          </c:tx>
          <c:spPr>
            <a:ln w="12700" cmpd="sng">
              <a:solidFill>
                <a:schemeClr val="bg2">
                  <a:lumMod val="50000"/>
                </a:schemeClr>
              </a:solidFill>
            </a:ln>
          </c:spPr>
          <c:marker>
            <c:symbol val="none"/>
          </c:marker>
          <c:cat>
            <c:numRef>
              <c:f>Лист2!$A$7:$A$49</c:f>
              <c:numCache>
                <c:formatCode>General</c:formatCode>
                <c:ptCount val="43"/>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pt idx="41">
                  <c:v>2013</c:v>
                </c:pt>
                <c:pt idx="42">
                  <c:v>2014</c:v>
                </c:pt>
              </c:numCache>
            </c:numRef>
          </c:cat>
          <c:val>
            <c:numRef>
              <c:f>Лист2!$D$7:$D$49</c:f>
              <c:numCache>
                <c:formatCode>General</c:formatCode>
                <c:ptCount val="43"/>
                <c:pt idx="0">
                  <c:v>130.9374605425632</c:v>
                </c:pt>
                <c:pt idx="1">
                  <c:v>138.31870548726141</c:v>
                </c:pt>
                <c:pt idx="2">
                  <c:v>182.62415031420241</c:v>
                </c:pt>
                <c:pt idx="3">
                  <c:v>155.17935012380991</c:v>
                </c:pt>
                <c:pt idx="4">
                  <c:v>133.2958751818631</c:v>
                </c:pt>
                <c:pt idx="5">
                  <c:v>136.14562168161561</c:v>
                </c:pt>
                <c:pt idx="6">
                  <c:v>123.3608877103395</c:v>
                </c:pt>
                <c:pt idx="7">
                  <c:v>170.5115852473449</c:v>
                </c:pt>
                <c:pt idx="8">
                  <c:v>169.92245376107411</c:v>
                </c:pt>
                <c:pt idx="9">
                  <c:v>254.7056440752765</c:v>
                </c:pt>
                <c:pt idx="10">
                  <c:v>275.80770977604141</c:v>
                </c:pt>
                <c:pt idx="11">
                  <c:v>208.54010680900231</c:v>
                </c:pt>
                <c:pt idx="12">
                  <c:v>197.09457643757219</c:v>
                </c:pt>
                <c:pt idx="13">
                  <c:v>172.4690539844824</c:v>
                </c:pt>
                <c:pt idx="14">
                  <c:v>118.715481465911</c:v>
                </c:pt>
                <c:pt idx="15">
                  <c:v>105.8359871468662</c:v>
                </c:pt>
                <c:pt idx="16">
                  <c:v>111.90403602817371</c:v>
                </c:pt>
                <c:pt idx="17">
                  <c:v>105.7571395906014</c:v>
                </c:pt>
                <c:pt idx="18">
                  <c:v>102.6508237506191</c:v>
                </c:pt>
                <c:pt idx="19">
                  <c:v>95.662112420623956</c:v>
                </c:pt>
                <c:pt idx="20">
                  <c:v>88.936602569746313</c:v>
                </c:pt>
                <c:pt idx="21">
                  <c:v>88.997149330325215</c:v>
                </c:pt>
                <c:pt idx="22">
                  <c:v>83.508256590546409</c:v>
                </c:pt>
                <c:pt idx="23">
                  <c:v>92.303601629890494</c:v>
                </c:pt>
                <c:pt idx="24">
                  <c:v>101.56598601441689</c:v>
                </c:pt>
                <c:pt idx="25">
                  <c:v>126.3698489616464</c:v>
                </c:pt>
                <c:pt idx="26">
                  <c:v>126.7653133087547</c:v>
                </c:pt>
                <c:pt idx="27">
                  <c:v>108.56744060309251</c:v>
                </c:pt>
                <c:pt idx="28">
                  <c:v>112.2000725647939</c:v>
                </c:pt>
                <c:pt idx="29">
                  <c:v>137.65533963462281</c:v>
                </c:pt>
                <c:pt idx="30">
                  <c:v>130.08678832553801</c:v>
                </c:pt>
                <c:pt idx="31">
                  <c:v>147.8142784801629</c:v>
                </c:pt>
                <c:pt idx="32">
                  <c:v>169.04742390139219</c:v>
                </c:pt>
                <c:pt idx="33">
                  <c:v>224.71865061464791</c:v>
                </c:pt>
                <c:pt idx="34">
                  <c:v>265.40746310790729</c:v>
                </c:pt>
                <c:pt idx="35">
                  <c:v>296.96825987013688</c:v>
                </c:pt>
                <c:pt idx="36">
                  <c:v>333.62166007813789</c:v>
                </c:pt>
                <c:pt idx="37">
                  <c:v>293.81122065041552</c:v>
                </c:pt>
                <c:pt idx="38">
                  <c:v>341.05661340780262</c:v>
                </c:pt>
                <c:pt idx="39">
                  <c:v>373.51676510867742</c:v>
                </c:pt>
                <c:pt idx="40">
                  <c:v>442.65510884278859</c:v>
                </c:pt>
                <c:pt idx="41">
                  <c:v>476.68359314477522</c:v>
                </c:pt>
                <c:pt idx="42">
                  <c:v>499.18686371760299</c:v>
                </c:pt>
              </c:numCache>
            </c:numRef>
          </c:val>
          <c:smooth val="0"/>
          <c:extLst xmlns:c16r2="http://schemas.microsoft.com/office/drawing/2015/06/chart">
            <c:ext xmlns:c16="http://schemas.microsoft.com/office/drawing/2014/chart" uri="{C3380CC4-5D6E-409C-BE32-E72D297353CC}">
              <c16:uniqueId val="{00000000-E6A9-4575-8752-497757096219}"/>
            </c:ext>
          </c:extLst>
        </c:ser>
        <c:dLbls>
          <c:showLegendKey val="0"/>
          <c:showVal val="0"/>
          <c:showCatName val="0"/>
          <c:showSerName val="0"/>
          <c:showPercent val="0"/>
          <c:showBubbleSize val="0"/>
        </c:dLbls>
        <c:marker val="1"/>
        <c:smooth val="0"/>
        <c:axId val="133209472"/>
        <c:axId val="133211264"/>
      </c:lineChart>
      <c:lineChart>
        <c:grouping val="standard"/>
        <c:varyColors val="0"/>
        <c:ser>
          <c:idx val="1"/>
          <c:order val="1"/>
          <c:tx>
            <c:v>цены на нефть, долл. 2014 г./барр.</c:v>
          </c:tx>
          <c:spPr>
            <a:ln w="12700">
              <a:solidFill>
                <a:srgbClr val="00B050"/>
              </a:solidFill>
            </a:ln>
          </c:spPr>
          <c:marker>
            <c:symbol val="none"/>
          </c:marker>
          <c:val>
            <c:numRef>
              <c:f>Лист2!$E$7:$E$49</c:f>
              <c:numCache>
                <c:formatCode>General</c:formatCode>
                <c:ptCount val="43"/>
                <c:pt idx="0">
                  <c:v>15.727217311882219</c:v>
                </c:pt>
                <c:pt idx="1">
                  <c:v>19.659021639852782</c:v>
                </c:pt>
                <c:pt idx="2">
                  <c:v>62.319098598333269</c:v>
                </c:pt>
                <c:pt idx="3">
                  <c:v>50.589814511666653</c:v>
                </c:pt>
                <c:pt idx="4">
                  <c:v>54.629365985833303</c:v>
                </c:pt>
                <c:pt idx="5">
                  <c:v>55.898373600833303</c:v>
                </c:pt>
                <c:pt idx="6">
                  <c:v>51.732864045000007</c:v>
                </c:pt>
                <c:pt idx="7">
                  <c:v>104.00994040250001</c:v>
                </c:pt>
                <c:pt idx="8">
                  <c:v>108.989578010833</c:v>
                </c:pt>
                <c:pt idx="9">
                  <c:v>95.591964700833316</c:v>
                </c:pt>
                <c:pt idx="10">
                  <c:v>81.947693606666761</c:v>
                </c:pt>
                <c:pt idx="11">
                  <c:v>70.803138861666625</c:v>
                </c:pt>
                <c:pt idx="12">
                  <c:v>65.49077431249988</c:v>
                </c:pt>
                <c:pt idx="13">
                  <c:v>60.743134760000011</c:v>
                </c:pt>
                <c:pt idx="14">
                  <c:v>31.1357658816667</c:v>
                </c:pt>
                <c:pt idx="15">
                  <c:v>38.413892407499993</c:v>
                </c:pt>
                <c:pt idx="16">
                  <c:v>30.002353647499991</c:v>
                </c:pt>
                <c:pt idx="17">
                  <c:v>34.844103528333292</c:v>
                </c:pt>
                <c:pt idx="18">
                  <c:v>42.780976385833299</c:v>
                </c:pt>
                <c:pt idx="19">
                  <c:v>34.739479487499999</c:v>
                </c:pt>
                <c:pt idx="20">
                  <c:v>32.751431095833269</c:v>
                </c:pt>
                <c:pt idx="21">
                  <c:v>27.866229815833279</c:v>
                </c:pt>
                <c:pt idx="22">
                  <c:v>25.26357196</c:v>
                </c:pt>
                <c:pt idx="23">
                  <c:v>26.496851222499998</c:v>
                </c:pt>
                <c:pt idx="24">
                  <c:v>30.8463757716667</c:v>
                </c:pt>
                <c:pt idx="25">
                  <c:v>28.194451735833301</c:v>
                </c:pt>
                <c:pt idx="26">
                  <c:v>18.478992106666691</c:v>
                </c:pt>
                <c:pt idx="27">
                  <c:v>25.091910776666701</c:v>
                </c:pt>
                <c:pt idx="28">
                  <c:v>38.896014543333287</c:v>
                </c:pt>
                <c:pt idx="29">
                  <c:v>32.644553121666704</c:v>
                </c:pt>
                <c:pt idx="30">
                  <c:v>32.878382482500001</c:v>
                </c:pt>
                <c:pt idx="31">
                  <c:v>37.1169046141667</c:v>
                </c:pt>
                <c:pt idx="32">
                  <c:v>47.939858240833303</c:v>
                </c:pt>
                <c:pt idx="33">
                  <c:v>65.925146286666674</c:v>
                </c:pt>
                <c:pt idx="34">
                  <c:v>76.781921257500002</c:v>
                </c:pt>
                <c:pt idx="35">
                  <c:v>82.87384227499993</c:v>
                </c:pt>
                <c:pt idx="36">
                  <c:v>107.181740631667</c:v>
                </c:pt>
                <c:pt idx="37">
                  <c:v>68.141922242500002</c:v>
                </c:pt>
                <c:pt idx="38">
                  <c:v>86.415959944999997</c:v>
                </c:pt>
                <c:pt idx="39">
                  <c:v>116.751712841667</c:v>
                </c:pt>
                <c:pt idx="40">
                  <c:v>115.42939253500001</c:v>
                </c:pt>
                <c:pt idx="41">
                  <c:v>110.60440624166699</c:v>
                </c:pt>
                <c:pt idx="42">
                  <c:v>98.942528898333293</c:v>
                </c:pt>
              </c:numCache>
            </c:numRef>
          </c:val>
          <c:smooth val="0"/>
          <c:extLst xmlns:c16r2="http://schemas.microsoft.com/office/drawing/2015/06/chart">
            <c:ext xmlns:c16="http://schemas.microsoft.com/office/drawing/2014/chart" uri="{C3380CC4-5D6E-409C-BE32-E72D297353CC}">
              <c16:uniqueId val="{00000001-E6A9-4575-8752-497757096219}"/>
            </c:ext>
          </c:extLst>
        </c:ser>
        <c:dLbls>
          <c:showLegendKey val="0"/>
          <c:showVal val="0"/>
          <c:showCatName val="0"/>
          <c:showSerName val="0"/>
          <c:showPercent val="0"/>
          <c:showBubbleSize val="0"/>
        </c:dLbls>
        <c:marker val="1"/>
        <c:smooth val="0"/>
        <c:axId val="133227648"/>
        <c:axId val="133213184"/>
      </c:lineChart>
      <c:catAx>
        <c:axId val="133209472"/>
        <c:scaling>
          <c:orientation val="minMax"/>
        </c:scaling>
        <c:delete val="0"/>
        <c:axPos val="b"/>
        <c:numFmt formatCode="General" sourceLinked="1"/>
        <c:majorTickMark val="out"/>
        <c:minorTickMark val="none"/>
        <c:tickLblPos val="nextTo"/>
        <c:spPr>
          <a:ln>
            <a:solidFill>
              <a:schemeClr val="tx1"/>
            </a:solidFill>
          </a:ln>
        </c:spPr>
        <c:crossAx val="133211264"/>
        <c:crosses val="autoZero"/>
        <c:auto val="1"/>
        <c:lblAlgn val="ctr"/>
        <c:lblOffset val="100"/>
        <c:tickLblSkip val="5"/>
        <c:noMultiLvlLbl val="0"/>
      </c:catAx>
      <c:valAx>
        <c:axId val="133211264"/>
        <c:scaling>
          <c:orientation val="minMax"/>
        </c:scaling>
        <c:delete val="0"/>
        <c:axPos val="l"/>
        <c:title>
          <c:tx>
            <c:rich>
              <a:bodyPr rot="-5400000" vert="horz"/>
              <a:lstStyle/>
              <a:p>
                <a:pPr>
                  <a:defRPr/>
                </a:pPr>
                <a:r>
                  <a:rPr lang="ru-RU"/>
                  <a:t>млрд </a:t>
                </a:r>
                <a:r>
                  <a:rPr lang="en-US"/>
                  <a:t>$ (</a:t>
                </a:r>
                <a:r>
                  <a:rPr lang="ru-RU"/>
                  <a:t>в ценах. 2014 года)</a:t>
                </a:r>
              </a:p>
            </c:rich>
          </c:tx>
          <c:layout>
            <c:manualLayout>
              <c:xMode val="edge"/>
              <c:yMode val="edge"/>
              <c:x val="2.95673413358027E-3"/>
              <c:y val="7.6691180111920004E-3"/>
            </c:manualLayout>
          </c:layout>
          <c:overlay val="0"/>
        </c:title>
        <c:numFmt formatCode="General" sourceLinked="1"/>
        <c:majorTickMark val="out"/>
        <c:minorTickMark val="none"/>
        <c:tickLblPos val="nextTo"/>
        <c:spPr>
          <a:ln>
            <a:solidFill>
              <a:schemeClr val="tx1"/>
            </a:solidFill>
          </a:ln>
        </c:spPr>
        <c:txPr>
          <a:bodyPr/>
          <a:lstStyle/>
          <a:p>
            <a:pPr>
              <a:defRPr>
                <a:solidFill>
                  <a:sysClr val="windowText" lastClr="000000"/>
                </a:solidFill>
              </a:defRPr>
            </a:pPr>
            <a:endParaRPr lang="ru-RU"/>
          </a:p>
        </c:txPr>
        <c:crossAx val="133209472"/>
        <c:crosses val="autoZero"/>
        <c:crossBetween val="between"/>
      </c:valAx>
      <c:valAx>
        <c:axId val="133213184"/>
        <c:scaling>
          <c:orientation val="minMax"/>
        </c:scaling>
        <c:delete val="0"/>
        <c:axPos val="r"/>
        <c:title>
          <c:tx>
            <c:rich>
              <a:bodyPr rot="-5400000" vert="horz"/>
              <a:lstStyle/>
              <a:p>
                <a:pPr>
                  <a:defRPr/>
                </a:pPr>
                <a:r>
                  <a:rPr lang="en-US"/>
                  <a:t>$</a:t>
                </a:r>
                <a:r>
                  <a:rPr lang="ru-RU"/>
                  <a:t>/баррель</a:t>
                </a:r>
              </a:p>
            </c:rich>
          </c:tx>
          <c:layout>
            <c:manualLayout>
              <c:xMode val="edge"/>
              <c:yMode val="edge"/>
              <c:x val="0.950255469344637"/>
              <c:y val="1.52627148021592E-2"/>
            </c:manualLayout>
          </c:layout>
          <c:overlay val="0"/>
        </c:title>
        <c:numFmt formatCode="General" sourceLinked="1"/>
        <c:majorTickMark val="out"/>
        <c:minorTickMark val="none"/>
        <c:tickLblPos val="nextTo"/>
        <c:crossAx val="133227648"/>
        <c:crosses val="max"/>
        <c:crossBetween val="between"/>
      </c:valAx>
      <c:catAx>
        <c:axId val="133227648"/>
        <c:scaling>
          <c:orientation val="minMax"/>
        </c:scaling>
        <c:delete val="1"/>
        <c:axPos val="b"/>
        <c:majorTickMark val="out"/>
        <c:minorTickMark val="none"/>
        <c:tickLblPos val="none"/>
        <c:crossAx val="133213184"/>
        <c:crosses val="autoZero"/>
        <c:auto val="1"/>
        <c:lblAlgn val="ctr"/>
        <c:lblOffset val="100"/>
        <c:noMultiLvlLbl val="0"/>
      </c:catAx>
      <c:spPr>
        <a:noFill/>
      </c:spPr>
    </c:plotArea>
    <c:legend>
      <c:legendPos val="b"/>
      <c:layout>
        <c:manualLayout>
          <c:xMode val="edge"/>
          <c:yMode val="edge"/>
          <c:x val="0"/>
          <c:y val="0.885002847521418"/>
          <c:w val="0.98974134807290803"/>
          <c:h val="0.11362910414500101"/>
        </c:manualLayout>
      </c:layout>
      <c:overlay val="0"/>
    </c:legend>
    <c:plotVisOnly val="1"/>
    <c:dispBlanksAs val="gap"/>
    <c:showDLblsOverMax val="0"/>
  </c:chart>
  <c:spPr>
    <a:noFill/>
    <a:ln>
      <a:noFill/>
    </a:ln>
  </c:spPr>
  <c:txPr>
    <a:bodyPr/>
    <a:lstStyle/>
    <a:p>
      <a:pPr>
        <a:defRPr sz="600" b="0">
          <a:solidFill>
            <a:sysClr val="windowText" lastClr="000000"/>
          </a:solidFill>
          <a:latin typeface="Century" panose="020406040505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81909004795452"/>
          <c:y val="4.0887132038661532E-2"/>
          <c:w val="0.764157827646606"/>
          <c:h val="0.78213313737292423"/>
        </c:manualLayout>
      </c:layout>
      <c:scatterChart>
        <c:scatterStyle val="lineMarker"/>
        <c:varyColors val="0"/>
        <c:ser>
          <c:idx val="0"/>
          <c:order val="0"/>
          <c:tx>
            <c:strRef>
              <c:f>'GS наш вариант'!$F$1</c:f>
              <c:strCache>
                <c:ptCount val="1"/>
                <c:pt idx="0">
                  <c:v>Маржинальная кривая производства нефти в 2017 г. </c:v>
                </c:pt>
              </c:strCache>
            </c:strRef>
          </c:tx>
          <c:spPr>
            <a:ln w="15875">
              <a:solidFill>
                <a:srgbClr val="00B050"/>
              </a:solidFill>
            </a:ln>
          </c:spPr>
          <c:marker>
            <c:symbol val="none"/>
          </c:marker>
          <c:xVal>
            <c:numRef>
              <c:f>'GS наш вариант'!$F$2:$F$162</c:f>
              <c:numCache>
                <c:formatCode>0.0</c:formatCode>
                <c:ptCount val="161"/>
                <c:pt idx="0">
                  <c:v>80</c:v>
                </c:pt>
                <c:pt idx="1">
                  <c:v>890</c:v>
                </c:pt>
                <c:pt idx="2">
                  <c:v>1550</c:v>
                </c:pt>
                <c:pt idx="3">
                  <c:v>7179.6</c:v>
                </c:pt>
                <c:pt idx="4">
                  <c:v>8152.9400000000005</c:v>
                </c:pt>
                <c:pt idx="5">
                  <c:v>8412.94</c:v>
                </c:pt>
                <c:pt idx="6">
                  <c:v>8534.35</c:v>
                </c:pt>
                <c:pt idx="7">
                  <c:v>8604.4500000000007</c:v>
                </c:pt>
                <c:pt idx="8">
                  <c:v>8734.4500000000007</c:v>
                </c:pt>
                <c:pt idx="9">
                  <c:v>8894.67</c:v>
                </c:pt>
                <c:pt idx="10">
                  <c:v>9094.67</c:v>
                </c:pt>
                <c:pt idx="11">
                  <c:v>14595.060000000001</c:v>
                </c:pt>
                <c:pt idx="12">
                  <c:v>16010.350000000002</c:v>
                </c:pt>
                <c:pt idx="13">
                  <c:v>16110.350000000002</c:v>
                </c:pt>
                <c:pt idx="14">
                  <c:v>17329.2</c:v>
                </c:pt>
                <c:pt idx="15">
                  <c:v>17429.2</c:v>
                </c:pt>
                <c:pt idx="16">
                  <c:v>17471.260000000002</c:v>
                </c:pt>
                <c:pt idx="17">
                  <c:v>17571.400000000001</c:v>
                </c:pt>
                <c:pt idx="18">
                  <c:v>17831.550000000003</c:v>
                </c:pt>
                <c:pt idx="19">
                  <c:v>18016.550000000003</c:v>
                </c:pt>
                <c:pt idx="20">
                  <c:v>18116.550000000003</c:v>
                </c:pt>
                <c:pt idx="21">
                  <c:v>19638.510000000002</c:v>
                </c:pt>
                <c:pt idx="22">
                  <c:v>19901.010000000002</c:v>
                </c:pt>
                <c:pt idx="23">
                  <c:v>20048.010000000002</c:v>
                </c:pt>
                <c:pt idx="24">
                  <c:v>20869.11</c:v>
                </c:pt>
                <c:pt idx="25">
                  <c:v>20969.11</c:v>
                </c:pt>
                <c:pt idx="26">
                  <c:v>21065.24</c:v>
                </c:pt>
                <c:pt idx="27">
                  <c:v>21365.24</c:v>
                </c:pt>
                <c:pt idx="28">
                  <c:v>21837.620000000003</c:v>
                </c:pt>
                <c:pt idx="29">
                  <c:v>21987.620000000003</c:v>
                </c:pt>
                <c:pt idx="30">
                  <c:v>22037.620000000003</c:v>
                </c:pt>
                <c:pt idx="31">
                  <c:v>22130.29</c:v>
                </c:pt>
                <c:pt idx="32">
                  <c:v>22464.79</c:v>
                </c:pt>
                <c:pt idx="33">
                  <c:v>22627.49</c:v>
                </c:pt>
                <c:pt idx="34">
                  <c:v>22859.030000000002</c:v>
                </c:pt>
                <c:pt idx="35">
                  <c:v>22928.9</c:v>
                </c:pt>
                <c:pt idx="36">
                  <c:v>23041.050000000003</c:v>
                </c:pt>
                <c:pt idx="37">
                  <c:v>24460.710000000003</c:v>
                </c:pt>
                <c:pt idx="38">
                  <c:v>24745.710000000003</c:v>
                </c:pt>
                <c:pt idx="39">
                  <c:v>24858.170000000002</c:v>
                </c:pt>
                <c:pt idx="40">
                  <c:v>24928.27</c:v>
                </c:pt>
                <c:pt idx="41">
                  <c:v>25015.11</c:v>
                </c:pt>
                <c:pt idx="42">
                  <c:v>25090.420000000002</c:v>
                </c:pt>
                <c:pt idx="43">
                  <c:v>25309.320000000003</c:v>
                </c:pt>
                <c:pt idx="44">
                  <c:v>26293.950000000004</c:v>
                </c:pt>
                <c:pt idx="45">
                  <c:v>26361.780000000006</c:v>
                </c:pt>
                <c:pt idx="46">
                  <c:v>26461.920000000006</c:v>
                </c:pt>
                <c:pt idx="47">
                  <c:v>26590.100000000006</c:v>
                </c:pt>
                <c:pt idx="48">
                  <c:v>26750.100000000006</c:v>
                </c:pt>
                <c:pt idx="49">
                  <c:v>26900.310000000005</c:v>
                </c:pt>
                <c:pt idx="50">
                  <c:v>27070.310000000005</c:v>
                </c:pt>
                <c:pt idx="51">
                  <c:v>27160.310000000005</c:v>
                </c:pt>
                <c:pt idx="52">
                  <c:v>27320.310000000005</c:v>
                </c:pt>
                <c:pt idx="53">
                  <c:v>27550.310000000005</c:v>
                </c:pt>
                <c:pt idx="54">
                  <c:v>27630.310000000005</c:v>
                </c:pt>
                <c:pt idx="55">
                  <c:v>27825.310000000005</c:v>
                </c:pt>
                <c:pt idx="56">
                  <c:v>27950.360000000004</c:v>
                </c:pt>
                <c:pt idx="57">
                  <c:v>28040.360000000004</c:v>
                </c:pt>
                <c:pt idx="58">
                  <c:v>28140.360000000004</c:v>
                </c:pt>
                <c:pt idx="59">
                  <c:v>28300.360000000004</c:v>
                </c:pt>
                <c:pt idx="60">
                  <c:v>28450.360000000004</c:v>
                </c:pt>
                <c:pt idx="61">
                  <c:v>28570.360000000004</c:v>
                </c:pt>
                <c:pt idx="62">
                  <c:v>28710.360000000004</c:v>
                </c:pt>
                <c:pt idx="63">
                  <c:v>28765.560000000005</c:v>
                </c:pt>
                <c:pt idx="64">
                  <c:v>28850.000000000004</c:v>
                </c:pt>
                <c:pt idx="65">
                  <c:v>28935.000000000004</c:v>
                </c:pt>
                <c:pt idx="66">
                  <c:v>28982.800000000003</c:v>
                </c:pt>
                <c:pt idx="67">
                  <c:v>29082.800000000003</c:v>
                </c:pt>
                <c:pt idx="68">
                  <c:v>29202.800000000003</c:v>
                </c:pt>
                <c:pt idx="69">
                  <c:v>29302.800000000003</c:v>
                </c:pt>
                <c:pt idx="70">
                  <c:v>29482.800000000003</c:v>
                </c:pt>
                <c:pt idx="71">
                  <c:v>29602.800000000003</c:v>
                </c:pt>
                <c:pt idx="72">
                  <c:v>29752.800000000003</c:v>
                </c:pt>
                <c:pt idx="73">
                  <c:v>29852.800000000003</c:v>
                </c:pt>
                <c:pt idx="74">
                  <c:v>29992.800000000003</c:v>
                </c:pt>
                <c:pt idx="75">
                  <c:v>30092.800000000003</c:v>
                </c:pt>
                <c:pt idx="76">
                  <c:v>30182.800000000003</c:v>
                </c:pt>
                <c:pt idx="77">
                  <c:v>30353.74</c:v>
                </c:pt>
                <c:pt idx="78">
                  <c:v>30453.74</c:v>
                </c:pt>
                <c:pt idx="79">
                  <c:v>31300.420000000002</c:v>
                </c:pt>
                <c:pt idx="80">
                  <c:v>31410.420000000002</c:v>
                </c:pt>
                <c:pt idx="81">
                  <c:v>31530.420000000002</c:v>
                </c:pt>
                <c:pt idx="82">
                  <c:v>31680.420000000002</c:v>
                </c:pt>
                <c:pt idx="83">
                  <c:v>31770.420000000002</c:v>
                </c:pt>
                <c:pt idx="84">
                  <c:v>32581.63</c:v>
                </c:pt>
                <c:pt idx="85">
                  <c:v>32705.63</c:v>
                </c:pt>
                <c:pt idx="86">
                  <c:v>32865.630000000005</c:v>
                </c:pt>
                <c:pt idx="87">
                  <c:v>32985.630000000005</c:v>
                </c:pt>
                <c:pt idx="88">
                  <c:v>33085.630000000005</c:v>
                </c:pt>
                <c:pt idx="89">
                  <c:v>33205.630000000005</c:v>
                </c:pt>
                <c:pt idx="90">
                  <c:v>33305.630000000005</c:v>
                </c:pt>
                <c:pt idx="91">
                  <c:v>33350.630000000005</c:v>
                </c:pt>
                <c:pt idx="92">
                  <c:v>33470.630000000005</c:v>
                </c:pt>
                <c:pt idx="93">
                  <c:v>33530.630000000005</c:v>
                </c:pt>
                <c:pt idx="94">
                  <c:v>33630.630000000005</c:v>
                </c:pt>
                <c:pt idx="95">
                  <c:v>33738.600000000006</c:v>
                </c:pt>
                <c:pt idx="96">
                  <c:v>33873.600000000006</c:v>
                </c:pt>
                <c:pt idx="97">
                  <c:v>33933.600000000006</c:v>
                </c:pt>
                <c:pt idx="98">
                  <c:v>33988.600000000006</c:v>
                </c:pt>
                <c:pt idx="99">
                  <c:v>34138.600000000006</c:v>
                </c:pt>
                <c:pt idx="100">
                  <c:v>34288.600000000006</c:v>
                </c:pt>
                <c:pt idx="101">
                  <c:v>34388.600000000006</c:v>
                </c:pt>
                <c:pt idx="102">
                  <c:v>34480.600000000006</c:v>
                </c:pt>
                <c:pt idx="103">
                  <c:v>34560.600000000006</c:v>
                </c:pt>
                <c:pt idx="104">
                  <c:v>34640.600000000006</c:v>
                </c:pt>
                <c:pt idx="105">
                  <c:v>34745.600000000006</c:v>
                </c:pt>
                <c:pt idx="106">
                  <c:v>34885.600000000006</c:v>
                </c:pt>
                <c:pt idx="107">
                  <c:v>34985.600000000006</c:v>
                </c:pt>
                <c:pt idx="108">
                  <c:v>35129.800000000003</c:v>
                </c:pt>
                <c:pt idx="109">
                  <c:v>35165.800000000003</c:v>
                </c:pt>
                <c:pt idx="110">
                  <c:v>35340.800000000003</c:v>
                </c:pt>
                <c:pt idx="111">
                  <c:v>35400.800000000003</c:v>
                </c:pt>
                <c:pt idx="112">
                  <c:v>35484.800000000003</c:v>
                </c:pt>
                <c:pt idx="113">
                  <c:v>35604.800000000003</c:v>
                </c:pt>
                <c:pt idx="114">
                  <c:v>35854.800000000003</c:v>
                </c:pt>
                <c:pt idx="115">
                  <c:v>36178.160000000003</c:v>
                </c:pt>
                <c:pt idx="116">
                  <c:v>36278.160000000003</c:v>
                </c:pt>
                <c:pt idx="117">
                  <c:v>36458.160000000003</c:v>
                </c:pt>
                <c:pt idx="118">
                  <c:v>36579.160000000003</c:v>
                </c:pt>
                <c:pt idx="119">
                  <c:v>36729.160000000003</c:v>
                </c:pt>
                <c:pt idx="120">
                  <c:v>36809.160000000003</c:v>
                </c:pt>
                <c:pt idx="121">
                  <c:v>36929.160000000003</c:v>
                </c:pt>
                <c:pt idx="122">
                  <c:v>37059.160000000003</c:v>
                </c:pt>
                <c:pt idx="123">
                  <c:v>37209.160000000003</c:v>
                </c:pt>
                <c:pt idx="124">
                  <c:v>37479.160000000003</c:v>
                </c:pt>
                <c:pt idx="125">
                  <c:v>37579.160000000003</c:v>
                </c:pt>
                <c:pt idx="126">
                  <c:v>37699.160000000003</c:v>
                </c:pt>
                <c:pt idx="127">
                  <c:v>37759.160000000003</c:v>
                </c:pt>
                <c:pt idx="128">
                  <c:v>37839.160000000003</c:v>
                </c:pt>
                <c:pt idx="129">
                  <c:v>37989.160000000003</c:v>
                </c:pt>
                <c:pt idx="130">
                  <c:v>38161.050000000003</c:v>
                </c:pt>
                <c:pt idx="131">
                  <c:v>38272.050000000003</c:v>
                </c:pt>
                <c:pt idx="132">
                  <c:v>38379.700000000004</c:v>
                </c:pt>
                <c:pt idx="133">
                  <c:v>38429.700000000004</c:v>
                </c:pt>
                <c:pt idx="134">
                  <c:v>38659.700000000004</c:v>
                </c:pt>
                <c:pt idx="135">
                  <c:v>38699.700000000004</c:v>
                </c:pt>
                <c:pt idx="136">
                  <c:v>38759.700000000004</c:v>
                </c:pt>
                <c:pt idx="137">
                  <c:v>38809.700000000004</c:v>
                </c:pt>
                <c:pt idx="138">
                  <c:v>38989.700000000004</c:v>
                </c:pt>
                <c:pt idx="139">
                  <c:v>39319.700000000004</c:v>
                </c:pt>
                <c:pt idx="140">
                  <c:v>39399.700000000004</c:v>
                </c:pt>
                <c:pt idx="141">
                  <c:v>39449.700000000004</c:v>
                </c:pt>
                <c:pt idx="142">
                  <c:v>39599.700000000004</c:v>
                </c:pt>
                <c:pt idx="143">
                  <c:v>39679.700000000004</c:v>
                </c:pt>
                <c:pt idx="144">
                  <c:v>39956.700000000004</c:v>
                </c:pt>
                <c:pt idx="145">
                  <c:v>40873.58</c:v>
                </c:pt>
                <c:pt idx="146">
                  <c:v>41021.94</c:v>
                </c:pt>
                <c:pt idx="147">
                  <c:v>41061.94</c:v>
                </c:pt>
                <c:pt idx="148">
                  <c:v>41131.94</c:v>
                </c:pt>
                <c:pt idx="149">
                  <c:v>41339.730000000003</c:v>
                </c:pt>
                <c:pt idx="150">
                  <c:v>41377.730000000003</c:v>
                </c:pt>
                <c:pt idx="151">
                  <c:v>41417.730000000003</c:v>
                </c:pt>
                <c:pt idx="152">
                  <c:v>41517.730000000003</c:v>
                </c:pt>
                <c:pt idx="153">
                  <c:v>41617.730000000003</c:v>
                </c:pt>
                <c:pt idx="154">
                  <c:v>41717.730000000003</c:v>
                </c:pt>
                <c:pt idx="155">
                  <c:v>41791.060000000005</c:v>
                </c:pt>
                <c:pt idx="156">
                  <c:v>41863.060000000005</c:v>
                </c:pt>
                <c:pt idx="157">
                  <c:v>41938.060000000005</c:v>
                </c:pt>
                <c:pt idx="158">
                  <c:v>42138.060000000005</c:v>
                </c:pt>
                <c:pt idx="159">
                  <c:v>42173.060000000005</c:v>
                </c:pt>
                <c:pt idx="160">
                  <c:v>42249.66</c:v>
                </c:pt>
              </c:numCache>
            </c:numRef>
          </c:xVal>
          <c:yVal>
            <c:numRef>
              <c:f>'GS наш вариант'!$B$2:$B$162</c:f>
              <c:numCache>
                <c:formatCode>0.0</c:formatCode>
                <c:ptCount val="161"/>
                <c:pt idx="0">
                  <c:v>26.2</c:v>
                </c:pt>
                <c:pt idx="1">
                  <c:v>26.6</c:v>
                </c:pt>
                <c:pt idx="2">
                  <c:v>27</c:v>
                </c:pt>
                <c:pt idx="3">
                  <c:v>27.16</c:v>
                </c:pt>
                <c:pt idx="4">
                  <c:v>27.71</c:v>
                </c:pt>
                <c:pt idx="5">
                  <c:v>28</c:v>
                </c:pt>
                <c:pt idx="6">
                  <c:v>28.33</c:v>
                </c:pt>
                <c:pt idx="7">
                  <c:v>29.97</c:v>
                </c:pt>
                <c:pt idx="8">
                  <c:v>31.5</c:v>
                </c:pt>
                <c:pt idx="9">
                  <c:v>32.090000000000003</c:v>
                </c:pt>
                <c:pt idx="10">
                  <c:v>32.6</c:v>
                </c:pt>
                <c:pt idx="11">
                  <c:v>33.32</c:v>
                </c:pt>
                <c:pt idx="12">
                  <c:v>33.36</c:v>
                </c:pt>
                <c:pt idx="13">
                  <c:v>33.799999999999997</c:v>
                </c:pt>
                <c:pt idx="14">
                  <c:v>34.76</c:v>
                </c:pt>
                <c:pt idx="15">
                  <c:v>36</c:v>
                </c:pt>
                <c:pt idx="16">
                  <c:v>36.590000000000003</c:v>
                </c:pt>
                <c:pt idx="17">
                  <c:v>36.659999999999997</c:v>
                </c:pt>
                <c:pt idx="18">
                  <c:v>37.22</c:v>
                </c:pt>
                <c:pt idx="19">
                  <c:v>37.5</c:v>
                </c:pt>
                <c:pt idx="20">
                  <c:v>38.6</c:v>
                </c:pt>
                <c:pt idx="21">
                  <c:v>39</c:v>
                </c:pt>
                <c:pt idx="22">
                  <c:v>39</c:v>
                </c:pt>
                <c:pt idx="23">
                  <c:v>39</c:v>
                </c:pt>
                <c:pt idx="24">
                  <c:v>39.5</c:v>
                </c:pt>
                <c:pt idx="25">
                  <c:v>39.9</c:v>
                </c:pt>
                <c:pt idx="26">
                  <c:v>40.24</c:v>
                </c:pt>
                <c:pt idx="27">
                  <c:v>41.1</c:v>
                </c:pt>
                <c:pt idx="28">
                  <c:v>43</c:v>
                </c:pt>
                <c:pt idx="29">
                  <c:v>43.2</c:v>
                </c:pt>
                <c:pt idx="30">
                  <c:v>43.4</c:v>
                </c:pt>
                <c:pt idx="31">
                  <c:v>43.5</c:v>
                </c:pt>
                <c:pt idx="32">
                  <c:v>43.5</c:v>
                </c:pt>
                <c:pt idx="33">
                  <c:v>43.53</c:v>
                </c:pt>
                <c:pt idx="34">
                  <c:v>44</c:v>
                </c:pt>
                <c:pt idx="35">
                  <c:v>44</c:v>
                </c:pt>
                <c:pt idx="36">
                  <c:v>44.01</c:v>
                </c:pt>
                <c:pt idx="37">
                  <c:v>44.04</c:v>
                </c:pt>
                <c:pt idx="38">
                  <c:v>45</c:v>
                </c:pt>
                <c:pt idx="39">
                  <c:v>45.38</c:v>
                </c:pt>
                <c:pt idx="40">
                  <c:v>45.51</c:v>
                </c:pt>
                <c:pt idx="41">
                  <c:v>46</c:v>
                </c:pt>
                <c:pt idx="42">
                  <c:v>46.14</c:v>
                </c:pt>
                <c:pt idx="43">
                  <c:v>46.6</c:v>
                </c:pt>
                <c:pt idx="44">
                  <c:v>47</c:v>
                </c:pt>
                <c:pt idx="45">
                  <c:v>47</c:v>
                </c:pt>
                <c:pt idx="46">
                  <c:v>47.05</c:v>
                </c:pt>
                <c:pt idx="47">
                  <c:v>47.98</c:v>
                </c:pt>
                <c:pt idx="48">
                  <c:v>48</c:v>
                </c:pt>
                <c:pt idx="49">
                  <c:v>48.13</c:v>
                </c:pt>
                <c:pt idx="50">
                  <c:v>49</c:v>
                </c:pt>
                <c:pt idx="51">
                  <c:v>49.3</c:v>
                </c:pt>
                <c:pt idx="52">
                  <c:v>50.45</c:v>
                </c:pt>
                <c:pt idx="53">
                  <c:v>51</c:v>
                </c:pt>
                <c:pt idx="54">
                  <c:v>51</c:v>
                </c:pt>
                <c:pt idx="55">
                  <c:v>51</c:v>
                </c:pt>
                <c:pt idx="56">
                  <c:v>51.5</c:v>
                </c:pt>
                <c:pt idx="57">
                  <c:v>51.9</c:v>
                </c:pt>
                <c:pt idx="58">
                  <c:v>52.5</c:v>
                </c:pt>
                <c:pt idx="59">
                  <c:v>52.5</c:v>
                </c:pt>
                <c:pt idx="60">
                  <c:v>52.7</c:v>
                </c:pt>
                <c:pt idx="61">
                  <c:v>53.5</c:v>
                </c:pt>
                <c:pt idx="62">
                  <c:v>53.7</c:v>
                </c:pt>
                <c:pt idx="63">
                  <c:v>54</c:v>
                </c:pt>
                <c:pt idx="64">
                  <c:v>54</c:v>
                </c:pt>
                <c:pt idx="65">
                  <c:v>54.7</c:v>
                </c:pt>
                <c:pt idx="66">
                  <c:v>55</c:v>
                </c:pt>
                <c:pt idx="67">
                  <c:v>55.1</c:v>
                </c:pt>
                <c:pt idx="68">
                  <c:v>55.2</c:v>
                </c:pt>
                <c:pt idx="69">
                  <c:v>55.3</c:v>
                </c:pt>
                <c:pt idx="70">
                  <c:v>56.5</c:v>
                </c:pt>
                <c:pt idx="71">
                  <c:v>56.8</c:v>
                </c:pt>
                <c:pt idx="72">
                  <c:v>57.2</c:v>
                </c:pt>
                <c:pt idx="73">
                  <c:v>58</c:v>
                </c:pt>
                <c:pt idx="74">
                  <c:v>58</c:v>
                </c:pt>
                <c:pt idx="75">
                  <c:v>58.4</c:v>
                </c:pt>
                <c:pt idx="76">
                  <c:v>58.5</c:v>
                </c:pt>
                <c:pt idx="77">
                  <c:v>59</c:v>
                </c:pt>
                <c:pt idx="78">
                  <c:v>59</c:v>
                </c:pt>
                <c:pt idx="79">
                  <c:v>59</c:v>
                </c:pt>
                <c:pt idx="80">
                  <c:v>59.3</c:v>
                </c:pt>
                <c:pt idx="81">
                  <c:v>59.5</c:v>
                </c:pt>
                <c:pt idx="82">
                  <c:v>60.25</c:v>
                </c:pt>
                <c:pt idx="83">
                  <c:v>60.7</c:v>
                </c:pt>
                <c:pt idx="84">
                  <c:v>60.75</c:v>
                </c:pt>
                <c:pt idx="85">
                  <c:v>61</c:v>
                </c:pt>
                <c:pt idx="86">
                  <c:v>61</c:v>
                </c:pt>
                <c:pt idx="87">
                  <c:v>61.2</c:v>
                </c:pt>
                <c:pt idx="88">
                  <c:v>61.5</c:v>
                </c:pt>
                <c:pt idx="89">
                  <c:v>62.1</c:v>
                </c:pt>
                <c:pt idx="90">
                  <c:v>62.4</c:v>
                </c:pt>
                <c:pt idx="91">
                  <c:v>62.8</c:v>
                </c:pt>
                <c:pt idx="92">
                  <c:v>63.9</c:v>
                </c:pt>
                <c:pt idx="93">
                  <c:v>64</c:v>
                </c:pt>
                <c:pt idx="94">
                  <c:v>64</c:v>
                </c:pt>
                <c:pt idx="95">
                  <c:v>64.8</c:v>
                </c:pt>
                <c:pt idx="96">
                  <c:v>65</c:v>
                </c:pt>
                <c:pt idx="97">
                  <c:v>65.44</c:v>
                </c:pt>
                <c:pt idx="98">
                  <c:v>65.900000000000006</c:v>
                </c:pt>
                <c:pt idx="99">
                  <c:v>67</c:v>
                </c:pt>
                <c:pt idx="100">
                  <c:v>67</c:v>
                </c:pt>
                <c:pt idx="101">
                  <c:v>67</c:v>
                </c:pt>
                <c:pt idx="102">
                  <c:v>67</c:v>
                </c:pt>
                <c:pt idx="103">
                  <c:v>67</c:v>
                </c:pt>
                <c:pt idx="104">
                  <c:v>67.400000000000006</c:v>
                </c:pt>
                <c:pt idx="105">
                  <c:v>67.5</c:v>
                </c:pt>
                <c:pt idx="106">
                  <c:v>67.75</c:v>
                </c:pt>
                <c:pt idx="107">
                  <c:v>68</c:v>
                </c:pt>
                <c:pt idx="108">
                  <c:v>68.540000000000006</c:v>
                </c:pt>
                <c:pt idx="109">
                  <c:v>69</c:v>
                </c:pt>
                <c:pt idx="110">
                  <c:v>70</c:v>
                </c:pt>
                <c:pt idx="111">
                  <c:v>70</c:v>
                </c:pt>
                <c:pt idx="112">
                  <c:v>70</c:v>
                </c:pt>
                <c:pt idx="113">
                  <c:v>70.5</c:v>
                </c:pt>
                <c:pt idx="114">
                  <c:v>70.5</c:v>
                </c:pt>
                <c:pt idx="115">
                  <c:v>71</c:v>
                </c:pt>
                <c:pt idx="116">
                  <c:v>71</c:v>
                </c:pt>
                <c:pt idx="117">
                  <c:v>71</c:v>
                </c:pt>
                <c:pt idx="118">
                  <c:v>71.8</c:v>
                </c:pt>
                <c:pt idx="119">
                  <c:v>72</c:v>
                </c:pt>
                <c:pt idx="120">
                  <c:v>72</c:v>
                </c:pt>
                <c:pt idx="121">
                  <c:v>72.599999999999994</c:v>
                </c:pt>
                <c:pt idx="122">
                  <c:v>73</c:v>
                </c:pt>
                <c:pt idx="123">
                  <c:v>73</c:v>
                </c:pt>
                <c:pt idx="124">
                  <c:v>73</c:v>
                </c:pt>
                <c:pt idx="125">
                  <c:v>73.150000000000006</c:v>
                </c:pt>
                <c:pt idx="126">
                  <c:v>73.5</c:v>
                </c:pt>
                <c:pt idx="127">
                  <c:v>73.5</c:v>
                </c:pt>
                <c:pt idx="128">
                  <c:v>74</c:v>
                </c:pt>
                <c:pt idx="129">
                  <c:v>75</c:v>
                </c:pt>
                <c:pt idx="130">
                  <c:v>75</c:v>
                </c:pt>
                <c:pt idx="131">
                  <c:v>75</c:v>
                </c:pt>
                <c:pt idx="132">
                  <c:v>75.45</c:v>
                </c:pt>
                <c:pt idx="133">
                  <c:v>75.5</c:v>
                </c:pt>
                <c:pt idx="134">
                  <c:v>75.5</c:v>
                </c:pt>
                <c:pt idx="135">
                  <c:v>75.599999999999994</c:v>
                </c:pt>
                <c:pt idx="136">
                  <c:v>77.5</c:v>
                </c:pt>
                <c:pt idx="137">
                  <c:v>77.5</c:v>
                </c:pt>
                <c:pt idx="138">
                  <c:v>79</c:v>
                </c:pt>
                <c:pt idx="139">
                  <c:v>80</c:v>
                </c:pt>
                <c:pt idx="140">
                  <c:v>80</c:v>
                </c:pt>
                <c:pt idx="141">
                  <c:v>80</c:v>
                </c:pt>
                <c:pt idx="142">
                  <c:v>81</c:v>
                </c:pt>
                <c:pt idx="143">
                  <c:v>81</c:v>
                </c:pt>
                <c:pt idx="144">
                  <c:v>81</c:v>
                </c:pt>
                <c:pt idx="145">
                  <c:v>81.099999999999994</c:v>
                </c:pt>
                <c:pt idx="146">
                  <c:v>81.5</c:v>
                </c:pt>
                <c:pt idx="147">
                  <c:v>82.5</c:v>
                </c:pt>
                <c:pt idx="148">
                  <c:v>83</c:v>
                </c:pt>
                <c:pt idx="149">
                  <c:v>83</c:v>
                </c:pt>
                <c:pt idx="150">
                  <c:v>86.5</c:v>
                </c:pt>
                <c:pt idx="151">
                  <c:v>88</c:v>
                </c:pt>
                <c:pt idx="152">
                  <c:v>89</c:v>
                </c:pt>
                <c:pt idx="153">
                  <c:v>95.5</c:v>
                </c:pt>
                <c:pt idx="154">
                  <c:v>98</c:v>
                </c:pt>
                <c:pt idx="155">
                  <c:v>105</c:v>
                </c:pt>
                <c:pt idx="156">
                  <c:v>108</c:v>
                </c:pt>
                <c:pt idx="157">
                  <c:v>108</c:v>
                </c:pt>
                <c:pt idx="158">
                  <c:v>112</c:v>
                </c:pt>
                <c:pt idx="159">
                  <c:v>113</c:v>
                </c:pt>
                <c:pt idx="160">
                  <c:v>131.79</c:v>
                </c:pt>
              </c:numCache>
            </c:numRef>
          </c:yVal>
          <c:smooth val="0"/>
          <c:extLst xmlns:c16r2="http://schemas.microsoft.com/office/drawing/2015/06/chart">
            <c:ext xmlns:c16="http://schemas.microsoft.com/office/drawing/2014/chart" uri="{C3380CC4-5D6E-409C-BE32-E72D297353CC}">
              <c16:uniqueId val="{00000000-8FE2-4BE4-A822-1C4F8B269E3C}"/>
            </c:ext>
          </c:extLst>
        </c:ser>
        <c:ser>
          <c:idx val="1"/>
          <c:order val="1"/>
          <c:tx>
            <c:strRef>
              <c:f>'GS наш вариант'!$M$157</c:f>
              <c:strCache>
                <c:ptCount val="1"/>
                <c:pt idx="0">
                  <c:v>40</c:v>
                </c:pt>
              </c:strCache>
            </c:strRef>
          </c:tx>
          <c:spPr>
            <a:ln w="12700">
              <a:solidFill>
                <a:schemeClr val="bg1">
                  <a:lumMod val="75000"/>
                </a:schemeClr>
              </a:solidFill>
              <a:prstDash val="dash"/>
            </a:ln>
          </c:spPr>
          <c:marker>
            <c:symbol val="none"/>
          </c:marker>
          <c:xVal>
            <c:numRef>
              <c:f>'GS наш вариант'!$L$157:$L$158</c:f>
              <c:numCache>
                <c:formatCode>General</c:formatCode>
                <c:ptCount val="2"/>
                <c:pt idx="0">
                  <c:v>0</c:v>
                </c:pt>
                <c:pt idx="1">
                  <c:v>45000</c:v>
                </c:pt>
              </c:numCache>
            </c:numRef>
          </c:xVal>
          <c:yVal>
            <c:numRef>
              <c:f>'GS наш вариант'!$M$157:$M$158</c:f>
              <c:numCache>
                <c:formatCode>General</c:formatCode>
                <c:ptCount val="2"/>
                <c:pt idx="0">
                  <c:v>40</c:v>
                </c:pt>
                <c:pt idx="1">
                  <c:v>40</c:v>
                </c:pt>
              </c:numCache>
            </c:numRef>
          </c:yVal>
          <c:smooth val="0"/>
          <c:extLst xmlns:c16r2="http://schemas.microsoft.com/office/drawing/2015/06/chart">
            <c:ext xmlns:c16="http://schemas.microsoft.com/office/drawing/2014/chart" uri="{C3380CC4-5D6E-409C-BE32-E72D297353CC}">
              <c16:uniqueId val="{00000001-8FE2-4BE4-A822-1C4F8B269E3C}"/>
            </c:ext>
          </c:extLst>
        </c:ser>
        <c:ser>
          <c:idx val="2"/>
          <c:order val="2"/>
          <c:tx>
            <c:strRef>
              <c:f>'GS наш вариант'!$N$157</c:f>
              <c:strCache>
                <c:ptCount val="1"/>
                <c:pt idx="0">
                  <c:v>50</c:v>
                </c:pt>
              </c:strCache>
            </c:strRef>
          </c:tx>
          <c:spPr>
            <a:ln w="12700">
              <a:solidFill>
                <a:schemeClr val="bg1">
                  <a:lumMod val="75000"/>
                </a:schemeClr>
              </a:solidFill>
              <a:prstDash val="dash"/>
            </a:ln>
          </c:spPr>
          <c:marker>
            <c:symbol val="none"/>
          </c:marker>
          <c:dLbls>
            <c:dLbl>
              <c:idx val="0"/>
              <c:layout>
                <c:manualLayout>
                  <c:x val="-1.9382687353132265E-3"/>
                  <c:y val="2.3949153441875891E-2"/>
                </c:manualLayout>
              </c:layout>
              <c:tx>
                <c:rich>
                  <a:bodyPr/>
                  <a:lstStyle/>
                  <a:p>
                    <a:pPr>
                      <a:defRPr sz="500"/>
                    </a:pPr>
                    <a:r>
                      <a:rPr lang="ru-RU" sz="500" baseline="0"/>
                      <a:t>Равновесный уровень</a:t>
                    </a:r>
                    <a:endParaRPr lang="ru-RU" sz="500"/>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FE2-4BE4-A822-1C4F8B269E3C}"/>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FE2-4BE4-A822-1C4F8B269E3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'GS наш вариант'!$L$157:$L$158</c:f>
              <c:numCache>
                <c:formatCode>General</c:formatCode>
                <c:ptCount val="2"/>
                <c:pt idx="0">
                  <c:v>0</c:v>
                </c:pt>
                <c:pt idx="1">
                  <c:v>45000</c:v>
                </c:pt>
              </c:numCache>
            </c:numRef>
          </c:xVal>
          <c:yVal>
            <c:numRef>
              <c:f>'GS наш вариант'!$N$157:$N$158</c:f>
              <c:numCache>
                <c:formatCode>General</c:formatCode>
                <c:ptCount val="2"/>
                <c:pt idx="0">
                  <c:v>50</c:v>
                </c:pt>
                <c:pt idx="1">
                  <c:v>50</c:v>
                </c:pt>
              </c:numCache>
            </c:numRef>
          </c:yVal>
          <c:smooth val="0"/>
          <c:extLst xmlns:c16r2="http://schemas.microsoft.com/office/drawing/2015/06/chart">
            <c:ext xmlns:c16="http://schemas.microsoft.com/office/drawing/2014/chart" uri="{C3380CC4-5D6E-409C-BE32-E72D297353CC}">
              <c16:uniqueId val="{00000004-8FE2-4BE4-A822-1C4F8B269E3C}"/>
            </c:ext>
          </c:extLst>
        </c:ser>
        <c:dLbls>
          <c:showLegendKey val="0"/>
          <c:showVal val="0"/>
          <c:showCatName val="0"/>
          <c:showSerName val="0"/>
          <c:showPercent val="0"/>
          <c:showBubbleSize val="0"/>
        </c:dLbls>
        <c:axId val="134821760"/>
        <c:axId val="134832128"/>
      </c:scatterChart>
      <c:valAx>
        <c:axId val="134821760"/>
        <c:scaling>
          <c:orientation val="minMax"/>
          <c:max val="45000"/>
          <c:min val="0"/>
        </c:scaling>
        <c:delete val="0"/>
        <c:axPos val="b"/>
        <c:title>
          <c:tx>
            <c:rich>
              <a:bodyPr/>
              <a:lstStyle/>
              <a:p>
                <a:pPr>
                  <a:defRPr b="0"/>
                </a:pPr>
                <a:r>
                  <a:rPr lang="ru-RU" b="0"/>
                  <a:t>Пиковое производство, тыс. барр./сутки</a:t>
                </a:r>
              </a:p>
            </c:rich>
          </c:tx>
          <c:layout>
            <c:manualLayout>
              <c:xMode val="edge"/>
              <c:yMode val="edge"/>
              <c:x val="0.18362108510301933"/>
              <c:y val="0.90927339700953302"/>
            </c:manualLayout>
          </c:layout>
          <c:overlay val="0"/>
        </c:title>
        <c:numFmt formatCode="#,##0" sourceLinked="0"/>
        <c:majorTickMark val="out"/>
        <c:minorTickMark val="none"/>
        <c:tickLblPos val="low"/>
        <c:txPr>
          <a:bodyPr rot="0" vert="horz"/>
          <a:lstStyle/>
          <a:p>
            <a:pPr>
              <a:defRPr/>
            </a:pPr>
            <a:endParaRPr lang="ru-RU"/>
          </a:p>
        </c:txPr>
        <c:crossAx val="134832128"/>
        <c:crosses val="autoZero"/>
        <c:crossBetween val="midCat"/>
      </c:valAx>
      <c:valAx>
        <c:axId val="134832128"/>
        <c:scaling>
          <c:orientation val="minMax"/>
        </c:scaling>
        <c:delete val="0"/>
        <c:axPos val="l"/>
        <c:title>
          <c:tx>
            <c:rich>
              <a:bodyPr rot="-5400000" vert="horz"/>
              <a:lstStyle/>
              <a:p>
                <a:pPr algn="l">
                  <a:defRPr b="0"/>
                </a:pPr>
                <a:r>
                  <a:rPr lang="ru-RU" b="0"/>
                  <a:t>Граница рентабельности</a:t>
                </a:r>
              </a:p>
            </c:rich>
          </c:tx>
          <c:layout>
            <c:manualLayout>
              <c:xMode val="edge"/>
              <c:yMode val="edge"/>
              <c:x val="0"/>
              <c:y val="0.11884387451958672"/>
            </c:manualLayout>
          </c:layout>
          <c:overlay val="0"/>
        </c:title>
        <c:numFmt formatCode="0.0" sourceLinked="0"/>
        <c:majorTickMark val="out"/>
        <c:minorTickMark val="none"/>
        <c:tickLblPos val="nextTo"/>
        <c:crossAx val="134821760"/>
        <c:crosses val="autoZero"/>
        <c:crossBetween val="midCat"/>
        <c:majorUnit val="20"/>
      </c:valAx>
      <c:spPr>
        <a:noFill/>
      </c:spPr>
    </c:plotArea>
    <c:plotVisOnly val="1"/>
    <c:dispBlanksAs val="gap"/>
    <c:showDLblsOverMax val="0"/>
  </c:chart>
  <c:spPr>
    <a:noFill/>
    <a:ln w="9525">
      <a:noFill/>
    </a:ln>
  </c:spPr>
  <c:txPr>
    <a:bodyPr/>
    <a:lstStyle/>
    <a:p>
      <a:pPr>
        <a:defRPr sz="700">
          <a:latin typeface="Century" panose="020406040505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988407699037624E-2"/>
          <c:y val="5.1400554097404488E-2"/>
          <c:w val="0.87456198310510425"/>
          <c:h val="0.80296660834062406"/>
        </c:manualLayout>
      </c:layout>
      <c:lineChart>
        <c:grouping val="standard"/>
        <c:varyColors val="0"/>
        <c:ser>
          <c:idx val="0"/>
          <c:order val="0"/>
          <c:tx>
            <c:strRef>
              <c:f>МЕС!$O$445</c:f>
              <c:strCache>
                <c:ptCount val="1"/>
                <c:pt idx="0">
                  <c:v>ОПЕК</c:v>
                </c:pt>
              </c:strCache>
            </c:strRef>
          </c:tx>
          <c:spPr>
            <a:ln w="12700">
              <a:solidFill>
                <a:srgbClr val="00B050"/>
              </a:solidFill>
            </a:ln>
          </c:spPr>
          <c:marker>
            <c:symbol val="none"/>
          </c:marker>
          <c:cat>
            <c:numRef>
              <c:f>МЕС!$A$4:$A$441</c:f>
              <c:numCache>
                <c:formatCode>m/d/yyyy</c:formatCode>
                <c:ptCount val="381"/>
                <c:pt idx="0">
                  <c:v>31898</c:v>
                </c:pt>
                <c:pt idx="1">
                  <c:v>31929</c:v>
                </c:pt>
                <c:pt idx="2">
                  <c:v>31959</c:v>
                </c:pt>
                <c:pt idx="3">
                  <c:v>31990</c:v>
                </c:pt>
                <c:pt idx="4">
                  <c:v>32021</c:v>
                </c:pt>
                <c:pt idx="5">
                  <c:v>32051</c:v>
                </c:pt>
                <c:pt idx="6">
                  <c:v>32082</c:v>
                </c:pt>
                <c:pt idx="7">
                  <c:v>32112</c:v>
                </c:pt>
                <c:pt idx="8">
                  <c:v>32143</c:v>
                </c:pt>
                <c:pt idx="9">
                  <c:v>32174</c:v>
                </c:pt>
                <c:pt idx="10">
                  <c:v>32203</c:v>
                </c:pt>
                <c:pt idx="11">
                  <c:v>32234</c:v>
                </c:pt>
                <c:pt idx="12">
                  <c:v>32264</c:v>
                </c:pt>
                <c:pt idx="13">
                  <c:v>32295</c:v>
                </c:pt>
                <c:pt idx="14">
                  <c:v>32325</c:v>
                </c:pt>
                <c:pt idx="15">
                  <c:v>32356</c:v>
                </c:pt>
                <c:pt idx="16">
                  <c:v>32387</c:v>
                </c:pt>
                <c:pt idx="17">
                  <c:v>32417</c:v>
                </c:pt>
                <c:pt idx="18">
                  <c:v>32448</c:v>
                </c:pt>
                <c:pt idx="19">
                  <c:v>32478</c:v>
                </c:pt>
                <c:pt idx="20">
                  <c:v>32509</c:v>
                </c:pt>
                <c:pt idx="21">
                  <c:v>32540</c:v>
                </c:pt>
                <c:pt idx="22">
                  <c:v>32568</c:v>
                </c:pt>
                <c:pt idx="23">
                  <c:v>32599</c:v>
                </c:pt>
                <c:pt idx="24">
                  <c:v>32629</c:v>
                </c:pt>
                <c:pt idx="25">
                  <c:v>32660</c:v>
                </c:pt>
                <c:pt idx="26">
                  <c:v>32690</c:v>
                </c:pt>
                <c:pt idx="27">
                  <c:v>32721</c:v>
                </c:pt>
                <c:pt idx="28">
                  <c:v>32752</c:v>
                </c:pt>
                <c:pt idx="29">
                  <c:v>32782</c:v>
                </c:pt>
                <c:pt idx="30">
                  <c:v>32813</c:v>
                </c:pt>
                <c:pt idx="31">
                  <c:v>32843</c:v>
                </c:pt>
                <c:pt idx="32">
                  <c:v>32874</c:v>
                </c:pt>
                <c:pt idx="33">
                  <c:v>32905</c:v>
                </c:pt>
                <c:pt idx="34">
                  <c:v>32933</c:v>
                </c:pt>
                <c:pt idx="35">
                  <c:v>32964</c:v>
                </c:pt>
                <c:pt idx="36">
                  <c:v>32994</c:v>
                </c:pt>
                <c:pt idx="37">
                  <c:v>33025</c:v>
                </c:pt>
                <c:pt idx="38">
                  <c:v>33055</c:v>
                </c:pt>
                <c:pt idx="39">
                  <c:v>33086</c:v>
                </c:pt>
                <c:pt idx="40">
                  <c:v>33117</c:v>
                </c:pt>
                <c:pt idx="41">
                  <c:v>33147</c:v>
                </c:pt>
                <c:pt idx="42">
                  <c:v>33178</c:v>
                </c:pt>
                <c:pt idx="43">
                  <c:v>33208</c:v>
                </c:pt>
                <c:pt idx="44">
                  <c:v>33239</c:v>
                </c:pt>
                <c:pt idx="45">
                  <c:v>33270</c:v>
                </c:pt>
                <c:pt idx="46">
                  <c:v>33298</c:v>
                </c:pt>
                <c:pt idx="47">
                  <c:v>33329</c:v>
                </c:pt>
                <c:pt idx="48">
                  <c:v>33359</c:v>
                </c:pt>
                <c:pt idx="49">
                  <c:v>33390</c:v>
                </c:pt>
                <c:pt idx="50">
                  <c:v>33420</c:v>
                </c:pt>
                <c:pt idx="51">
                  <c:v>33451</c:v>
                </c:pt>
                <c:pt idx="52">
                  <c:v>33482</c:v>
                </c:pt>
                <c:pt idx="53">
                  <c:v>33512</c:v>
                </c:pt>
                <c:pt idx="54">
                  <c:v>33543</c:v>
                </c:pt>
                <c:pt idx="55">
                  <c:v>33573</c:v>
                </c:pt>
                <c:pt idx="56">
                  <c:v>33604</c:v>
                </c:pt>
                <c:pt idx="57">
                  <c:v>33635</c:v>
                </c:pt>
                <c:pt idx="58">
                  <c:v>33664</c:v>
                </c:pt>
                <c:pt idx="59">
                  <c:v>33695</c:v>
                </c:pt>
                <c:pt idx="60">
                  <c:v>33725</c:v>
                </c:pt>
                <c:pt idx="61">
                  <c:v>33756</c:v>
                </c:pt>
                <c:pt idx="62">
                  <c:v>33786</c:v>
                </c:pt>
                <c:pt idx="63">
                  <c:v>33817</c:v>
                </c:pt>
                <c:pt idx="64">
                  <c:v>33848</c:v>
                </c:pt>
                <c:pt idx="65">
                  <c:v>33878</c:v>
                </c:pt>
                <c:pt idx="66">
                  <c:v>33909</c:v>
                </c:pt>
                <c:pt idx="67">
                  <c:v>33939</c:v>
                </c:pt>
                <c:pt idx="68">
                  <c:v>33970</c:v>
                </c:pt>
                <c:pt idx="69">
                  <c:v>34001</c:v>
                </c:pt>
                <c:pt idx="70">
                  <c:v>34029</c:v>
                </c:pt>
                <c:pt idx="71">
                  <c:v>34060</c:v>
                </c:pt>
                <c:pt idx="72">
                  <c:v>34090</c:v>
                </c:pt>
                <c:pt idx="73">
                  <c:v>34121</c:v>
                </c:pt>
                <c:pt idx="74">
                  <c:v>34151</c:v>
                </c:pt>
                <c:pt idx="75">
                  <c:v>34182</c:v>
                </c:pt>
                <c:pt idx="76">
                  <c:v>34213</c:v>
                </c:pt>
                <c:pt idx="77">
                  <c:v>34243</c:v>
                </c:pt>
                <c:pt idx="78">
                  <c:v>34274</c:v>
                </c:pt>
                <c:pt idx="79">
                  <c:v>34304</c:v>
                </c:pt>
                <c:pt idx="80">
                  <c:v>34335</c:v>
                </c:pt>
                <c:pt idx="81">
                  <c:v>34366</c:v>
                </c:pt>
                <c:pt idx="82">
                  <c:v>34394</c:v>
                </c:pt>
                <c:pt idx="83">
                  <c:v>34425</c:v>
                </c:pt>
                <c:pt idx="84">
                  <c:v>34455</c:v>
                </c:pt>
                <c:pt idx="85">
                  <c:v>34486</c:v>
                </c:pt>
                <c:pt idx="86">
                  <c:v>34516</c:v>
                </c:pt>
                <c:pt idx="87">
                  <c:v>34547</c:v>
                </c:pt>
                <c:pt idx="88">
                  <c:v>34578</c:v>
                </c:pt>
                <c:pt idx="89">
                  <c:v>34608</c:v>
                </c:pt>
                <c:pt idx="90">
                  <c:v>34639</c:v>
                </c:pt>
                <c:pt idx="91">
                  <c:v>34669</c:v>
                </c:pt>
                <c:pt idx="92">
                  <c:v>34700</c:v>
                </c:pt>
                <c:pt idx="93">
                  <c:v>34731</c:v>
                </c:pt>
                <c:pt idx="94">
                  <c:v>34759</c:v>
                </c:pt>
                <c:pt idx="95">
                  <c:v>34790</c:v>
                </c:pt>
                <c:pt idx="96">
                  <c:v>34820</c:v>
                </c:pt>
                <c:pt idx="97">
                  <c:v>34851</c:v>
                </c:pt>
                <c:pt idx="98">
                  <c:v>34881</c:v>
                </c:pt>
                <c:pt idx="99">
                  <c:v>34912</c:v>
                </c:pt>
                <c:pt idx="100">
                  <c:v>34943</c:v>
                </c:pt>
                <c:pt idx="101">
                  <c:v>34973</c:v>
                </c:pt>
                <c:pt idx="102">
                  <c:v>35004</c:v>
                </c:pt>
                <c:pt idx="103">
                  <c:v>35034</c:v>
                </c:pt>
                <c:pt idx="104">
                  <c:v>35065</c:v>
                </c:pt>
                <c:pt idx="105">
                  <c:v>35096</c:v>
                </c:pt>
                <c:pt idx="106">
                  <c:v>35125</c:v>
                </c:pt>
                <c:pt idx="107">
                  <c:v>35156</c:v>
                </c:pt>
                <c:pt idx="108">
                  <c:v>35186</c:v>
                </c:pt>
                <c:pt idx="109">
                  <c:v>35217</c:v>
                </c:pt>
                <c:pt idx="110">
                  <c:v>35247</c:v>
                </c:pt>
                <c:pt idx="111">
                  <c:v>35278</c:v>
                </c:pt>
                <c:pt idx="112">
                  <c:v>35309</c:v>
                </c:pt>
                <c:pt idx="113">
                  <c:v>35339</c:v>
                </c:pt>
                <c:pt idx="114">
                  <c:v>35370</c:v>
                </c:pt>
                <c:pt idx="115">
                  <c:v>35400</c:v>
                </c:pt>
                <c:pt idx="116">
                  <c:v>35431</c:v>
                </c:pt>
                <c:pt idx="117">
                  <c:v>35462</c:v>
                </c:pt>
                <c:pt idx="118">
                  <c:v>35490</c:v>
                </c:pt>
                <c:pt idx="119">
                  <c:v>35521</c:v>
                </c:pt>
                <c:pt idx="120">
                  <c:v>35551</c:v>
                </c:pt>
                <c:pt idx="121">
                  <c:v>35582</c:v>
                </c:pt>
                <c:pt idx="122">
                  <c:v>35612</c:v>
                </c:pt>
                <c:pt idx="123">
                  <c:v>35643</c:v>
                </c:pt>
                <c:pt idx="124">
                  <c:v>35674</c:v>
                </c:pt>
                <c:pt idx="125">
                  <c:v>35704</c:v>
                </c:pt>
                <c:pt idx="126">
                  <c:v>35735</c:v>
                </c:pt>
                <c:pt idx="127">
                  <c:v>35765</c:v>
                </c:pt>
                <c:pt idx="128">
                  <c:v>35796</c:v>
                </c:pt>
                <c:pt idx="129">
                  <c:v>35827</c:v>
                </c:pt>
                <c:pt idx="130">
                  <c:v>35855</c:v>
                </c:pt>
                <c:pt idx="131">
                  <c:v>35886</c:v>
                </c:pt>
                <c:pt idx="132">
                  <c:v>35916</c:v>
                </c:pt>
                <c:pt idx="133">
                  <c:v>35947</c:v>
                </c:pt>
                <c:pt idx="134">
                  <c:v>35977</c:v>
                </c:pt>
                <c:pt idx="135">
                  <c:v>36008</c:v>
                </c:pt>
                <c:pt idx="136">
                  <c:v>36039</c:v>
                </c:pt>
                <c:pt idx="137">
                  <c:v>36069</c:v>
                </c:pt>
                <c:pt idx="138">
                  <c:v>36100</c:v>
                </c:pt>
                <c:pt idx="139">
                  <c:v>36130</c:v>
                </c:pt>
                <c:pt idx="140">
                  <c:v>36161</c:v>
                </c:pt>
                <c:pt idx="141">
                  <c:v>36192</c:v>
                </c:pt>
                <c:pt idx="142">
                  <c:v>36220</c:v>
                </c:pt>
                <c:pt idx="143">
                  <c:v>36251</c:v>
                </c:pt>
                <c:pt idx="144">
                  <c:v>36281</c:v>
                </c:pt>
                <c:pt idx="145">
                  <c:v>36312</c:v>
                </c:pt>
                <c:pt idx="146">
                  <c:v>36342</c:v>
                </c:pt>
                <c:pt idx="147">
                  <c:v>36373</c:v>
                </c:pt>
                <c:pt idx="148">
                  <c:v>36404</c:v>
                </c:pt>
                <c:pt idx="149">
                  <c:v>36434</c:v>
                </c:pt>
                <c:pt idx="150">
                  <c:v>36465</c:v>
                </c:pt>
                <c:pt idx="151">
                  <c:v>36495</c:v>
                </c:pt>
                <c:pt idx="152">
                  <c:v>36526</c:v>
                </c:pt>
                <c:pt idx="153">
                  <c:v>36557</c:v>
                </c:pt>
                <c:pt idx="154">
                  <c:v>36586</c:v>
                </c:pt>
                <c:pt idx="155">
                  <c:v>36617</c:v>
                </c:pt>
                <c:pt idx="156">
                  <c:v>36647</c:v>
                </c:pt>
                <c:pt idx="157">
                  <c:v>36678</c:v>
                </c:pt>
                <c:pt idx="158">
                  <c:v>36708</c:v>
                </c:pt>
                <c:pt idx="159">
                  <c:v>36739</c:v>
                </c:pt>
                <c:pt idx="160">
                  <c:v>36770</c:v>
                </c:pt>
                <c:pt idx="161">
                  <c:v>36800</c:v>
                </c:pt>
                <c:pt idx="162">
                  <c:v>36831</c:v>
                </c:pt>
                <c:pt idx="163">
                  <c:v>36861</c:v>
                </c:pt>
                <c:pt idx="164">
                  <c:v>36892</c:v>
                </c:pt>
                <c:pt idx="165">
                  <c:v>36923</c:v>
                </c:pt>
                <c:pt idx="166">
                  <c:v>36951</c:v>
                </c:pt>
                <c:pt idx="167">
                  <c:v>36982</c:v>
                </c:pt>
                <c:pt idx="168">
                  <c:v>37012</c:v>
                </c:pt>
                <c:pt idx="169">
                  <c:v>37043</c:v>
                </c:pt>
                <c:pt idx="170">
                  <c:v>37073</c:v>
                </c:pt>
                <c:pt idx="171">
                  <c:v>37104</c:v>
                </c:pt>
                <c:pt idx="172">
                  <c:v>37135</c:v>
                </c:pt>
                <c:pt idx="173">
                  <c:v>37165</c:v>
                </c:pt>
                <c:pt idx="174">
                  <c:v>37196</c:v>
                </c:pt>
                <c:pt idx="175">
                  <c:v>37226</c:v>
                </c:pt>
                <c:pt idx="176">
                  <c:v>37257</c:v>
                </c:pt>
                <c:pt idx="177">
                  <c:v>37288</c:v>
                </c:pt>
                <c:pt idx="178">
                  <c:v>37316</c:v>
                </c:pt>
                <c:pt idx="179">
                  <c:v>37347</c:v>
                </c:pt>
                <c:pt idx="180">
                  <c:v>37377</c:v>
                </c:pt>
                <c:pt idx="181">
                  <c:v>37408</c:v>
                </c:pt>
                <c:pt idx="182">
                  <c:v>37438</c:v>
                </c:pt>
                <c:pt idx="183">
                  <c:v>37469</c:v>
                </c:pt>
                <c:pt idx="184">
                  <c:v>37500</c:v>
                </c:pt>
                <c:pt idx="185">
                  <c:v>37530</c:v>
                </c:pt>
                <c:pt idx="186">
                  <c:v>37561</c:v>
                </c:pt>
                <c:pt idx="187">
                  <c:v>37591</c:v>
                </c:pt>
                <c:pt idx="188">
                  <c:v>37622</c:v>
                </c:pt>
                <c:pt idx="189">
                  <c:v>37653</c:v>
                </c:pt>
                <c:pt idx="190">
                  <c:v>37681</c:v>
                </c:pt>
                <c:pt idx="191">
                  <c:v>37712</c:v>
                </c:pt>
                <c:pt idx="192">
                  <c:v>37742</c:v>
                </c:pt>
                <c:pt idx="193">
                  <c:v>37773</c:v>
                </c:pt>
                <c:pt idx="194">
                  <c:v>37803</c:v>
                </c:pt>
                <c:pt idx="195">
                  <c:v>37834</c:v>
                </c:pt>
                <c:pt idx="196">
                  <c:v>37865</c:v>
                </c:pt>
                <c:pt idx="197">
                  <c:v>37895</c:v>
                </c:pt>
                <c:pt idx="198">
                  <c:v>37926</c:v>
                </c:pt>
                <c:pt idx="199">
                  <c:v>37956</c:v>
                </c:pt>
                <c:pt idx="200">
                  <c:v>37987</c:v>
                </c:pt>
                <c:pt idx="201">
                  <c:v>38018</c:v>
                </c:pt>
                <c:pt idx="202">
                  <c:v>38047</c:v>
                </c:pt>
                <c:pt idx="203">
                  <c:v>38078</c:v>
                </c:pt>
                <c:pt idx="204">
                  <c:v>38108</c:v>
                </c:pt>
                <c:pt idx="205">
                  <c:v>38139</c:v>
                </c:pt>
                <c:pt idx="206">
                  <c:v>38169</c:v>
                </c:pt>
                <c:pt idx="207">
                  <c:v>38200</c:v>
                </c:pt>
                <c:pt idx="208">
                  <c:v>38231</c:v>
                </c:pt>
                <c:pt idx="209">
                  <c:v>38261</c:v>
                </c:pt>
                <c:pt idx="210">
                  <c:v>38292</c:v>
                </c:pt>
                <c:pt idx="211">
                  <c:v>38322</c:v>
                </c:pt>
                <c:pt idx="212">
                  <c:v>38353</c:v>
                </c:pt>
                <c:pt idx="213">
                  <c:v>38384</c:v>
                </c:pt>
                <c:pt idx="214">
                  <c:v>38412</c:v>
                </c:pt>
                <c:pt idx="215">
                  <c:v>38443</c:v>
                </c:pt>
                <c:pt idx="216">
                  <c:v>38473</c:v>
                </c:pt>
                <c:pt idx="217">
                  <c:v>38504</c:v>
                </c:pt>
                <c:pt idx="218">
                  <c:v>38534</c:v>
                </c:pt>
                <c:pt idx="219">
                  <c:v>38565</c:v>
                </c:pt>
                <c:pt idx="220">
                  <c:v>38596</c:v>
                </c:pt>
                <c:pt idx="221">
                  <c:v>38626</c:v>
                </c:pt>
                <c:pt idx="222">
                  <c:v>38657</c:v>
                </c:pt>
                <c:pt idx="223">
                  <c:v>38687</c:v>
                </c:pt>
                <c:pt idx="224">
                  <c:v>38718</c:v>
                </c:pt>
                <c:pt idx="225">
                  <c:v>38749</c:v>
                </c:pt>
                <c:pt idx="226">
                  <c:v>38777</c:v>
                </c:pt>
                <c:pt idx="227">
                  <c:v>38808</c:v>
                </c:pt>
                <c:pt idx="228">
                  <c:v>38838</c:v>
                </c:pt>
                <c:pt idx="229">
                  <c:v>38869</c:v>
                </c:pt>
                <c:pt idx="230">
                  <c:v>38899</c:v>
                </c:pt>
                <c:pt idx="231">
                  <c:v>38930</c:v>
                </c:pt>
                <c:pt idx="232">
                  <c:v>38961</c:v>
                </c:pt>
                <c:pt idx="233">
                  <c:v>38991</c:v>
                </c:pt>
                <c:pt idx="234">
                  <c:v>39022</c:v>
                </c:pt>
                <c:pt idx="235">
                  <c:v>39052</c:v>
                </c:pt>
                <c:pt idx="236">
                  <c:v>39083</c:v>
                </c:pt>
                <c:pt idx="237">
                  <c:v>39114</c:v>
                </c:pt>
                <c:pt idx="238">
                  <c:v>39142</c:v>
                </c:pt>
                <c:pt idx="239">
                  <c:v>39173</c:v>
                </c:pt>
                <c:pt idx="240">
                  <c:v>39203</c:v>
                </c:pt>
                <c:pt idx="241">
                  <c:v>39234</c:v>
                </c:pt>
                <c:pt idx="242">
                  <c:v>39264</c:v>
                </c:pt>
                <c:pt idx="243">
                  <c:v>39295</c:v>
                </c:pt>
                <c:pt idx="244">
                  <c:v>39326</c:v>
                </c:pt>
                <c:pt idx="245">
                  <c:v>39356</c:v>
                </c:pt>
                <c:pt idx="246">
                  <c:v>39387</c:v>
                </c:pt>
                <c:pt idx="247">
                  <c:v>39417</c:v>
                </c:pt>
                <c:pt idx="248">
                  <c:v>39448</c:v>
                </c:pt>
                <c:pt idx="249">
                  <c:v>39479</c:v>
                </c:pt>
                <c:pt idx="250">
                  <c:v>39508</c:v>
                </c:pt>
                <c:pt idx="251">
                  <c:v>39539</c:v>
                </c:pt>
                <c:pt idx="252">
                  <c:v>39569</c:v>
                </c:pt>
                <c:pt idx="253">
                  <c:v>39600</c:v>
                </c:pt>
                <c:pt idx="254">
                  <c:v>39630</c:v>
                </c:pt>
                <c:pt idx="255">
                  <c:v>39661</c:v>
                </c:pt>
                <c:pt idx="256">
                  <c:v>39692</c:v>
                </c:pt>
                <c:pt idx="257">
                  <c:v>39722</c:v>
                </c:pt>
                <c:pt idx="258">
                  <c:v>39753</c:v>
                </c:pt>
                <c:pt idx="259">
                  <c:v>39783</c:v>
                </c:pt>
                <c:pt idx="260">
                  <c:v>39814</c:v>
                </c:pt>
                <c:pt idx="261">
                  <c:v>39845</c:v>
                </c:pt>
                <c:pt idx="262">
                  <c:v>39873</c:v>
                </c:pt>
                <c:pt idx="263">
                  <c:v>39904</c:v>
                </c:pt>
                <c:pt idx="264">
                  <c:v>39934</c:v>
                </c:pt>
                <c:pt idx="265">
                  <c:v>39965</c:v>
                </c:pt>
                <c:pt idx="266">
                  <c:v>39995</c:v>
                </c:pt>
                <c:pt idx="267">
                  <c:v>40026</c:v>
                </c:pt>
                <c:pt idx="268">
                  <c:v>40057</c:v>
                </c:pt>
                <c:pt idx="269">
                  <c:v>40087</c:v>
                </c:pt>
                <c:pt idx="270">
                  <c:v>40118</c:v>
                </c:pt>
                <c:pt idx="271">
                  <c:v>40148</c:v>
                </c:pt>
                <c:pt idx="272">
                  <c:v>40179</c:v>
                </c:pt>
                <c:pt idx="273">
                  <c:v>40210</c:v>
                </c:pt>
                <c:pt idx="274">
                  <c:v>40238</c:v>
                </c:pt>
                <c:pt idx="275">
                  <c:v>40269</c:v>
                </c:pt>
                <c:pt idx="276">
                  <c:v>40299</c:v>
                </c:pt>
                <c:pt idx="277">
                  <c:v>40330</c:v>
                </c:pt>
                <c:pt idx="278">
                  <c:v>40360</c:v>
                </c:pt>
                <c:pt idx="279">
                  <c:v>40391</c:v>
                </c:pt>
                <c:pt idx="280">
                  <c:v>40422</c:v>
                </c:pt>
                <c:pt idx="281">
                  <c:v>40452</c:v>
                </c:pt>
                <c:pt idx="282">
                  <c:v>40483</c:v>
                </c:pt>
                <c:pt idx="283">
                  <c:v>40513</c:v>
                </c:pt>
                <c:pt idx="284">
                  <c:v>40544</c:v>
                </c:pt>
                <c:pt idx="285">
                  <c:v>40575</c:v>
                </c:pt>
                <c:pt idx="286">
                  <c:v>40603</c:v>
                </c:pt>
                <c:pt idx="287">
                  <c:v>40634</c:v>
                </c:pt>
                <c:pt idx="288">
                  <c:v>40664</c:v>
                </c:pt>
                <c:pt idx="289">
                  <c:v>40695</c:v>
                </c:pt>
                <c:pt idx="290">
                  <c:v>40725</c:v>
                </c:pt>
                <c:pt idx="291">
                  <c:v>40756</c:v>
                </c:pt>
                <c:pt idx="292">
                  <c:v>40787</c:v>
                </c:pt>
                <c:pt idx="293">
                  <c:v>40817</c:v>
                </c:pt>
                <c:pt idx="294">
                  <c:v>40848</c:v>
                </c:pt>
                <c:pt idx="295">
                  <c:v>40878</c:v>
                </c:pt>
                <c:pt idx="296">
                  <c:v>40909</c:v>
                </c:pt>
                <c:pt idx="297">
                  <c:v>40940</c:v>
                </c:pt>
                <c:pt idx="298">
                  <c:v>40969</c:v>
                </c:pt>
                <c:pt idx="299">
                  <c:v>41000</c:v>
                </c:pt>
                <c:pt idx="300">
                  <c:v>41030</c:v>
                </c:pt>
                <c:pt idx="301">
                  <c:v>41061</c:v>
                </c:pt>
                <c:pt idx="302">
                  <c:v>41091</c:v>
                </c:pt>
                <c:pt idx="303">
                  <c:v>41122</c:v>
                </c:pt>
                <c:pt idx="304">
                  <c:v>41153</c:v>
                </c:pt>
                <c:pt idx="305">
                  <c:v>41183</c:v>
                </c:pt>
                <c:pt idx="306">
                  <c:v>41214</c:v>
                </c:pt>
                <c:pt idx="307">
                  <c:v>41244</c:v>
                </c:pt>
                <c:pt idx="308">
                  <c:v>41275</c:v>
                </c:pt>
                <c:pt idx="309">
                  <c:v>41306</c:v>
                </c:pt>
                <c:pt idx="310">
                  <c:v>41334</c:v>
                </c:pt>
                <c:pt idx="311">
                  <c:v>41365</c:v>
                </c:pt>
                <c:pt idx="312">
                  <c:v>41395</c:v>
                </c:pt>
                <c:pt idx="313">
                  <c:v>41426</c:v>
                </c:pt>
                <c:pt idx="314">
                  <c:v>41456</c:v>
                </c:pt>
                <c:pt idx="315">
                  <c:v>41487</c:v>
                </c:pt>
                <c:pt idx="316">
                  <c:v>41518</c:v>
                </c:pt>
                <c:pt idx="317">
                  <c:v>41548</c:v>
                </c:pt>
                <c:pt idx="318">
                  <c:v>41579</c:v>
                </c:pt>
                <c:pt idx="319">
                  <c:v>41609</c:v>
                </c:pt>
                <c:pt idx="320">
                  <c:v>41640</c:v>
                </c:pt>
                <c:pt idx="321">
                  <c:v>41671</c:v>
                </c:pt>
                <c:pt idx="322">
                  <c:v>41699</c:v>
                </c:pt>
                <c:pt idx="323">
                  <c:v>41730</c:v>
                </c:pt>
                <c:pt idx="324">
                  <c:v>41760</c:v>
                </c:pt>
                <c:pt idx="325">
                  <c:v>41791</c:v>
                </c:pt>
                <c:pt idx="326">
                  <c:v>41821</c:v>
                </c:pt>
                <c:pt idx="327">
                  <c:v>41852</c:v>
                </c:pt>
                <c:pt idx="328">
                  <c:v>41883</c:v>
                </c:pt>
                <c:pt idx="329">
                  <c:v>41913</c:v>
                </c:pt>
                <c:pt idx="330">
                  <c:v>41944</c:v>
                </c:pt>
                <c:pt idx="331">
                  <c:v>41974</c:v>
                </c:pt>
                <c:pt idx="332">
                  <c:v>42005</c:v>
                </c:pt>
                <c:pt idx="333">
                  <c:v>42036</c:v>
                </c:pt>
                <c:pt idx="334">
                  <c:v>42064</c:v>
                </c:pt>
                <c:pt idx="335">
                  <c:v>42095</c:v>
                </c:pt>
                <c:pt idx="336">
                  <c:v>42125</c:v>
                </c:pt>
                <c:pt idx="337">
                  <c:v>42156</c:v>
                </c:pt>
                <c:pt idx="338">
                  <c:v>42186</c:v>
                </c:pt>
                <c:pt idx="339">
                  <c:v>42217</c:v>
                </c:pt>
                <c:pt idx="340">
                  <c:v>42248</c:v>
                </c:pt>
                <c:pt idx="341">
                  <c:v>42278</c:v>
                </c:pt>
                <c:pt idx="342">
                  <c:v>42309</c:v>
                </c:pt>
                <c:pt idx="343">
                  <c:v>42339</c:v>
                </c:pt>
                <c:pt idx="344">
                  <c:v>42370</c:v>
                </c:pt>
                <c:pt idx="345">
                  <c:v>42401</c:v>
                </c:pt>
                <c:pt idx="346">
                  <c:v>42430</c:v>
                </c:pt>
                <c:pt idx="347">
                  <c:v>42461</c:v>
                </c:pt>
                <c:pt idx="348">
                  <c:v>42491</c:v>
                </c:pt>
                <c:pt idx="349">
                  <c:v>42522</c:v>
                </c:pt>
                <c:pt idx="350">
                  <c:v>42552</c:v>
                </c:pt>
                <c:pt idx="351">
                  <c:v>42583</c:v>
                </c:pt>
                <c:pt idx="352">
                  <c:v>42614</c:v>
                </c:pt>
                <c:pt idx="353">
                  <c:v>42644</c:v>
                </c:pt>
                <c:pt idx="354">
                  <c:v>42675</c:v>
                </c:pt>
                <c:pt idx="355">
                  <c:v>42705</c:v>
                </c:pt>
                <c:pt idx="356">
                  <c:v>42736</c:v>
                </c:pt>
                <c:pt idx="357">
                  <c:v>42767</c:v>
                </c:pt>
                <c:pt idx="358">
                  <c:v>42795</c:v>
                </c:pt>
                <c:pt idx="359">
                  <c:v>42826</c:v>
                </c:pt>
                <c:pt idx="360">
                  <c:v>42856</c:v>
                </c:pt>
                <c:pt idx="361">
                  <c:v>42887</c:v>
                </c:pt>
                <c:pt idx="362">
                  <c:v>42917</c:v>
                </c:pt>
                <c:pt idx="363">
                  <c:v>42948</c:v>
                </c:pt>
                <c:pt idx="364">
                  <c:v>42979</c:v>
                </c:pt>
                <c:pt idx="365">
                  <c:v>43009</c:v>
                </c:pt>
                <c:pt idx="366">
                  <c:v>43040</c:v>
                </c:pt>
                <c:pt idx="367">
                  <c:v>43070</c:v>
                </c:pt>
                <c:pt idx="368">
                  <c:v>43101</c:v>
                </c:pt>
                <c:pt idx="369">
                  <c:v>43132</c:v>
                </c:pt>
                <c:pt idx="370">
                  <c:v>43160</c:v>
                </c:pt>
                <c:pt idx="371">
                  <c:v>43191</c:v>
                </c:pt>
                <c:pt idx="372">
                  <c:v>43221</c:v>
                </c:pt>
                <c:pt idx="373">
                  <c:v>43252</c:v>
                </c:pt>
                <c:pt idx="374">
                  <c:v>43282</c:v>
                </c:pt>
                <c:pt idx="375">
                  <c:v>43313</c:v>
                </c:pt>
                <c:pt idx="376">
                  <c:v>43344</c:v>
                </c:pt>
                <c:pt idx="377">
                  <c:v>43374</c:v>
                </c:pt>
                <c:pt idx="378">
                  <c:v>43405</c:v>
                </c:pt>
                <c:pt idx="379">
                  <c:v>43435</c:v>
                </c:pt>
              </c:numCache>
            </c:numRef>
          </c:cat>
          <c:val>
            <c:numRef>
              <c:f>МЕС!$Q$4:$Q$441</c:f>
              <c:numCache>
                <c:formatCode>0.0</c:formatCode>
                <c:ptCount val="38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26.867862301999999</c:v>
                </c:pt>
                <c:pt idx="81">
                  <c:v>26.838245336</c:v>
                </c:pt>
                <c:pt idx="82">
                  <c:v>26.895218524000001</c:v>
                </c:pt>
                <c:pt idx="83">
                  <c:v>26.744431183</c:v>
                </c:pt>
                <c:pt idx="84">
                  <c:v>26.887771465</c:v>
                </c:pt>
                <c:pt idx="85">
                  <c:v>27.01620213</c:v>
                </c:pt>
                <c:pt idx="86">
                  <c:v>26.900767587000001</c:v>
                </c:pt>
                <c:pt idx="87">
                  <c:v>26.62247795</c:v>
                </c:pt>
                <c:pt idx="88">
                  <c:v>27.10280418</c:v>
                </c:pt>
                <c:pt idx="89">
                  <c:v>27.111286093</c:v>
                </c:pt>
                <c:pt idx="90">
                  <c:v>27.181501708999999</c:v>
                </c:pt>
                <c:pt idx="91">
                  <c:v>27.155680408999999</c:v>
                </c:pt>
                <c:pt idx="92">
                  <c:v>27.252596527000001</c:v>
                </c:pt>
                <c:pt idx="93">
                  <c:v>27.450571741000001</c:v>
                </c:pt>
                <c:pt idx="94">
                  <c:v>27.079638625000001</c:v>
                </c:pt>
                <c:pt idx="95">
                  <c:v>27.606483729000001</c:v>
                </c:pt>
                <c:pt idx="96">
                  <c:v>28.138331954000002</c:v>
                </c:pt>
                <c:pt idx="97">
                  <c:v>27.459618423999999</c:v>
                </c:pt>
                <c:pt idx="98">
                  <c:v>27.802157740999998</c:v>
                </c:pt>
                <c:pt idx="99">
                  <c:v>28.043199926</c:v>
                </c:pt>
                <c:pt idx="100">
                  <c:v>27.851348462000001</c:v>
                </c:pt>
                <c:pt idx="101">
                  <c:v>28.086335621</c:v>
                </c:pt>
                <c:pt idx="102">
                  <c:v>27.726187294999999</c:v>
                </c:pt>
                <c:pt idx="103">
                  <c:v>27.851271175000001</c:v>
                </c:pt>
                <c:pt idx="104">
                  <c:v>27.935630849999999</c:v>
                </c:pt>
                <c:pt idx="105">
                  <c:v>28.042906672000001</c:v>
                </c:pt>
                <c:pt idx="106">
                  <c:v>28.145191599</c:v>
                </c:pt>
                <c:pt idx="107">
                  <c:v>27.928722801999999</c:v>
                </c:pt>
                <c:pt idx="108">
                  <c:v>27.990494704</c:v>
                </c:pt>
                <c:pt idx="109">
                  <c:v>28.117439639000001</c:v>
                </c:pt>
                <c:pt idx="110">
                  <c:v>28.246842535999999</c:v>
                </c:pt>
                <c:pt idx="111">
                  <c:v>28.221037295999999</c:v>
                </c:pt>
                <c:pt idx="112">
                  <c:v>28.267545930000001</c:v>
                </c:pt>
                <c:pt idx="113">
                  <c:v>28.344764476999998</c:v>
                </c:pt>
                <c:pt idx="114">
                  <c:v>28.372049404999999</c:v>
                </c:pt>
                <c:pt idx="115">
                  <c:v>28.945690702</c:v>
                </c:pt>
                <c:pt idx="116">
                  <c:v>28.905517839000002</c:v>
                </c:pt>
                <c:pt idx="117">
                  <c:v>29.172163201</c:v>
                </c:pt>
                <c:pt idx="118">
                  <c:v>29.361971220000001</c:v>
                </c:pt>
                <c:pt idx="119">
                  <c:v>29.623455200999999</c:v>
                </c:pt>
                <c:pt idx="120">
                  <c:v>29.365462374</c:v>
                </c:pt>
                <c:pt idx="121">
                  <c:v>28.991692119</c:v>
                </c:pt>
                <c:pt idx="122">
                  <c:v>29.002060866000001</c:v>
                </c:pt>
                <c:pt idx="123">
                  <c:v>30.151089817999999</c:v>
                </c:pt>
                <c:pt idx="124">
                  <c:v>30.176360868</c:v>
                </c:pt>
                <c:pt idx="125">
                  <c:v>30.323172647</c:v>
                </c:pt>
                <c:pt idx="126">
                  <c:v>30.089078142999998</c:v>
                </c:pt>
                <c:pt idx="127">
                  <c:v>29.731663193999999</c:v>
                </c:pt>
                <c:pt idx="128">
                  <c:v>30.955862669999998</c:v>
                </c:pt>
                <c:pt idx="129">
                  <c:v>31.417660283</c:v>
                </c:pt>
                <c:pt idx="130">
                  <c:v>31.401660282999998</c:v>
                </c:pt>
                <c:pt idx="131">
                  <c:v>31.284870288</c:v>
                </c:pt>
                <c:pt idx="132">
                  <c:v>31.216519950999999</c:v>
                </c:pt>
                <c:pt idx="133">
                  <c:v>30.672815800999999</c:v>
                </c:pt>
                <c:pt idx="134">
                  <c:v>30.471085913</c:v>
                </c:pt>
                <c:pt idx="135">
                  <c:v>30.233531572</c:v>
                </c:pt>
                <c:pt idx="136">
                  <c:v>30.313710479000001</c:v>
                </c:pt>
                <c:pt idx="137">
                  <c:v>30.188690166000001</c:v>
                </c:pt>
                <c:pt idx="138">
                  <c:v>30.453862169000001</c:v>
                </c:pt>
                <c:pt idx="139">
                  <c:v>30.186726758999999</c:v>
                </c:pt>
                <c:pt idx="140">
                  <c:v>30.399037616000001</c:v>
                </c:pt>
                <c:pt idx="141">
                  <c:v>30.929074904</c:v>
                </c:pt>
                <c:pt idx="142">
                  <c:v>30.740590621999999</c:v>
                </c:pt>
                <c:pt idx="143">
                  <c:v>29.424175435999999</c:v>
                </c:pt>
                <c:pt idx="144">
                  <c:v>29.365561378999999</c:v>
                </c:pt>
                <c:pt idx="145">
                  <c:v>28.821386444000002</c:v>
                </c:pt>
                <c:pt idx="146">
                  <c:v>29.393320678999999</c:v>
                </c:pt>
                <c:pt idx="147">
                  <c:v>29.663347467000001</c:v>
                </c:pt>
                <c:pt idx="148">
                  <c:v>29.688337616999998</c:v>
                </c:pt>
                <c:pt idx="149">
                  <c:v>29.770377184000001</c:v>
                </c:pt>
                <c:pt idx="150">
                  <c:v>29.225318480999999</c:v>
                </c:pt>
                <c:pt idx="151">
                  <c:v>28.369598119999999</c:v>
                </c:pt>
                <c:pt idx="152">
                  <c:v>29.535699999999999</c:v>
                </c:pt>
                <c:pt idx="153">
                  <c:v>30.2117</c:v>
                </c:pt>
                <c:pt idx="154">
                  <c:v>30.145700000000001</c:v>
                </c:pt>
                <c:pt idx="155">
                  <c:v>31.079699999999999</c:v>
                </c:pt>
                <c:pt idx="156">
                  <c:v>31.6357</c:v>
                </c:pt>
                <c:pt idx="157">
                  <c:v>31.238700000000001</c:v>
                </c:pt>
                <c:pt idx="158">
                  <c:v>31.5547</c:v>
                </c:pt>
                <c:pt idx="159">
                  <c:v>32.5807</c:v>
                </c:pt>
                <c:pt idx="160">
                  <c:v>32.592700000000001</c:v>
                </c:pt>
                <c:pt idx="161">
                  <c:v>32.852699999999999</c:v>
                </c:pt>
                <c:pt idx="162">
                  <c:v>32.803699999999999</c:v>
                </c:pt>
                <c:pt idx="163">
                  <c:v>31.3307</c:v>
                </c:pt>
                <c:pt idx="164">
                  <c:v>31.876000000000001</c:v>
                </c:pt>
                <c:pt idx="165">
                  <c:v>31.393999999999998</c:v>
                </c:pt>
                <c:pt idx="166">
                  <c:v>32.07</c:v>
                </c:pt>
                <c:pt idx="167">
                  <c:v>31.347999999999999</c:v>
                </c:pt>
                <c:pt idx="168">
                  <c:v>31.100999999999999</c:v>
                </c:pt>
                <c:pt idx="169">
                  <c:v>29.623000000000001</c:v>
                </c:pt>
                <c:pt idx="170">
                  <c:v>30.847000000000001</c:v>
                </c:pt>
                <c:pt idx="171">
                  <c:v>31.331</c:v>
                </c:pt>
                <c:pt idx="172">
                  <c:v>30.434000000000001</c:v>
                </c:pt>
                <c:pt idx="173">
                  <c:v>30.364000000000001</c:v>
                </c:pt>
                <c:pt idx="174">
                  <c:v>30.254999999999999</c:v>
                </c:pt>
                <c:pt idx="175">
                  <c:v>29.350999999999999</c:v>
                </c:pt>
                <c:pt idx="176">
                  <c:v>28.923500000000001</c:v>
                </c:pt>
                <c:pt idx="177">
                  <c:v>28.951499999999999</c:v>
                </c:pt>
                <c:pt idx="178">
                  <c:v>29.174499999999998</c:v>
                </c:pt>
                <c:pt idx="179">
                  <c:v>28.017499999999998</c:v>
                </c:pt>
                <c:pt idx="180">
                  <c:v>28.8855</c:v>
                </c:pt>
                <c:pt idx="181">
                  <c:v>28.5975</c:v>
                </c:pt>
                <c:pt idx="182">
                  <c:v>29.203499999999998</c:v>
                </c:pt>
                <c:pt idx="183">
                  <c:v>29.076499999999999</c:v>
                </c:pt>
                <c:pt idx="184">
                  <c:v>29.906500000000001</c:v>
                </c:pt>
                <c:pt idx="185">
                  <c:v>30.717500000000001</c:v>
                </c:pt>
                <c:pt idx="186">
                  <c:v>30.796500000000002</c:v>
                </c:pt>
                <c:pt idx="187">
                  <c:v>28.7285</c:v>
                </c:pt>
                <c:pt idx="188">
                  <c:v>29.0854</c:v>
                </c:pt>
                <c:pt idx="189">
                  <c:v>30.5014</c:v>
                </c:pt>
                <c:pt idx="190">
                  <c:v>31.162400000000002</c:v>
                </c:pt>
                <c:pt idx="191">
                  <c:v>30.507400000000001</c:v>
                </c:pt>
                <c:pt idx="192">
                  <c:v>30.598400000000002</c:v>
                </c:pt>
                <c:pt idx="193">
                  <c:v>29.933399999999999</c:v>
                </c:pt>
                <c:pt idx="194">
                  <c:v>30.165400000000002</c:v>
                </c:pt>
                <c:pt idx="195">
                  <c:v>30.717400000000001</c:v>
                </c:pt>
                <c:pt idx="196">
                  <c:v>31.168399999999998</c:v>
                </c:pt>
                <c:pt idx="197">
                  <c:v>31.866399999999999</c:v>
                </c:pt>
                <c:pt idx="198">
                  <c:v>31.932400000000001</c:v>
                </c:pt>
                <c:pt idx="199">
                  <c:v>32.651400000000002</c:v>
                </c:pt>
                <c:pt idx="200">
                  <c:v>33.126100000000001</c:v>
                </c:pt>
                <c:pt idx="201">
                  <c:v>33.083100000000002</c:v>
                </c:pt>
                <c:pt idx="202">
                  <c:v>32.923099999999998</c:v>
                </c:pt>
                <c:pt idx="203">
                  <c:v>32.848100000000002</c:v>
                </c:pt>
                <c:pt idx="204">
                  <c:v>32.673099999999998</c:v>
                </c:pt>
                <c:pt idx="205">
                  <c:v>33.954099999999997</c:v>
                </c:pt>
                <c:pt idx="206">
                  <c:v>34.409100000000002</c:v>
                </c:pt>
                <c:pt idx="207">
                  <c:v>34.234099999999998</c:v>
                </c:pt>
                <c:pt idx="208">
                  <c:v>34.752099999999999</c:v>
                </c:pt>
                <c:pt idx="209">
                  <c:v>34.796100000000003</c:v>
                </c:pt>
                <c:pt idx="210">
                  <c:v>34.2881</c:v>
                </c:pt>
                <c:pt idx="211">
                  <c:v>34.499099999999999</c:v>
                </c:pt>
                <c:pt idx="212">
                  <c:v>35.061999999999998</c:v>
                </c:pt>
                <c:pt idx="213">
                  <c:v>35.192</c:v>
                </c:pt>
                <c:pt idx="214">
                  <c:v>35.350999999999999</c:v>
                </c:pt>
                <c:pt idx="215">
                  <c:v>35.521000000000001</c:v>
                </c:pt>
                <c:pt idx="216">
                  <c:v>35.412999999999997</c:v>
                </c:pt>
                <c:pt idx="217">
                  <c:v>35.570999999999998</c:v>
                </c:pt>
                <c:pt idx="218">
                  <c:v>35.853000000000002</c:v>
                </c:pt>
                <c:pt idx="219">
                  <c:v>35.828000000000003</c:v>
                </c:pt>
                <c:pt idx="220">
                  <c:v>36.226999999999997</c:v>
                </c:pt>
                <c:pt idx="221">
                  <c:v>35.856000000000002</c:v>
                </c:pt>
                <c:pt idx="222">
                  <c:v>35.801000000000002</c:v>
                </c:pt>
                <c:pt idx="223">
                  <c:v>35.729999999999997</c:v>
                </c:pt>
                <c:pt idx="224">
                  <c:v>35.369</c:v>
                </c:pt>
                <c:pt idx="225">
                  <c:v>35.412999999999997</c:v>
                </c:pt>
                <c:pt idx="226">
                  <c:v>35.252000000000002</c:v>
                </c:pt>
                <c:pt idx="227">
                  <c:v>35.283000000000001</c:v>
                </c:pt>
                <c:pt idx="228">
                  <c:v>34.965000000000003</c:v>
                </c:pt>
                <c:pt idx="229">
                  <c:v>35.271000000000001</c:v>
                </c:pt>
                <c:pt idx="230">
                  <c:v>35.665999999999997</c:v>
                </c:pt>
                <c:pt idx="231">
                  <c:v>35.847000000000001</c:v>
                </c:pt>
                <c:pt idx="232">
                  <c:v>35.493000000000002</c:v>
                </c:pt>
                <c:pt idx="233">
                  <c:v>35.290999999999997</c:v>
                </c:pt>
                <c:pt idx="234">
                  <c:v>34.892000000000003</c:v>
                </c:pt>
                <c:pt idx="235">
                  <c:v>34.825899999999997</c:v>
                </c:pt>
                <c:pt idx="236">
                  <c:v>34.700699999999998</c:v>
                </c:pt>
                <c:pt idx="237">
                  <c:v>34.623600000000003</c:v>
                </c:pt>
                <c:pt idx="238">
                  <c:v>34.672400000000003</c:v>
                </c:pt>
                <c:pt idx="239">
                  <c:v>34.905200000000001</c:v>
                </c:pt>
                <c:pt idx="240">
                  <c:v>34.7742</c:v>
                </c:pt>
                <c:pt idx="241">
                  <c:v>34.674100000000003</c:v>
                </c:pt>
                <c:pt idx="242">
                  <c:v>34.991100000000003</c:v>
                </c:pt>
                <c:pt idx="243">
                  <c:v>34.953000000000003</c:v>
                </c:pt>
                <c:pt idx="244">
                  <c:v>35.593000000000004</c:v>
                </c:pt>
                <c:pt idx="245">
                  <c:v>35.7971</c:v>
                </c:pt>
                <c:pt idx="246">
                  <c:v>35.587000000000003</c:v>
                </c:pt>
                <c:pt idx="247">
                  <c:v>36.323</c:v>
                </c:pt>
                <c:pt idx="248">
                  <c:v>36.470799999999997</c:v>
                </c:pt>
                <c:pt idx="249">
                  <c:v>36.5687</c:v>
                </c:pt>
                <c:pt idx="250">
                  <c:v>36.778700000000001</c:v>
                </c:pt>
                <c:pt idx="251">
                  <c:v>36.506700000000002</c:v>
                </c:pt>
                <c:pt idx="252">
                  <c:v>36.809699999999999</c:v>
                </c:pt>
                <c:pt idx="253">
                  <c:v>36.941899999999997</c:v>
                </c:pt>
                <c:pt idx="254">
                  <c:v>37.337600000000002</c:v>
                </c:pt>
                <c:pt idx="255">
                  <c:v>37.155000000000001</c:v>
                </c:pt>
                <c:pt idx="256">
                  <c:v>36.845500000000001</c:v>
                </c:pt>
                <c:pt idx="257">
                  <c:v>36.8735</c:v>
                </c:pt>
                <c:pt idx="258">
                  <c:v>36.137700000000002</c:v>
                </c:pt>
                <c:pt idx="259">
                  <c:v>35.511899999999997</c:v>
                </c:pt>
                <c:pt idx="260">
                  <c:v>34.5137</c:v>
                </c:pt>
                <c:pt idx="261">
                  <c:v>34.492699999999999</c:v>
                </c:pt>
                <c:pt idx="262">
                  <c:v>34.427700000000002</c:v>
                </c:pt>
                <c:pt idx="263">
                  <c:v>34.714799999999997</c:v>
                </c:pt>
                <c:pt idx="264">
                  <c:v>34.779699999999998</c:v>
                </c:pt>
                <c:pt idx="265">
                  <c:v>34.8887</c:v>
                </c:pt>
                <c:pt idx="266">
                  <c:v>35.235700000000001</c:v>
                </c:pt>
                <c:pt idx="267">
                  <c:v>35.364600000000003</c:v>
                </c:pt>
                <c:pt idx="268">
                  <c:v>35.316600000000001</c:v>
                </c:pt>
                <c:pt idx="269">
                  <c:v>35.395600000000002</c:v>
                </c:pt>
                <c:pt idx="270">
                  <c:v>35.433599999999998</c:v>
                </c:pt>
                <c:pt idx="271">
                  <c:v>35.4206</c:v>
                </c:pt>
                <c:pt idx="272">
                  <c:v>35.318612903000002</c:v>
                </c:pt>
                <c:pt idx="273">
                  <c:v>35.604698214000003</c:v>
                </c:pt>
                <c:pt idx="274">
                  <c:v>35.605091934999997</c:v>
                </c:pt>
                <c:pt idx="275">
                  <c:v>35.683100000000003</c:v>
                </c:pt>
                <c:pt idx="276">
                  <c:v>35.636293547999998</c:v>
                </c:pt>
                <c:pt idx="277">
                  <c:v>36.288055</c:v>
                </c:pt>
                <c:pt idx="278">
                  <c:v>36.406772580999998</c:v>
                </c:pt>
                <c:pt idx="279">
                  <c:v>36.434772580999997</c:v>
                </c:pt>
                <c:pt idx="280">
                  <c:v>36.466059999999999</c:v>
                </c:pt>
                <c:pt idx="281">
                  <c:v>35.999974194000004</c:v>
                </c:pt>
                <c:pt idx="282">
                  <c:v>36.147100000000002</c:v>
                </c:pt>
                <c:pt idx="283">
                  <c:v>36.167099999999998</c:v>
                </c:pt>
                <c:pt idx="284">
                  <c:v>36.935320967999999</c:v>
                </c:pt>
                <c:pt idx="285">
                  <c:v>36.498880356999997</c:v>
                </c:pt>
                <c:pt idx="286">
                  <c:v>35.204001613000003</c:v>
                </c:pt>
                <c:pt idx="287">
                  <c:v>35.26981</c:v>
                </c:pt>
                <c:pt idx="288">
                  <c:v>35.383001612999998</c:v>
                </c:pt>
                <c:pt idx="289">
                  <c:v>36.033642499999999</c:v>
                </c:pt>
                <c:pt idx="290">
                  <c:v>36.279161289999998</c:v>
                </c:pt>
                <c:pt idx="291">
                  <c:v>36.383841935</c:v>
                </c:pt>
                <c:pt idx="292">
                  <c:v>36.411144999999998</c:v>
                </c:pt>
                <c:pt idx="293">
                  <c:v>36.201682257999998</c:v>
                </c:pt>
                <c:pt idx="294">
                  <c:v>37.016145000000002</c:v>
                </c:pt>
                <c:pt idx="295">
                  <c:v>37.078682258000001</c:v>
                </c:pt>
                <c:pt idx="296">
                  <c:v>37.471558870999999</c:v>
                </c:pt>
                <c:pt idx="297">
                  <c:v>37.800998276000001</c:v>
                </c:pt>
                <c:pt idx="298">
                  <c:v>37.861982257999998</c:v>
                </c:pt>
                <c:pt idx="299">
                  <c:v>38.184775000000002</c:v>
                </c:pt>
                <c:pt idx="300">
                  <c:v>37.747721773999999</c:v>
                </c:pt>
                <c:pt idx="301">
                  <c:v>37.852775000000001</c:v>
                </c:pt>
                <c:pt idx="302">
                  <c:v>37.788141934999999</c:v>
                </c:pt>
                <c:pt idx="303">
                  <c:v>38.005822580999997</c:v>
                </c:pt>
                <c:pt idx="304">
                  <c:v>37.731059999999999</c:v>
                </c:pt>
                <c:pt idx="305">
                  <c:v>37.227141934999999</c:v>
                </c:pt>
                <c:pt idx="306">
                  <c:v>37.197409999999998</c:v>
                </c:pt>
                <c:pt idx="307">
                  <c:v>36.836495161000002</c:v>
                </c:pt>
                <c:pt idx="308">
                  <c:v>36.562141935</c:v>
                </c:pt>
                <c:pt idx="309">
                  <c:v>36.493612499999998</c:v>
                </c:pt>
                <c:pt idx="310">
                  <c:v>36.657982257999997</c:v>
                </c:pt>
                <c:pt idx="311">
                  <c:v>37.098444999999998</c:v>
                </c:pt>
                <c:pt idx="312">
                  <c:v>37.064545160999998</c:v>
                </c:pt>
                <c:pt idx="313">
                  <c:v>36.935575</c:v>
                </c:pt>
                <c:pt idx="314">
                  <c:v>37.094653225999998</c:v>
                </c:pt>
                <c:pt idx="315">
                  <c:v>37.014251612999999</c:v>
                </c:pt>
                <c:pt idx="316">
                  <c:v>36.248444999999997</c:v>
                </c:pt>
                <c:pt idx="317">
                  <c:v>36.303822580999999</c:v>
                </c:pt>
                <c:pt idx="318">
                  <c:v>35.811444999999999</c:v>
                </c:pt>
                <c:pt idx="319">
                  <c:v>35.982822581000001</c:v>
                </c:pt>
                <c:pt idx="320">
                  <c:v>36.485822581000001</c:v>
                </c:pt>
                <c:pt idx="321">
                  <c:v>36.631612500000003</c:v>
                </c:pt>
                <c:pt idx="322">
                  <c:v>36.173141934999997</c:v>
                </c:pt>
                <c:pt idx="323">
                  <c:v>35.96078</c:v>
                </c:pt>
                <c:pt idx="324">
                  <c:v>36.259099999999997</c:v>
                </c:pt>
                <c:pt idx="325">
                  <c:v>36.211277500000001</c:v>
                </c:pt>
                <c:pt idx="326">
                  <c:v>36.455545161000003</c:v>
                </c:pt>
                <c:pt idx="327">
                  <c:v>36.759864516</c:v>
                </c:pt>
                <c:pt idx="328">
                  <c:v>37.073459999999997</c:v>
                </c:pt>
                <c:pt idx="329">
                  <c:v>37.417099999999998</c:v>
                </c:pt>
                <c:pt idx="330">
                  <c:v>36.844119999999997</c:v>
                </c:pt>
                <c:pt idx="331">
                  <c:v>37.111982257999998</c:v>
                </c:pt>
                <c:pt idx="332">
                  <c:v>36.845100000000002</c:v>
                </c:pt>
                <c:pt idx="333">
                  <c:v>36.722277419000001</c:v>
                </c:pt>
                <c:pt idx="334">
                  <c:v>37.475945160999999</c:v>
                </c:pt>
                <c:pt idx="335">
                  <c:v>37.679729031999997</c:v>
                </c:pt>
                <c:pt idx="336">
                  <c:v>37.937454838999997</c:v>
                </c:pt>
                <c:pt idx="337">
                  <c:v>38.377680644999998</c:v>
                </c:pt>
                <c:pt idx="338">
                  <c:v>38.487661289999998</c:v>
                </c:pt>
                <c:pt idx="339">
                  <c:v>38.274258064999998</c:v>
                </c:pt>
                <c:pt idx="340">
                  <c:v>38.559636451999999</c:v>
                </c:pt>
                <c:pt idx="341">
                  <c:v>38.295567742000003</c:v>
                </c:pt>
                <c:pt idx="342">
                  <c:v>38.436897096999999</c:v>
                </c:pt>
                <c:pt idx="343">
                  <c:v>38.424946773999999</c:v>
                </c:pt>
                <c:pt idx="344">
                  <c:v>38.676567742000003</c:v>
                </c:pt>
                <c:pt idx="345">
                  <c:v>38.356537652999997</c:v>
                </c:pt>
                <c:pt idx="346">
                  <c:v>38.518609677000001</c:v>
                </c:pt>
                <c:pt idx="347">
                  <c:v>38.647315968000001</c:v>
                </c:pt>
                <c:pt idx="348">
                  <c:v>38.594054839000002</c:v>
                </c:pt>
                <c:pt idx="349">
                  <c:v>39.039710968000001</c:v>
                </c:pt>
                <c:pt idx="350">
                  <c:v>39.182227419</c:v>
                </c:pt>
                <c:pt idx="351">
                  <c:v>39.091261289999998</c:v>
                </c:pt>
                <c:pt idx="352">
                  <c:v>39.089982581000001</c:v>
                </c:pt>
                <c:pt idx="353">
                  <c:v>39.430033870999999</c:v>
                </c:pt>
                <c:pt idx="354">
                  <c:v>39.838241773999997</c:v>
                </c:pt>
                <c:pt idx="355">
                  <c:v>39.505393548000001</c:v>
                </c:pt>
                <c:pt idx="356">
                  <c:v>38.724822580999998</c:v>
                </c:pt>
                <c:pt idx="357">
                  <c:v>38.582396428999999</c:v>
                </c:pt>
                <c:pt idx="358">
                  <c:v>38.545003174000001</c:v>
                </c:pt>
                <c:pt idx="359">
                  <c:v>38.667309398</c:v>
                </c:pt>
                <c:pt idx="360">
                  <c:v>39.083251826000001</c:v>
                </c:pt>
                <c:pt idx="361">
                  <c:v>39.183251826000003</c:v>
                </c:pt>
                <c:pt idx="362">
                  <c:v>39.303251826</c:v>
                </c:pt>
              </c:numCache>
            </c:numRef>
          </c:val>
          <c:smooth val="0"/>
          <c:extLst xmlns:c16r2="http://schemas.microsoft.com/office/drawing/2015/06/chart">
            <c:ext xmlns:c16="http://schemas.microsoft.com/office/drawing/2014/chart" uri="{C3380CC4-5D6E-409C-BE32-E72D297353CC}">
              <c16:uniqueId val="{00000000-118E-4C67-84E7-403775E42A73}"/>
            </c:ext>
          </c:extLst>
        </c:ser>
        <c:dLbls>
          <c:showLegendKey val="0"/>
          <c:showVal val="0"/>
          <c:showCatName val="0"/>
          <c:showSerName val="0"/>
          <c:showPercent val="0"/>
          <c:showBubbleSize val="0"/>
        </c:dLbls>
        <c:marker val="1"/>
        <c:smooth val="0"/>
        <c:axId val="134857088"/>
        <c:axId val="134858624"/>
      </c:lineChart>
      <c:dateAx>
        <c:axId val="134857088"/>
        <c:scaling>
          <c:orientation val="minMax"/>
          <c:max val="43070"/>
          <c:min val="34700"/>
        </c:scaling>
        <c:delete val="0"/>
        <c:axPos val="b"/>
        <c:numFmt formatCode="yyyy;@" sourceLinked="0"/>
        <c:majorTickMark val="out"/>
        <c:minorTickMark val="none"/>
        <c:tickLblPos val="low"/>
        <c:txPr>
          <a:bodyPr rot="-5400000" vert="horz"/>
          <a:lstStyle/>
          <a:p>
            <a:pPr>
              <a:defRPr/>
            </a:pPr>
            <a:endParaRPr lang="ru-RU"/>
          </a:p>
        </c:txPr>
        <c:crossAx val="134858624"/>
        <c:crosses val="autoZero"/>
        <c:auto val="1"/>
        <c:lblOffset val="100"/>
        <c:baseTimeUnit val="months"/>
      </c:dateAx>
      <c:valAx>
        <c:axId val="134858624"/>
        <c:scaling>
          <c:orientation val="minMax"/>
          <c:max val="41"/>
          <c:min val="25"/>
        </c:scaling>
        <c:delete val="0"/>
        <c:axPos val="l"/>
        <c:numFmt formatCode="0.0" sourceLinked="0"/>
        <c:majorTickMark val="out"/>
        <c:minorTickMark val="none"/>
        <c:tickLblPos val="nextTo"/>
        <c:crossAx val="134857088"/>
        <c:crosses val="autoZero"/>
        <c:crossBetween val="between"/>
        <c:majorUnit val="5"/>
      </c:valAx>
      <c:spPr>
        <a:noFill/>
      </c:spPr>
    </c:plotArea>
    <c:plotVisOnly val="1"/>
    <c:dispBlanksAs val="gap"/>
    <c:showDLblsOverMax val="0"/>
  </c:chart>
  <c:spPr>
    <a:noFill/>
    <a:ln w="9525">
      <a:noFill/>
    </a:ln>
  </c:spPr>
  <c:txPr>
    <a:bodyPr/>
    <a:lstStyle/>
    <a:p>
      <a:pPr>
        <a:defRPr sz="700"/>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445713346903983"/>
          <c:y val="2.6334711362565218E-2"/>
          <c:w val="0.79119027569343292"/>
          <c:h val="0.7825822487477323"/>
        </c:manualLayout>
      </c:layout>
      <c:areaChart>
        <c:grouping val="stacked"/>
        <c:varyColors val="0"/>
        <c:ser>
          <c:idx val="0"/>
          <c:order val="0"/>
          <c:tx>
            <c:strRef>
              <c:f>Historical_Total!$B$368</c:f>
              <c:strCache>
                <c:ptCount val="1"/>
                <c:pt idx="0">
                  <c:v>младше трудоспособного</c:v>
                </c:pt>
              </c:strCache>
            </c:strRef>
          </c:tx>
          <c:spPr>
            <a:solidFill>
              <a:schemeClr val="bg1">
                <a:lumMod val="65000"/>
              </a:schemeClr>
            </a:solidFill>
            <a:ln w="25400">
              <a:noFill/>
              <a:prstDash val="solid"/>
            </a:ln>
          </c:spPr>
          <c:cat>
            <c:numRef>
              <c:f>Historical_Total!$S$367:$AH$367</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Historical_Total!$S$368:$AH$368</c:f>
              <c:numCache>
                <c:formatCode>#,##0.0_ ;\-#,##0.0\ </c:formatCode>
                <c:ptCount val="16"/>
                <c:pt idx="0">
                  <c:v>23.671025</c:v>
                </c:pt>
                <c:pt idx="1">
                  <c:v>23.07257700000001</c:v>
                </c:pt>
                <c:pt idx="2">
                  <c:v>22.841913999999989</c:v>
                </c:pt>
                <c:pt idx="3">
                  <c:v>22.854146000000014</c:v>
                </c:pt>
                <c:pt idx="4">
                  <c:v>23.086254000000011</c:v>
                </c:pt>
                <c:pt idx="5">
                  <c:v>23.209033999999988</c:v>
                </c:pt>
                <c:pt idx="6">
                  <c:v>23.567594</c:v>
                </c:pt>
                <c:pt idx="7">
                  <c:v>24.110018000000011</c:v>
                </c:pt>
                <c:pt idx="8">
                  <c:v>24.71669</c:v>
                </c:pt>
                <c:pt idx="9">
                  <c:v>25.689215000000004</c:v>
                </c:pt>
                <c:pt idx="10">
                  <c:v>26.359560999999999</c:v>
                </c:pt>
                <c:pt idx="11">
                  <c:v>26.894857999999999</c:v>
                </c:pt>
                <c:pt idx="12">
                  <c:v>27.402744000000027</c:v>
                </c:pt>
                <c:pt idx="13">
                  <c:v>27.850052999999988</c:v>
                </c:pt>
                <c:pt idx="14">
                  <c:v>28.165957999999989</c:v>
                </c:pt>
                <c:pt idx="15">
                  <c:v>28.425649000000035</c:v>
                </c:pt>
              </c:numCache>
            </c:numRef>
          </c:val>
          <c:extLst xmlns:c16r2="http://schemas.microsoft.com/office/drawing/2015/06/chart">
            <c:ext xmlns:c16="http://schemas.microsoft.com/office/drawing/2014/chart" uri="{C3380CC4-5D6E-409C-BE32-E72D297353CC}">
              <c16:uniqueId val="{00000000-5657-4E40-B571-FBF98CCA8F66}"/>
            </c:ext>
          </c:extLst>
        </c:ser>
        <c:ser>
          <c:idx val="1"/>
          <c:order val="1"/>
          <c:tx>
            <c:strRef>
              <c:f>Historical_Total!$B$369</c:f>
              <c:strCache>
                <c:ptCount val="1"/>
                <c:pt idx="0">
                  <c:v>трудоспособное</c:v>
                </c:pt>
              </c:strCache>
            </c:strRef>
          </c:tx>
          <c:spPr>
            <a:solidFill>
              <a:srgbClr val="006600"/>
            </a:solidFill>
            <a:ln w="25400">
              <a:noFill/>
              <a:prstDash val="solid"/>
            </a:ln>
          </c:spPr>
          <c:cat>
            <c:numRef>
              <c:f>Historical_Total!$S$367:$AH$367</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Historical_Total!$S$369:$AH$369</c:f>
              <c:numCache>
                <c:formatCode>#,##0.0_ ;\-#,##0.0\ </c:formatCode>
                <c:ptCount val="16"/>
                <c:pt idx="0">
                  <c:v>90.157929999999993</c:v>
                </c:pt>
                <c:pt idx="1">
                  <c:v>90.057700999999994</c:v>
                </c:pt>
                <c:pt idx="2">
                  <c:v>89.744837000000004</c:v>
                </c:pt>
                <c:pt idx="3">
                  <c:v>89.342152999999996</c:v>
                </c:pt>
                <c:pt idx="4">
                  <c:v>88.561160000000001</c:v>
                </c:pt>
                <c:pt idx="5">
                  <c:v>87.847525000000005</c:v>
                </c:pt>
                <c:pt idx="6">
                  <c:v>87.055243000000004</c:v>
                </c:pt>
                <c:pt idx="7">
                  <c:v>86.137501999999998</c:v>
                </c:pt>
                <c:pt idx="8">
                  <c:v>85.161578000000006</c:v>
                </c:pt>
                <c:pt idx="9">
                  <c:v>85.414747000000006</c:v>
                </c:pt>
                <c:pt idx="10">
                  <c:v>84.198808</c:v>
                </c:pt>
                <c:pt idx="11">
                  <c:v>83.224434000000002</c:v>
                </c:pt>
                <c:pt idx="12">
                  <c:v>82.322475999999995</c:v>
                </c:pt>
                <c:pt idx="13">
                  <c:v>81.543320000000008</c:v>
                </c:pt>
                <c:pt idx="14">
                  <c:v>80.909413999999998</c:v>
                </c:pt>
                <c:pt idx="15">
                  <c:v>80.263553000000002</c:v>
                </c:pt>
              </c:numCache>
            </c:numRef>
          </c:val>
          <c:extLst xmlns:c16r2="http://schemas.microsoft.com/office/drawing/2015/06/chart">
            <c:ext xmlns:c16="http://schemas.microsoft.com/office/drawing/2014/chart" uri="{C3380CC4-5D6E-409C-BE32-E72D297353CC}">
              <c16:uniqueId val="{00000001-5657-4E40-B571-FBF98CCA8F66}"/>
            </c:ext>
          </c:extLst>
        </c:ser>
        <c:ser>
          <c:idx val="2"/>
          <c:order val="2"/>
          <c:tx>
            <c:strRef>
              <c:f>Historical_Total!$B$370</c:f>
              <c:strCache>
                <c:ptCount val="1"/>
                <c:pt idx="0">
                  <c:v>старше трудоспособного</c:v>
                </c:pt>
              </c:strCache>
            </c:strRef>
          </c:tx>
          <c:spPr>
            <a:solidFill>
              <a:schemeClr val="bg2">
                <a:lumMod val="50000"/>
              </a:schemeClr>
            </a:solidFill>
            <a:ln>
              <a:noFill/>
            </a:ln>
          </c:spPr>
          <c:cat>
            <c:numRef>
              <c:f>Historical_Total!$S$367:$AH$367</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Historical_Total!$S$370:$AH$370</c:f>
              <c:numCache>
                <c:formatCode>#,##0.0_ ;\-#,##0.0\ </c:formatCode>
                <c:ptCount val="16"/>
                <c:pt idx="0">
                  <c:v>29.407627000000002</c:v>
                </c:pt>
                <c:pt idx="1">
                  <c:v>29.732413999999999</c:v>
                </c:pt>
                <c:pt idx="2">
                  <c:v>30.160784</c:v>
                </c:pt>
                <c:pt idx="3">
                  <c:v>30.540897000000001</c:v>
                </c:pt>
                <c:pt idx="4">
                  <c:v>31.186088000000002</c:v>
                </c:pt>
                <c:pt idx="5">
                  <c:v>31.808873999999999</c:v>
                </c:pt>
                <c:pt idx="6">
                  <c:v>32.433546</c:v>
                </c:pt>
                <c:pt idx="7">
                  <c:v>33.099539</c:v>
                </c:pt>
                <c:pt idx="8">
                  <c:v>33.788663</c:v>
                </c:pt>
                <c:pt idx="9">
                  <c:v>35.163325999999998</c:v>
                </c:pt>
                <c:pt idx="10">
                  <c:v>35.986341000000003</c:v>
                </c:pt>
                <c:pt idx="11">
                  <c:v>36.685079999999999</c:v>
                </c:pt>
                <c:pt idx="12">
                  <c:v>37.462755999999999</c:v>
                </c:pt>
                <c:pt idx="13">
                  <c:v>38.117578000000002</c:v>
                </c:pt>
                <c:pt idx="14">
                  <c:v>38.666479000000002</c:v>
                </c:pt>
                <c:pt idx="15">
                  <c:v>39.233198999999999</c:v>
                </c:pt>
              </c:numCache>
            </c:numRef>
          </c:val>
          <c:extLst xmlns:c16r2="http://schemas.microsoft.com/office/drawing/2015/06/chart">
            <c:ext xmlns:c16="http://schemas.microsoft.com/office/drawing/2014/chart" uri="{C3380CC4-5D6E-409C-BE32-E72D297353CC}">
              <c16:uniqueId val="{00000002-5657-4E40-B571-FBF98CCA8F66}"/>
            </c:ext>
          </c:extLst>
        </c:ser>
        <c:dLbls>
          <c:showLegendKey val="0"/>
          <c:showVal val="0"/>
          <c:showCatName val="0"/>
          <c:showSerName val="0"/>
          <c:showPercent val="0"/>
          <c:showBubbleSize val="0"/>
        </c:dLbls>
        <c:axId val="134481792"/>
        <c:axId val="134483328"/>
      </c:areaChart>
      <c:catAx>
        <c:axId val="134481792"/>
        <c:scaling>
          <c:orientation val="minMax"/>
        </c:scaling>
        <c:delete val="0"/>
        <c:axPos val="b"/>
        <c:numFmt formatCode="General" sourceLinked="1"/>
        <c:majorTickMark val="out"/>
        <c:minorTickMark val="none"/>
        <c:tickLblPos val="nextTo"/>
        <c:spPr>
          <a:ln w="3175">
            <a:solidFill>
              <a:schemeClr val="tx1"/>
            </a:solidFill>
          </a:ln>
        </c:spPr>
        <c:txPr>
          <a:bodyPr rot="0" vert="horz"/>
          <a:lstStyle/>
          <a:p>
            <a:pPr>
              <a:defRPr/>
            </a:pPr>
            <a:endParaRPr lang="ru-RU"/>
          </a:p>
        </c:txPr>
        <c:crossAx val="134483328"/>
        <c:crosses val="autoZero"/>
        <c:auto val="1"/>
        <c:lblAlgn val="ctr"/>
        <c:lblOffset val="100"/>
        <c:tickLblSkip val="5"/>
        <c:tickMarkSkip val="5"/>
        <c:noMultiLvlLbl val="0"/>
      </c:catAx>
      <c:valAx>
        <c:axId val="134483328"/>
        <c:scaling>
          <c:orientation val="minMax"/>
        </c:scaling>
        <c:delete val="0"/>
        <c:axPos val="l"/>
        <c:title>
          <c:tx>
            <c:rich>
              <a:bodyPr/>
              <a:lstStyle/>
              <a:p>
                <a:pPr>
                  <a:defRPr/>
                </a:pPr>
                <a:r>
                  <a:rPr lang="ru-RU"/>
                  <a:t>население, млн</a:t>
                </a:r>
              </a:p>
            </c:rich>
          </c:tx>
          <c:layout>
            <c:manualLayout>
              <c:xMode val="edge"/>
              <c:yMode val="edge"/>
              <c:x val="1.4415439205525114E-3"/>
              <c:y val="1.7475508411360714E-3"/>
            </c:manualLayout>
          </c:layout>
          <c:overlay val="0"/>
        </c:title>
        <c:numFmt formatCode="#,##0" sourceLinked="0"/>
        <c:majorTickMark val="out"/>
        <c:minorTickMark val="none"/>
        <c:tickLblPos val="nextTo"/>
        <c:spPr>
          <a:noFill/>
          <a:ln w="3175">
            <a:solidFill>
              <a:schemeClr val="tx1"/>
            </a:solidFill>
          </a:ln>
        </c:spPr>
        <c:txPr>
          <a:bodyPr rot="0" vert="horz"/>
          <a:lstStyle/>
          <a:p>
            <a:pPr>
              <a:defRPr/>
            </a:pPr>
            <a:endParaRPr lang="ru-RU"/>
          </a:p>
        </c:txPr>
        <c:crossAx val="134481792"/>
        <c:crosses val="autoZero"/>
        <c:crossBetween val="midCat"/>
      </c:valAx>
    </c:plotArea>
    <c:legend>
      <c:legendPos val="t"/>
      <c:layout>
        <c:manualLayout>
          <c:xMode val="edge"/>
          <c:yMode val="edge"/>
          <c:x val="0"/>
          <c:y val="0.89136375210378904"/>
          <c:w val="1"/>
          <c:h val="0.1036775508204346"/>
        </c:manualLayout>
      </c:layout>
      <c:overlay val="1"/>
    </c:legend>
    <c:plotVisOnly val="1"/>
    <c:dispBlanksAs val="gap"/>
    <c:showDLblsOverMax val="0"/>
  </c:chart>
  <c:spPr>
    <a:ln w="9525">
      <a:noFill/>
    </a:ln>
    <a:effectLst/>
  </c:spPr>
  <c:txPr>
    <a:bodyPr/>
    <a:lstStyle/>
    <a:p>
      <a:pPr>
        <a:defRPr sz="800" b="0" i="0" u="none" strike="noStrike" baseline="0">
          <a:latin typeface="Century" panose="02040604050505020304" pitchFamily="18" charset="0"/>
          <a:ea typeface="Arial"/>
          <a:cs typeface="Arial"/>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30642673063374"/>
          <c:y val="6.6359241799505891E-2"/>
          <c:w val="0.7498317595863192"/>
          <c:h val="0.82797051765952179"/>
        </c:manualLayout>
      </c:layout>
      <c:barChart>
        <c:barDir val="col"/>
        <c:grouping val="stacked"/>
        <c:varyColors val="0"/>
        <c:ser>
          <c:idx val="0"/>
          <c:order val="0"/>
          <c:tx>
            <c:strRef>
              <c:f>GKS_model_n!$AC$2223</c:f>
              <c:strCache>
                <c:ptCount val="1"/>
                <c:pt idx="0">
                  <c:v>мужчины</c:v>
                </c:pt>
              </c:strCache>
            </c:strRef>
          </c:tx>
          <c:spPr>
            <a:solidFill>
              <a:srgbClr val="006600"/>
            </a:solidFill>
            <a:ln>
              <a:noFill/>
            </a:ln>
            <a:effectLst/>
          </c:spPr>
          <c:invertIfNegative val="0"/>
          <c:dLbls>
            <c:dLbl>
              <c:idx val="1"/>
              <c:layout>
                <c:manualLayout>
                  <c:x val="-5.4217459229638152E-17"/>
                  <c:y val="7.7608772829192395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A83-463E-9984-B1519864A67D}"/>
                </c:ext>
              </c:extLst>
            </c:dLbl>
            <c:dLbl>
              <c:idx val="2"/>
              <c:layout>
                <c:manualLayout>
                  <c:x val="0"/>
                  <c:y val="1.234634167381542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A83-463E-9984-B1519864A67D}"/>
                </c:ext>
              </c:extLst>
            </c:dLbl>
            <c:dLbl>
              <c:idx val="3"/>
              <c:layout>
                <c:manualLayout>
                  <c:x val="0"/>
                  <c:y val="-9.3462602019543668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A83-463E-9984-B1519864A67D}"/>
                </c:ext>
              </c:extLst>
            </c:dLbl>
            <c:dLbl>
              <c:idx val="5"/>
              <c:dLblPos val="inBase"/>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A83-463E-9984-B1519864A67D}"/>
                </c:ext>
              </c:extLst>
            </c:dLbl>
            <c:spPr>
              <a:noFill/>
              <a:ln>
                <a:noFill/>
              </a:ln>
              <a:effectLst/>
            </c:spPr>
            <c:txPr>
              <a:bodyPr rot="0" vert="horz"/>
              <a:lstStyle/>
              <a:p>
                <a:pPr>
                  <a:defRPr sz="700" b="1">
                    <a:solidFill>
                      <a:schemeClr val="bg1"/>
                    </a:solidFill>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GKS_model_n!$AB$2224:$AB$2229</c:f>
              <c:strCache>
                <c:ptCount val="6"/>
                <c:pt idx="0">
                  <c:v>0-19</c:v>
                </c:pt>
                <c:pt idx="1">
                  <c:v>20-29</c:v>
                </c:pt>
                <c:pt idx="2">
                  <c:v>30-39</c:v>
                </c:pt>
                <c:pt idx="3">
                  <c:v>40-59</c:v>
                </c:pt>
                <c:pt idx="4">
                  <c:v>60-69</c:v>
                </c:pt>
                <c:pt idx="5">
                  <c:v>70-100</c:v>
                </c:pt>
              </c:strCache>
            </c:strRef>
          </c:cat>
          <c:val>
            <c:numRef>
              <c:f>GKS_model_n!$AC$2224:$AC$2229</c:f>
              <c:numCache>
                <c:formatCode>#,##0.0_р_.;\-#,##0.0_р_.</c:formatCode>
                <c:ptCount val="6"/>
                <c:pt idx="0">
                  <c:v>0.74160700000000002</c:v>
                </c:pt>
                <c:pt idx="1">
                  <c:v>-1.464906</c:v>
                </c:pt>
                <c:pt idx="2">
                  <c:v>0.27763599999999999</c:v>
                </c:pt>
                <c:pt idx="3">
                  <c:v>-0.208007</c:v>
                </c:pt>
                <c:pt idx="4">
                  <c:v>0.56505399999999995</c:v>
                </c:pt>
                <c:pt idx="5">
                  <c:v>0.56659599999999999</c:v>
                </c:pt>
              </c:numCache>
            </c:numRef>
          </c:val>
          <c:extLst xmlns:c16r2="http://schemas.microsoft.com/office/drawing/2015/06/chart">
            <c:ext xmlns:c16="http://schemas.microsoft.com/office/drawing/2014/chart" uri="{C3380CC4-5D6E-409C-BE32-E72D297353CC}">
              <c16:uniqueId val="{00000003-8A83-463E-9984-B1519864A67D}"/>
            </c:ext>
          </c:extLst>
        </c:ser>
        <c:ser>
          <c:idx val="1"/>
          <c:order val="1"/>
          <c:tx>
            <c:strRef>
              <c:f>GKS_model_n!$AD$2223</c:f>
              <c:strCache>
                <c:ptCount val="1"/>
                <c:pt idx="0">
                  <c:v>женщины</c:v>
                </c:pt>
              </c:strCache>
            </c:strRef>
          </c:tx>
          <c:spPr>
            <a:solidFill>
              <a:schemeClr val="bg2">
                <a:lumMod val="50000"/>
              </a:schemeClr>
            </a:solidFill>
            <a:ln>
              <a:noFill/>
            </a:ln>
          </c:spPr>
          <c:invertIfNegative val="0"/>
          <c:dLbls>
            <c:dLbl>
              <c:idx val="2"/>
              <c:spPr>
                <a:noFill/>
                <a:ln>
                  <a:noFill/>
                </a:ln>
                <a:effectLst/>
              </c:spPr>
              <c:txPr>
                <a:bodyPr/>
                <a:lstStyle/>
                <a:p>
                  <a:pPr>
                    <a:defRPr sz="700" b="1">
                      <a:solidFill>
                        <a:sysClr val="windowText" lastClr="000000"/>
                      </a:solidFill>
                    </a:defRPr>
                  </a:pPr>
                  <a:endParaRPr lang="ru-RU"/>
                </a:p>
              </c:txPr>
              <c:showLegendKey val="0"/>
              <c:showVal val="1"/>
              <c:showCatName val="0"/>
              <c:showSerName val="0"/>
              <c:showPercent val="0"/>
              <c:showBubbleSize val="0"/>
            </c:dLbl>
            <c:dLbl>
              <c:idx val="3"/>
              <c:layout>
                <c:manualLayout>
                  <c:x val="0"/>
                  <c:y val="-1.21728545343882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A83-463E-9984-B1519864A67D}"/>
                </c:ext>
              </c:extLst>
            </c:dLbl>
            <c:spPr>
              <a:noFill/>
              <a:ln>
                <a:noFill/>
              </a:ln>
              <a:effectLst/>
            </c:spPr>
            <c:txPr>
              <a:bodyPr/>
              <a:lstStyle/>
              <a:p>
                <a:pPr>
                  <a:defRPr sz="700" b="1">
                    <a:solidFill>
                      <a:schemeClr val="bg1"/>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GKS_model_n!$AB$2224:$AB$2229</c:f>
              <c:strCache>
                <c:ptCount val="6"/>
                <c:pt idx="0">
                  <c:v>0-19</c:v>
                </c:pt>
                <c:pt idx="1">
                  <c:v>20-29</c:v>
                </c:pt>
                <c:pt idx="2">
                  <c:v>30-39</c:v>
                </c:pt>
                <c:pt idx="3">
                  <c:v>40-59</c:v>
                </c:pt>
                <c:pt idx="4">
                  <c:v>60-69</c:v>
                </c:pt>
                <c:pt idx="5">
                  <c:v>70-100</c:v>
                </c:pt>
              </c:strCache>
            </c:strRef>
          </c:cat>
          <c:val>
            <c:numRef>
              <c:f>GKS_model_n!$AD$2224:$AD$2229</c:f>
              <c:numCache>
                <c:formatCode>#,##0.0_р_.;\-#,##0.0_р_.</c:formatCode>
                <c:ptCount val="6"/>
                <c:pt idx="0">
                  <c:v>0.69551399999999997</c:v>
                </c:pt>
                <c:pt idx="1">
                  <c:v>-1.4804740000000001</c:v>
                </c:pt>
                <c:pt idx="2">
                  <c:v>0.16423199999999999</c:v>
                </c:pt>
                <c:pt idx="3">
                  <c:v>-0.44207099999999999</c:v>
                </c:pt>
                <c:pt idx="4">
                  <c:v>0.53686299999999998</c:v>
                </c:pt>
                <c:pt idx="5">
                  <c:v>0.78238099999999999</c:v>
                </c:pt>
              </c:numCache>
            </c:numRef>
          </c:val>
          <c:extLst xmlns:c16r2="http://schemas.microsoft.com/office/drawing/2015/06/chart">
            <c:ext xmlns:c16="http://schemas.microsoft.com/office/drawing/2014/chart" uri="{C3380CC4-5D6E-409C-BE32-E72D297353CC}">
              <c16:uniqueId val="{00000006-8A83-463E-9984-B1519864A67D}"/>
            </c:ext>
          </c:extLst>
        </c:ser>
        <c:dLbls>
          <c:showLegendKey val="0"/>
          <c:showVal val="0"/>
          <c:showCatName val="0"/>
          <c:showSerName val="0"/>
          <c:showPercent val="0"/>
          <c:showBubbleSize val="0"/>
        </c:dLbls>
        <c:gapWidth val="40"/>
        <c:overlap val="100"/>
        <c:axId val="134553600"/>
        <c:axId val="134555136"/>
      </c:barChart>
      <c:catAx>
        <c:axId val="134553600"/>
        <c:scaling>
          <c:orientation val="minMax"/>
        </c:scaling>
        <c:delete val="0"/>
        <c:axPos val="b"/>
        <c:numFmt formatCode="General" sourceLinked="1"/>
        <c:majorTickMark val="out"/>
        <c:minorTickMark val="none"/>
        <c:tickLblPos val="low"/>
        <c:spPr>
          <a:noFill/>
          <a:ln w="3175" cap="flat" cmpd="sng" algn="ctr">
            <a:solidFill>
              <a:schemeClr val="tx1"/>
            </a:solidFill>
            <a:round/>
          </a:ln>
          <a:effectLst/>
        </c:spPr>
        <c:txPr>
          <a:bodyPr rot="-60000000" vert="horz"/>
          <a:lstStyle/>
          <a:p>
            <a:pPr>
              <a:defRPr/>
            </a:pPr>
            <a:endParaRPr lang="ru-RU"/>
          </a:p>
        </c:txPr>
        <c:crossAx val="134555136"/>
        <c:crosses val="autoZero"/>
        <c:auto val="1"/>
        <c:lblAlgn val="ctr"/>
        <c:lblOffset val="100"/>
        <c:noMultiLvlLbl val="0"/>
      </c:catAx>
      <c:valAx>
        <c:axId val="134555136"/>
        <c:scaling>
          <c:orientation val="minMax"/>
          <c:max val="1.5"/>
          <c:min val="-3"/>
        </c:scaling>
        <c:delete val="0"/>
        <c:axPos val="l"/>
        <c:title>
          <c:tx>
            <c:rich>
              <a:bodyPr rot="-5400000" vert="horz"/>
              <a:lstStyle/>
              <a:p>
                <a:pPr>
                  <a:defRPr b="0"/>
                </a:pPr>
                <a:r>
                  <a:rPr lang="ru-RU" b="0"/>
                  <a:t>изменение числ.</a:t>
                </a:r>
                <a:r>
                  <a:rPr lang="ru-RU" b="0" baseline="0"/>
                  <a:t> </a:t>
                </a:r>
                <a:r>
                  <a:rPr lang="ru-RU" b="0"/>
                  <a:t>населения 2020/2017, </a:t>
                </a:r>
                <a:r>
                  <a:rPr lang="ru-RU" sz="800" b="0" i="0" u="none" strike="noStrike" kern="1200" baseline="0">
                    <a:solidFill>
                      <a:sysClr val="windowText" lastClr="000000"/>
                    </a:solidFill>
                    <a:latin typeface="Century" panose="02040604050505020304" pitchFamily="18" charset="0"/>
                    <a:ea typeface="+mn-ea"/>
                    <a:cs typeface="+mn-cs"/>
                  </a:rPr>
                  <a:t>млн</a:t>
                </a:r>
                <a:r>
                  <a:rPr lang="ru-RU" b="0"/>
                  <a:t> человек  </a:t>
                </a:r>
              </a:p>
            </c:rich>
          </c:tx>
          <c:layout>
            <c:manualLayout>
              <c:xMode val="edge"/>
              <c:yMode val="edge"/>
              <c:x val="0"/>
              <c:y val="1.2730718980940647E-2"/>
            </c:manualLayout>
          </c:layout>
          <c:overlay val="0"/>
          <c:spPr>
            <a:noFill/>
            <a:ln>
              <a:noFill/>
            </a:ln>
            <a:effectLst/>
          </c:spPr>
        </c:title>
        <c:numFmt formatCode="#,##0.0_р_.;\-#,##0.0_р_." sourceLinked="1"/>
        <c:majorTickMark val="out"/>
        <c:minorTickMark val="none"/>
        <c:tickLblPos val="nextTo"/>
        <c:spPr>
          <a:noFill/>
          <a:ln w="3175">
            <a:solidFill>
              <a:schemeClr val="tx1"/>
            </a:solidFill>
          </a:ln>
          <a:effectLst/>
        </c:spPr>
        <c:txPr>
          <a:bodyPr rot="-60000000" vert="horz"/>
          <a:lstStyle/>
          <a:p>
            <a:pPr>
              <a:defRPr/>
            </a:pPr>
            <a:endParaRPr lang="ru-RU"/>
          </a:p>
        </c:txPr>
        <c:crossAx val="134553600"/>
        <c:crosses val="autoZero"/>
        <c:crossBetween val="between"/>
      </c:valAx>
      <c:spPr>
        <a:noFill/>
        <a:ln>
          <a:noFill/>
        </a:ln>
        <a:effectLst/>
      </c:spPr>
    </c:plotArea>
    <c:legend>
      <c:legendPos val="b"/>
      <c:layout>
        <c:manualLayout>
          <c:xMode val="edge"/>
          <c:yMode val="edge"/>
          <c:x val="0.31206168054331418"/>
          <c:y val="2.683599880634956E-2"/>
          <c:w val="0.60138974241136878"/>
          <c:h val="8.1436908660306506E-2"/>
        </c:manualLayout>
      </c:layout>
      <c:overlay val="0"/>
    </c:legend>
    <c:plotVisOnly val="1"/>
    <c:dispBlanksAs val="gap"/>
    <c:showDLblsOverMax val="0"/>
  </c:chart>
  <c:spPr>
    <a:noFill/>
    <a:ln>
      <a:noFill/>
    </a:ln>
    <a:effectLst/>
  </c:spPr>
  <c:txPr>
    <a:bodyPr/>
    <a:lstStyle/>
    <a:p>
      <a:pPr>
        <a:defRPr sz="800">
          <a:solidFill>
            <a:sysClr val="windowText" lastClr="000000"/>
          </a:solidFill>
          <a:latin typeface="Century" panose="02040604050505020304"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026992818791"/>
          <c:y val="2.4661056512641499E-2"/>
          <c:w val="0.85792237899196599"/>
          <c:h val="0.87995362174720004"/>
        </c:manualLayout>
      </c:layout>
      <c:scatterChart>
        <c:scatterStyle val="lineMarker"/>
        <c:varyColors val="0"/>
        <c:ser>
          <c:idx val="0"/>
          <c:order val="0"/>
          <c:spPr>
            <a:ln w="28575">
              <a:noFill/>
            </a:ln>
          </c:spPr>
          <c:marker>
            <c:symbol val="circle"/>
            <c:size val="4"/>
            <c:spPr>
              <a:solidFill>
                <a:srgbClr val="00B050"/>
              </a:solidFill>
              <a:ln>
                <a:noFill/>
              </a:ln>
            </c:spPr>
          </c:marker>
          <c:dPt>
            <c:idx val="23"/>
            <c:marker>
              <c:spPr>
                <a:solidFill>
                  <a:schemeClr val="tx1"/>
                </a:solidFill>
                <a:ln>
                  <a:noFill/>
                </a:ln>
              </c:spPr>
            </c:marker>
            <c:bubble3D val="0"/>
            <c:extLst xmlns:c16r2="http://schemas.microsoft.com/office/drawing/2015/06/chart">
              <c:ext xmlns:c16="http://schemas.microsoft.com/office/drawing/2014/chart" uri="{C3380CC4-5D6E-409C-BE32-E72D297353CC}">
                <c16:uniqueId val="{00000000-8D02-4DE5-A3AB-EA23D44484CF}"/>
              </c:ext>
            </c:extLst>
          </c:dPt>
          <c:dPt>
            <c:idx val="47"/>
            <c:marker>
              <c:spPr>
                <a:noFill/>
                <a:ln>
                  <a:noFill/>
                </a:ln>
              </c:spPr>
            </c:marker>
            <c:bubble3D val="0"/>
            <c:extLst xmlns:c16r2="http://schemas.microsoft.com/office/drawing/2015/06/chart">
              <c:ext xmlns:c16="http://schemas.microsoft.com/office/drawing/2014/chart" uri="{C3380CC4-5D6E-409C-BE32-E72D297353CC}">
                <c16:uniqueId val="{00000001-8D02-4DE5-A3AB-EA23D44484CF}"/>
              </c:ext>
            </c:extLst>
          </c:dPt>
          <c:dPt>
            <c:idx val="48"/>
            <c:marker>
              <c:spPr>
                <a:noFill/>
                <a:ln>
                  <a:noFill/>
                </a:ln>
              </c:spPr>
            </c:marker>
            <c:bubble3D val="0"/>
            <c:extLst xmlns:c16r2="http://schemas.microsoft.com/office/drawing/2015/06/chart">
              <c:ext xmlns:c16="http://schemas.microsoft.com/office/drawing/2014/chart" uri="{C3380CC4-5D6E-409C-BE32-E72D297353CC}">
                <c16:uniqueId val="{00000002-8D02-4DE5-A3AB-EA23D44484CF}"/>
              </c:ext>
            </c:extLst>
          </c:dPt>
          <c:dLbls>
            <c:dLbl>
              <c:idx val="0"/>
              <c:layout>
                <c:manualLayout>
                  <c:x val="-4.3889987393923698E-2"/>
                  <c:y val="2.6195159299570302E-2"/>
                </c:manualLayout>
              </c:layout>
              <c:tx>
                <c:rich>
                  <a:bodyPr/>
                  <a:lstStyle/>
                  <a:p>
                    <a:r>
                      <a:rPr lang="ru-RU" sz="600" dirty="0"/>
                      <a:t>Китай</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D02-4DE5-A3AB-EA23D44484CF}"/>
                </c:ext>
              </c:extLst>
            </c:dLbl>
            <c:dLbl>
              <c:idx val="2"/>
              <c:tx>
                <c:rich>
                  <a:bodyPr/>
                  <a:lstStyle/>
                  <a:p>
                    <a:r>
                      <a:rPr lang="ru-RU" sz="900" dirty="0"/>
                      <a:t>Корея</a:t>
                    </a:r>
                    <a:endParaRPr lang="ru-RU" dirty="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D02-4DE5-A3AB-EA23D44484CF}"/>
                </c:ext>
              </c:extLst>
            </c:dLbl>
            <c:dLbl>
              <c:idx val="3"/>
              <c:layout>
                <c:manualLayout>
                  <c:x val="-6.4185655625065396E-2"/>
                  <c:y val="-4.5582837099274E-2"/>
                </c:manualLayout>
              </c:layout>
              <c:tx>
                <c:rich>
                  <a:bodyPr/>
                  <a:lstStyle/>
                  <a:p>
                    <a:r>
                      <a:rPr lang="ru-RU" sz="600" dirty="0"/>
                      <a:t>Сингапур</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D02-4DE5-A3AB-EA23D44484CF}"/>
                </c:ext>
              </c:extLst>
            </c:dLbl>
            <c:dLbl>
              <c:idx val="4"/>
              <c:layout>
                <c:manualLayout>
                  <c:x val="-6.1129195833395499E-3"/>
                  <c:y val="1.24316828452565E-2"/>
                </c:manualLayout>
              </c:layout>
              <c:tx>
                <c:rich>
                  <a:bodyPr/>
                  <a:lstStyle/>
                  <a:p>
                    <a:r>
                      <a:rPr lang="ru-RU" sz="600" dirty="0"/>
                      <a:t>Индонезия</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D02-4DE5-A3AB-EA23D44484CF}"/>
                </c:ext>
              </c:extLst>
            </c:dLbl>
            <c:dLbl>
              <c:idx val="5"/>
              <c:layout>
                <c:manualLayout>
                  <c:x val="-6.4185655625065396E-2"/>
                  <c:y val="-3.7295048535769697E-2"/>
                </c:manualLayout>
              </c:layout>
              <c:tx>
                <c:rich>
                  <a:bodyPr/>
                  <a:lstStyle/>
                  <a:p>
                    <a:r>
                      <a:rPr lang="ru-RU" sz="600" dirty="0"/>
                      <a:t>Тайланд</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D02-4DE5-A3AB-EA23D44484CF}"/>
                </c:ext>
              </c:extLst>
            </c:dLbl>
            <c:dLbl>
              <c:idx val="8"/>
              <c:layout>
                <c:manualLayout>
                  <c:x val="-7.3355035000074606E-2"/>
                  <c:y val="-3.7295048535769697E-2"/>
                </c:manualLayout>
              </c:layout>
              <c:tx>
                <c:rich>
                  <a:bodyPr/>
                  <a:lstStyle/>
                  <a:p>
                    <a:r>
                      <a:rPr lang="ru-RU" sz="600" dirty="0"/>
                      <a:t>Индия</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D02-4DE5-A3AB-EA23D44484CF}"/>
                </c:ext>
              </c:extLst>
            </c:dLbl>
            <c:dLbl>
              <c:idx val="23"/>
              <c:layout>
                <c:manualLayout>
                  <c:x val="-4.4568142196115698E-2"/>
                  <c:y val="-5.8352283131627602E-2"/>
                </c:manualLayout>
              </c:layout>
              <c:tx>
                <c:rich>
                  <a:bodyPr/>
                  <a:lstStyle/>
                  <a:p>
                    <a:pPr>
                      <a:defRPr sz="600" b="1"/>
                    </a:pPr>
                    <a:r>
                      <a:rPr lang="ru-RU" sz="600" b="1" dirty="0"/>
                      <a:t>Россия (средняя)</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D02-4DE5-A3AB-EA23D44484CF}"/>
                </c:ext>
              </c:extLst>
            </c:dLbl>
            <c:dLbl>
              <c:idx val="45"/>
              <c:layout>
                <c:manualLayout>
                  <c:x val="1.2313774283037799E-2"/>
                  <c:y val="-1.0076768438784699E-2"/>
                </c:manualLayout>
              </c:layout>
              <c:tx>
                <c:rich>
                  <a:bodyPr/>
                  <a:lstStyle/>
                  <a:p>
                    <a:r>
                      <a:rPr lang="ru-RU" sz="600" dirty="0"/>
                      <a:t>Бразилия</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D02-4DE5-A3AB-EA23D44484CF}"/>
                </c:ext>
              </c:extLst>
            </c:dLbl>
            <c:dLbl>
              <c:idx val="46"/>
              <c:layout>
                <c:manualLayout>
                  <c:x val="-0.12837131125013099"/>
                  <c:y val="-2.48633656905131E-2"/>
                </c:manualLayout>
              </c:layout>
              <c:tx>
                <c:rich>
                  <a:bodyPr/>
                  <a:lstStyle/>
                  <a:p>
                    <a:r>
                      <a:rPr lang="ru-RU" sz="600" dirty="0"/>
                      <a:t>ЮАР</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D02-4DE5-A3AB-EA23D44484CF}"/>
                </c:ext>
              </c:extLst>
            </c:dLbl>
            <c:spPr>
              <a:noFill/>
              <a:ln>
                <a:noFill/>
              </a:ln>
              <a:effectLst/>
            </c:spPr>
            <c:txPr>
              <a:bodyPr/>
              <a:lstStyle/>
              <a:p>
                <a:pPr>
                  <a:defRPr sz="600"/>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xVal>
            <c:numRef>
              <c:f>[Книга1.xlsx]Лист7!$B$2:$B$51</c:f>
              <c:numCache>
                <c:formatCode>0.0%</c:formatCode>
                <c:ptCount val="50"/>
                <c:pt idx="0">
                  <c:v>0.39513558823529399</c:v>
                </c:pt>
                <c:pt idx="1">
                  <c:v>0.34331</c:v>
                </c:pt>
                <c:pt idx="2">
                  <c:v>0.33592176470588297</c:v>
                </c:pt>
                <c:pt idx="3">
                  <c:v>0.32598176470588203</c:v>
                </c:pt>
                <c:pt idx="4">
                  <c:v>0.32544294117647099</c:v>
                </c:pt>
                <c:pt idx="5">
                  <c:v>0.30100545454545402</c:v>
                </c:pt>
                <c:pt idx="6">
                  <c:v>0.29669382352941198</c:v>
                </c:pt>
                <c:pt idx="7">
                  <c:v>0.2966375</c:v>
                </c:pt>
                <c:pt idx="8">
                  <c:v>0.27130235294117599</c:v>
                </c:pt>
                <c:pt idx="9">
                  <c:v>0.26747205882352898</c:v>
                </c:pt>
                <c:pt idx="10">
                  <c:v>0.26438794117647102</c:v>
                </c:pt>
                <c:pt idx="11">
                  <c:v>0.26398391304347801</c:v>
                </c:pt>
                <c:pt idx="12">
                  <c:v>0.263788529411765</c:v>
                </c:pt>
                <c:pt idx="13">
                  <c:v>0.26115411764705898</c:v>
                </c:pt>
                <c:pt idx="14">
                  <c:v>0.259715588235294</c:v>
                </c:pt>
                <c:pt idx="15">
                  <c:v>0.257186176470588</c:v>
                </c:pt>
                <c:pt idx="16">
                  <c:v>0.25455176470588198</c:v>
                </c:pt>
                <c:pt idx="17">
                  <c:v>0.25355823529411797</c:v>
                </c:pt>
                <c:pt idx="18">
                  <c:v>0.25325323529411797</c:v>
                </c:pt>
                <c:pt idx="19">
                  <c:v>0.25042764705882398</c:v>
                </c:pt>
                <c:pt idx="20">
                  <c:v>0.24959558823529401</c:v>
                </c:pt>
                <c:pt idx="21">
                  <c:v>0.248512058823529</c:v>
                </c:pt>
                <c:pt idx="22">
                  <c:v>0.23776264705882399</c:v>
                </c:pt>
                <c:pt idx="23">
                  <c:v>0.2347456</c:v>
                </c:pt>
                <c:pt idx="24">
                  <c:v>0.23134058823529399</c:v>
                </c:pt>
                <c:pt idx="25">
                  <c:v>0.23027</c:v>
                </c:pt>
                <c:pt idx="26">
                  <c:v>0.22756117647058799</c:v>
                </c:pt>
                <c:pt idx="27">
                  <c:v>0.22711117647058801</c:v>
                </c:pt>
                <c:pt idx="28">
                  <c:v>0.22573588235294101</c:v>
                </c:pt>
                <c:pt idx="29">
                  <c:v>0.225207941176471</c:v>
                </c:pt>
                <c:pt idx="30">
                  <c:v>0.22245382352941201</c:v>
                </c:pt>
                <c:pt idx="31">
                  <c:v>0.220040294117647</c:v>
                </c:pt>
                <c:pt idx="32">
                  <c:v>0.218400294117647</c:v>
                </c:pt>
                <c:pt idx="33">
                  <c:v>0.218210882352941</c:v>
                </c:pt>
                <c:pt idx="34">
                  <c:v>0.21798774193548401</c:v>
                </c:pt>
                <c:pt idx="35">
                  <c:v>0.21719588235294099</c:v>
                </c:pt>
                <c:pt idx="36">
                  <c:v>0.217051764705882</c:v>
                </c:pt>
                <c:pt idx="37">
                  <c:v>0.21620705882353</c:v>
                </c:pt>
                <c:pt idx="38">
                  <c:v>0.214497941176471</c:v>
                </c:pt>
                <c:pt idx="39">
                  <c:v>0.21108264705882401</c:v>
                </c:pt>
                <c:pt idx="40">
                  <c:v>0.20962117647058801</c:v>
                </c:pt>
                <c:pt idx="41">
                  <c:v>0.20732088235294099</c:v>
                </c:pt>
                <c:pt idx="42">
                  <c:v>0.20513235294117599</c:v>
                </c:pt>
                <c:pt idx="43">
                  <c:v>0.20003911764705901</c:v>
                </c:pt>
                <c:pt idx="44">
                  <c:v>0.19893411764705901</c:v>
                </c:pt>
                <c:pt idx="45">
                  <c:v>0.19839058823529401</c:v>
                </c:pt>
                <c:pt idx="46">
                  <c:v>0.18816529411764699</c:v>
                </c:pt>
                <c:pt idx="47">
                  <c:v>0.185977058823529</c:v>
                </c:pt>
                <c:pt idx="48">
                  <c:v>0.17023588235294099</c:v>
                </c:pt>
                <c:pt idx="49">
                  <c:v>0.170045588235294</c:v>
                </c:pt>
              </c:numCache>
            </c:numRef>
          </c:xVal>
          <c:yVal>
            <c:numRef>
              <c:f>[Книга1.xlsx]Лист7!$C$2:$C$51</c:f>
              <c:numCache>
                <c:formatCode>0.0%</c:formatCode>
                <c:ptCount val="50"/>
                <c:pt idx="0">
                  <c:v>8.8092933856731406E-2</c:v>
                </c:pt>
                <c:pt idx="1">
                  <c:v>4.2520402323317497E-2</c:v>
                </c:pt>
                <c:pt idx="2">
                  <c:v>5.7784869703051502E-2</c:v>
                </c:pt>
                <c:pt idx="3">
                  <c:v>4.1100477072502299E-2</c:v>
                </c:pt>
                <c:pt idx="4">
                  <c:v>3.4754512170381897E-2</c:v>
                </c:pt>
                <c:pt idx="5">
                  <c:v>4.9470932016732298E-2</c:v>
                </c:pt>
                <c:pt idx="6">
                  <c:v>4.0652110800128899E-2</c:v>
                </c:pt>
                <c:pt idx="7">
                  <c:v>2.2133180516010102E-2</c:v>
                </c:pt>
                <c:pt idx="8">
                  <c:v>4.3645944258338197E-2</c:v>
                </c:pt>
                <c:pt idx="9">
                  <c:v>1.6974674966104299E-2</c:v>
                </c:pt>
                <c:pt idx="10">
                  <c:v>1.7952723795354099E-2</c:v>
                </c:pt>
                <c:pt idx="11">
                  <c:v>3.8736263591819198E-2</c:v>
                </c:pt>
                <c:pt idx="12">
                  <c:v>1.0049994170843001E-2</c:v>
                </c:pt>
                <c:pt idx="13">
                  <c:v>3.6289550267997801E-2</c:v>
                </c:pt>
                <c:pt idx="14">
                  <c:v>1.76132635524315E-2</c:v>
                </c:pt>
                <c:pt idx="15">
                  <c:v>1.85334123771227E-2</c:v>
                </c:pt>
                <c:pt idx="16">
                  <c:v>1.5906486481428301E-2</c:v>
                </c:pt>
                <c:pt idx="17">
                  <c:v>1.4825017886022701E-2</c:v>
                </c:pt>
                <c:pt idx="18">
                  <c:v>1.8148126165377702E-2</c:v>
                </c:pt>
                <c:pt idx="19">
                  <c:v>1.50058408895925E-2</c:v>
                </c:pt>
                <c:pt idx="20">
                  <c:v>2.3373104362323899E-2</c:v>
                </c:pt>
                <c:pt idx="21">
                  <c:v>1.6475704505468699E-2</c:v>
                </c:pt>
                <c:pt idx="22">
                  <c:v>5.4297121223366796E-3</c:v>
                </c:pt>
                <c:pt idx="23">
                  <c:v>2.0805460728791799E-2</c:v>
                </c:pt>
                <c:pt idx="24">
                  <c:v>1.6645795737870998E-2</c:v>
                </c:pt>
                <c:pt idx="25">
                  <c:v>3.1039793804662E-2</c:v>
                </c:pt>
                <c:pt idx="26">
                  <c:v>1.3640146619719899E-2</c:v>
                </c:pt>
                <c:pt idx="27">
                  <c:v>1.5492539155042701E-2</c:v>
                </c:pt>
                <c:pt idx="28">
                  <c:v>1.41234938769063E-2</c:v>
                </c:pt>
                <c:pt idx="29">
                  <c:v>1.31867306529774E-2</c:v>
                </c:pt>
                <c:pt idx="30">
                  <c:v>2.20685437665721E-2</c:v>
                </c:pt>
                <c:pt idx="31">
                  <c:v>1.28283005902261E-2</c:v>
                </c:pt>
                <c:pt idx="32">
                  <c:v>-1.65033840313248E-4</c:v>
                </c:pt>
                <c:pt idx="33">
                  <c:v>1.41221007730442E-2</c:v>
                </c:pt>
                <c:pt idx="34">
                  <c:v>2.4076039027706799E-2</c:v>
                </c:pt>
                <c:pt idx="35">
                  <c:v>1.7264487791678398E-2</c:v>
                </c:pt>
                <c:pt idx="36">
                  <c:v>1.5136822447277201E-2</c:v>
                </c:pt>
                <c:pt idx="37">
                  <c:v>2.9844060351084001E-2</c:v>
                </c:pt>
                <c:pt idx="38">
                  <c:v>9.1336595608054807E-3</c:v>
                </c:pt>
                <c:pt idx="39">
                  <c:v>2.5244241210213299E-2</c:v>
                </c:pt>
                <c:pt idx="40">
                  <c:v>9.6891042679502094E-3</c:v>
                </c:pt>
                <c:pt idx="41">
                  <c:v>1.3692125392013799E-2</c:v>
                </c:pt>
                <c:pt idx="42">
                  <c:v>1.98426234313781E-2</c:v>
                </c:pt>
                <c:pt idx="43">
                  <c:v>2.2908237956366199E-3</c:v>
                </c:pt>
                <c:pt idx="44">
                  <c:v>1.86111937526722E-2</c:v>
                </c:pt>
                <c:pt idx="45">
                  <c:v>9.7176718222331902E-3</c:v>
                </c:pt>
                <c:pt idx="46">
                  <c:v>3.98858653256261E-3</c:v>
                </c:pt>
                <c:pt idx="47">
                  <c:v>2.4854703558477801E-2</c:v>
                </c:pt>
                <c:pt idx="48">
                  <c:v>2.1767361974378601E-2</c:v>
                </c:pt>
                <c:pt idx="49">
                  <c:v>1.28786583210098E-2</c:v>
                </c:pt>
              </c:numCache>
            </c:numRef>
          </c:yVal>
          <c:smooth val="0"/>
          <c:extLst xmlns:c16r2="http://schemas.microsoft.com/office/drawing/2015/06/chart">
            <c:ext xmlns:c16="http://schemas.microsoft.com/office/drawing/2014/chart" uri="{C3380CC4-5D6E-409C-BE32-E72D297353CC}">
              <c16:uniqueId val="{0000000C-8D02-4DE5-A3AB-EA23D44484CF}"/>
            </c:ext>
          </c:extLst>
        </c:ser>
        <c:dLbls>
          <c:showLegendKey val="0"/>
          <c:showVal val="0"/>
          <c:showCatName val="0"/>
          <c:showSerName val="0"/>
          <c:showPercent val="0"/>
          <c:showBubbleSize val="0"/>
        </c:dLbls>
        <c:axId val="135367296"/>
        <c:axId val="135381376"/>
      </c:scatterChart>
      <c:valAx>
        <c:axId val="135367296"/>
        <c:scaling>
          <c:orientation val="minMax"/>
          <c:max val="0.4"/>
          <c:min val="0.15"/>
        </c:scaling>
        <c:delete val="0"/>
        <c:axPos val="b"/>
        <c:numFmt formatCode="0%" sourceLinked="0"/>
        <c:majorTickMark val="out"/>
        <c:minorTickMark val="none"/>
        <c:tickLblPos val="nextTo"/>
        <c:spPr>
          <a:ln>
            <a:solidFill>
              <a:srgbClr val="000000"/>
            </a:solidFill>
            <a:prstDash val="solid"/>
          </a:ln>
        </c:spPr>
        <c:txPr>
          <a:bodyPr rot="0" vert="horz"/>
          <a:lstStyle/>
          <a:p>
            <a:pPr>
              <a:defRPr/>
            </a:pPr>
            <a:endParaRPr lang="ru-RU"/>
          </a:p>
        </c:txPr>
        <c:crossAx val="135381376"/>
        <c:crosses val="autoZero"/>
        <c:crossBetween val="midCat"/>
      </c:valAx>
      <c:valAx>
        <c:axId val="135381376"/>
        <c:scaling>
          <c:orientation val="minMax"/>
          <c:max val="0.09"/>
          <c:min val="0"/>
        </c:scaling>
        <c:delete val="0"/>
        <c:axPos val="l"/>
        <c:numFmt formatCode="0%" sourceLinked="0"/>
        <c:majorTickMark val="out"/>
        <c:minorTickMark val="none"/>
        <c:tickLblPos val="nextTo"/>
        <c:spPr>
          <a:ln>
            <a:solidFill>
              <a:srgbClr val="000000"/>
            </a:solidFill>
            <a:prstDash val="solid"/>
          </a:ln>
        </c:spPr>
        <c:crossAx val="135367296"/>
        <c:crosses val="autoZero"/>
        <c:crossBetween val="midCat"/>
      </c:valAx>
      <c:spPr>
        <a:noFill/>
      </c:spPr>
    </c:plotArea>
    <c:plotVisOnly val="1"/>
    <c:dispBlanksAs val="gap"/>
    <c:showDLblsOverMax val="0"/>
  </c:chart>
  <c:spPr>
    <a:noFill/>
    <a:ln w="9525">
      <a:noFill/>
    </a:ln>
  </c:spPr>
  <c:txPr>
    <a:bodyPr/>
    <a:lstStyle/>
    <a:p>
      <a:pPr>
        <a:defRPr sz="600">
          <a:latin typeface="Century" pitchFamily="18" charset="0"/>
          <a:ea typeface="Tahoma" pitchFamily="34" charset="0"/>
          <a:cs typeface="Tahoma" pitchFamily="34" charset="0"/>
        </a:defRPr>
      </a:pPr>
      <a:endParaRPr lang="ru-RU"/>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667284644974896E-2"/>
          <c:y val="2.3596373597405101E-2"/>
          <c:w val="0.89754579288699998"/>
          <c:h val="0.87566543943099262"/>
        </c:manualLayout>
      </c:layout>
      <c:lineChart>
        <c:grouping val="standard"/>
        <c:varyColors val="0"/>
        <c:ser>
          <c:idx val="1"/>
          <c:order val="0"/>
          <c:tx>
            <c:strRef>
              <c:f>BRIC.REAL!$AC$4</c:f>
              <c:strCache>
                <c:ptCount val="1"/>
                <c:pt idx="0">
                  <c:v>Чили</c:v>
                </c:pt>
              </c:strCache>
            </c:strRef>
          </c:tx>
          <c:spPr>
            <a:ln w="12700">
              <a:solidFill>
                <a:srgbClr val="00B050"/>
              </a:solidFill>
              <a:prstDash val="solid"/>
            </a:ln>
          </c:spPr>
          <c:marker>
            <c:symbol val="none"/>
          </c:marker>
          <c:cat>
            <c:numRef>
              <c:f>BRIC.REAL!$A$78:$A$281</c:f>
              <c:numCache>
                <c:formatCode>mm\-yyyy</c:formatCode>
                <c:ptCount val="204"/>
                <c:pt idx="0">
                  <c:v>36556</c:v>
                </c:pt>
                <c:pt idx="1">
                  <c:v>36585</c:v>
                </c:pt>
                <c:pt idx="2">
                  <c:v>36616</c:v>
                </c:pt>
                <c:pt idx="3">
                  <c:v>36646</c:v>
                </c:pt>
                <c:pt idx="4">
                  <c:v>36677</c:v>
                </c:pt>
                <c:pt idx="5">
                  <c:v>36707</c:v>
                </c:pt>
                <c:pt idx="6">
                  <c:v>36738</c:v>
                </c:pt>
                <c:pt idx="7">
                  <c:v>36769</c:v>
                </c:pt>
                <c:pt idx="8">
                  <c:v>36799</c:v>
                </c:pt>
                <c:pt idx="9">
                  <c:v>36830</c:v>
                </c:pt>
                <c:pt idx="10">
                  <c:v>36860</c:v>
                </c:pt>
                <c:pt idx="11">
                  <c:v>36891</c:v>
                </c:pt>
                <c:pt idx="12">
                  <c:v>36922</c:v>
                </c:pt>
                <c:pt idx="13">
                  <c:v>36950</c:v>
                </c:pt>
                <c:pt idx="14">
                  <c:v>36981</c:v>
                </c:pt>
                <c:pt idx="15">
                  <c:v>37011</c:v>
                </c:pt>
                <c:pt idx="16">
                  <c:v>37042</c:v>
                </c:pt>
                <c:pt idx="17">
                  <c:v>37072</c:v>
                </c:pt>
                <c:pt idx="18">
                  <c:v>37103</c:v>
                </c:pt>
                <c:pt idx="19">
                  <c:v>37134</c:v>
                </c:pt>
                <c:pt idx="20">
                  <c:v>37164</c:v>
                </c:pt>
                <c:pt idx="21">
                  <c:v>37195</c:v>
                </c:pt>
                <c:pt idx="22">
                  <c:v>37225</c:v>
                </c:pt>
                <c:pt idx="23">
                  <c:v>37256</c:v>
                </c:pt>
                <c:pt idx="24">
                  <c:v>37287</c:v>
                </c:pt>
                <c:pt idx="25">
                  <c:v>37315</c:v>
                </c:pt>
                <c:pt idx="26">
                  <c:v>37346</c:v>
                </c:pt>
                <c:pt idx="27">
                  <c:v>37376</c:v>
                </c:pt>
                <c:pt idx="28">
                  <c:v>37407</c:v>
                </c:pt>
                <c:pt idx="29">
                  <c:v>37437</c:v>
                </c:pt>
                <c:pt idx="30">
                  <c:v>37468</c:v>
                </c:pt>
                <c:pt idx="31">
                  <c:v>37499</c:v>
                </c:pt>
                <c:pt idx="32">
                  <c:v>37529</c:v>
                </c:pt>
                <c:pt idx="33">
                  <c:v>37560</c:v>
                </c:pt>
                <c:pt idx="34">
                  <c:v>37590</c:v>
                </c:pt>
                <c:pt idx="35">
                  <c:v>37621</c:v>
                </c:pt>
                <c:pt idx="36">
                  <c:v>37652</c:v>
                </c:pt>
                <c:pt idx="37">
                  <c:v>37680</c:v>
                </c:pt>
                <c:pt idx="38">
                  <c:v>37711</c:v>
                </c:pt>
                <c:pt idx="39">
                  <c:v>37741</c:v>
                </c:pt>
                <c:pt idx="40">
                  <c:v>37772</c:v>
                </c:pt>
                <c:pt idx="41">
                  <c:v>37802</c:v>
                </c:pt>
                <c:pt idx="42">
                  <c:v>37833</c:v>
                </c:pt>
                <c:pt idx="43">
                  <c:v>37864</c:v>
                </c:pt>
                <c:pt idx="44">
                  <c:v>37894</c:v>
                </c:pt>
                <c:pt idx="45">
                  <c:v>37925</c:v>
                </c:pt>
                <c:pt idx="46">
                  <c:v>37955</c:v>
                </c:pt>
                <c:pt idx="47">
                  <c:v>37986</c:v>
                </c:pt>
                <c:pt idx="48">
                  <c:v>38017</c:v>
                </c:pt>
                <c:pt idx="49">
                  <c:v>38046</c:v>
                </c:pt>
                <c:pt idx="50">
                  <c:v>38077</c:v>
                </c:pt>
                <c:pt idx="51">
                  <c:v>38107</c:v>
                </c:pt>
                <c:pt idx="52">
                  <c:v>38138</c:v>
                </c:pt>
                <c:pt idx="53">
                  <c:v>38168</c:v>
                </c:pt>
                <c:pt idx="54">
                  <c:v>38199</c:v>
                </c:pt>
                <c:pt idx="55">
                  <c:v>38230</c:v>
                </c:pt>
                <c:pt idx="56">
                  <c:v>38260</c:v>
                </c:pt>
                <c:pt idx="57">
                  <c:v>38291</c:v>
                </c:pt>
                <c:pt idx="58">
                  <c:v>38321</c:v>
                </c:pt>
                <c:pt idx="59">
                  <c:v>38352</c:v>
                </c:pt>
                <c:pt idx="60">
                  <c:v>38383</c:v>
                </c:pt>
                <c:pt idx="61">
                  <c:v>38411</c:v>
                </c:pt>
                <c:pt idx="62">
                  <c:v>38442</c:v>
                </c:pt>
                <c:pt idx="63">
                  <c:v>38472</c:v>
                </c:pt>
                <c:pt idx="64">
                  <c:v>38503</c:v>
                </c:pt>
                <c:pt idx="65">
                  <c:v>38533</c:v>
                </c:pt>
                <c:pt idx="66">
                  <c:v>38564</c:v>
                </c:pt>
                <c:pt idx="67">
                  <c:v>38595</c:v>
                </c:pt>
                <c:pt idx="68">
                  <c:v>38625</c:v>
                </c:pt>
                <c:pt idx="69">
                  <c:v>38656</c:v>
                </c:pt>
                <c:pt idx="70">
                  <c:v>38686</c:v>
                </c:pt>
                <c:pt idx="71">
                  <c:v>38717</c:v>
                </c:pt>
                <c:pt idx="72">
                  <c:v>38748</c:v>
                </c:pt>
                <c:pt idx="73">
                  <c:v>38776</c:v>
                </c:pt>
                <c:pt idx="74">
                  <c:v>38807</c:v>
                </c:pt>
                <c:pt idx="75">
                  <c:v>38837</c:v>
                </c:pt>
                <c:pt idx="76">
                  <c:v>38868</c:v>
                </c:pt>
                <c:pt idx="77">
                  <c:v>38898</c:v>
                </c:pt>
                <c:pt idx="78">
                  <c:v>38929</c:v>
                </c:pt>
                <c:pt idx="79">
                  <c:v>38960</c:v>
                </c:pt>
                <c:pt idx="80">
                  <c:v>38990</c:v>
                </c:pt>
                <c:pt idx="81">
                  <c:v>39021</c:v>
                </c:pt>
                <c:pt idx="82">
                  <c:v>39051</c:v>
                </c:pt>
                <c:pt idx="83">
                  <c:v>39082</c:v>
                </c:pt>
                <c:pt idx="84">
                  <c:v>39113</c:v>
                </c:pt>
                <c:pt idx="85">
                  <c:v>39141</c:v>
                </c:pt>
                <c:pt idx="86">
                  <c:v>39172</c:v>
                </c:pt>
                <c:pt idx="87">
                  <c:v>39202</c:v>
                </c:pt>
                <c:pt idx="88">
                  <c:v>39233</c:v>
                </c:pt>
                <c:pt idx="89">
                  <c:v>39263</c:v>
                </c:pt>
                <c:pt idx="90">
                  <c:v>39294</c:v>
                </c:pt>
                <c:pt idx="91">
                  <c:v>39325</c:v>
                </c:pt>
                <c:pt idx="92">
                  <c:v>39355</c:v>
                </c:pt>
                <c:pt idx="93">
                  <c:v>39386</c:v>
                </c:pt>
                <c:pt idx="94">
                  <c:v>39416</c:v>
                </c:pt>
                <c:pt idx="95">
                  <c:v>39447</c:v>
                </c:pt>
                <c:pt idx="96">
                  <c:v>39478</c:v>
                </c:pt>
                <c:pt idx="97">
                  <c:v>39507</c:v>
                </c:pt>
                <c:pt idx="98">
                  <c:v>39538</c:v>
                </c:pt>
                <c:pt idx="99">
                  <c:v>39568</c:v>
                </c:pt>
                <c:pt idx="100">
                  <c:v>39599</c:v>
                </c:pt>
                <c:pt idx="101">
                  <c:v>39629</c:v>
                </c:pt>
                <c:pt idx="102">
                  <c:v>39660</c:v>
                </c:pt>
                <c:pt idx="103">
                  <c:v>39691</c:v>
                </c:pt>
                <c:pt idx="104">
                  <c:v>39721</c:v>
                </c:pt>
                <c:pt idx="105">
                  <c:v>39752</c:v>
                </c:pt>
                <c:pt idx="106">
                  <c:v>39782</c:v>
                </c:pt>
                <c:pt idx="107">
                  <c:v>39813</c:v>
                </c:pt>
                <c:pt idx="108">
                  <c:v>39844</c:v>
                </c:pt>
                <c:pt idx="109">
                  <c:v>39872</c:v>
                </c:pt>
                <c:pt idx="110">
                  <c:v>39903</c:v>
                </c:pt>
                <c:pt idx="111">
                  <c:v>39933</c:v>
                </c:pt>
                <c:pt idx="112">
                  <c:v>39964</c:v>
                </c:pt>
                <c:pt idx="113">
                  <c:v>39994</c:v>
                </c:pt>
                <c:pt idx="114">
                  <c:v>40025</c:v>
                </c:pt>
                <c:pt idx="115">
                  <c:v>40056</c:v>
                </c:pt>
                <c:pt idx="116">
                  <c:v>40086</c:v>
                </c:pt>
                <c:pt idx="117">
                  <c:v>40117</c:v>
                </c:pt>
                <c:pt idx="118">
                  <c:v>40147</c:v>
                </c:pt>
                <c:pt idx="119">
                  <c:v>40178</c:v>
                </c:pt>
                <c:pt idx="120">
                  <c:v>40209</c:v>
                </c:pt>
                <c:pt idx="121">
                  <c:v>40237</c:v>
                </c:pt>
                <c:pt idx="122">
                  <c:v>40268</c:v>
                </c:pt>
                <c:pt idx="123">
                  <c:v>40298</c:v>
                </c:pt>
                <c:pt idx="124">
                  <c:v>40329</c:v>
                </c:pt>
                <c:pt idx="125">
                  <c:v>40359</c:v>
                </c:pt>
                <c:pt idx="126">
                  <c:v>40390</c:v>
                </c:pt>
                <c:pt idx="127">
                  <c:v>40421</c:v>
                </c:pt>
                <c:pt idx="128">
                  <c:v>40451</c:v>
                </c:pt>
                <c:pt idx="129">
                  <c:v>40482</c:v>
                </c:pt>
                <c:pt idx="130">
                  <c:v>40512</c:v>
                </c:pt>
                <c:pt idx="131">
                  <c:v>40543</c:v>
                </c:pt>
                <c:pt idx="132">
                  <c:v>40574</c:v>
                </c:pt>
                <c:pt idx="133">
                  <c:v>40602</c:v>
                </c:pt>
                <c:pt idx="134">
                  <c:v>40633</c:v>
                </c:pt>
                <c:pt idx="135">
                  <c:v>40663</c:v>
                </c:pt>
                <c:pt idx="136">
                  <c:v>40694</c:v>
                </c:pt>
                <c:pt idx="137">
                  <c:v>40724</c:v>
                </c:pt>
                <c:pt idx="138">
                  <c:v>40755</c:v>
                </c:pt>
                <c:pt idx="139">
                  <c:v>40786</c:v>
                </c:pt>
                <c:pt idx="140">
                  <c:v>40816</c:v>
                </c:pt>
                <c:pt idx="141">
                  <c:v>40847</c:v>
                </c:pt>
                <c:pt idx="142">
                  <c:v>40877</c:v>
                </c:pt>
                <c:pt idx="143">
                  <c:v>40908</c:v>
                </c:pt>
                <c:pt idx="144">
                  <c:v>40939</c:v>
                </c:pt>
                <c:pt idx="145">
                  <c:v>40968</c:v>
                </c:pt>
                <c:pt idx="146">
                  <c:v>40999</c:v>
                </c:pt>
                <c:pt idx="147">
                  <c:v>41029</c:v>
                </c:pt>
                <c:pt idx="148">
                  <c:v>41060</c:v>
                </c:pt>
                <c:pt idx="149">
                  <c:v>41090</c:v>
                </c:pt>
                <c:pt idx="150">
                  <c:v>41121</c:v>
                </c:pt>
                <c:pt idx="151">
                  <c:v>41152</c:v>
                </c:pt>
                <c:pt idx="152">
                  <c:v>41182</c:v>
                </c:pt>
                <c:pt idx="153">
                  <c:v>41213</c:v>
                </c:pt>
                <c:pt idx="154">
                  <c:v>41243</c:v>
                </c:pt>
                <c:pt idx="155">
                  <c:v>41274</c:v>
                </c:pt>
                <c:pt idx="156">
                  <c:v>41305</c:v>
                </c:pt>
                <c:pt idx="157">
                  <c:v>41333</c:v>
                </c:pt>
                <c:pt idx="158">
                  <c:v>41364</c:v>
                </c:pt>
                <c:pt idx="159">
                  <c:v>41394</c:v>
                </c:pt>
                <c:pt idx="160">
                  <c:v>41425</c:v>
                </c:pt>
                <c:pt idx="161">
                  <c:v>41455</c:v>
                </c:pt>
                <c:pt idx="162">
                  <c:v>41486</c:v>
                </c:pt>
                <c:pt idx="163">
                  <c:v>41517</c:v>
                </c:pt>
                <c:pt idx="164">
                  <c:v>41547</c:v>
                </c:pt>
                <c:pt idx="165">
                  <c:v>41578</c:v>
                </c:pt>
                <c:pt idx="166">
                  <c:v>41608</c:v>
                </c:pt>
                <c:pt idx="167">
                  <c:v>41639</c:v>
                </c:pt>
                <c:pt idx="168">
                  <c:v>41670</c:v>
                </c:pt>
                <c:pt idx="169">
                  <c:v>41698</c:v>
                </c:pt>
                <c:pt idx="170">
                  <c:v>41729</c:v>
                </c:pt>
                <c:pt idx="171">
                  <c:v>41759</c:v>
                </c:pt>
                <c:pt idx="172">
                  <c:v>41790</c:v>
                </c:pt>
                <c:pt idx="173">
                  <c:v>41820</c:v>
                </c:pt>
                <c:pt idx="174">
                  <c:v>41851</c:v>
                </c:pt>
                <c:pt idx="175">
                  <c:v>41882</c:v>
                </c:pt>
                <c:pt idx="176">
                  <c:v>41912</c:v>
                </c:pt>
                <c:pt idx="177">
                  <c:v>41943</c:v>
                </c:pt>
                <c:pt idx="178">
                  <c:v>41973</c:v>
                </c:pt>
                <c:pt idx="179">
                  <c:v>42004</c:v>
                </c:pt>
                <c:pt idx="180">
                  <c:v>42035</c:v>
                </c:pt>
                <c:pt idx="181">
                  <c:v>42063</c:v>
                </c:pt>
                <c:pt idx="182">
                  <c:v>42094</c:v>
                </c:pt>
                <c:pt idx="183">
                  <c:v>42124</c:v>
                </c:pt>
                <c:pt idx="184">
                  <c:v>42155</c:v>
                </c:pt>
                <c:pt idx="185">
                  <c:v>42185</c:v>
                </c:pt>
                <c:pt idx="186">
                  <c:v>42216</c:v>
                </c:pt>
                <c:pt idx="187">
                  <c:v>42247</c:v>
                </c:pt>
                <c:pt idx="188">
                  <c:v>42277</c:v>
                </c:pt>
                <c:pt idx="189">
                  <c:v>42308</c:v>
                </c:pt>
                <c:pt idx="190">
                  <c:v>42338</c:v>
                </c:pt>
                <c:pt idx="191">
                  <c:v>42369</c:v>
                </c:pt>
                <c:pt idx="192">
                  <c:v>42400</c:v>
                </c:pt>
                <c:pt idx="193">
                  <c:v>42429</c:v>
                </c:pt>
                <c:pt idx="194">
                  <c:v>42460</c:v>
                </c:pt>
                <c:pt idx="195">
                  <c:v>42490</c:v>
                </c:pt>
                <c:pt idx="196">
                  <c:v>42521</c:v>
                </c:pt>
                <c:pt idx="197">
                  <c:v>42551</c:v>
                </c:pt>
                <c:pt idx="198">
                  <c:v>42582</c:v>
                </c:pt>
                <c:pt idx="199">
                  <c:v>42613</c:v>
                </c:pt>
                <c:pt idx="200">
                  <c:v>42643</c:v>
                </c:pt>
                <c:pt idx="201">
                  <c:v>42674</c:v>
                </c:pt>
                <c:pt idx="202">
                  <c:v>42704</c:v>
                </c:pt>
                <c:pt idx="203">
                  <c:v>42735</c:v>
                </c:pt>
              </c:numCache>
            </c:numRef>
          </c:cat>
          <c:val>
            <c:numRef>
              <c:f>BRIC.REAL!$AC$78:$AC$281</c:f>
              <c:numCache>
                <c:formatCode>General</c:formatCode>
                <c:ptCount val="204"/>
                <c:pt idx="0">
                  <c:v>1.1445237286215879</c:v>
                </c:pt>
                <c:pt idx="1">
                  <c:v>1.1744251897157101</c:v>
                </c:pt>
                <c:pt idx="2">
                  <c:v>1.2004757050628609</c:v>
                </c:pt>
                <c:pt idx="3">
                  <c:v>1.2026277041567559</c:v>
                </c:pt>
                <c:pt idx="4">
                  <c:v>1.1971910748669159</c:v>
                </c:pt>
                <c:pt idx="5">
                  <c:v>1.164571299127874</c:v>
                </c:pt>
                <c:pt idx="6">
                  <c:v>1.1378412051194911</c:v>
                </c:pt>
                <c:pt idx="7">
                  <c:v>1.1324045758296519</c:v>
                </c:pt>
                <c:pt idx="8">
                  <c:v>1.1165477404009521</c:v>
                </c:pt>
                <c:pt idx="9">
                  <c:v>1.129799524294937</c:v>
                </c:pt>
                <c:pt idx="10">
                  <c:v>1.124476158115302</c:v>
                </c:pt>
                <c:pt idx="11">
                  <c:v>1.1148487937478759</c:v>
                </c:pt>
                <c:pt idx="12">
                  <c:v>1.115754898629516</c:v>
                </c:pt>
                <c:pt idx="13">
                  <c:v>1.1330841544908821</c:v>
                </c:pt>
                <c:pt idx="14">
                  <c:v>1.101483746743686</c:v>
                </c:pt>
                <c:pt idx="15">
                  <c:v>1.0943481708007701</c:v>
                </c:pt>
                <c:pt idx="16">
                  <c:v>1.091063540604825</c:v>
                </c:pt>
                <c:pt idx="17">
                  <c:v>1.081322913127194</c:v>
                </c:pt>
                <c:pt idx="18">
                  <c:v>1.0166496772001361</c:v>
                </c:pt>
                <c:pt idx="19">
                  <c:v>0.98380337524068395</c:v>
                </c:pt>
                <c:pt idx="20">
                  <c:v>0.97995242949371397</c:v>
                </c:pt>
                <c:pt idx="21">
                  <c:v>0.94914486351795202</c:v>
                </c:pt>
                <c:pt idx="22">
                  <c:v>0.97406274776305302</c:v>
                </c:pt>
                <c:pt idx="23">
                  <c:v>0.995356212481595</c:v>
                </c:pt>
                <c:pt idx="24">
                  <c:v>1</c:v>
                </c:pt>
                <c:pt idx="25">
                  <c:v>1.0224260958205911</c:v>
                </c:pt>
                <c:pt idx="26">
                  <c:v>1.0500622947106131</c:v>
                </c:pt>
                <c:pt idx="27">
                  <c:v>1.0677313399025941</c:v>
                </c:pt>
                <c:pt idx="28">
                  <c:v>1.0608222901800879</c:v>
                </c:pt>
                <c:pt idx="29">
                  <c:v>1.0269566202287921</c:v>
                </c:pt>
                <c:pt idx="30">
                  <c:v>0.98890021519990901</c:v>
                </c:pt>
                <c:pt idx="31">
                  <c:v>0.99331747649790503</c:v>
                </c:pt>
                <c:pt idx="32">
                  <c:v>0.97202401177936304</c:v>
                </c:pt>
                <c:pt idx="33">
                  <c:v>0.97270359044059296</c:v>
                </c:pt>
                <c:pt idx="34">
                  <c:v>0.99637558047343999</c:v>
                </c:pt>
                <c:pt idx="35">
                  <c:v>0.995356212481595</c:v>
                </c:pt>
                <c:pt idx="36">
                  <c:v>0.94291539245667699</c:v>
                </c:pt>
                <c:pt idx="37">
                  <c:v>0.91595877222788502</c:v>
                </c:pt>
                <c:pt idx="38">
                  <c:v>0.92048929663608603</c:v>
                </c:pt>
                <c:pt idx="39">
                  <c:v>0.93679918450560595</c:v>
                </c:pt>
                <c:pt idx="40">
                  <c:v>0.92490655793408105</c:v>
                </c:pt>
                <c:pt idx="41">
                  <c:v>0.91459961490542496</c:v>
                </c:pt>
                <c:pt idx="42">
                  <c:v>0.93045645033412605</c:v>
                </c:pt>
                <c:pt idx="43">
                  <c:v>0.93849813115868197</c:v>
                </c:pt>
                <c:pt idx="44">
                  <c:v>0.96749348737116303</c:v>
                </c:pt>
                <c:pt idx="45">
                  <c:v>0.99003284630195898</c:v>
                </c:pt>
                <c:pt idx="46">
                  <c:v>1.019481254955261</c:v>
                </c:pt>
                <c:pt idx="47">
                  <c:v>1.038509457469702</c:v>
                </c:pt>
                <c:pt idx="48">
                  <c:v>1.070336391437309</c:v>
                </c:pt>
                <c:pt idx="49">
                  <c:v>1.0500622947106131</c:v>
                </c:pt>
                <c:pt idx="50">
                  <c:v>1.0241250424736661</c:v>
                </c:pt>
                <c:pt idx="51">
                  <c:v>1.0205006229471061</c:v>
                </c:pt>
                <c:pt idx="52">
                  <c:v>0.99139200362442004</c:v>
                </c:pt>
                <c:pt idx="53">
                  <c:v>0.97825348284063796</c:v>
                </c:pt>
                <c:pt idx="54">
                  <c:v>0.99025937252236895</c:v>
                </c:pt>
                <c:pt idx="55">
                  <c:v>0.98844716275908895</c:v>
                </c:pt>
                <c:pt idx="56">
                  <c:v>1.0109865216898859</c:v>
                </c:pt>
                <c:pt idx="57">
                  <c:v>1.015630309208291</c:v>
                </c:pt>
                <c:pt idx="58">
                  <c:v>1.013818099445011</c:v>
                </c:pt>
                <c:pt idx="59">
                  <c:v>1.0283157775512519</c:v>
                </c:pt>
                <c:pt idx="60">
                  <c:v>1.031147355306377</c:v>
                </c:pt>
                <c:pt idx="61">
                  <c:v>1.0221995696001811</c:v>
                </c:pt>
                <c:pt idx="62">
                  <c:v>1.0006795786612299</c:v>
                </c:pt>
                <c:pt idx="63">
                  <c:v>1.0200475705062859</c:v>
                </c:pt>
                <c:pt idx="64">
                  <c:v>1.025144410465511</c:v>
                </c:pt>
                <c:pt idx="65">
                  <c:v>1.0285423037716619</c:v>
                </c:pt>
                <c:pt idx="66">
                  <c:v>1.054026503567788</c:v>
                </c:pt>
                <c:pt idx="67">
                  <c:v>1.0987654320987661</c:v>
                </c:pt>
                <c:pt idx="68">
                  <c:v>1.122777211462227</c:v>
                </c:pt>
                <c:pt idx="69">
                  <c:v>1.138067731339903</c:v>
                </c:pt>
                <c:pt idx="70">
                  <c:v>1.1550571978706541</c:v>
                </c:pt>
                <c:pt idx="71">
                  <c:v>1.1831464492014949</c:v>
                </c:pt>
                <c:pt idx="72">
                  <c:v>1.143730886850153</c:v>
                </c:pt>
                <c:pt idx="73">
                  <c:v>1.1348963642541621</c:v>
                </c:pt>
                <c:pt idx="74">
                  <c:v>1.1312719447276021</c:v>
                </c:pt>
                <c:pt idx="75">
                  <c:v>1.1482614112583529</c:v>
                </c:pt>
                <c:pt idx="76">
                  <c:v>1.124589421225507</c:v>
                </c:pt>
                <c:pt idx="77">
                  <c:v>1.09887869520897</c:v>
                </c:pt>
                <c:pt idx="78">
                  <c:v>1.1025031147355311</c:v>
                </c:pt>
                <c:pt idx="79">
                  <c:v>1.100804168082455</c:v>
                </c:pt>
                <c:pt idx="80">
                  <c:v>1.1023898516253261</c:v>
                </c:pt>
                <c:pt idx="81">
                  <c:v>1.117906897723411</c:v>
                </c:pt>
                <c:pt idx="82">
                  <c:v>1.1111111111111109</c:v>
                </c:pt>
                <c:pt idx="83">
                  <c:v>1.0960471174538451</c:v>
                </c:pt>
                <c:pt idx="84">
                  <c:v>1.079057650923094</c:v>
                </c:pt>
                <c:pt idx="85">
                  <c:v>1.0644467097066499</c:v>
                </c:pt>
                <c:pt idx="86">
                  <c:v>1.0670517612413639</c:v>
                </c:pt>
                <c:pt idx="87">
                  <c:v>1.06920376033526</c:v>
                </c:pt>
                <c:pt idx="88">
                  <c:v>1.0884584890701099</c:v>
                </c:pt>
                <c:pt idx="89">
                  <c:v>1.0856269113149839</c:v>
                </c:pt>
                <c:pt idx="90">
                  <c:v>1.0980858534375351</c:v>
                </c:pt>
                <c:pt idx="91">
                  <c:v>1.1080530071355761</c:v>
                </c:pt>
                <c:pt idx="92">
                  <c:v>1.1170007928417709</c:v>
                </c:pt>
                <c:pt idx="93">
                  <c:v>1.131951523388832</c:v>
                </c:pt>
                <c:pt idx="94">
                  <c:v>1.1053346924906551</c:v>
                </c:pt>
                <c:pt idx="95">
                  <c:v>1.1288934194132969</c:v>
                </c:pt>
                <c:pt idx="96">
                  <c:v>1.1561898289727039</c:v>
                </c:pt>
                <c:pt idx="97">
                  <c:v>1.17510476837694</c:v>
                </c:pt>
                <c:pt idx="98">
                  <c:v>1.2221089591120169</c:v>
                </c:pt>
                <c:pt idx="99">
                  <c:v>1.2050062294710611</c:v>
                </c:pt>
                <c:pt idx="100">
                  <c:v>1.1561898289727039</c:v>
                </c:pt>
                <c:pt idx="101">
                  <c:v>1.1073734284743459</c:v>
                </c:pt>
                <c:pt idx="102">
                  <c:v>1.09095027749462</c:v>
                </c:pt>
                <c:pt idx="103">
                  <c:v>1.0898176463925699</c:v>
                </c:pt>
                <c:pt idx="104">
                  <c:v>1.0953675387926149</c:v>
                </c:pt>
                <c:pt idx="105">
                  <c:v>0.99864084267754005</c:v>
                </c:pt>
                <c:pt idx="106">
                  <c:v>0.97655453618756305</c:v>
                </c:pt>
                <c:pt idx="107">
                  <c:v>0.96432212028542297</c:v>
                </c:pt>
                <c:pt idx="108">
                  <c:v>0.99365726582851899</c:v>
                </c:pt>
                <c:pt idx="109">
                  <c:v>1.0343187223921171</c:v>
                </c:pt>
                <c:pt idx="110">
                  <c:v>1.063767131045418</c:v>
                </c:pt>
                <c:pt idx="111">
                  <c:v>1.0607090270698829</c:v>
                </c:pt>
                <c:pt idx="112">
                  <c:v>1.061501868841318</c:v>
                </c:pt>
                <c:pt idx="113">
                  <c:v>1.0799637558047339</c:v>
                </c:pt>
                <c:pt idx="114">
                  <c:v>1.0957073281232299</c:v>
                </c:pt>
                <c:pt idx="115">
                  <c:v>1.0636538679352141</c:v>
                </c:pt>
                <c:pt idx="116">
                  <c:v>1.0590100804168081</c:v>
                </c:pt>
                <c:pt idx="117">
                  <c:v>1.050515347151433</c:v>
                </c:pt>
                <c:pt idx="118">
                  <c:v>1.1186997394948459</c:v>
                </c:pt>
                <c:pt idx="119">
                  <c:v>1.1291199456337071</c:v>
                </c:pt>
                <c:pt idx="120">
                  <c:v>1.142145203307283</c:v>
                </c:pt>
                <c:pt idx="121">
                  <c:v>1.0882319628496999</c:v>
                </c:pt>
                <c:pt idx="122">
                  <c:v>1.100804168082455</c:v>
                </c:pt>
                <c:pt idx="123">
                  <c:v>1.1062407973722961</c:v>
                </c:pt>
                <c:pt idx="124">
                  <c:v>1.1061275342620911</c:v>
                </c:pt>
                <c:pt idx="125">
                  <c:v>1.108732585796806</c:v>
                </c:pt>
                <c:pt idx="126">
                  <c:v>1.108732585796806</c:v>
                </c:pt>
                <c:pt idx="127">
                  <c:v>1.1442972024011779</c:v>
                </c:pt>
                <c:pt idx="128">
                  <c:v>1.1683089817646399</c:v>
                </c:pt>
                <c:pt idx="129">
                  <c:v>1.1610601427115199</c:v>
                </c:pt>
                <c:pt idx="130">
                  <c:v>1.1654774040095139</c:v>
                </c:pt>
                <c:pt idx="131">
                  <c:v>1.1915279193566659</c:v>
                </c:pt>
                <c:pt idx="132">
                  <c:v>1.144183939290973</c:v>
                </c:pt>
                <c:pt idx="133">
                  <c:v>1.1654774040095139</c:v>
                </c:pt>
                <c:pt idx="134">
                  <c:v>1.151092989013478</c:v>
                </c:pt>
                <c:pt idx="135">
                  <c:v>1.155623513421679</c:v>
                </c:pt>
                <c:pt idx="136">
                  <c:v>1.1636651942462339</c:v>
                </c:pt>
                <c:pt idx="137">
                  <c:v>1.1578887756257801</c:v>
                </c:pt>
                <c:pt idx="138">
                  <c:v>1.1713670857401739</c:v>
                </c:pt>
                <c:pt idx="139">
                  <c:v>1.158794880507418</c:v>
                </c:pt>
                <c:pt idx="140">
                  <c:v>1.1428247819685129</c:v>
                </c:pt>
                <c:pt idx="141">
                  <c:v>1.0925359610374901</c:v>
                </c:pt>
                <c:pt idx="142">
                  <c:v>1.104768376939631</c:v>
                </c:pt>
                <c:pt idx="143">
                  <c:v>1.098538905878355</c:v>
                </c:pt>
                <c:pt idx="144">
                  <c:v>1.1271944727602221</c:v>
                </c:pt>
                <c:pt idx="145">
                  <c:v>1.159134669838034</c:v>
                </c:pt>
                <c:pt idx="146">
                  <c:v>1.1543776192094231</c:v>
                </c:pt>
                <c:pt idx="147">
                  <c:v>1.1543776192094231</c:v>
                </c:pt>
                <c:pt idx="148">
                  <c:v>1.145769622833843</c:v>
                </c:pt>
                <c:pt idx="149">
                  <c:v>1.137161626458262</c:v>
                </c:pt>
                <c:pt idx="150">
                  <c:v>1.16808245554423</c:v>
                </c:pt>
                <c:pt idx="151">
                  <c:v>1.1872239211688751</c:v>
                </c:pt>
                <c:pt idx="152">
                  <c:v>1.194359497111791</c:v>
                </c:pt>
                <c:pt idx="153">
                  <c:v>1.19164118246687</c:v>
                </c:pt>
                <c:pt idx="154">
                  <c:v>1.1781628723524751</c:v>
                </c:pt>
                <c:pt idx="155">
                  <c:v>1.17737003058104</c:v>
                </c:pt>
                <c:pt idx="156">
                  <c:v>1.1872239211688751</c:v>
                </c:pt>
                <c:pt idx="157">
                  <c:v>1.1856382376260051</c:v>
                </c:pt>
                <c:pt idx="158">
                  <c:v>1.2005889681730659</c:v>
                </c:pt>
                <c:pt idx="159">
                  <c:v>1.1966247593158901</c:v>
                </c:pt>
                <c:pt idx="160">
                  <c:v>1.18076792388719</c:v>
                </c:pt>
                <c:pt idx="161">
                  <c:v>1.1368218371276471</c:v>
                </c:pt>
                <c:pt idx="162">
                  <c:v>1.137388152678672</c:v>
                </c:pt>
                <c:pt idx="163">
                  <c:v>1.120965001698947</c:v>
                </c:pt>
                <c:pt idx="164">
                  <c:v>1.136028995356213</c:v>
                </c:pt>
                <c:pt idx="165">
                  <c:v>1.1344433118133419</c:v>
                </c:pt>
                <c:pt idx="166">
                  <c:v>1.105447955600861</c:v>
                </c:pt>
                <c:pt idx="167">
                  <c:v>1.0870993317476501</c:v>
                </c:pt>
                <c:pt idx="168">
                  <c:v>1.077698493600634</c:v>
                </c:pt>
                <c:pt idx="169">
                  <c:v>1.047570506286102</c:v>
                </c:pt>
                <c:pt idx="170">
                  <c:v>1.0339789330615019</c:v>
                </c:pt>
                <c:pt idx="171">
                  <c:v>1.052667346245328</c:v>
                </c:pt>
                <c:pt idx="172">
                  <c:v>1.050855136482048</c:v>
                </c:pt>
                <c:pt idx="173">
                  <c:v>1.057990712424963</c:v>
                </c:pt>
                <c:pt idx="174">
                  <c:v>1.048589874277948</c:v>
                </c:pt>
                <c:pt idx="175">
                  <c:v>1.0180088345225959</c:v>
                </c:pt>
                <c:pt idx="176">
                  <c:v>1.010080416808246</c:v>
                </c:pt>
                <c:pt idx="177">
                  <c:v>1.038849246800317</c:v>
                </c:pt>
                <c:pt idx="178">
                  <c:v>1.047004190735078</c:v>
                </c:pt>
                <c:pt idx="179">
                  <c:v>1.0238985162532559</c:v>
                </c:pt>
                <c:pt idx="180">
                  <c:v>1.026843357118586</c:v>
                </c:pt>
                <c:pt idx="181">
                  <c:v>1.031373881526787</c:v>
                </c:pt>
                <c:pt idx="182">
                  <c:v>1.044965454751388</c:v>
                </c:pt>
                <c:pt idx="183">
                  <c:v>1.0678446030127979</c:v>
                </c:pt>
                <c:pt idx="184">
                  <c:v>1.0723751274210001</c:v>
                </c:pt>
                <c:pt idx="185">
                  <c:v>1.0411145090044169</c:v>
                </c:pt>
                <c:pt idx="186">
                  <c:v>1.0244648318042811</c:v>
                </c:pt>
                <c:pt idx="187">
                  <c:v>0.98686147921621903</c:v>
                </c:pt>
                <c:pt idx="188">
                  <c:v>0.994450107599955</c:v>
                </c:pt>
                <c:pt idx="189">
                  <c:v>1.002151999093895</c:v>
                </c:pt>
                <c:pt idx="190">
                  <c:v>0.98244421791822401</c:v>
                </c:pt>
                <c:pt idx="191">
                  <c:v>0.99037263563257405</c:v>
                </c:pt>
                <c:pt idx="192">
                  <c:v>0.98833389964888396</c:v>
                </c:pt>
                <c:pt idx="193">
                  <c:v>1.0027183146449199</c:v>
                </c:pt>
                <c:pt idx="194">
                  <c:v>1.0261637784573561</c:v>
                </c:pt>
                <c:pt idx="195">
                  <c:v>1.0301279873145319</c:v>
                </c:pt>
                <c:pt idx="196">
                  <c:v>1.0164231509797259</c:v>
                </c:pt>
                <c:pt idx="197">
                  <c:v>1.0224260958205911</c:v>
                </c:pt>
                <c:pt idx="198">
                  <c:v>1.0629742892739831</c:v>
                </c:pt>
                <c:pt idx="199">
                  <c:v>1.0515347151432779</c:v>
                </c:pt>
              </c:numCache>
            </c:numRef>
          </c:val>
          <c:smooth val="0"/>
          <c:extLst xmlns:c16r2="http://schemas.microsoft.com/office/drawing/2015/06/chart">
            <c:ext xmlns:c16="http://schemas.microsoft.com/office/drawing/2014/chart" uri="{C3380CC4-5D6E-409C-BE32-E72D297353CC}">
              <c16:uniqueId val="{00000000-4986-4E76-B048-40236BD4A17C}"/>
            </c:ext>
          </c:extLst>
        </c:ser>
        <c:ser>
          <c:idx val="2"/>
          <c:order val="1"/>
          <c:tx>
            <c:strRef>
              <c:f>BRIC.REAL!$AD$4</c:f>
              <c:strCache>
                <c:ptCount val="1"/>
                <c:pt idx="0">
                  <c:v>Норвегия</c:v>
                </c:pt>
              </c:strCache>
            </c:strRef>
          </c:tx>
          <c:spPr>
            <a:ln w="12700">
              <a:solidFill>
                <a:schemeClr val="bg2">
                  <a:lumMod val="50000"/>
                </a:schemeClr>
              </a:solidFill>
              <a:prstDash val="solid"/>
            </a:ln>
          </c:spPr>
          <c:marker>
            <c:symbol val="none"/>
          </c:marker>
          <c:cat>
            <c:numRef>
              <c:f>BRIC.REAL!$A$78:$A$281</c:f>
              <c:numCache>
                <c:formatCode>mm\-yyyy</c:formatCode>
                <c:ptCount val="204"/>
                <c:pt idx="0">
                  <c:v>36556</c:v>
                </c:pt>
                <c:pt idx="1">
                  <c:v>36585</c:v>
                </c:pt>
                <c:pt idx="2">
                  <c:v>36616</c:v>
                </c:pt>
                <c:pt idx="3">
                  <c:v>36646</c:v>
                </c:pt>
                <c:pt idx="4">
                  <c:v>36677</c:v>
                </c:pt>
                <c:pt idx="5">
                  <c:v>36707</c:v>
                </c:pt>
                <c:pt idx="6">
                  <c:v>36738</c:v>
                </c:pt>
                <c:pt idx="7">
                  <c:v>36769</c:v>
                </c:pt>
                <c:pt idx="8">
                  <c:v>36799</c:v>
                </c:pt>
                <c:pt idx="9">
                  <c:v>36830</c:v>
                </c:pt>
                <c:pt idx="10">
                  <c:v>36860</c:v>
                </c:pt>
                <c:pt idx="11">
                  <c:v>36891</c:v>
                </c:pt>
                <c:pt idx="12">
                  <c:v>36922</c:v>
                </c:pt>
                <c:pt idx="13">
                  <c:v>36950</c:v>
                </c:pt>
                <c:pt idx="14">
                  <c:v>36981</c:v>
                </c:pt>
                <c:pt idx="15">
                  <c:v>37011</c:v>
                </c:pt>
                <c:pt idx="16">
                  <c:v>37042</c:v>
                </c:pt>
                <c:pt idx="17">
                  <c:v>37072</c:v>
                </c:pt>
                <c:pt idx="18">
                  <c:v>37103</c:v>
                </c:pt>
                <c:pt idx="19">
                  <c:v>37134</c:v>
                </c:pt>
                <c:pt idx="20">
                  <c:v>37164</c:v>
                </c:pt>
                <c:pt idx="21">
                  <c:v>37195</c:v>
                </c:pt>
                <c:pt idx="22">
                  <c:v>37225</c:v>
                </c:pt>
                <c:pt idx="23">
                  <c:v>37256</c:v>
                </c:pt>
                <c:pt idx="24">
                  <c:v>37287</c:v>
                </c:pt>
                <c:pt idx="25">
                  <c:v>37315</c:v>
                </c:pt>
                <c:pt idx="26">
                  <c:v>37346</c:v>
                </c:pt>
                <c:pt idx="27">
                  <c:v>37376</c:v>
                </c:pt>
                <c:pt idx="28">
                  <c:v>37407</c:v>
                </c:pt>
                <c:pt idx="29">
                  <c:v>37437</c:v>
                </c:pt>
                <c:pt idx="30">
                  <c:v>37468</c:v>
                </c:pt>
                <c:pt idx="31">
                  <c:v>37499</c:v>
                </c:pt>
                <c:pt idx="32">
                  <c:v>37529</c:v>
                </c:pt>
                <c:pt idx="33">
                  <c:v>37560</c:v>
                </c:pt>
                <c:pt idx="34">
                  <c:v>37590</c:v>
                </c:pt>
                <c:pt idx="35">
                  <c:v>37621</c:v>
                </c:pt>
                <c:pt idx="36">
                  <c:v>37652</c:v>
                </c:pt>
                <c:pt idx="37">
                  <c:v>37680</c:v>
                </c:pt>
                <c:pt idx="38">
                  <c:v>37711</c:v>
                </c:pt>
                <c:pt idx="39">
                  <c:v>37741</c:v>
                </c:pt>
                <c:pt idx="40">
                  <c:v>37772</c:v>
                </c:pt>
                <c:pt idx="41">
                  <c:v>37802</c:v>
                </c:pt>
                <c:pt idx="42">
                  <c:v>37833</c:v>
                </c:pt>
                <c:pt idx="43">
                  <c:v>37864</c:v>
                </c:pt>
                <c:pt idx="44">
                  <c:v>37894</c:v>
                </c:pt>
                <c:pt idx="45">
                  <c:v>37925</c:v>
                </c:pt>
                <c:pt idx="46">
                  <c:v>37955</c:v>
                </c:pt>
                <c:pt idx="47">
                  <c:v>37986</c:v>
                </c:pt>
                <c:pt idx="48">
                  <c:v>38017</c:v>
                </c:pt>
                <c:pt idx="49">
                  <c:v>38046</c:v>
                </c:pt>
                <c:pt idx="50">
                  <c:v>38077</c:v>
                </c:pt>
                <c:pt idx="51">
                  <c:v>38107</c:v>
                </c:pt>
                <c:pt idx="52">
                  <c:v>38138</c:v>
                </c:pt>
                <c:pt idx="53">
                  <c:v>38168</c:v>
                </c:pt>
                <c:pt idx="54">
                  <c:v>38199</c:v>
                </c:pt>
                <c:pt idx="55">
                  <c:v>38230</c:v>
                </c:pt>
                <c:pt idx="56">
                  <c:v>38260</c:v>
                </c:pt>
                <c:pt idx="57">
                  <c:v>38291</c:v>
                </c:pt>
                <c:pt idx="58">
                  <c:v>38321</c:v>
                </c:pt>
                <c:pt idx="59">
                  <c:v>38352</c:v>
                </c:pt>
                <c:pt idx="60">
                  <c:v>38383</c:v>
                </c:pt>
                <c:pt idx="61">
                  <c:v>38411</c:v>
                </c:pt>
                <c:pt idx="62">
                  <c:v>38442</c:v>
                </c:pt>
                <c:pt idx="63">
                  <c:v>38472</c:v>
                </c:pt>
                <c:pt idx="64">
                  <c:v>38503</c:v>
                </c:pt>
                <c:pt idx="65">
                  <c:v>38533</c:v>
                </c:pt>
                <c:pt idx="66">
                  <c:v>38564</c:v>
                </c:pt>
                <c:pt idx="67">
                  <c:v>38595</c:v>
                </c:pt>
                <c:pt idx="68">
                  <c:v>38625</c:v>
                </c:pt>
                <c:pt idx="69">
                  <c:v>38656</c:v>
                </c:pt>
                <c:pt idx="70">
                  <c:v>38686</c:v>
                </c:pt>
                <c:pt idx="71">
                  <c:v>38717</c:v>
                </c:pt>
                <c:pt idx="72">
                  <c:v>38748</c:v>
                </c:pt>
                <c:pt idx="73">
                  <c:v>38776</c:v>
                </c:pt>
                <c:pt idx="74">
                  <c:v>38807</c:v>
                </c:pt>
                <c:pt idx="75">
                  <c:v>38837</c:v>
                </c:pt>
                <c:pt idx="76">
                  <c:v>38868</c:v>
                </c:pt>
                <c:pt idx="77">
                  <c:v>38898</c:v>
                </c:pt>
                <c:pt idx="78">
                  <c:v>38929</c:v>
                </c:pt>
                <c:pt idx="79">
                  <c:v>38960</c:v>
                </c:pt>
                <c:pt idx="80">
                  <c:v>38990</c:v>
                </c:pt>
                <c:pt idx="81">
                  <c:v>39021</c:v>
                </c:pt>
                <c:pt idx="82">
                  <c:v>39051</c:v>
                </c:pt>
                <c:pt idx="83">
                  <c:v>39082</c:v>
                </c:pt>
                <c:pt idx="84">
                  <c:v>39113</c:v>
                </c:pt>
                <c:pt idx="85">
                  <c:v>39141</c:v>
                </c:pt>
                <c:pt idx="86">
                  <c:v>39172</c:v>
                </c:pt>
                <c:pt idx="87">
                  <c:v>39202</c:v>
                </c:pt>
                <c:pt idx="88">
                  <c:v>39233</c:v>
                </c:pt>
                <c:pt idx="89">
                  <c:v>39263</c:v>
                </c:pt>
                <c:pt idx="90">
                  <c:v>39294</c:v>
                </c:pt>
                <c:pt idx="91">
                  <c:v>39325</c:v>
                </c:pt>
                <c:pt idx="92">
                  <c:v>39355</c:v>
                </c:pt>
                <c:pt idx="93">
                  <c:v>39386</c:v>
                </c:pt>
                <c:pt idx="94">
                  <c:v>39416</c:v>
                </c:pt>
                <c:pt idx="95">
                  <c:v>39447</c:v>
                </c:pt>
                <c:pt idx="96">
                  <c:v>39478</c:v>
                </c:pt>
                <c:pt idx="97">
                  <c:v>39507</c:v>
                </c:pt>
                <c:pt idx="98">
                  <c:v>39538</c:v>
                </c:pt>
                <c:pt idx="99">
                  <c:v>39568</c:v>
                </c:pt>
                <c:pt idx="100">
                  <c:v>39599</c:v>
                </c:pt>
                <c:pt idx="101">
                  <c:v>39629</c:v>
                </c:pt>
                <c:pt idx="102">
                  <c:v>39660</c:v>
                </c:pt>
                <c:pt idx="103">
                  <c:v>39691</c:v>
                </c:pt>
                <c:pt idx="104">
                  <c:v>39721</c:v>
                </c:pt>
                <c:pt idx="105">
                  <c:v>39752</c:v>
                </c:pt>
                <c:pt idx="106">
                  <c:v>39782</c:v>
                </c:pt>
                <c:pt idx="107">
                  <c:v>39813</c:v>
                </c:pt>
                <c:pt idx="108">
                  <c:v>39844</c:v>
                </c:pt>
                <c:pt idx="109">
                  <c:v>39872</c:v>
                </c:pt>
                <c:pt idx="110">
                  <c:v>39903</c:v>
                </c:pt>
                <c:pt idx="111">
                  <c:v>39933</c:v>
                </c:pt>
                <c:pt idx="112">
                  <c:v>39964</c:v>
                </c:pt>
                <c:pt idx="113">
                  <c:v>39994</c:v>
                </c:pt>
                <c:pt idx="114">
                  <c:v>40025</c:v>
                </c:pt>
                <c:pt idx="115">
                  <c:v>40056</c:v>
                </c:pt>
                <c:pt idx="116">
                  <c:v>40086</c:v>
                </c:pt>
                <c:pt idx="117">
                  <c:v>40117</c:v>
                </c:pt>
                <c:pt idx="118">
                  <c:v>40147</c:v>
                </c:pt>
                <c:pt idx="119">
                  <c:v>40178</c:v>
                </c:pt>
                <c:pt idx="120">
                  <c:v>40209</c:v>
                </c:pt>
                <c:pt idx="121">
                  <c:v>40237</c:v>
                </c:pt>
                <c:pt idx="122">
                  <c:v>40268</c:v>
                </c:pt>
                <c:pt idx="123">
                  <c:v>40298</c:v>
                </c:pt>
                <c:pt idx="124">
                  <c:v>40329</c:v>
                </c:pt>
                <c:pt idx="125">
                  <c:v>40359</c:v>
                </c:pt>
                <c:pt idx="126">
                  <c:v>40390</c:v>
                </c:pt>
                <c:pt idx="127">
                  <c:v>40421</c:v>
                </c:pt>
                <c:pt idx="128">
                  <c:v>40451</c:v>
                </c:pt>
                <c:pt idx="129">
                  <c:v>40482</c:v>
                </c:pt>
                <c:pt idx="130">
                  <c:v>40512</c:v>
                </c:pt>
                <c:pt idx="131">
                  <c:v>40543</c:v>
                </c:pt>
                <c:pt idx="132">
                  <c:v>40574</c:v>
                </c:pt>
                <c:pt idx="133">
                  <c:v>40602</c:v>
                </c:pt>
                <c:pt idx="134">
                  <c:v>40633</c:v>
                </c:pt>
                <c:pt idx="135">
                  <c:v>40663</c:v>
                </c:pt>
                <c:pt idx="136">
                  <c:v>40694</c:v>
                </c:pt>
                <c:pt idx="137">
                  <c:v>40724</c:v>
                </c:pt>
                <c:pt idx="138">
                  <c:v>40755</c:v>
                </c:pt>
                <c:pt idx="139">
                  <c:v>40786</c:v>
                </c:pt>
                <c:pt idx="140">
                  <c:v>40816</c:v>
                </c:pt>
                <c:pt idx="141">
                  <c:v>40847</c:v>
                </c:pt>
                <c:pt idx="142">
                  <c:v>40877</c:v>
                </c:pt>
                <c:pt idx="143">
                  <c:v>40908</c:v>
                </c:pt>
                <c:pt idx="144">
                  <c:v>40939</c:v>
                </c:pt>
                <c:pt idx="145">
                  <c:v>40968</c:v>
                </c:pt>
                <c:pt idx="146">
                  <c:v>40999</c:v>
                </c:pt>
                <c:pt idx="147">
                  <c:v>41029</c:v>
                </c:pt>
                <c:pt idx="148">
                  <c:v>41060</c:v>
                </c:pt>
                <c:pt idx="149">
                  <c:v>41090</c:v>
                </c:pt>
                <c:pt idx="150">
                  <c:v>41121</c:v>
                </c:pt>
                <c:pt idx="151">
                  <c:v>41152</c:v>
                </c:pt>
                <c:pt idx="152">
                  <c:v>41182</c:v>
                </c:pt>
                <c:pt idx="153">
                  <c:v>41213</c:v>
                </c:pt>
                <c:pt idx="154">
                  <c:v>41243</c:v>
                </c:pt>
                <c:pt idx="155">
                  <c:v>41274</c:v>
                </c:pt>
                <c:pt idx="156">
                  <c:v>41305</c:v>
                </c:pt>
                <c:pt idx="157">
                  <c:v>41333</c:v>
                </c:pt>
                <c:pt idx="158">
                  <c:v>41364</c:v>
                </c:pt>
                <c:pt idx="159">
                  <c:v>41394</c:v>
                </c:pt>
                <c:pt idx="160">
                  <c:v>41425</c:v>
                </c:pt>
                <c:pt idx="161">
                  <c:v>41455</c:v>
                </c:pt>
                <c:pt idx="162">
                  <c:v>41486</c:v>
                </c:pt>
                <c:pt idx="163">
                  <c:v>41517</c:v>
                </c:pt>
                <c:pt idx="164">
                  <c:v>41547</c:v>
                </c:pt>
                <c:pt idx="165">
                  <c:v>41578</c:v>
                </c:pt>
                <c:pt idx="166">
                  <c:v>41608</c:v>
                </c:pt>
                <c:pt idx="167">
                  <c:v>41639</c:v>
                </c:pt>
                <c:pt idx="168">
                  <c:v>41670</c:v>
                </c:pt>
                <c:pt idx="169">
                  <c:v>41698</c:v>
                </c:pt>
                <c:pt idx="170">
                  <c:v>41729</c:v>
                </c:pt>
                <c:pt idx="171">
                  <c:v>41759</c:v>
                </c:pt>
                <c:pt idx="172">
                  <c:v>41790</c:v>
                </c:pt>
                <c:pt idx="173">
                  <c:v>41820</c:v>
                </c:pt>
                <c:pt idx="174">
                  <c:v>41851</c:v>
                </c:pt>
                <c:pt idx="175">
                  <c:v>41882</c:v>
                </c:pt>
                <c:pt idx="176">
                  <c:v>41912</c:v>
                </c:pt>
                <c:pt idx="177">
                  <c:v>41943</c:v>
                </c:pt>
                <c:pt idx="178">
                  <c:v>41973</c:v>
                </c:pt>
                <c:pt idx="179">
                  <c:v>42004</c:v>
                </c:pt>
                <c:pt idx="180">
                  <c:v>42035</c:v>
                </c:pt>
                <c:pt idx="181">
                  <c:v>42063</c:v>
                </c:pt>
                <c:pt idx="182">
                  <c:v>42094</c:v>
                </c:pt>
                <c:pt idx="183">
                  <c:v>42124</c:v>
                </c:pt>
                <c:pt idx="184">
                  <c:v>42155</c:v>
                </c:pt>
                <c:pt idx="185">
                  <c:v>42185</c:v>
                </c:pt>
                <c:pt idx="186">
                  <c:v>42216</c:v>
                </c:pt>
                <c:pt idx="187">
                  <c:v>42247</c:v>
                </c:pt>
                <c:pt idx="188">
                  <c:v>42277</c:v>
                </c:pt>
                <c:pt idx="189">
                  <c:v>42308</c:v>
                </c:pt>
                <c:pt idx="190">
                  <c:v>42338</c:v>
                </c:pt>
                <c:pt idx="191">
                  <c:v>42369</c:v>
                </c:pt>
                <c:pt idx="192">
                  <c:v>42400</c:v>
                </c:pt>
                <c:pt idx="193">
                  <c:v>42429</c:v>
                </c:pt>
                <c:pt idx="194">
                  <c:v>42460</c:v>
                </c:pt>
                <c:pt idx="195">
                  <c:v>42490</c:v>
                </c:pt>
                <c:pt idx="196">
                  <c:v>42521</c:v>
                </c:pt>
                <c:pt idx="197">
                  <c:v>42551</c:v>
                </c:pt>
                <c:pt idx="198">
                  <c:v>42582</c:v>
                </c:pt>
                <c:pt idx="199">
                  <c:v>42613</c:v>
                </c:pt>
                <c:pt idx="200">
                  <c:v>42643</c:v>
                </c:pt>
                <c:pt idx="201">
                  <c:v>42674</c:v>
                </c:pt>
                <c:pt idx="202">
                  <c:v>42704</c:v>
                </c:pt>
                <c:pt idx="203">
                  <c:v>42735</c:v>
                </c:pt>
              </c:numCache>
            </c:numRef>
          </c:cat>
          <c:val>
            <c:numRef>
              <c:f>BRIC.REAL!$AD$78:$AD$281</c:f>
              <c:numCache>
                <c:formatCode>General</c:formatCode>
                <c:ptCount val="204"/>
                <c:pt idx="0">
                  <c:v>0.97975537747785801</c:v>
                </c:pt>
                <c:pt idx="1">
                  <c:v>0.97532686630113896</c:v>
                </c:pt>
                <c:pt idx="2">
                  <c:v>0.96214677351328604</c:v>
                </c:pt>
                <c:pt idx="3">
                  <c:v>0.95086461408688305</c:v>
                </c:pt>
                <c:pt idx="4">
                  <c:v>0.93557570645297305</c:v>
                </c:pt>
                <c:pt idx="5">
                  <c:v>0.94907212146773501</c:v>
                </c:pt>
                <c:pt idx="6">
                  <c:v>0.95360607338675696</c:v>
                </c:pt>
                <c:pt idx="7">
                  <c:v>0.94875579924082698</c:v>
                </c:pt>
                <c:pt idx="8">
                  <c:v>0.95075917334458104</c:v>
                </c:pt>
                <c:pt idx="9">
                  <c:v>0.94938844369464404</c:v>
                </c:pt>
                <c:pt idx="10">
                  <c:v>0.95824546604808103</c:v>
                </c:pt>
                <c:pt idx="11">
                  <c:v>0.95592576971741905</c:v>
                </c:pt>
                <c:pt idx="12">
                  <c:v>0.974483340362716</c:v>
                </c:pt>
                <c:pt idx="13">
                  <c:v>0.97806832560101198</c:v>
                </c:pt>
                <c:pt idx="14">
                  <c:v>0.98439477013918197</c:v>
                </c:pt>
                <c:pt idx="15">
                  <c:v>0.98492197385069602</c:v>
                </c:pt>
                <c:pt idx="16">
                  <c:v>0.99019401096583703</c:v>
                </c:pt>
                <c:pt idx="17">
                  <c:v>0.99304091100801395</c:v>
                </c:pt>
                <c:pt idx="18">
                  <c:v>0.98323492197384998</c:v>
                </c:pt>
                <c:pt idx="19">
                  <c:v>0.98534373681990695</c:v>
                </c:pt>
                <c:pt idx="20">
                  <c:v>1.0018979333614511</c:v>
                </c:pt>
                <c:pt idx="21">
                  <c:v>1.0001054407423029</c:v>
                </c:pt>
                <c:pt idx="22">
                  <c:v>1.0021088148460571</c:v>
                </c:pt>
                <c:pt idx="23">
                  <c:v>0.99641501476170402</c:v>
                </c:pt>
                <c:pt idx="24">
                  <c:v>1</c:v>
                </c:pt>
                <c:pt idx="25">
                  <c:v>1.012863770560944</c:v>
                </c:pt>
                <c:pt idx="26">
                  <c:v>1.0198228595529311</c:v>
                </c:pt>
                <c:pt idx="27">
                  <c:v>1.031105018979334</c:v>
                </c:pt>
                <c:pt idx="28">
                  <c:v>1.0577815267819499</c:v>
                </c:pt>
                <c:pt idx="29">
                  <c:v>1.087726697595951</c:v>
                </c:pt>
                <c:pt idx="30">
                  <c:v>1.099536060733868</c:v>
                </c:pt>
                <c:pt idx="31">
                  <c:v>1.088253901307465</c:v>
                </c:pt>
                <c:pt idx="32">
                  <c:v>1.099852382960776</c:v>
                </c:pt>
                <c:pt idx="33">
                  <c:v>1.105862505272037</c:v>
                </c:pt>
                <c:pt idx="34">
                  <c:v>1.1166174609869259</c:v>
                </c:pt>
                <c:pt idx="35">
                  <c:v>1.131906368620835</c:v>
                </c:pt>
                <c:pt idx="36">
                  <c:v>1.1655419654154371</c:v>
                </c:pt>
                <c:pt idx="37">
                  <c:v>1.1341206242091939</c:v>
                </c:pt>
                <c:pt idx="38">
                  <c:v>1.082560101223113</c:v>
                </c:pt>
                <c:pt idx="39">
                  <c:v>1.075284690004217</c:v>
                </c:pt>
                <c:pt idx="40">
                  <c:v>1.0826655419654161</c:v>
                </c:pt>
                <c:pt idx="41">
                  <c:v>1.042598059890341</c:v>
                </c:pt>
                <c:pt idx="42">
                  <c:v>1.019190215099113</c:v>
                </c:pt>
                <c:pt idx="43">
                  <c:v>1.0197174188106279</c:v>
                </c:pt>
                <c:pt idx="44">
                  <c:v>1.02498945592577</c:v>
                </c:pt>
                <c:pt idx="45">
                  <c:v>1.026676507802615</c:v>
                </c:pt>
                <c:pt idx="46">
                  <c:v>1.031526781948545</c:v>
                </c:pt>
                <c:pt idx="47">
                  <c:v>1.0377477857444111</c:v>
                </c:pt>
                <c:pt idx="48">
                  <c:v>0.99936735554618294</c:v>
                </c:pt>
                <c:pt idx="49">
                  <c:v>0.97849008857022302</c:v>
                </c:pt>
                <c:pt idx="50">
                  <c:v>0.99725854070012598</c:v>
                </c:pt>
                <c:pt idx="51">
                  <c:v>1.0159215520877261</c:v>
                </c:pt>
                <c:pt idx="52">
                  <c:v>1.029207085617883</c:v>
                </c:pt>
                <c:pt idx="53">
                  <c:v>1.0197174188106279</c:v>
                </c:pt>
                <c:pt idx="54">
                  <c:v>0.99989455925769699</c:v>
                </c:pt>
                <c:pt idx="55">
                  <c:v>1.0121256853648251</c:v>
                </c:pt>
                <c:pt idx="56">
                  <c:v>1.0117039223956139</c:v>
                </c:pt>
                <c:pt idx="57">
                  <c:v>1.0307886967524249</c:v>
                </c:pt>
                <c:pt idx="58">
                  <c:v>1.049029945170814</c:v>
                </c:pt>
                <c:pt idx="59">
                  <c:v>1.04027836355968</c:v>
                </c:pt>
                <c:pt idx="60">
                  <c:v>1.036060733867566</c:v>
                </c:pt>
                <c:pt idx="61">
                  <c:v>1.0146562631800931</c:v>
                </c:pt>
                <c:pt idx="62">
                  <c:v>1.034900885702235</c:v>
                </c:pt>
                <c:pt idx="63">
                  <c:v>1.03542808941375</c:v>
                </c:pt>
                <c:pt idx="64">
                  <c:v>1.044601433994095</c:v>
                </c:pt>
                <c:pt idx="65">
                  <c:v>1.0577815267819499</c:v>
                </c:pt>
                <c:pt idx="66">
                  <c:v>1.05409110080135</c:v>
                </c:pt>
                <c:pt idx="67">
                  <c:v>1.0554618304512859</c:v>
                </c:pt>
                <c:pt idx="68">
                  <c:v>1.0698017714044701</c:v>
                </c:pt>
                <c:pt idx="69">
                  <c:v>1.062631800927879</c:v>
                </c:pt>
                <c:pt idx="70">
                  <c:v>1.0634753268663011</c:v>
                </c:pt>
                <c:pt idx="71">
                  <c:v>1.039434837621257</c:v>
                </c:pt>
                <c:pt idx="72">
                  <c:v>1.030894137494728</c:v>
                </c:pt>
                <c:pt idx="73">
                  <c:v>1.0291016448755801</c:v>
                </c:pt>
                <c:pt idx="74">
                  <c:v>1.0430198228595531</c:v>
                </c:pt>
                <c:pt idx="75">
                  <c:v>1.06864192323914</c:v>
                </c:pt>
                <c:pt idx="76">
                  <c:v>1.0788696752425131</c:v>
                </c:pt>
                <c:pt idx="77">
                  <c:v>1.06938000843526</c:v>
                </c:pt>
                <c:pt idx="78">
                  <c:v>1.056516237874314</c:v>
                </c:pt>
                <c:pt idx="79">
                  <c:v>1.046815689582455</c:v>
                </c:pt>
                <c:pt idx="80">
                  <c:v>1.025622100379586</c:v>
                </c:pt>
                <c:pt idx="81">
                  <c:v>1.006010122311261</c:v>
                </c:pt>
                <c:pt idx="82">
                  <c:v>1.0237241670181361</c:v>
                </c:pt>
                <c:pt idx="83">
                  <c:v>1.0312104597216361</c:v>
                </c:pt>
                <c:pt idx="84">
                  <c:v>1.0027414592998729</c:v>
                </c:pt>
                <c:pt idx="85">
                  <c:v>1.0294179671024879</c:v>
                </c:pt>
                <c:pt idx="86">
                  <c:v>1.0296288485870939</c:v>
                </c:pt>
                <c:pt idx="87">
                  <c:v>1.029207085617883</c:v>
                </c:pt>
                <c:pt idx="88">
                  <c:v>1.0236187262758329</c:v>
                </c:pt>
                <c:pt idx="89">
                  <c:v>1.031105018979334</c:v>
                </c:pt>
                <c:pt idx="90">
                  <c:v>1.046183045128638</c:v>
                </c:pt>
                <c:pt idx="91">
                  <c:v>1.0401729228173771</c:v>
                </c:pt>
                <c:pt idx="92">
                  <c:v>1.0653732602277519</c:v>
                </c:pt>
                <c:pt idx="93">
                  <c:v>1.0843525938422609</c:v>
                </c:pt>
                <c:pt idx="94">
                  <c:v>1.069274567692956</c:v>
                </c:pt>
                <c:pt idx="95">
                  <c:v>1.068009278785323</c:v>
                </c:pt>
                <c:pt idx="96">
                  <c:v>1.0732813159004639</c:v>
                </c:pt>
                <c:pt idx="97">
                  <c:v>1.0696963306621681</c:v>
                </c:pt>
                <c:pt idx="98">
                  <c:v>1.077815267819485</c:v>
                </c:pt>
                <c:pt idx="99">
                  <c:v>1.078237030788697</c:v>
                </c:pt>
                <c:pt idx="100">
                  <c:v>1.0832981864192319</c:v>
                </c:pt>
                <c:pt idx="101">
                  <c:v>1.062948123154787</c:v>
                </c:pt>
                <c:pt idx="102">
                  <c:v>1.064107971320118</c:v>
                </c:pt>
                <c:pt idx="103">
                  <c:v>1.0609447490510331</c:v>
                </c:pt>
                <c:pt idx="104">
                  <c:v>1.044390552509489</c:v>
                </c:pt>
                <c:pt idx="105">
                  <c:v>0.98534373681990695</c:v>
                </c:pt>
                <c:pt idx="106">
                  <c:v>0.95972163644032105</c:v>
                </c:pt>
                <c:pt idx="107">
                  <c:v>0.92914382117250105</c:v>
                </c:pt>
                <c:pt idx="108">
                  <c:v>0.94738506959088997</c:v>
                </c:pt>
                <c:pt idx="109">
                  <c:v>0.99609869253479599</c:v>
                </c:pt>
                <c:pt idx="110">
                  <c:v>1.0024251370729651</c:v>
                </c:pt>
                <c:pt idx="111">
                  <c:v>1.0001054407423029</c:v>
                </c:pt>
                <c:pt idx="112">
                  <c:v>1.0006326444538169</c:v>
                </c:pt>
                <c:pt idx="113">
                  <c:v>0.99778574441164103</c:v>
                </c:pt>
                <c:pt idx="114">
                  <c:v>0.99283002952340804</c:v>
                </c:pt>
                <c:pt idx="115">
                  <c:v>1.014234500210881</c:v>
                </c:pt>
                <c:pt idx="116">
                  <c:v>1.0342682412484181</c:v>
                </c:pt>
                <c:pt idx="117">
                  <c:v>1.0662167861661751</c:v>
                </c:pt>
                <c:pt idx="118">
                  <c:v>1.06083930830873</c:v>
                </c:pt>
                <c:pt idx="119">
                  <c:v>1.056410797132012</c:v>
                </c:pt>
                <c:pt idx="120">
                  <c:v>1.074124841838886</c:v>
                </c:pt>
                <c:pt idx="121">
                  <c:v>1.0758118937157319</c:v>
                </c:pt>
                <c:pt idx="122">
                  <c:v>1.0753901307465199</c:v>
                </c:pt>
                <c:pt idx="123">
                  <c:v>1.0799240826655421</c:v>
                </c:pt>
                <c:pt idx="124">
                  <c:v>1.059679460143399</c:v>
                </c:pt>
                <c:pt idx="125">
                  <c:v>1.046183045128638</c:v>
                </c:pt>
                <c:pt idx="126">
                  <c:v>1.0381695487136231</c:v>
                </c:pt>
                <c:pt idx="127">
                  <c:v>1.042281737663433</c:v>
                </c:pt>
                <c:pt idx="128">
                  <c:v>1.0467102488401521</c:v>
                </c:pt>
                <c:pt idx="129">
                  <c:v>1.0375369042598059</c:v>
                </c:pt>
                <c:pt idx="130">
                  <c:v>1.026676507802615</c:v>
                </c:pt>
                <c:pt idx="131">
                  <c:v>1.050189793336145</c:v>
                </c:pt>
                <c:pt idx="132">
                  <c:v>1.0529312526360179</c:v>
                </c:pt>
                <c:pt idx="133">
                  <c:v>1.05556727119359</c:v>
                </c:pt>
                <c:pt idx="134">
                  <c:v>1.061261071277942</c:v>
                </c:pt>
                <c:pt idx="135">
                  <c:v>1.0748629270350061</c:v>
                </c:pt>
                <c:pt idx="136">
                  <c:v>1.061261071277942</c:v>
                </c:pt>
                <c:pt idx="137">
                  <c:v>1.062631800927879</c:v>
                </c:pt>
                <c:pt idx="138">
                  <c:v>1.0632644453816951</c:v>
                </c:pt>
                <c:pt idx="139">
                  <c:v>1.05630535638971</c:v>
                </c:pt>
                <c:pt idx="140">
                  <c:v>1.062420919443273</c:v>
                </c:pt>
                <c:pt idx="141">
                  <c:v>1.057359763812737</c:v>
                </c:pt>
                <c:pt idx="142">
                  <c:v>1.0478700970054811</c:v>
                </c:pt>
                <c:pt idx="143">
                  <c:v>1.040805567271194</c:v>
                </c:pt>
                <c:pt idx="144">
                  <c:v>1.03616617460987</c:v>
                </c:pt>
                <c:pt idx="145">
                  <c:v>1.0616828342471529</c:v>
                </c:pt>
                <c:pt idx="146">
                  <c:v>1.05894137494728</c:v>
                </c:pt>
                <c:pt idx="147">
                  <c:v>1.0492408266554201</c:v>
                </c:pt>
                <c:pt idx="148">
                  <c:v>1.045023196963307</c:v>
                </c:pt>
                <c:pt idx="149">
                  <c:v>1.039962041332771</c:v>
                </c:pt>
                <c:pt idx="150">
                  <c:v>1.0333192745676929</c:v>
                </c:pt>
                <c:pt idx="151">
                  <c:v>1.040594685786588</c:v>
                </c:pt>
                <c:pt idx="152">
                  <c:v>1.0502952340784479</c:v>
                </c:pt>
                <c:pt idx="153">
                  <c:v>1.0568325601012241</c:v>
                </c:pt>
                <c:pt idx="154">
                  <c:v>1.0653732602277519</c:v>
                </c:pt>
                <c:pt idx="155">
                  <c:v>1.0727541121889499</c:v>
                </c:pt>
                <c:pt idx="156">
                  <c:v>1.0769717418810629</c:v>
                </c:pt>
                <c:pt idx="157">
                  <c:v>1.0773935048502741</c:v>
                </c:pt>
                <c:pt idx="158">
                  <c:v>1.055250948966681</c:v>
                </c:pt>
                <c:pt idx="159">
                  <c:v>1.05630535638971</c:v>
                </c:pt>
                <c:pt idx="160">
                  <c:v>1.0566216786166169</c:v>
                </c:pt>
                <c:pt idx="161">
                  <c:v>1.03806410797132</c:v>
                </c:pt>
                <c:pt idx="162">
                  <c:v>1.024356811471953</c:v>
                </c:pt>
                <c:pt idx="163">
                  <c:v>1.0203500632644451</c:v>
                </c:pt>
                <c:pt idx="164">
                  <c:v>1.0159215520877261</c:v>
                </c:pt>
                <c:pt idx="165">
                  <c:v>1.0043230704344159</c:v>
                </c:pt>
                <c:pt idx="166">
                  <c:v>0.99609869253479599</c:v>
                </c:pt>
                <c:pt idx="167">
                  <c:v>0.97627583298186404</c:v>
                </c:pt>
                <c:pt idx="168">
                  <c:v>0.979649936735555</c:v>
                </c:pt>
                <c:pt idx="169">
                  <c:v>0.98681990721214696</c:v>
                </c:pt>
                <c:pt idx="170">
                  <c:v>0.99926191480388005</c:v>
                </c:pt>
                <c:pt idx="171">
                  <c:v>1.006010122311261</c:v>
                </c:pt>
                <c:pt idx="172">
                  <c:v>1.014234500210881</c:v>
                </c:pt>
                <c:pt idx="173">
                  <c:v>0.99968367777309197</c:v>
                </c:pt>
                <c:pt idx="174">
                  <c:v>0.98787431463517505</c:v>
                </c:pt>
                <c:pt idx="175">
                  <c:v>0.99641501476170402</c:v>
                </c:pt>
                <c:pt idx="176">
                  <c:v>0.99905103331927503</c:v>
                </c:pt>
                <c:pt idx="177">
                  <c:v>0.98017714044706805</c:v>
                </c:pt>
                <c:pt idx="178">
                  <c:v>0.962990299451708</c:v>
                </c:pt>
                <c:pt idx="179">
                  <c:v>0.91385491353859205</c:v>
                </c:pt>
                <c:pt idx="180">
                  <c:v>0.90847743568114703</c:v>
                </c:pt>
                <c:pt idx="181">
                  <c:v>0.93199072121467696</c:v>
                </c:pt>
                <c:pt idx="182">
                  <c:v>0.90984816533108404</c:v>
                </c:pt>
                <c:pt idx="183">
                  <c:v>0.92049768030366896</c:v>
                </c:pt>
                <c:pt idx="184">
                  <c:v>0.94232391396035398</c:v>
                </c:pt>
                <c:pt idx="185">
                  <c:v>0.913222269084774</c:v>
                </c:pt>
                <c:pt idx="186">
                  <c:v>0.89234500210881496</c:v>
                </c:pt>
                <c:pt idx="187">
                  <c:v>0.88000843525938399</c:v>
                </c:pt>
                <c:pt idx="188">
                  <c:v>0.87652889076339102</c:v>
                </c:pt>
                <c:pt idx="189">
                  <c:v>0.87874314635174999</c:v>
                </c:pt>
                <c:pt idx="190">
                  <c:v>0.87188949810206695</c:v>
                </c:pt>
                <c:pt idx="191">
                  <c:v>0.85638970898355105</c:v>
                </c:pt>
                <c:pt idx="192">
                  <c:v>0.86239983129481301</c:v>
                </c:pt>
                <c:pt idx="193">
                  <c:v>0.87294390552509504</c:v>
                </c:pt>
                <c:pt idx="194">
                  <c:v>0.87863770560944698</c:v>
                </c:pt>
                <c:pt idx="195">
                  <c:v>0.892872205820329</c:v>
                </c:pt>
                <c:pt idx="196">
                  <c:v>0.89888232813158997</c:v>
                </c:pt>
                <c:pt idx="197">
                  <c:v>0.89930409110080101</c:v>
                </c:pt>
                <c:pt idx="198">
                  <c:v>0.90331083930830902</c:v>
                </c:pt>
                <c:pt idx="199">
                  <c:v>0.90647406157739296</c:v>
                </c:pt>
              </c:numCache>
            </c:numRef>
          </c:val>
          <c:smooth val="0"/>
          <c:extLst xmlns:c16r2="http://schemas.microsoft.com/office/drawing/2015/06/chart">
            <c:ext xmlns:c16="http://schemas.microsoft.com/office/drawing/2014/chart" uri="{C3380CC4-5D6E-409C-BE32-E72D297353CC}">
              <c16:uniqueId val="{00000001-4986-4E76-B048-40236BD4A17C}"/>
            </c:ext>
          </c:extLst>
        </c:ser>
        <c:ser>
          <c:idx val="3"/>
          <c:order val="2"/>
          <c:tx>
            <c:strRef>
              <c:f>BRIC.REAL!$AE$4</c:f>
              <c:strCache>
                <c:ptCount val="1"/>
                <c:pt idx="0">
                  <c:v>Россия</c:v>
                </c:pt>
              </c:strCache>
            </c:strRef>
          </c:tx>
          <c:spPr>
            <a:ln w="12700">
              <a:solidFill>
                <a:schemeClr val="tx1"/>
              </a:solidFill>
              <a:prstDash val="solid"/>
            </a:ln>
          </c:spPr>
          <c:marker>
            <c:symbol val="none"/>
          </c:marker>
          <c:cat>
            <c:numRef>
              <c:f>BRIC.REAL!$A$78:$A$281</c:f>
              <c:numCache>
                <c:formatCode>mm\-yyyy</c:formatCode>
                <c:ptCount val="204"/>
                <c:pt idx="0">
                  <c:v>36556</c:v>
                </c:pt>
                <c:pt idx="1">
                  <c:v>36585</c:v>
                </c:pt>
                <c:pt idx="2">
                  <c:v>36616</c:v>
                </c:pt>
                <c:pt idx="3">
                  <c:v>36646</c:v>
                </c:pt>
                <c:pt idx="4">
                  <c:v>36677</c:v>
                </c:pt>
                <c:pt idx="5">
                  <c:v>36707</c:v>
                </c:pt>
                <c:pt idx="6">
                  <c:v>36738</c:v>
                </c:pt>
                <c:pt idx="7">
                  <c:v>36769</c:v>
                </c:pt>
                <c:pt idx="8">
                  <c:v>36799</c:v>
                </c:pt>
                <c:pt idx="9">
                  <c:v>36830</c:v>
                </c:pt>
                <c:pt idx="10">
                  <c:v>36860</c:v>
                </c:pt>
                <c:pt idx="11">
                  <c:v>36891</c:v>
                </c:pt>
                <c:pt idx="12">
                  <c:v>36922</c:v>
                </c:pt>
                <c:pt idx="13">
                  <c:v>36950</c:v>
                </c:pt>
                <c:pt idx="14">
                  <c:v>36981</c:v>
                </c:pt>
                <c:pt idx="15">
                  <c:v>37011</c:v>
                </c:pt>
                <c:pt idx="16">
                  <c:v>37042</c:v>
                </c:pt>
                <c:pt idx="17">
                  <c:v>37072</c:v>
                </c:pt>
                <c:pt idx="18">
                  <c:v>37103</c:v>
                </c:pt>
                <c:pt idx="19">
                  <c:v>37134</c:v>
                </c:pt>
                <c:pt idx="20">
                  <c:v>37164</c:v>
                </c:pt>
                <c:pt idx="21">
                  <c:v>37195</c:v>
                </c:pt>
                <c:pt idx="22">
                  <c:v>37225</c:v>
                </c:pt>
                <c:pt idx="23">
                  <c:v>37256</c:v>
                </c:pt>
                <c:pt idx="24">
                  <c:v>37287</c:v>
                </c:pt>
                <c:pt idx="25">
                  <c:v>37315</c:v>
                </c:pt>
                <c:pt idx="26">
                  <c:v>37346</c:v>
                </c:pt>
                <c:pt idx="27">
                  <c:v>37376</c:v>
                </c:pt>
                <c:pt idx="28">
                  <c:v>37407</c:v>
                </c:pt>
                <c:pt idx="29">
                  <c:v>37437</c:v>
                </c:pt>
                <c:pt idx="30">
                  <c:v>37468</c:v>
                </c:pt>
                <c:pt idx="31">
                  <c:v>37499</c:v>
                </c:pt>
                <c:pt idx="32">
                  <c:v>37529</c:v>
                </c:pt>
                <c:pt idx="33">
                  <c:v>37560</c:v>
                </c:pt>
                <c:pt idx="34">
                  <c:v>37590</c:v>
                </c:pt>
                <c:pt idx="35">
                  <c:v>37621</c:v>
                </c:pt>
                <c:pt idx="36">
                  <c:v>37652</c:v>
                </c:pt>
                <c:pt idx="37">
                  <c:v>37680</c:v>
                </c:pt>
                <c:pt idx="38">
                  <c:v>37711</c:v>
                </c:pt>
                <c:pt idx="39">
                  <c:v>37741</c:v>
                </c:pt>
                <c:pt idx="40">
                  <c:v>37772</c:v>
                </c:pt>
                <c:pt idx="41">
                  <c:v>37802</c:v>
                </c:pt>
                <c:pt idx="42">
                  <c:v>37833</c:v>
                </c:pt>
                <c:pt idx="43">
                  <c:v>37864</c:v>
                </c:pt>
                <c:pt idx="44">
                  <c:v>37894</c:v>
                </c:pt>
                <c:pt idx="45">
                  <c:v>37925</c:v>
                </c:pt>
                <c:pt idx="46">
                  <c:v>37955</c:v>
                </c:pt>
                <c:pt idx="47">
                  <c:v>37986</c:v>
                </c:pt>
                <c:pt idx="48">
                  <c:v>38017</c:v>
                </c:pt>
                <c:pt idx="49">
                  <c:v>38046</c:v>
                </c:pt>
                <c:pt idx="50">
                  <c:v>38077</c:v>
                </c:pt>
                <c:pt idx="51">
                  <c:v>38107</c:v>
                </c:pt>
                <c:pt idx="52">
                  <c:v>38138</c:v>
                </c:pt>
                <c:pt idx="53">
                  <c:v>38168</c:v>
                </c:pt>
                <c:pt idx="54">
                  <c:v>38199</c:v>
                </c:pt>
                <c:pt idx="55">
                  <c:v>38230</c:v>
                </c:pt>
                <c:pt idx="56">
                  <c:v>38260</c:v>
                </c:pt>
                <c:pt idx="57">
                  <c:v>38291</c:v>
                </c:pt>
                <c:pt idx="58">
                  <c:v>38321</c:v>
                </c:pt>
                <c:pt idx="59">
                  <c:v>38352</c:v>
                </c:pt>
                <c:pt idx="60">
                  <c:v>38383</c:v>
                </c:pt>
                <c:pt idx="61">
                  <c:v>38411</c:v>
                </c:pt>
                <c:pt idx="62">
                  <c:v>38442</c:v>
                </c:pt>
                <c:pt idx="63">
                  <c:v>38472</c:v>
                </c:pt>
                <c:pt idx="64">
                  <c:v>38503</c:v>
                </c:pt>
                <c:pt idx="65">
                  <c:v>38533</c:v>
                </c:pt>
                <c:pt idx="66">
                  <c:v>38564</c:v>
                </c:pt>
                <c:pt idx="67">
                  <c:v>38595</c:v>
                </c:pt>
                <c:pt idx="68">
                  <c:v>38625</c:v>
                </c:pt>
                <c:pt idx="69">
                  <c:v>38656</c:v>
                </c:pt>
                <c:pt idx="70">
                  <c:v>38686</c:v>
                </c:pt>
                <c:pt idx="71">
                  <c:v>38717</c:v>
                </c:pt>
                <c:pt idx="72">
                  <c:v>38748</c:v>
                </c:pt>
                <c:pt idx="73">
                  <c:v>38776</c:v>
                </c:pt>
                <c:pt idx="74">
                  <c:v>38807</c:v>
                </c:pt>
                <c:pt idx="75">
                  <c:v>38837</c:v>
                </c:pt>
                <c:pt idx="76">
                  <c:v>38868</c:v>
                </c:pt>
                <c:pt idx="77">
                  <c:v>38898</c:v>
                </c:pt>
                <c:pt idx="78">
                  <c:v>38929</c:v>
                </c:pt>
                <c:pt idx="79">
                  <c:v>38960</c:v>
                </c:pt>
                <c:pt idx="80">
                  <c:v>38990</c:v>
                </c:pt>
                <c:pt idx="81">
                  <c:v>39021</c:v>
                </c:pt>
                <c:pt idx="82">
                  <c:v>39051</c:v>
                </c:pt>
                <c:pt idx="83">
                  <c:v>39082</c:v>
                </c:pt>
                <c:pt idx="84">
                  <c:v>39113</c:v>
                </c:pt>
                <c:pt idx="85">
                  <c:v>39141</c:v>
                </c:pt>
                <c:pt idx="86">
                  <c:v>39172</c:v>
                </c:pt>
                <c:pt idx="87">
                  <c:v>39202</c:v>
                </c:pt>
                <c:pt idx="88">
                  <c:v>39233</c:v>
                </c:pt>
                <c:pt idx="89">
                  <c:v>39263</c:v>
                </c:pt>
                <c:pt idx="90">
                  <c:v>39294</c:v>
                </c:pt>
                <c:pt idx="91">
                  <c:v>39325</c:v>
                </c:pt>
                <c:pt idx="92">
                  <c:v>39355</c:v>
                </c:pt>
                <c:pt idx="93">
                  <c:v>39386</c:v>
                </c:pt>
                <c:pt idx="94">
                  <c:v>39416</c:v>
                </c:pt>
                <c:pt idx="95">
                  <c:v>39447</c:v>
                </c:pt>
                <c:pt idx="96">
                  <c:v>39478</c:v>
                </c:pt>
                <c:pt idx="97">
                  <c:v>39507</c:v>
                </c:pt>
                <c:pt idx="98">
                  <c:v>39538</c:v>
                </c:pt>
                <c:pt idx="99">
                  <c:v>39568</c:v>
                </c:pt>
                <c:pt idx="100">
                  <c:v>39599</c:v>
                </c:pt>
                <c:pt idx="101">
                  <c:v>39629</c:v>
                </c:pt>
                <c:pt idx="102">
                  <c:v>39660</c:v>
                </c:pt>
                <c:pt idx="103">
                  <c:v>39691</c:v>
                </c:pt>
                <c:pt idx="104">
                  <c:v>39721</c:v>
                </c:pt>
                <c:pt idx="105">
                  <c:v>39752</c:v>
                </c:pt>
                <c:pt idx="106">
                  <c:v>39782</c:v>
                </c:pt>
                <c:pt idx="107">
                  <c:v>39813</c:v>
                </c:pt>
                <c:pt idx="108">
                  <c:v>39844</c:v>
                </c:pt>
                <c:pt idx="109">
                  <c:v>39872</c:v>
                </c:pt>
                <c:pt idx="110">
                  <c:v>39903</c:v>
                </c:pt>
                <c:pt idx="111">
                  <c:v>39933</c:v>
                </c:pt>
                <c:pt idx="112">
                  <c:v>39964</c:v>
                </c:pt>
                <c:pt idx="113">
                  <c:v>39994</c:v>
                </c:pt>
                <c:pt idx="114">
                  <c:v>40025</c:v>
                </c:pt>
                <c:pt idx="115">
                  <c:v>40056</c:v>
                </c:pt>
                <c:pt idx="116">
                  <c:v>40086</c:v>
                </c:pt>
                <c:pt idx="117">
                  <c:v>40117</c:v>
                </c:pt>
                <c:pt idx="118">
                  <c:v>40147</c:v>
                </c:pt>
                <c:pt idx="119">
                  <c:v>40178</c:v>
                </c:pt>
                <c:pt idx="120">
                  <c:v>40209</c:v>
                </c:pt>
                <c:pt idx="121">
                  <c:v>40237</c:v>
                </c:pt>
                <c:pt idx="122">
                  <c:v>40268</c:v>
                </c:pt>
                <c:pt idx="123">
                  <c:v>40298</c:v>
                </c:pt>
                <c:pt idx="124">
                  <c:v>40329</c:v>
                </c:pt>
                <c:pt idx="125">
                  <c:v>40359</c:v>
                </c:pt>
                <c:pt idx="126">
                  <c:v>40390</c:v>
                </c:pt>
                <c:pt idx="127">
                  <c:v>40421</c:v>
                </c:pt>
                <c:pt idx="128">
                  <c:v>40451</c:v>
                </c:pt>
                <c:pt idx="129">
                  <c:v>40482</c:v>
                </c:pt>
                <c:pt idx="130">
                  <c:v>40512</c:v>
                </c:pt>
                <c:pt idx="131">
                  <c:v>40543</c:v>
                </c:pt>
                <c:pt idx="132">
                  <c:v>40574</c:v>
                </c:pt>
                <c:pt idx="133">
                  <c:v>40602</c:v>
                </c:pt>
                <c:pt idx="134">
                  <c:v>40633</c:v>
                </c:pt>
                <c:pt idx="135">
                  <c:v>40663</c:v>
                </c:pt>
                <c:pt idx="136">
                  <c:v>40694</c:v>
                </c:pt>
                <c:pt idx="137">
                  <c:v>40724</c:v>
                </c:pt>
                <c:pt idx="138">
                  <c:v>40755</c:v>
                </c:pt>
                <c:pt idx="139">
                  <c:v>40786</c:v>
                </c:pt>
                <c:pt idx="140">
                  <c:v>40816</c:v>
                </c:pt>
                <c:pt idx="141">
                  <c:v>40847</c:v>
                </c:pt>
                <c:pt idx="142">
                  <c:v>40877</c:v>
                </c:pt>
                <c:pt idx="143">
                  <c:v>40908</c:v>
                </c:pt>
                <c:pt idx="144">
                  <c:v>40939</c:v>
                </c:pt>
                <c:pt idx="145">
                  <c:v>40968</c:v>
                </c:pt>
                <c:pt idx="146">
                  <c:v>40999</c:v>
                </c:pt>
                <c:pt idx="147">
                  <c:v>41029</c:v>
                </c:pt>
                <c:pt idx="148">
                  <c:v>41060</c:v>
                </c:pt>
                <c:pt idx="149">
                  <c:v>41090</c:v>
                </c:pt>
                <c:pt idx="150">
                  <c:v>41121</c:v>
                </c:pt>
                <c:pt idx="151">
                  <c:v>41152</c:v>
                </c:pt>
                <c:pt idx="152">
                  <c:v>41182</c:v>
                </c:pt>
                <c:pt idx="153">
                  <c:v>41213</c:v>
                </c:pt>
                <c:pt idx="154">
                  <c:v>41243</c:v>
                </c:pt>
                <c:pt idx="155">
                  <c:v>41274</c:v>
                </c:pt>
                <c:pt idx="156">
                  <c:v>41305</c:v>
                </c:pt>
                <c:pt idx="157">
                  <c:v>41333</c:v>
                </c:pt>
                <c:pt idx="158">
                  <c:v>41364</c:v>
                </c:pt>
                <c:pt idx="159">
                  <c:v>41394</c:v>
                </c:pt>
                <c:pt idx="160">
                  <c:v>41425</c:v>
                </c:pt>
                <c:pt idx="161">
                  <c:v>41455</c:v>
                </c:pt>
                <c:pt idx="162">
                  <c:v>41486</c:v>
                </c:pt>
                <c:pt idx="163">
                  <c:v>41517</c:v>
                </c:pt>
                <c:pt idx="164">
                  <c:v>41547</c:v>
                </c:pt>
                <c:pt idx="165">
                  <c:v>41578</c:v>
                </c:pt>
                <c:pt idx="166">
                  <c:v>41608</c:v>
                </c:pt>
                <c:pt idx="167">
                  <c:v>41639</c:v>
                </c:pt>
                <c:pt idx="168">
                  <c:v>41670</c:v>
                </c:pt>
                <c:pt idx="169">
                  <c:v>41698</c:v>
                </c:pt>
                <c:pt idx="170">
                  <c:v>41729</c:v>
                </c:pt>
                <c:pt idx="171">
                  <c:v>41759</c:v>
                </c:pt>
                <c:pt idx="172">
                  <c:v>41790</c:v>
                </c:pt>
                <c:pt idx="173">
                  <c:v>41820</c:v>
                </c:pt>
                <c:pt idx="174">
                  <c:v>41851</c:v>
                </c:pt>
                <c:pt idx="175">
                  <c:v>41882</c:v>
                </c:pt>
                <c:pt idx="176">
                  <c:v>41912</c:v>
                </c:pt>
                <c:pt idx="177">
                  <c:v>41943</c:v>
                </c:pt>
                <c:pt idx="178">
                  <c:v>41973</c:v>
                </c:pt>
                <c:pt idx="179">
                  <c:v>42004</c:v>
                </c:pt>
                <c:pt idx="180">
                  <c:v>42035</c:v>
                </c:pt>
                <c:pt idx="181">
                  <c:v>42063</c:v>
                </c:pt>
                <c:pt idx="182">
                  <c:v>42094</c:v>
                </c:pt>
                <c:pt idx="183">
                  <c:v>42124</c:v>
                </c:pt>
                <c:pt idx="184">
                  <c:v>42155</c:v>
                </c:pt>
                <c:pt idx="185">
                  <c:v>42185</c:v>
                </c:pt>
                <c:pt idx="186">
                  <c:v>42216</c:v>
                </c:pt>
                <c:pt idx="187">
                  <c:v>42247</c:v>
                </c:pt>
                <c:pt idx="188">
                  <c:v>42277</c:v>
                </c:pt>
                <c:pt idx="189">
                  <c:v>42308</c:v>
                </c:pt>
                <c:pt idx="190">
                  <c:v>42338</c:v>
                </c:pt>
                <c:pt idx="191">
                  <c:v>42369</c:v>
                </c:pt>
                <c:pt idx="192">
                  <c:v>42400</c:v>
                </c:pt>
                <c:pt idx="193">
                  <c:v>42429</c:v>
                </c:pt>
                <c:pt idx="194">
                  <c:v>42460</c:v>
                </c:pt>
                <c:pt idx="195">
                  <c:v>42490</c:v>
                </c:pt>
                <c:pt idx="196">
                  <c:v>42521</c:v>
                </c:pt>
                <c:pt idx="197">
                  <c:v>42551</c:v>
                </c:pt>
                <c:pt idx="198">
                  <c:v>42582</c:v>
                </c:pt>
                <c:pt idx="199">
                  <c:v>42613</c:v>
                </c:pt>
                <c:pt idx="200">
                  <c:v>42643</c:v>
                </c:pt>
                <c:pt idx="201">
                  <c:v>42674</c:v>
                </c:pt>
                <c:pt idx="202">
                  <c:v>42704</c:v>
                </c:pt>
                <c:pt idx="203">
                  <c:v>42735</c:v>
                </c:pt>
              </c:numCache>
            </c:numRef>
          </c:cat>
          <c:val>
            <c:numRef>
              <c:f>BRIC.REAL!$AE$78:$AE$281</c:f>
              <c:numCache>
                <c:formatCode>General</c:formatCode>
                <c:ptCount val="204"/>
                <c:pt idx="0">
                  <c:v>0.707077238280858</c:v>
                </c:pt>
                <c:pt idx="1">
                  <c:v>0.71556931636387699</c:v>
                </c:pt>
                <c:pt idx="2">
                  <c:v>0.73061668279168301</c:v>
                </c:pt>
                <c:pt idx="3">
                  <c:v>0.74000266383080904</c:v>
                </c:pt>
                <c:pt idx="4">
                  <c:v>0.78365492485404797</c:v>
                </c:pt>
                <c:pt idx="5">
                  <c:v>0.78365492485404797</c:v>
                </c:pt>
                <c:pt idx="6">
                  <c:v>0.81374965770966001</c:v>
                </c:pt>
                <c:pt idx="7">
                  <c:v>0.84116268169694897</c:v>
                </c:pt>
                <c:pt idx="8">
                  <c:v>0.86246736881750596</c:v>
                </c:pt>
                <c:pt idx="9">
                  <c:v>0.88913547367470702</c:v>
                </c:pt>
                <c:pt idx="10">
                  <c:v>0.90403385627649502</c:v>
                </c:pt>
                <c:pt idx="11">
                  <c:v>0.89002937663081405</c:v>
                </c:pt>
                <c:pt idx="12">
                  <c:v>0.88347408828602803</c:v>
                </c:pt>
                <c:pt idx="13">
                  <c:v>0.90626861366676303</c:v>
                </c:pt>
                <c:pt idx="14">
                  <c:v>0.932340783219892</c:v>
                </c:pt>
                <c:pt idx="15">
                  <c:v>0.95394343799248504</c:v>
                </c:pt>
                <c:pt idx="16">
                  <c:v>0.96705401468205798</c:v>
                </c:pt>
                <c:pt idx="17">
                  <c:v>0.99431805484333002</c:v>
                </c:pt>
                <c:pt idx="18">
                  <c:v>0.99625484458156299</c:v>
                </c:pt>
                <c:pt idx="19">
                  <c:v>0.96690503085603996</c:v>
                </c:pt>
                <c:pt idx="20">
                  <c:v>0.96109466164134305</c:v>
                </c:pt>
                <c:pt idx="21">
                  <c:v>0.97256641624471896</c:v>
                </c:pt>
                <c:pt idx="22">
                  <c:v>0.98508105763022202</c:v>
                </c:pt>
                <c:pt idx="23">
                  <c:v>0.98716683119447202</c:v>
                </c:pt>
                <c:pt idx="24">
                  <c:v>1</c:v>
                </c:pt>
                <c:pt idx="25">
                  <c:v>1.0089999999999999</c:v>
                </c:pt>
                <c:pt idx="26">
                  <c:v>1.0029459999999999</c:v>
                </c:pt>
                <c:pt idx="27">
                  <c:v>0.99592537800000003</c:v>
                </c:pt>
                <c:pt idx="28">
                  <c:v>0.98895390035399999</c:v>
                </c:pt>
                <c:pt idx="29">
                  <c:v>0.97411959184869001</c:v>
                </c:pt>
                <c:pt idx="30">
                  <c:v>0.95950779797095898</c:v>
                </c:pt>
                <c:pt idx="31">
                  <c:v>0.96622435255675598</c:v>
                </c:pt>
                <c:pt idx="32">
                  <c:v>0.96332567949908599</c:v>
                </c:pt>
                <c:pt idx="33">
                  <c:v>0.96910563357608004</c:v>
                </c:pt>
                <c:pt idx="34">
                  <c:v>0.96619831667535205</c:v>
                </c:pt>
                <c:pt idx="35">
                  <c:v>0.96233352340864997</c:v>
                </c:pt>
                <c:pt idx="36">
                  <c:v>0.95559718874479005</c:v>
                </c:pt>
                <c:pt idx="37">
                  <c:v>0.96133077187725802</c:v>
                </c:pt>
                <c:pt idx="38">
                  <c:v>0.97767339499917205</c:v>
                </c:pt>
                <c:pt idx="39">
                  <c:v>0.98842780234416205</c:v>
                </c:pt>
                <c:pt idx="40">
                  <c:v>0.96767081849493497</c:v>
                </c:pt>
                <c:pt idx="41">
                  <c:v>0.97831519749837903</c:v>
                </c:pt>
                <c:pt idx="42">
                  <c:v>1.0027730774358381</c:v>
                </c:pt>
                <c:pt idx="43">
                  <c:v>1.0097924889778891</c:v>
                </c:pt>
                <c:pt idx="44">
                  <c:v>0.99767497911015401</c:v>
                </c:pt>
                <c:pt idx="45">
                  <c:v>0.99168892923549301</c:v>
                </c:pt>
                <c:pt idx="46">
                  <c:v>1.0085476410324969</c:v>
                </c:pt>
                <c:pt idx="47">
                  <c:v>0.99947071226320505</c:v>
                </c:pt>
                <c:pt idx="48">
                  <c:v>1.009465419385837</c:v>
                </c:pt>
                <c:pt idx="49">
                  <c:v>1.027635796934782</c:v>
                </c:pt>
                <c:pt idx="50">
                  <c:v>1.0471608770765419</c:v>
                </c:pt>
                <c:pt idx="51">
                  <c:v>1.060773968478538</c:v>
                </c:pt>
                <c:pt idx="52">
                  <c:v>1.057591646573101</c:v>
                </c:pt>
                <c:pt idx="53">
                  <c:v>1.051246096693663</c:v>
                </c:pt>
                <c:pt idx="54">
                  <c:v>1.051246096693663</c:v>
                </c:pt>
                <c:pt idx="55">
                  <c:v>1.054399834983744</c:v>
                </c:pt>
                <c:pt idx="56">
                  <c:v>1.0533454351487599</c:v>
                </c:pt>
                <c:pt idx="57">
                  <c:v>1.047025362537868</c:v>
                </c:pt>
                <c:pt idx="58">
                  <c:v>1.0428372610877159</c:v>
                </c:pt>
                <c:pt idx="59">
                  <c:v>1.047008610132067</c:v>
                </c:pt>
                <c:pt idx="60">
                  <c:v>1.07318382538537</c:v>
                </c:pt>
                <c:pt idx="61">
                  <c:v>1.0871352151153779</c:v>
                </c:pt>
                <c:pt idx="62">
                  <c:v>1.100180837696763</c:v>
                </c:pt>
                <c:pt idx="63">
                  <c:v>1.117783731099911</c:v>
                </c:pt>
                <c:pt idx="64">
                  <c:v>1.1278437846798099</c:v>
                </c:pt>
                <c:pt idx="65">
                  <c:v>1.13912222252661</c:v>
                </c:pt>
                <c:pt idx="66">
                  <c:v>1.1436787114167151</c:v>
                </c:pt>
                <c:pt idx="67">
                  <c:v>1.1345292817253809</c:v>
                </c:pt>
                <c:pt idx="68">
                  <c:v>1.135663811007106</c:v>
                </c:pt>
                <c:pt idx="69">
                  <c:v>1.14588478530617</c:v>
                </c:pt>
                <c:pt idx="70">
                  <c:v>1.158489517944538</c:v>
                </c:pt>
                <c:pt idx="71">
                  <c:v>1.158489517944538</c:v>
                </c:pt>
                <c:pt idx="72">
                  <c:v>1.185134776857262</c:v>
                </c:pt>
                <c:pt idx="73">
                  <c:v>1.212392876724979</c:v>
                </c:pt>
                <c:pt idx="74">
                  <c:v>1.231791162752579</c:v>
                </c:pt>
                <c:pt idx="75">
                  <c:v>1.231791162752579</c:v>
                </c:pt>
                <c:pt idx="76">
                  <c:v>1.224400415776064</c:v>
                </c:pt>
                <c:pt idx="77">
                  <c:v>1.2415420215969299</c:v>
                </c:pt>
                <c:pt idx="78">
                  <c:v>1.2514743577697041</c:v>
                </c:pt>
                <c:pt idx="79">
                  <c:v>1.250222883411934</c:v>
                </c:pt>
                <c:pt idx="80">
                  <c:v>1.2527233291787581</c:v>
                </c:pt>
                <c:pt idx="81">
                  <c:v>1.2527233291787581</c:v>
                </c:pt>
                <c:pt idx="82">
                  <c:v>1.2489651591912221</c:v>
                </c:pt>
                <c:pt idx="83">
                  <c:v>1.24646722887284</c:v>
                </c:pt>
                <c:pt idx="84">
                  <c:v>1.267657171763678</c:v>
                </c:pt>
                <c:pt idx="85">
                  <c:v>1.27906608630955</c:v>
                </c:pt>
                <c:pt idx="86">
                  <c:v>1.28034515239586</c:v>
                </c:pt>
                <c:pt idx="87">
                  <c:v>1.2765041169386719</c:v>
                </c:pt>
                <c:pt idx="88">
                  <c:v>1.2765041169386719</c:v>
                </c:pt>
                <c:pt idx="89">
                  <c:v>1.28799265399112</c:v>
                </c:pt>
                <c:pt idx="90">
                  <c:v>1.2957206099150671</c:v>
                </c:pt>
                <c:pt idx="91">
                  <c:v>1.2957206099150671</c:v>
                </c:pt>
                <c:pt idx="92">
                  <c:v>1.294424889305152</c:v>
                </c:pt>
                <c:pt idx="93">
                  <c:v>1.3021914386409821</c:v>
                </c:pt>
                <c:pt idx="94">
                  <c:v>1.3021914386409821</c:v>
                </c:pt>
                <c:pt idx="95">
                  <c:v>1.3113067787114701</c:v>
                </c:pt>
                <c:pt idx="96">
                  <c:v>1.3283537668347201</c:v>
                </c:pt>
                <c:pt idx="97">
                  <c:v>1.327025413067884</c:v>
                </c:pt>
                <c:pt idx="98">
                  <c:v>1.331006489307087</c:v>
                </c:pt>
                <c:pt idx="99">
                  <c:v>1.342985547710851</c:v>
                </c:pt>
                <c:pt idx="100">
                  <c:v>1.3470145043539841</c:v>
                </c:pt>
                <c:pt idx="101">
                  <c:v>1.3537495768757539</c:v>
                </c:pt>
                <c:pt idx="102">
                  <c:v>1.35510332645263</c:v>
                </c:pt>
                <c:pt idx="103">
                  <c:v>1.356458429779082</c:v>
                </c:pt>
                <c:pt idx="104">
                  <c:v>1.351032596059965</c:v>
                </c:pt>
                <c:pt idx="105">
                  <c:v>1.3875104761535839</c:v>
                </c:pt>
                <c:pt idx="106">
                  <c:v>1.422198238057423</c:v>
                </c:pt>
                <c:pt idx="107">
                  <c:v>1.368154705011241</c:v>
                </c:pt>
                <c:pt idx="108">
                  <c:v>1.2614386380203639</c:v>
                </c:pt>
                <c:pt idx="109">
                  <c:v>1.1907980742912241</c:v>
                </c:pt>
                <c:pt idx="110">
                  <c:v>1.231285208817126</c:v>
                </c:pt>
                <c:pt idx="111">
                  <c:v>1.2608360538287371</c:v>
                </c:pt>
                <c:pt idx="112">
                  <c:v>1.289835283066797</c:v>
                </c:pt>
                <c:pt idx="113">
                  <c:v>1.3091828123128</c:v>
                </c:pt>
                <c:pt idx="114">
                  <c:v>1.292163435752733</c:v>
                </c:pt>
                <c:pt idx="115">
                  <c:v>1.275365311087947</c:v>
                </c:pt>
                <c:pt idx="116">
                  <c:v>1.290669694821003</c:v>
                </c:pt>
                <c:pt idx="117">
                  <c:v>1.3255177765811701</c:v>
                </c:pt>
                <c:pt idx="118">
                  <c:v>1.33612191879382</c:v>
                </c:pt>
                <c:pt idx="119">
                  <c:v>1.31207172425553</c:v>
                </c:pt>
                <c:pt idx="120">
                  <c:v>1.346185589086174</c:v>
                </c:pt>
                <c:pt idx="121">
                  <c:v>1.37580167204607</c:v>
                </c:pt>
                <c:pt idx="122">
                  <c:v>1.410196713847222</c:v>
                </c:pt>
                <c:pt idx="123">
                  <c:v>1.4327598612687771</c:v>
                </c:pt>
                <c:pt idx="124">
                  <c:v>1.442789180297658</c:v>
                </c:pt>
                <c:pt idx="125">
                  <c:v>1.441346391117361</c:v>
                </c:pt>
                <c:pt idx="126">
                  <c:v>1.428374273597304</c:v>
                </c:pt>
                <c:pt idx="127">
                  <c:v>1.432659396418096</c:v>
                </c:pt>
                <c:pt idx="128">
                  <c:v>1.4097368460754061</c:v>
                </c:pt>
                <c:pt idx="129">
                  <c:v>1.373083688077446</c:v>
                </c:pt>
                <c:pt idx="130">
                  <c:v>1.36072593488475</c:v>
                </c:pt>
                <c:pt idx="131">
                  <c:v>1.4110727944754851</c:v>
                </c:pt>
                <c:pt idx="132">
                  <c:v>1.4590492694876509</c:v>
                </c:pt>
                <c:pt idx="133">
                  <c:v>1.4853121563384299</c:v>
                </c:pt>
                <c:pt idx="134">
                  <c:v>1.507591838683505</c:v>
                </c:pt>
                <c:pt idx="135">
                  <c:v>1.4895007366193029</c:v>
                </c:pt>
                <c:pt idx="136">
                  <c:v>1.5058852447221149</c:v>
                </c:pt>
                <c:pt idx="137">
                  <c:v>1.529979408637669</c:v>
                </c:pt>
                <c:pt idx="138">
                  <c:v>1.53609932627222</c:v>
                </c:pt>
                <c:pt idx="139">
                  <c:v>1.4807997505264201</c:v>
                </c:pt>
                <c:pt idx="140">
                  <c:v>1.4260101597569419</c:v>
                </c:pt>
                <c:pt idx="141">
                  <c:v>1.413176068319129</c:v>
                </c:pt>
                <c:pt idx="142">
                  <c:v>1.4654635828469369</c:v>
                </c:pt>
                <c:pt idx="143">
                  <c:v>1.4669290464297839</c:v>
                </c:pt>
                <c:pt idx="144">
                  <c:v>1.477197549754792</c:v>
                </c:pt>
                <c:pt idx="145">
                  <c:v>1.5259450688967009</c:v>
                </c:pt>
                <c:pt idx="146">
                  <c:v>1.556463970274635</c:v>
                </c:pt>
                <c:pt idx="147">
                  <c:v>1.551794578363811</c:v>
                </c:pt>
                <c:pt idx="148">
                  <c:v>1.5254140705316259</c:v>
                </c:pt>
                <c:pt idx="149">
                  <c:v>1.4613466795692971</c:v>
                </c:pt>
                <c:pt idx="150">
                  <c:v>1.5051870799563769</c:v>
                </c:pt>
                <c:pt idx="151">
                  <c:v>1.5172285765960281</c:v>
                </c:pt>
                <c:pt idx="152">
                  <c:v>1.511159662289643</c:v>
                </c:pt>
                <c:pt idx="153">
                  <c:v>1.5247600992502499</c:v>
                </c:pt>
                <c:pt idx="154">
                  <c:v>1.5247600992502499</c:v>
                </c:pt>
                <c:pt idx="155">
                  <c:v>1.5476315007390029</c:v>
                </c:pt>
                <c:pt idx="156">
                  <c:v>1.5754888677523049</c:v>
                </c:pt>
                <c:pt idx="157">
                  <c:v>1.583366312091067</c:v>
                </c:pt>
                <c:pt idx="158">
                  <c:v>1.581782945778976</c:v>
                </c:pt>
                <c:pt idx="159">
                  <c:v>1.5596379845380699</c:v>
                </c:pt>
                <c:pt idx="160">
                  <c:v>1.5767940023679881</c:v>
                </c:pt>
                <c:pt idx="161">
                  <c:v>1.524759800289845</c:v>
                </c:pt>
                <c:pt idx="162">
                  <c:v>1.524759800289845</c:v>
                </c:pt>
                <c:pt idx="163">
                  <c:v>1.4973141238846279</c:v>
                </c:pt>
                <c:pt idx="164">
                  <c:v>1.5137845792473581</c:v>
                </c:pt>
                <c:pt idx="165">
                  <c:v>1.509243225509616</c:v>
                </c:pt>
                <c:pt idx="166">
                  <c:v>1.4956600364800301</c:v>
                </c:pt>
                <c:pt idx="167">
                  <c:v>1.5001470165894699</c:v>
                </c:pt>
                <c:pt idx="168">
                  <c:v>1.489645987473343</c:v>
                </c:pt>
                <c:pt idx="169">
                  <c:v>1.4315497939618831</c:v>
                </c:pt>
                <c:pt idx="170">
                  <c:v>1.407213447464531</c:v>
                </c:pt>
                <c:pt idx="171">
                  <c:v>1.4452082105460731</c:v>
                </c:pt>
                <c:pt idx="172">
                  <c:v>1.484228832230817</c:v>
                </c:pt>
                <c:pt idx="173">
                  <c:v>1.52430301070105</c:v>
                </c:pt>
                <c:pt idx="174">
                  <c:v>1.521254404679647</c:v>
                </c:pt>
                <c:pt idx="175">
                  <c:v>1.484744298967335</c:v>
                </c:pt>
                <c:pt idx="176">
                  <c:v>1.450595180091087</c:v>
                </c:pt>
                <c:pt idx="177">
                  <c:v>1.372263040366168</c:v>
                </c:pt>
                <c:pt idx="178">
                  <c:v>1.2624819971368739</c:v>
                </c:pt>
                <c:pt idx="179">
                  <c:v>1.089521963529122</c:v>
                </c:pt>
                <c:pt idx="180">
                  <c:v>1.0590153485503071</c:v>
                </c:pt>
                <c:pt idx="181">
                  <c:v>1.0706645173843601</c:v>
                </c:pt>
                <c:pt idx="182">
                  <c:v>1.183084291709718</c:v>
                </c:pt>
                <c:pt idx="183">
                  <c:v>1.3380683339236921</c:v>
                </c:pt>
                <c:pt idx="184">
                  <c:v>1.36616776893609</c:v>
                </c:pt>
                <c:pt idx="185">
                  <c:v>1.2773668639552429</c:v>
                </c:pt>
                <c:pt idx="186">
                  <c:v>1.2454326923563619</c:v>
                </c:pt>
                <c:pt idx="187">
                  <c:v>1.103453365427737</c:v>
                </c:pt>
                <c:pt idx="188">
                  <c:v>1.09241883177346</c:v>
                </c:pt>
                <c:pt idx="189">
                  <c:v>1.1601487993434141</c:v>
                </c:pt>
                <c:pt idx="190">
                  <c:v>1.1682698409388179</c:v>
                </c:pt>
                <c:pt idx="191">
                  <c:v>1.1005101901643659</c:v>
                </c:pt>
                <c:pt idx="192">
                  <c:v>1.0300775379938469</c:v>
                </c:pt>
                <c:pt idx="193">
                  <c:v>1.0135962973859429</c:v>
                </c:pt>
                <c:pt idx="194">
                  <c:v>1.1048199641506811</c:v>
                </c:pt>
                <c:pt idx="195">
                  <c:v>1.1468031227884059</c:v>
                </c:pt>
                <c:pt idx="196">
                  <c:v>1.1697391852441741</c:v>
                </c:pt>
                <c:pt idx="197">
                  <c:v>1.1861155338375931</c:v>
                </c:pt>
                <c:pt idx="198">
                  <c:v>1.2205128843188831</c:v>
                </c:pt>
                <c:pt idx="199">
                  <c:v>1.1961026266325061</c:v>
                </c:pt>
                <c:pt idx="200">
                  <c:v>1.213275466695344</c:v>
                </c:pt>
              </c:numCache>
            </c:numRef>
          </c:val>
          <c:smooth val="0"/>
          <c:extLst xmlns:c16r2="http://schemas.microsoft.com/office/drawing/2015/06/chart">
            <c:ext xmlns:c16="http://schemas.microsoft.com/office/drawing/2014/chart" uri="{C3380CC4-5D6E-409C-BE32-E72D297353CC}">
              <c16:uniqueId val="{00000002-4986-4E76-B048-40236BD4A17C}"/>
            </c:ext>
          </c:extLst>
        </c:ser>
        <c:dLbls>
          <c:showLegendKey val="0"/>
          <c:showVal val="0"/>
          <c:showCatName val="0"/>
          <c:showSerName val="0"/>
          <c:showPercent val="0"/>
          <c:showBubbleSize val="0"/>
        </c:dLbls>
        <c:marker val="1"/>
        <c:smooth val="0"/>
        <c:axId val="135814144"/>
        <c:axId val="135815936"/>
      </c:lineChart>
      <c:dateAx>
        <c:axId val="135814144"/>
        <c:scaling>
          <c:orientation val="minMax"/>
          <c:min val="37257"/>
        </c:scaling>
        <c:delete val="0"/>
        <c:axPos val="b"/>
        <c:numFmt formatCode="yyyy" sourceLinked="0"/>
        <c:majorTickMark val="out"/>
        <c:minorTickMark val="none"/>
        <c:tickLblPos val="nextTo"/>
        <c:spPr>
          <a:ln>
            <a:solidFill>
              <a:srgbClr val="000000"/>
            </a:solidFill>
            <a:prstDash val="solid"/>
          </a:ln>
        </c:spPr>
        <c:crossAx val="135815936"/>
        <c:crosses val="autoZero"/>
        <c:auto val="0"/>
        <c:lblOffset val="100"/>
        <c:baseTimeUnit val="months"/>
        <c:majorUnit val="2"/>
        <c:majorTimeUnit val="years"/>
      </c:dateAx>
      <c:valAx>
        <c:axId val="135815936"/>
        <c:scaling>
          <c:orientation val="minMax"/>
          <c:min val="0.8"/>
        </c:scaling>
        <c:delete val="0"/>
        <c:axPos val="l"/>
        <c:title>
          <c:tx>
            <c:rich>
              <a:bodyPr/>
              <a:lstStyle/>
              <a:p>
                <a:pPr>
                  <a:defRPr b="0"/>
                </a:pPr>
                <a:r>
                  <a:rPr lang="en-US" b="0"/>
                  <a:t>REER</a:t>
                </a:r>
                <a:r>
                  <a:rPr lang="ru-RU" b="0"/>
                  <a:t>, 1,0 = 2002</a:t>
                </a:r>
              </a:p>
            </c:rich>
          </c:tx>
          <c:layout>
            <c:manualLayout>
              <c:xMode val="edge"/>
              <c:yMode val="edge"/>
              <c:x val="0"/>
              <c:y val="2.29432283699697E-2"/>
            </c:manualLayout>
          </c:layout>
          <c:overlay val="0"/>
        </c:title>
        <c:numFmt formatCode="#,##0.0" sourceLinked="0"/>
        <c:majorTickMark val="out"/>
        <c:minorTickMark val="none"/>
        <c:tickLblPos val="nextTo"/>
        <c:spPr>
          <a:ln>
            <a:solidFill>
              <a:srgbClr val="000000"/>
            </a:solidFill>
            <a:prstDash val="solid"/>
          </a:ln>
        </c:spPr>
        <c:crossAx val="135814144"/>
        <c:crosses val="autoZero"/>
        <c:crossBetween val="between"/>
      </c:valAx>
      <c:spPr>
        <a:noFill/>
      </c:spPr>
    </c:plotArea>
    <c:legend>
      <c:legendPos val="b"/>
      <c:layout>
        <c:manualLayout>
          <c:xMode val="edge"/>
          <c:yMode val="edge"/>
          <c:x val="0.2769742323876182"/>
          <c:y val="0.81169972424333037"/>
          <c:w val="0.5234104417503368"/>
          <c:h val="7.0156881588865502E-2"/>
        </c:manualLayout>
      </c:layout>
      <c:overlay val="1"/>
      <c:spPr>
        <a:ln w="25400">
          <a:noFill/>
        </a:ln>
      </c:spPr>
    </c:legend>
    <c:plotVisOnly val="1"/>
    <c:dispBlanksAs val="gap"/>
    <c:showDLblsOverMax val="0"/>
  </c:chart>
  <c:spPr>
    <a:noFill/>
    <a:ln w="9525">
      <a:noFill/>
    </a:ln>
  </c:spPr>
  <c:txPr>
    <a:bodyPr/>
    <a:lstStyle/>
    <a:p>
      <a:pPr>
        <a:defRPr sz="1050">
          <a:latin typeface="Century" panose="02040604050505020304"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3628030430336"/>
          <c:y val="2.3816975298345911E-2"/>
          <c:w val="0.85372193472736657"/>
          <c:h val="0.86983763384826784"/>
        </c:manualLayout>
      </c:layout>
      <c:scatterChart>
        <c:scatterStyle val="smoothMarker"/>
        <c:varyColors val="0"/>
        <c:ser>
          <c:idx val="4"/>
          <c:order val="0"/>
          <c:tx>
            <c:v>с БП</c:v>
          </c:tx>
          <c:spPr>
            <a:ln w="12700">
              <a:solidFill>
                <a:srgbClr val="006600"/>
              </a:solidFill>
              <a:prstDash val="dash"/>
            </a:ln>
          </c:spPr>
          <c:marker>
            <c:symbol val="none"/>
          </c:marker>
          <c:xVal>
            <c:numRef>
              <c:f>Sheet1!$AF$130:$AF$146</c:f>
              <c:numCache>
                <c:formatCode>0.0</c:formatCode>
                <c:ptCount val="17"/>
                <c:pt idx="0">
                  <c:v>30</c:v>
                </c:pt>
                <c:pt idx="1">
                  <c:v>32.5</c:v>
                </c:pt>
                <c:pt idx="2">
                  <c:v>35</c:v>
                </c:pt>
                <c:pt idx="3">
                  <c:v>37.5</c:v>
                </c:pt>
                <c:pt idx="4">
                  <c:v>40</c:v>
                </c:pt>
                <c:pt idx="5">
                  <c:v>42.5</c:v>
                </c:pt>
                <c:pt idx="6">
                  <c:v>45</c:v>
                </c:pt>
                <c:pt idx="7">
                  <c:v>47.5</c:v>
                </c:pt>
                <c:pt idx="8">
                  <c:v>50</c:v>
                </c:pt>
                <c:pt idx="9">
                  <c:v>52.5</c:v>
                </c:pt>
                <c:pt idx="10">
                  <c:v>55</c:v>
                </c:pt>
                <c:pt idx="11">
                  <c:v>57.5</c:v>
                </c:pt>
                <c:pt idx="12">
                  <c:v>60</c:v>
                </c:pt>
                <c:pt idx="13">
                  <c:v>62.5</c:v>
                </c:pt>
                <c:pt idx="14">
                  <c:v>65</c:v>
                </c:pt>
                <c:pt idx="15">
                  <c:v>67.5</c:v>
                </c:pt>
                <c:pt idx="16">
                  <c:v>70</c:v>
                </c:pt>
              </c:numCache>
            </c:numRef>
          </c:xVal>
          <c:yVal>
            <c:numRef>
              <c:f>Sheet1!$AK$130:$AK$146</c:f>
              <c:numCache>
                <c:formatCode>#,##0.00</c:formatCode>
                <c:ptCount val="17"/>
                <c:pt idx="0">
                  <c:v>62.643825275970755</c:v>
                </c:pt>
                <c:pt idx="1">
                  <c:v>61.953670206679035</c:v>
                </c:pt>
                <c:pt idx="2">
                  <c:v>61.353494914454402</c:v>
                </c:pt>
                <c:pt idx="3">
                  <c:v>60.769158879283623</c:v>
                </c:pt>
                <c:pt idx="4">
                  <c:v>60.2</c:v>
                </c:pt>
                <c:pt idx="5">
                  <c:v>59.641243987522387</c:v>
                </c:pt>
                <c:pt idx="6">
                  <c:v>59.096653044276692</c:v>
                </c:pt>
                <c:pt idx="7">
                  <c:v>58.565656481007778</c:v>
                </c:pt>
                <c:pt idx="8">
                  <c:v>58.047714373748327</c:v>
                </c:pt>
                <c:pt idx="9">
                  <c:v>57.440081999357936</c:v>
                </c:pt>
                <c:pt idx="10">
                  <c:v>56.848188184948292</c:v>
                </c:pt>
                <c:pt idx="11">
                  <c:v>56.271392129916975</c:v>
                </c:pt>
                <c:pt idx="12">
                  <c:v>55.761306785630616</c:v>
                </c:pt>
                <c:pt idx="13">
                  <c:v>55.263235940508231</c:v>
                </c:pt>
                <c:pt idx="14">
                  <c:v>54.776732409598544</c:v>
                </c:pt>
                <c:pt idx="15">
                  <c:v>54.301371353873222</c:v>
                </c:pt>
                <c:pt idx="16">
                  <c:v>53.836748902782709</c:v>
                </c:pt>
              </c:numCache>
            </c:numRef>
          </c:yVal>
          <c:smooth val="1"/>
          <c:extLst xmlns:c16r2="http://schemas.microsoft.com/office/drawing/2015/06/chart">
            <c:ext xmlns:c16="http://schemas.microsoft.com/office/drawing/2014/chart" uri="{C3380CC4-5D6E-409C-BE32-E72D297353CC}">
              <c16:uniqueId val="{00000000-2062-494A-B8E1-CC8880F2F9D7}"/>
            </c:ext>
          </c:extLst>
        </c:ser>
        <c:ser>
          <c:idx val="1"/>
          <c:order val="1"/>
          <c:tx>
            <c:strRef>
              <c:f>Sheet1!$D$3</c:f>
              <c:strCache>
                <c:ptCount val="1"/>
                <c:pt idx="0">
                  <c:v>без БП</c:v>
                </c:pt>
              </c:strCache>
            </c:strRef>
          </c:tx>
          <c:spPr>
            <a:ln w="15875">
              <a:solidFill>
                <a:schemeClr val="tx1"/>
              </a:solidFill>
            </a:ln>
          </c:spPr>
          <c:marker>
            <c:symbol val="none"/>
          </c:marker>
          <c:xVal>
            <c:numRef>
              <c:f>Sheet1!$AF$130:$AF$146</c:f>
              <c:numCache>
                <c:formatCode>0.0</c:formatCode>
                <c:ptCount val="17"/>
                <c:pt idx="0">
                  <c:v>30</c:v>
                </c:pt>
                <c:pt idx="1">
                  <c:v>32.5</c:v>
                </c:pt>
                <c:pt idx="2">
                  <c:v>35</c:v>
                </c:pt>
                <c:pt idx="3">
                  <c:v>37.5</c:v>
                </c:pt>
                <c:pt idx="4">
                  <c:v>40</c:v>
                </c:pt>
                <c:pt idx="5">
                  <c:v>42.5</c:v>
                </c:pt>
                <c:pt idx="6">
                  <c:v>45</c:v>
                </c:pt>
                <c:pt idx="7">
                  <c:v>47.5</c:v>
                </c:pt>
                <c:pt idx="8">
                  <c:v>50</c:v>
                </c:pt>
                <c:pt idx="9">
                  <c:v>52.5</c:v>
                </c:pt>
                <c:pt idx="10">
                  <c:v>55</c:v>
                </c:pt>
                <c:pt idx="11">
                  <c:v>57.5</c:v>
                </c:pt>
                <c:pt idx="12">
                  <c:v>60</c:v>
                </c:pt>
                <c:pt idx="13">
                  <c:v>62.5</c:v>
                </c:pt>
                <c:pt idx="14">
                  <c:v>65</c:v>
                </c:pt>
                <c:pt idx="15">
                  <c:v>67.5</c:v>
                </c:pt>
                <c:pt idx="16">
                  <c:v>70</c:v>
                </c:pt>
              </c:numCache>
            </c:numRef>
          </c:xVal>
          <c:yVal>
            <c:numRef>
              <c:f>Sheet1!$AG$130:$AG$146</c:f>
              <c:numCache>
                <c:formatCode>#,##0.00</c:formatCode>
                <c:ptCount val="17"/>
                <c:pt idx="0">
                  <c:v>77.715710349805434</c:v>
                </c:pt>
                <c:pt idx="1">
                  <c:v>75.025551145389088</c:v>
                </c:pt>
                <c:pt idx="2">
                  <c:v>72.614015572858719</c:v>
                </c:pt>
                <c:pt idx="3">
                  <c:v>70.193548387096769</c:v>
                </c:pt>
                <c:pt idx="4">
                  <c:v>68</c:v>
                </c:pt>
                <c:pt idx="5">
                  <c:v>65.740181268882168</c:v>
                </c:pt>
                <c:pt idx="6">
                  <c:v>63.679947667863061</c:v>
                </c:pt>
                <c:pt idx="7">
                  <c:v>61.791862966120483</c:v>
                </c:pt>
                <c:pt idx="8">
                  <c:v>60.053472959400985</c:v>
                </c:pt>
                <c:pt idx="9">
                  <c:v>58.304342679030079</c:v>
                </c:pt>
                <c:pt idx="10">
                  <c:v>56.68477760461257</c:v>
                </c:pt>
                <c:pt idx="11">
                  <c:v>55.179872004490107</c:v>
                </c:pt>
                <c:pt idx="12">
                  <c:v>53.776993902681035</c:v>
                </c:pt>
                <c:pt idx="13">
                  <c:v>52.465359905054662</c:v>
                </c:pt>
                <c:pt idx="14">
                  <c:v>51.235703032279943</c:v>
                </c:pt>
                <c:pt idx="15">
                  <c:v>50.08001048267964</c:v>
                </c:pt>
                <c:pt idx="16">
                  <c:v>48.991314602621394</c:v>
                </c:pt>
              </c:numCache>
            </c:numRef>
          </c:yVal>
          <c:smooth val="1"/>
          <c:extLst xmlns:c16r2="http://schemas.microsoft.com/office/drawing/2015/06/chart">
            <c:ext xmlns:c16="http://schemas.microsoft.com/office/drawing/2014/chart" uri="{C3380CC4-5D6E-409C-BE32-E72D297353CC}">
              <c16:uniqueId val="{00000001-2062-494A-B8E1-CC8880F2F9D7}"/>
            </c:ext>
          </c:extLst>
        </c:ser>
        <c:ser>
          <c:idx val="0"/>
          <c:order val="2"/>
          <c:spPr>
            <a:ln>
              <a:noFill/>
            </a:ln>
          </c:spPr>
          <c:marker>
            <c:symbol val="circle"/>
            <c:size val="5"/>
            <c:spPr>
              <a:solidFill>
                <a:schemeClr val="bg1"/>
              </a:solidFill>
              <a:ln>
                <a:solidFill>
                  <a:schemeClr val="tx1"/>
                </a:solidFill>
              </a:ln>
            </c:spPr>
          </c:marker>
          <c:dPt>
            <c:idx val="0"/>
            <c:marker>
              <c:spPr>
                <a:solidFill>
                  <a:schemeClr val="tx1"/>
                </a:solidFill>
                <a:ln>
                  <a:solidFill>
                    <a:schemeClr val="tx1"/>
                  </a:solidFill>
                </a:ln>
              </c:spPr>
            </c:marker>
            <c:bubble3D val="0"/>
            <c:extLst xmlns:c16r2="http://schemas.microsoft.com/office/drawing/2015/06/chart">
              <c:ext xmlns:c16="http://schemas.microsoft.com/office/drawing/2014/chart" uri="{C3380CC4-5D6E-409C-BE32-E72D297353CC}">
                <c16:uniqueId val="{00000002-2062-494A-B8E1-CC8880F2F9D7}"/>
              </c:ext>
            </c:extLst>
          </c:dPt>
          <c:dPt>
            <c:idx val="1"/>
            <c:marker>
              <c:spPr>
                <a:solidFill>
                  <a:schemeClr val="tx1"/>
                </a:solidFill>
                <a:ln>
                  <a:solidFill>
                    <a:schemeClr val="tx1"/>
                  </a:solidFill>
                </a:ln>
              </c:spPr>
            </c:marker>
            <c:bubble3D val="0"/>
            <c:extLst xmlns:c16r2="http://schemas.microsoft.com/office/drawing/2015/06/chart">
              <c:ext xmlns:c16="http://schemas.microsoft.com/office/drawing/2014/chart" uri="{C3380CC4-5D6E-409C-BE32-E72D297353CC}">
                <c16:uniqueId val="{00000003-2062-494A-B8E1-CC8880F2F9D7}"/>
              </c:ext>
            </c:extLst>
          </c:dPt>
          <c:dPt>
            <c:idx val="2"/>
            <c:marker>
              <c:spPr>
                <a:solidFill>
                  <a:schemeClr val="tx1"/>
                </a:solidFill>
                <a:ln>
                  <a:solidFill>
                    <a:schemeClr val="tx1"/>
                  </a:solidFill>
                </a:ln>
              </c:spPr>
            </c:marker>
            <c:bubble3D val="0"/>
            <c:extLst xmlns:c16r2="http://schemas.microsoft.com/office/drawing/2015/06/chart">
              <c:ext xmlns:c16="http://schemas.microsoft.com/office/drawing/2014/chart" uri="{C3380CC4-5D6E-409C-BE32-E72D297353CC}">
                <c16:uniqueId val="{00000004-2062-494A-B8E1-CC8880F2F9D7}"/>
              </c:ext>
            </c:extLst>
          </c:dPt>
          <c:dPt>
            <c:idx val="3"/>
            <c:marker>
              <c:spPr>
                <a:solidFill>
                  <a:schemeClr val="tx1"/>
                </a:solidFill>
                <a:ln>
                  <a:solidFill>
                    <a:schemeClr val="tx1"/>
                  </a:solidFill>
                </a:ln>
              </c:spPr>
            </c:marker>
            <c:bubble3D val="0"/>
            <c:extLst xmlns:c16r2="http://schemas.microsoft.com/office/drawing/2015/06/chart">
              <c:ext xmlns:c16="http://schemas.microsoft.com/office/drawing/2014/chart" uri="{C3380CC4-5D6E-409C-BE32-E72D297353CC}">
                <c16:uniqueId val="{00000005-2062-494A-B8E1-CC8880F2F9D7}"/>
              </c:ext>
            </c:extLst>
          </c:dPt>
          <c:dPt>
            <c:idx val="4"/>
            <c:marker>
              <c:spPr>
                <a:solidFill>
                  <a:schemeClr val="tx1"/>
                </a:solidFill>
                <a:ln>
                  <a:solidFill>
                    <a:schemeClr val="tx1"/>
                  </a:solidFill>
                </a:ln>
              </c:spPr>
            </c:marker>
            <c:bubble3D val="0"/>
            <c:extLst xmlns:c16r2="http://schemas.microsoft.com/office/drawing/2015/06/chart">
              <c:ext xmlns:c16="http://schemas.microsoft.com/office/drawing/2014/chart" uri="{C3380CC4-5D6E-409C-BE32-E72D297353CC}">
                <c16:uniqueId val="{00000006-2062-494A-B8E1-CC8880F2F9D7}"/>
              </c:ext>
            </c:extLst>
          </c:dPt>
          <c:dPt>
            <c:idx val="5"/>
            <c:marker>
              <c:spPr>
                <a:solidFill>
                  <a:schemeClr val="tx1"/>
                </a:solidFill>
                <a:ln>
                  <a:solidFill>
                    <a:schemeClr val="tx1"/>
                  </a:solidFill>
                </a:ln>
              </c:spPr>
            </c:marker>
            <c:bubble3D val="0"/>
            <c:extLst xmlns:c16r2="http://schemas.microsoft.com/office/drawing/2015/06/chart">
              <c:ext xmlns:c16="http://schemas.microsoft.com/office/drawing/2014/chart" uri="{C3380CC4-5D6E-409C-BE32-E72D297353CC}">
                <c16:uniqueId val="{00000007-2062-494A-B8E1-CC8880F2F9D7}"/>
              </c:ext>
            </c:extLst>
          </c:dPt>
          <c:dPt>
            <c:idx val="6"/>
            <c:marker>
              <c:spPr>
                <a:solidFill>
                  <a:schemeClr val="tx1"/>
                </a:solidFill>
                <a:ln>
                  <a:solidFill>
                    <a:schemeClr val="tx1"/>
                  </a:solidFill>
                </a:ln>
              </c:spPr>
            </c:marker>
            <c:bubble3D val="0"/>
            <c:extLst xmlns:c16r2="http://schemas.microsoft.com/office/drawing/2015/06/chart">
              <c:ext xmlns:c16="http://schemas.microsoft.com/office/drawing/2014/chart" uri="{C3380CC4-5D6E-409C-BE32-E72D297353CC}">
                <c16:uniqueId val="{00000008-2062-494A-B8E1-CC8880F2F9D7}"/>
              </c:ext>
            </c:extLst>
          </c:dPt>
          <c:dPt>
            <c:idx val="7"/>
            <c:marker>
              <c:spPr>
                <a:solidFill>
                  <a:schemeClr val="tx1"/>
                </a:solidFill>
                <a:ln>
                  <a:solidFill>
                    <a:schemeClr val="tx1"/>
                  </a:solidFill>
                </a:ln>
              </c:spPr>
            </c:marker>
            <c:bubble3D val="0"/>
            <c:extLst xmlns:c16r2="http://schemas.microsoft.com/office/drawing/2015/06/chart">
              <c:ext xmlns:c16="http://schemas.microsoft.com/office/drawing/2014/chart" uri="{C3380CC4-5D6E-409C-BE32-E72D297353CC}">
                <c16:uniqueId val="{00000009-2062-494A-B8E1-CC8880F2F9D7}"/>
              </c:ext>
            </c:extLst>
          </c:dPt>
          <c:dPt>
            <c:idx val="8"/>
            <c:marker>
              <c:spPr>
                <a:solidFill>
                  <a:schemeClr val="tx1"/>
                </a:solidFill>
                <a:ln>
                  <a:solidFill>
                    <a:schemeClr val="tx1"/>
                  </a:solidFill>
                </a:ln>
              </c:spPr>
            </c:marker>
            <c:bubble3D val="0"/>
            <c:extLst xmlns:c16r2="http://schemas.microsoft.com/office/drawing/2015/06/chart">
              <c:ext xmlns:c16="http://schemas.microsoft.com/office/drawing/2014/chart" uri="{C3380CC4-5D6E-409C-BE32-E72D297353CC}">
                <c16:uniqueId val="{0000000A-2062-494A-B8E1-CC8880F2F9D7}"/>
              </c:ext>
            </c:extLst>
          </c:dPt>
          <c:dPt>
            <c:idx val="9"/>
            <c:marker>
              <c:spPr>
                <a:solidFill>
                  <a:srgbClr val="006600"/>
                </a:solidFill>
                <a:ln>
                  <a:solidFill>
                    <a:srgbClr val="006600"/>
                  </a:solidFill>
                </a:ln>
              </c:spPr>
            </c:marker>
            <c:bubble3D val="0"/>
            <c:extLst xmlns:c16r2="http://schemas.microsoft.com/office/drawing/2015/06/chart">
              <c:ext xmlns:c16="http://schemas.microsoft.com/office/drawing/2014/chart" uri="{C3380CC4-5D6E-409C-BE32-E72D297353CC}">
                <c16:uniqueId val="{0000000B-2062-494A-B8E1-CC8880F2F9D7}"/>
              </c:ext>
            </c:extLst>
          </c:dPt>
          <c:dPt>
            <c:idx val="10"/>
            <c:marker>
              <c:spPr>
                <a:solidFill>
                  <a:srgbClr val="006600"/>
                </a:solidFill>
                <a:ln>
                  <a:solidFill>
                    <a:srgbClr val="006600"/>
                  </a:solidFill>
                </a:ln>
              </c:spPr>
            </c:marker>
            <c:bubble3D val="0"/>
            <c:extLst xmlns:c16r2="http://schemas.microsoft.com/office/drawing/2015/06/chart">
              <c:ext xmlns:c16="http://schemas.microsoft.com/office/drawing/2014/chart" uri="{C3380CC4-5D6E-409C-BE32-E72D297353CC}">
                <c16:uniqueId val="{0000000C-2062-494A-B8E1-CC8880F2F9D7}"/>
              </c:ext>
            </c:extLst>
          </c:dPt>
          <c:dPt>
            <c:idx val="11"/>
            <c:marker>
              <c:spPr>
                <a:solidFill>
                  <a:srgbClr val="006600"/>
                </a:solidFill>
                <a:ln>
                  <a:solidFill>
                    <a:srgbClr val="006600"/>
                  </a:solidFill>
                </a:ln>
              </c:spPr>
            </c:marker>
            <c:bubble3D val="0"/>
            <c:extLst xmlns:c16r2="http://schemas.microsoft.com/office/drawing/2015/06/chart">
              <c:ext xmlns:c16="http://schemas.microsoft.com/office/drawing/2014/chart" uri="{C3380CC4-5D6E-409C-BE32-E72D297353CC}">
                <c16:uniqueId val="{0000000D-2062-494A-B8E1-CC8880F2F9D7}"/>
              </c:ext>
            </c:extLst>
          </c:dPt>
          <c:dPt>
            <c:idx val="12"/>
            <c:marker>
              <c:spPr>
                <a:solidFill>
                  <a:srgbClr val="006600"/>
                </a:solidFill>
                <a:ln>
                  <a:solidFill>
                    <a:srgbClr val="006600"/>
                  </a:solidFill>
                </a:ln>
              </c:spPr>
            </c:marker>
            <c:bubble3D val="0"/>
            <c:extLst xmlns:c16r2="http://schemas.microsoft.com/office/drawing/2015/06/chart">
              <c:ext xmlns:c16="http://schemas.microsoft.com/office/drawing/2014/chart" uri="{C3380CC4-5D6E-409C-BE32-E72D297353CC}">
                <c16:uniqueId val="{0000000E-2062-494A-B8E1-CC8880F2F9D7}"/>
              </c:ext>
            </c:extLst>
          </c:dPt>
          <c:dPt>
            <c:idx val="13"/>
            <c:marker>
              <c:spPr>
                <a:solidFill>
                  <a:srgbClr val="006600"/>
                </a:solidFill>
                <a:ln>
                  <a:solidFill>
                    <a:srgbClr val="006600"/>
                  </a:solidFill>
                </a:ln>
              </c:spPr>
            </c:marker>
            <c:bubble3D val="0"/>
            <c:extLst xmlns:c16r2="http://schemas.microsoft.com/office/drawing/2015/06/chart">
              <c:ext xmlns:c16="http://schemas.microsoft.com/office/drawing/2014/chart" uri="{C3380CC4-5D6E-409C-BE32-E72D297353CC}">
                <c16:uniqueId val="{0000000F-2062-494A-B8E1-CC8880F2F9D7}"/>
              </c:ext>
            </c:extLst>
          </c:dPt>
          <c:dPt>
            <c:idx val="14"/>
            <c:marker>
              <c:spPr>
                <a:solidFill>
                  <a:srgbClr val="006600"/>
                </a:solidFill>
                <a:ln>
                  <a:solidFill>
                    <a:srgbClr val="006600"/>
                  </a:solidFill>
                </a:ln>
              </c:spPr>
            </c:marker>
            <c:bubble3D val="0"/>
            <c:extLst xmlns:c16r2="http://schemas.microsoft.com/office/drawing/2015/06/chart">
              <c:ext xmlns:c16="http://schemas.microsoft.com/office/drawing/2014/chart" uri="{C3380CC4-5D6E-409C-BE32-E72D297353CC}">
                <c16:uniqueId val="{00000010-2062-494A-B8E1-CC8880F2F9D7}"/>
              </c:ext>
            </c:extLst>
          </c:dPt>
          <c:dPt>
            <c:idx val="15"/>
            <c:marker>
              <c:spPr>
                <a:solidFill>
                  <a:srgbClr val="006600"/>
                </a:solidFill>
                <a:ln>
                  <a:solidFill>
                    <a:srgbClr val="006600"/>
                  </a:solidFill>
                </a:ln>
              </c:spPr>
            </c:marker>
            <c:bubble3D val="0"/>
            <c:extLst xmlns:c16r2="http://schemas.microsoft.com/office/drawing/2015/06/chart">
              <c:ext xmlns:c16="http://schemas.microsoft.com/office/drawing/2014/chart" uri="{C3380CC4-5D6E-409C-BE32-E72D297353CC}">
                <c16:uniqueId val="{00000011-2062-494A-B8E1-CC8880F2F9D7}"/>
              </c:ext>
            </c:extLst>
          </c:dPt>
          <c:dLbls>
            <c:dLbl>
              <c:idx val="0"/>
              <c:layout/>
              <c:tx>
                <c:rich>
                  <a:bodyPr/>
                  <a:lstStyle/>
                  <a:p>
                    <a:pPr>
                      <a:defRPr sz="800">
                        <a:solidFill>
                          <a:sysClr val="windowText" lastClr="000000"/>
                        </a:solidFill>
                      </a:defRPr>
                    </a:pPr>
                    <a:r>
                      <a:rPr lang="ru-RU">
                        <a:solidFill>
                          <a:sysClr val="windowText" lastClr="000000"/>
                        </a:solidFill>
                      </a:rPr>
                      <a:t>1кв'16</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062-494A-B8E1-CC8880F2F9D7}"/>
                </c:ext>
              </c:extLst>
            </c:dLbl>
            <c:dLbl>
              <c:idx val="1"/>
              <c:layout>
                <c:manualLayout>
                  <c:x val="-5.0760460587112088E-2"/>
                  <c:y val="-3.7449075155281016E-2"/>
                </c:manualLayout>
              </c:layout>
              <c:tx>
                <c:rich>
                  <a:bodyPr/>
                  <a:lstStyle/>
                  <a:p>
                    <a:pPr>
                      <a:defRPr sz="800">
                        <a:solidFill>
                          <a:sysClr val="windowText" lastClr="000000"/>
                        </a:solidFill>
                      </a:defRPr>
                    </a:pPr>
                    <a:r>
                      <a:rPr lang="ru-RU">
                        <a:solidFill>
                          <a:sysClr val="windowText" lastClr="000000"/>
                        </a:solidFill>
                      </a:rPr>
                      <a:t>2кв'16</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062-494A-B8E1-CC8880F2F9D7}"/>
                </c:ext>
              </c:extLst>
            </c:dLbl>
            <c:dLbl>
              <c:idx val="2"/>
              <c:layout>
                <c:manualLayout>
                  <c:x val="-0.11913621825382602"/>
                  <c:y val="2.5210074073605832E-3"/>
                </c:manualLayout>
              </c:layout>
              <c:tx>
                <c:rich>
                  <a:bodyPr/>
                  <a:lstStyle/>
                  <a:p>
                    <a:pPr>
                      <a:defRPr sz="800">
                        <a:solidFill>
                          <a:sysClr val="windowText" lastClr="000000"/>
                        </a:solidFill>
                      </a:defRPr>
                    </a:pPr>
                    <a:r>
                      <a:rPr lang="ru-RU">
                        <a:solidFill>
                          <a:sysClr val="windowText" lastClr="000000"/>
                        </a:solidFill>
                      </a:rPr>
                      <a:t>3кв'16</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062-494A-B8E1-CC8880F2F9D7}"/>
                </c:ext>
              </c:extLst>
            </c:dLbl>
            <c:dLbl>
              <c:idx val="3"/>
              <c:layout>
                <c:manualLayout>
                  <c:x val="-7.3154781434367419E-2"/>
                  <c:y val="1.9972840082816516E-2"/>
                </c:manualLayout>
              </c:layout>
              <c:tx>
                <c:rich>
                  <a:bodyPr/>
                  <a:lstStyle/>
                  <a:p>
                    <a:pPr>
                      <a:defRPr sz="800">
                        <a:solidFill>
                          <a:sysClr val="windowText" lastClr="000000"/>
                        </a:solidFill>
                      </a:defRPr>
                    </a:pPr>
                    <a:r>
                      <a:rPr lang="ru-RU">
                        <a:solidFill>
                          <a:sysClr val="windowText" lastClr="000000"/>
                        </a:solidFill>
                      </a:rPr>
                      <a:t>4кв'16</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062-494A-B8E1-CC8880F2F9D7}"/>
                </c:ext>
              </c:extLst>
            </c:dLbl>
            <c:dLbl>
              <c:idx val="4"/>
              <c:layout/>
              <c:tx>
                <c:rich>
                  <a:bodyPr/>
                  <a:lstStyle/>
                  <a:p>
                    <a:pPr>
                      <a:defRPr sz="800">
                        <a:solidFill>
                          <a:sysClr val="windowText" lastClr="000000"/>
                        </a:solidFill>
                      </a:defRPr>
                    </a:pPr>
                    <a:r>
                      <a:rPr lang="ru-RU">
                        <a:solidFill>
                          <a:sysClr val="windowText" lastClr="000000"/>
                        </a:solidFill>
                      </a:rPr>
                      <a:t>1кв'15</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062-494A-B8E1-CC8880F2F9D7}"/>
                </c:ext>
              </c:extLst>
            </c:dLbl>
            <c:dLbl>
              <c:idx val="5"/>
              <c:layout>
                <c:manualLayout>
                  <c:x val="-0.10934530823943954"/>
                  <c:y val="-9.7769713707672196E-3"/>
                </c:manualLayout>
              </c:layout>
              <c:tx>
                <c:rich>
                  <a:bodyPr/>
                  <a:lstStyle/>
                  <a:p>
                    <a:pPr>
                      <a:defRPr sz="800">
                        <a:solidFill>
                          <a:sysClr val="windowText" lastClr="000000"/>
                        </a:solidFill>
                      </a:defRPr>
                    </a:pPr>
                    <a:r>
                      <a:rPr lang="ru-RU">
                        <a:solidFill>
                          <a:sysClr val="windowText" lastClr="000000"/>
                        </a:solidFill>
                      </a:rPr>
                      <a:t>2кв'15</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062-494A-B8E1-CC8880F2F9D7}"/>
                </c:ext>
              </c:extLst>
            </c:dLbl>
            <c:dLbl>
              <c:idx val="6"/>
              <c:layout>
                <c:manualLayout>
                  <c:x val="-5.2253415310262494E-2"/>
                  <c:y val="-2.9959260124224864E-2"/>
                </c:manualLayout>
              </c:layout>
              <c:tx>
                <c:rich>
                  <a:bodyPr/>
                  <a:lstStyle/>
                  <a:p>
                    <a:pPr>
                      <a:defRPr sz="800">
                        <a:solidFill>
                          <a:sysClr val="windowText" lastClr="000000"/>
                        </a:solidFill>
                      </a:defRPr>
                    </a:pPr>
                    <a:r>
                      <a:rPr lang="ru-RU">
                        <a:solidFill>
                          <a:sysClr val="windowText" lastClr="000000"/>
                        </a:solidFill>
                      </a:rPr>
                      <a:t>3кв'15</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062-494A-B8E1-CC8880F2F9D7}"/>
                </c:ext>
              </c:extLst>
            </c:dLbl>
            <c:dLbl>
              <c:idx val="7"/>
              <c:layout>
                <c:manualLayout>
                  <c:x val="-0.12062906057066894"/>
                  <c:y val="-1.5052559507982795E-2"/>
                </c:manualLayout>
              </c:layout>
              <c:tx>
                <c:rich>
                  <a:bodyPr/>
                  <a:lstStyle/>
                  <a:p>
                    <a:pPr>
                      <a:defRPr sz="800">
                        <a:solidFill>
                          <a:sysClr val="windowText" lastClr="000000"/>
                        </a:solidFill>
                      </a:defRPr>
                    </a:pPr>
                    <a:r>
                      <a:rPr lang="ru-RU">
                        <a:solidFill>
                          <a:sysClr val="windowText" lastClr="000000"/>
                        </a:solidFill>
                      </a:rPr>
                      <a:t>4кв'15</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062-494A-B8E1-CC8880F2F9D7}"/>
                </c:ext>
              </c:extLst>
            </c:dLbl>
            <c:dLbl>
              <c:idx val="8"/>
              <c:layout/>
              <c:tx>
                <c:rich>
                  <a:bodyPr/>
                  <a:lstStyle/>
                  <a:p>
                    <a:pPr>
                      <a:defRPr sz="800" b="0">
                        <a:solidFill>
                          <a:sysClr val="windowText" lastClr="000000"/>
                        </a:solidFill>
                      </a:defRPr>
                    </a:pPr>
                    <a:r>
                      <a:rPr lang="ru-RU" sz="800" b="0">
                        <a:solidFill>
                          <a:sysClr val="windowText" lastClr="000000"/>
                        </a:solidFill>
                      </a:rPr>
                      <a:t>янв'17</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062-494A-B8E1-CC8880F2F9D7}"/>
                </c:ext>
              </c:extLst>
            </c:dLbl>
            <c:dLbl>
              <c:idx val="9"/>
              <c:layout>
                <c:manualLayout>
                  <c:x val="-2.1994302178157303E-3"/>
                  <c:y val="-8.385651664284911E-4"/>
                </c:manualLayout>
              </c:layout>
              <c:tx>
                <c:rich>
                  <a:bodyPr/>
                  <a:lstStyle/>
                  <a:p>
                    <a:pPr>
                      <a:defRPr sz="800" b="1">
                        <a:solidFill>
                          <a:srgbClr val="006600"/>
                        </a:solidFill>
                      </a:defRPr>
                    </a:pPr>
                    <a:r>
                      <a:rPr lang="ru-RU" sz="800" b="1">
                        <a:solidFill>
                          <a:srgbClr val="006600"/>
                        </a:solidFill>
                      </a:rPr>
                      <a:t>фев'17</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062-494A-B8E1-CC8880F2F9D7}"/>
                </c:ext>
              </c:extLst>
            </c:dLbl>
            <c:dLbl>
              <c:idx val="10"/>
              <c:layout>
                <c:manualLayout>
                  <c:x val="-2.842803313596157E-2"/>
                  <c:y val="1.5374765169639752E-2"/>
                </c:manualLayout>
              </c:layout>
              <c:tx>
                <c:rich>
                  <a:bodyPr/>
                  <a:lstStyle/>
                  <a:p>
                    <a:pPr>
                      <a:defRPr sz="800" b="1">
                        <a:solidFill>
                          <a:srgbClr val="006600"/>
                        </a:solidFill>
                      </a:defRPr>
                    </a:pPr>
                    <a:r>
                      <a:rPr lang="ru-RU" sz="800" b="1">
                        <a:solidFill>
                          <a:srgbClr val="006600"/>
                        </a:solidFill>
                      </a:rPr>
                      <a:t>мар'17</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9.1528609763276036E-2"/>
                      <c:h val="5.4115753303681818E-2"/>
                    </c:manualLayout>
                  </c15:layout>
                </c:ext>
                <c:ext xmlns:c16="http://schemas.microsoft.com/office/drawing/2014/chart" uri="{C3380CC4-5D6E-409C-BE32-E72D297353CC}">
                  <c16:uniqueId val="{0000000C-2062-494A-B8E1-CC8880F2F9D7}"/>
                </c:ext>
              </c:extLst>
            </c:dLbl>
            <c:dLbl>
              <c:idx val="11"/>
              <c:layout>
                <c:manualLayout>
                  <c:x val="-1.1467091172294231E-2"/>
                  <c:y val="2.7983750541916309E-2"/>
                </c:manualLayout>
              </c:layout>
              <c:tx>
                <c:rich>
                  <a:bodyPr/>
                  <a:lstStyle/>
                  <a:p>
                    <a:pPr>
                      <a:defRPr sz="800" b="1">
                        <a:solidFill>
                          <a:srgbClr val="006600"/>
                        </a:solidFill>
                      </a:defRPr>
                    </a:pPr>
                    <a:r>
                      <a:rPr lang="ru-RU" sz="800" b="1">
                        <a:solidFill>
                          <a:srgbClr val="006600"/>
                        </a:solidFill>
                      </a:rPr>
                      <a:t>апр'17</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062-494A-B8E1-CC8880F2F9D7}"/>
                </c:ext>
              </c:extLst>
            </c:dLbl>
            <c:dLbl>
              <c:idx val="12"/>
              <c:layout>
                <c:manualLayout>
                  <c:x val="-0.10483144039746928"/>
                  <c:y val="-4.2401933235923159E-3"/>
                </c:manualLayout>
              </c:layout>
              <c:tx>
                <c:rich>
                  <a:bodyPr/>
                  <a:lstStyle/>
                  <a:p>
                    <a:pPr>
                      <a:defRPr sz="800" b="1">
                        <a:solidFill>
                          <a:srgbClr val="006600"/>
                        </a:solidFill>
                      </a:defRPr>
                    </a:pPr>
                    <a:r>
                      <a:rPr lang="ru-RU" b="1">
                        <a:solidFill>
                          <a:srgbClr val="006600"/>
                        </a:solidFill>
                      </a:rPr>
                      <a:t>май'17</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2062-494A-B8E1-CC8880F2F9D7}"/>
                </c:ext>
              </c:extLst>
            </c:dLbl>
            <c:dLbl>
              <c:idx val="13"/>
              <c:layout>
                <c:manualLayout>
                  <c:x val="-0.11652854638244094"/>
                  <c:y val="-1.0441320509321053E-2"/>
                </c:manualLayout>
              </c:layout>
              <c:tx>
                <c:rich>
                  <a:bodyPr/>
                  <a:lstStyle/>
                  <a:p>
                    <a:pPr>
                      <a:defRPr sz="800" b="1">
                        <a:solidFill>
                          <a:srgbClr val="006600"/>
                        </a:solidFill>
                      </a:defRPr>
                    </a:pPr>
                    <a:r>
                      <a:rPr lang="ru-RU" b="1">
                        <a:solidFill>
                          <a:srgbClr val="006600"/>
                        </a:solidFill>
                      </a:rPr>
                      <a:t>июн'17</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2062-494A-B8E1-CC8880F2F9D7}"/>
                </c:ext>
              </c:extLst>
            </c:dLbl>
            <c:dLbl>
              <c:idx val="14"/>
              <c:layout>
                <c:manualLayout>
                  <c:x val="-0.11230323419725631"/>
                  <c:y val="-5.0839769424686626E-3"/>
                </c:manualLayout>
              </c:layout>
              <c:tx>
                <c:rich>
                  <a:bodyPr/>
                  <a:lstStyle/>
                  <a:p>
                    <a:pPr>
                      <a:defRPr sz="800" b="1">
                        <a:solidFill>
                          <a:srgbClr val="006600"/>
                        </a:solidFill>
                      </a:defRPr>
                    </a:pPr>
                    <a:r>
                      <a:rPr lang="ru-RU" b="1">
                        <a:solidFill>
                          <a:srgbClr val="006600"/>
                        </a:solidFill>
                      </a:rPr>
                      <a:t>июл'17</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2062-494A-B8E1-CC8880F2F9D7}"/>
                </c:ext>
              </c:extLst>
            </c:dLbl>
            <c:dLbl>
              <c:idx val="15"/>
              <c:layout>
                <c:manualLayout>
                  <c:x val="-9.4318057937458663E-2"/>
                  <c:y val="-3.3161659628446187E-2"/>
                </c:manualLayout>
              </c:layout>
              <c:tx>
                <c:rich>
                  <a:bodyPr/>
                  <a:lstStyle/>
                  <a:p>
                    <a:pPr>
                      <a:defRPr sz="800" b="1">
                        <a:solidFill>
                          <a:srgbClr val="006600"/>
                        </a:solidFill>
                      </a:defRPr>
                    </a:pPr>
                    <a:r>
                      <a:rPr lang="ru-RU" b="1">
                        <a:solidFill>
                          <a:srgbClr val="006600"/>
                        </a:solidFill>
                      </a:rPr>
                      <a:t>авг'17</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2062-494A-B8E1-CC8880F2F9D7}"/>
                </c:ext>
              </c:extLst>
            </c:dLbl>
            <c:spPr>
              <a:noFill/>
              <a:ln>
                <a:noFill/>
              </a:ln>
              <a:effectLst/>
            </c:spPr>
            <c:txPr>
              <a:bodyPr/>
              <a:lstStyle/>
              <a:p>
                <a:pPr>
                  <a:defRPr sz="800">
                    <a:solidFill>
                      <a:srgbClr val="0066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Sheet1!$P$166:$P$181</c:f>
              <c:numCache>
                <c:formatCode>0.000000</c:formatCode>
                <c:ptCount val="16"/>
                <c:pt idx="0">
                  <c:v>31.561388888888889</c:v>
                </c:pt>
                <c:pt idx="1">
                  <c:v>43.414512626262628</c:v>
                </c:pt>
                <c:pt idx="2">
                  <c:v>43.665129870129867</c:v>
                </c:pt>
                <c:pt idx="3">
                  <c:v>45.076320346320337</c:v>
                </c:pt>
                <c:pt idx="4">
                  <c:v>52.545264069264078</c:v>
                </c:pt>
                <c:pt idx="5">
                  <c:v>60.780124401913874</c:v>
                </c:pt>
                <c:pt idx="6">
                  <c:v>49.158908102766794</c:v>
                </c:pt>
                <c:pt idx="7">
                  <c:v>41.525147907647906</c:v>
                </c:pt>
                <c:pt idx="8">
                  <c:v>53.027272727272745</c:v>
                </c:pt>
                <c:pt idx="9">
                  <c:v>53.066749999999992</c:v>
                </c:pt>
                <c:pt idx="10">
                  <c:v>49.671739130434773</c:v>
                </c:pt>
                <c:pt idx="11">
                  <c:v>50.840263157894746</c:v>
                </c:pt>
                <c:pt idx="12">
                  <c:v>48.77</c:v>
                </c:pt>
                <c:pt idx="13">
                  <c:v>45.34</c:v>
                </c:pt>
                <c:pt idx="14" formatCode="General">
                  <c:v>47.76</c:v>
                </c:pt>
                <c:pt idx="15" formatCode="General">
                  <c:v>51.21</c:v>
                </c:pt>
              </c:numCache>
            </c:numRef>
          </c:xVal>
          <c:yVal>
            <c:numRef>
              <c:f>Sheet1!$Q$166:$Q$181</c:f>
              <c:numCache>
                <c:formatCode>0.000000</c:formatCode>
                <c:ptCount val="16"/>
                <c:pt idx="0">
                  <c:v>75.227079594820395</c:v>
                </c:pt>
                <c:pt idx="1">
                  <c:v>65.913519528619531</c:v>
                </c:pt>
                <c:pt idx="2">
                  <c:v>64.58751007905137</c:v>
                </c:pt>
                <c:pt idx="3">
                  <c:v>63.48140476190477</c:v>
                </c:pt>
                <c:pt idx="4">
                  <c:v>63.344783728070183</c:v>
                </c:pt>
                <c:pt idx="5">
                  <c:v>52.711897783094109</c:v>
                </c:pt>
                <c:pt idx="6">
                  <c:v>63.128518498651111</c:v>
                </c:pt>
                <c:pt idx="7">
                  <c:v>65.993332646834475</c:v>
                </c:pt>
                <c:pt idx="8">
                  <c:v>59.629856250000003</c:v>
                </c:pt>
                <c:pt idx="9">
                  <c:v>58.53936111111112</c:v>
                </c:pt>
                <c:pt idx="10">
                  <c:v>58.006631818181816</c:v>
                </c:pt>
                <c:pt idx="11">
                  <c:v>56.43561428571428</c:v>
                </c:pt>
                <c:pt idx="12">
                  <c:v>56.950068421052649</c:v>
                </c:pt>
                <c:pt idx="13">
                  <c:v>57.893176190476183</c:v>
                </c:pt>
                <c:pt idx="14" formatCode="General">
                  <c:v>59.692676190476192</c:v>
                </c:pt>
                <c:pt idx="15" formatCode="General">
                  <c:v>59.612726086956528</c:v>
                </c:pt>
              </c:numCache>
            </c:numRef>
          </c:yVal>
          <c:smooth val="1"/>
          <c:extLst xmlns:c16r2="http://schemas.microsoft.com/office/drawing/2015/06/chart">
            <c:ext xmlns:c16="http://schemas.microsoft.com/office/drawing/2014/chart" uri="{C3380CC4-5D6E-409C-BE32-E72D297353CC}">
              <c16:uniqueId val="{00000012-2062-494A-B8E1-CC8880F2F9D7}"/>
            </c:ext>
          </c:extLst>
        </c:ser>
        <c:ser>
          <c:idx val="2"/>
          <c:order val="3"/>
          <c:spPr>
            <a:ln w="12700">
              <a:solidFill>
                <a:srgbClr val="006600"/>
              </a:solidFill>
              <a:prstDash val="dash"/>
            </a:ln>
          </c:spPr>
          <c:marker>
            <c:symbol val="none"/>
          </c:marker>
          <c:xVal>
            <c:numRef>
              <c:f>Sheet1!$AF$130:$AF$146</c:f>
              <c:numCache>
                <c:formatCode>0.0</c:formatCode>
                <c:ptCount val="17"/>
                <c:pt idx="0">
                  <c:v>30</c:v>
                </c:pt>
                <c:pt idx="1">
                  <c:v>32.5</c:v>
                </c:pt>
                <c:pt idx="2">
                  <c:v>35</c:v>
                </c:pt>
                <c:pt idx="3">
                  <c:v>37.5</c:v>
                </c:pt>
                <c:pt idx="4">
                  <c:v>40</c:v>
                </c:pt>
                <c:pt idx="5">
                  <c:v>42.5</c:v>
                </c:pt>
                <c:pt idx="6">
                  <c:v>45</c:v>
                </c:pt>
                <c:pt idx="7">
                  <c:v>47.5</c:v>
                </c:pt>
                <c:pt idx="8">
                  <c:v>50</c:v>
                </c:pt>
                <c:pt idx="9">
                  <c:v>52.5</c:v>
                </c:pt>
                <c:pt idx="10">
                  <c:v>55</c:v>
                </c:pt>
                <c:pt idx="11">
                  <c:v>57.5</c:v>
                </c:pt>
                <c:pt idx="12">
                  <c:v>60</c:v>
                </c:pt>
                <c:pt idx="13">
                  <c:v>62.5</c:v>
                </c:pt>
                <c:pt idx="14">
                  <c:v>65</c:v>
                </c:pt>
                <c:pt idx="15">
                  <c:v>67.5</c:v>
                </c:pt>
                <c:pt idx="16">
                  <c:v>70</c:v>
                </c:pt>
              </c:numCache>
            </c:numRef>
          </c:xVal>
          <c:yVal>
            <c:numRef>
              <c:f>Sheet1!$AI$130:$AI$146</c:f>
              <c:numCache>
                <c:formatCode>#,##0.00</c:formatCode>
                <c:ptCount val="17"/>
                <c:pt idx="0">
                  <c:v>68.374297771789884</c:v>
                </c:pt>
                <c:pt idx="1">
                  <c:v>67.648484485597081</c:v>
                </c:pt>
                <c:pt idx="2">
                  <c:v>66.874986873918076</c:v>
                </c:pt>
                <c:pt idx="3">
                  <c:v>66.125906291053127</c:v>
                </c:pt>
                <c:pt idx="4">
                  <c:v>65.400000000000006</c:v>
                </c:pt>
                <c:pt idx="5">
                  <c:v>64.689858126485859</c:v>
                </c:pt>
                <c:pt idx="6">
                  <c:v>64.001026620240694</c:v>
                </c:pt>
                <c:pt idx="7">
                  <c:v>63.332473391489231</c:v>
                </c:pt>
                <c:pt idx="8">
                  <c:v>62.683234641086734</c:v>
                </c:pt>
                <c:pt idx="9">
                  <c:v>62.052409175032388</c:v>
                </c:pt>
                <c:pt idx="10">
                  <c:v>61.439153285979934</c:v>
                </c:pt>
                <c:pt idx="11">
                  <c:v>60.842676136190235</c:v>
                </c:pt>
                <c:pt idx="12">
                  <c:v>60.210016951515748</c:v>
                </c:pt>
                <c:pt idx="13">
                  <c:v>59.594601766598082</c:v>
                </c:pt>
                <c:pt idx="14">
                  <c:v>58.995679609750361</c:v>
                </c:pt>
                <c:pt idx="15">
                  <c:v>58.412544046611202</c:v>
                </c:pt>
                <c:pt idx="16">
                  <c:v>57.844529859795408</c:v>
                </c:pt>
              </c:numCache>
            </c:numRef>
          </c:yVal>
          <c:smooth val="1"/>
          <c:extLst xmlns:c16r2="http://schemas.microsoft.com/office/drawing/2015/06/chart">
            <c:ext xmlns:c16="http://schemas.microsoft.com/office/drawing/2014/chart" uri="{C3380CC4-5D6E-409C-BE32-E72D297353CC}">
              <c16:uniqueId val="{00000013-2062-494A-B8E1-CC8880F2F9D7}"/>
            </c:ext>
          </c:extLst>
        </c:ser>
        <c:ser>
          <c:idx val="3"/>
          <c:order val="4"/>
          <c:spPr>
            <a:ln w="12700">
              <a:solidFill>
                <a:srgbClr val="006600"/>
              </a:solidFill>
              <a:prstDash val="dash"/>
            </a:ln>
          </c:spPr>
          <c:marker>
            <c:symbol val="none"/>
          </c:marker>
          <c:xVal>
            <c:numRef>
              <c:f>Sheet1!$AF$130:$AF$146</c:f>
              <c:numCache>
                <c:formatCode>0.0</c:formatCode>
                <c:ptCount val="17"/>
                <c:pt idx="0">
                  <c:v>30</c:v>
                </c:pt>
                <c:pt idx="1">
                  <c:v>32.5</c:v>
                </c:pt>
                <c:pt idx="2">
                  <c:v>35</c:v>
                </c:pt>
                <c:pt idx="3">
                  <c:v>37.5</c:v>
                </c:pt>
                <c:pt idx="4">
                  <c:v>40</c:v>
                </c:pt>
                <c:pt idx="5">
                  <c:v>42.5</c:v>
                </c:pt>
                <c:pt idx="6">
                  <c:v>45</c:v>
                </c:pt>
                <c:pt idx="7">
                  <c:v>47.5</c:v>
                </c:pt>
                <c:pt idx="8">
                  <c:v>50</c:v>
                </c:pt>
                <c:pt idx="9">
                  <c:v>52.5</c:v>
                </c:pt>
                <c:pt idx="10">
                  <c:v>55</c:v>
                </c:pt>
                <c:pt idx="11">
                  <c:v>57.5</c:v>
                </c:pt>
                <c:pt idx="12">
                  <c:v>60</c:v>
                </c:pt>
                <c:pt idx="13">
                  <c:v>62.5</c:v>
                </c:pt>
                <c:pt idx="14">
                  <c:v>65</c:v>
                </c:pt>
                <c:pt idx="15">
                  <c:v>67.5</c:v>
                </c:pt>
                <c:pt idx="16">
                  <c:v>70</c:v>
                </c:pt>
              </c:numCache>
            </c:numRef>
          </c:xVal>
          <c:yVal>
            <c:numRef>
              <c:f>Sheet1!$AJ$130:$AJ$146</c:f>
              <c:numCache>
                <c:formatCode>#,##0.00</c:formatCode>
                <c:ptCount val="17"/>
                <c:pt idx="0">
                  <c:v>65.50906152388032</c:v>
                </c:pt>
                <c:pt idx="1">
                  <c:v>64.801077346138058</c:v>
                </c:pt>
                <c:pt idx="2">
                  <c:v>64.114240894186239</c:v>
                </c:pt>
                <c:pt idx="3">
                  <c:v>63.447532585168375</c:v>
                </c:pt>
                <c:pt idx="4">
                  <c:v>62.800000000000004</c:v>
                </c:pt>
                <c:pt idx="5">
                  <c:v>62.165551057004123</c:v>
                </c:pt>
                <c:pt idx="6">
                  <c:v>61.548839832258693</c:v>
                </c:pt>
                <c:pt idx="7">
                  <c:v>60.949064936248504</c:v>
                </c:pt>
                <c:pt idx="8">
                  <c:v>60.365474507417531</c:v>
                </c:pt>
                <c:pt idx="9">
                  <c:v>59.746245587195162</c:v>
                </c:pt>
                <c:pt idx="10">
                  <c:v>59.143670735464113</c:v>
                </c:pt>
                <c:pt idx="11">
                  <c:v>58.557034133053605</c:v>
                </c:pt>
                <c:pt idx="12">
                  <c:v>57.985661868573182</c:v>
                </c:pt>
                <c:pt idx="13">
                  <c:v>57.428918853553157</c:v>
                </c:pt>
                <c:pt idx="14">
                  <c:v>56.886206009674453</c:v>
                </c:pt>
                <c:pt idx="15">
                  <c:v>56.356957700242212</c:v>
                </c:pt>
                <c:pt idx="16">
                  <c:v>55.840639381289058</c:v>
                </c:pt>
              </c:numCache>
            </c:numRef>
          </c:yVal>
          <c:smooth val="1"/>
          <c:extLst xmlns:c16r2="http://schemas.microsoft.com/office/drawing/2015/06/chart">
            <c:ext xmlns:c16="http://schemas.microsoft.com/office/drawing/2014/chart" uri="{C3380CC4-5D6E-409C-BE32-E72D297353CC}">
              <c16:uniqueId val="{00000014-2062-494A-B8E1-CC8880F2F9D7}"/>
            </c:ext>
          </c:extLst>
        </c:ser>
        <c:dLbls>
          <c:showLegendKey val="0"/>
          <c:showVal val="0"/>
          <c:showCatName val="0"/>
          <c:showSerName val="0"/>
          <c:showPercent val="0"/>
          <c:showBubbleSize val="0"/>
        </c:dLbls>
        <c:axId val="135742208"/>
        <c:axId val="135744128"/>
      </c:scatterChart>
      <c:valAx>
        <c:axId val="135742208"/>
        <c:scaling>
          <c:orientation val="minMax"/>
          <c:max val="70"/>
          <c:min val="30"/>
        </c:scaling>
        <c:delete val="0"/>
        <c:axPos val="b"/>
        <c:title>
          <c:tx>
            <c:rich>
              <a:bodyPr/>
              <a:lstStyle/>
              <a:p>
                <a:pPr>
                  <a:defRPr sz="800"/>
                </a:pPr>
                <a:r>
                  <a:rPr lang="ru-RU" sz="800"/>
                  <a:t>Юралс</a:t>
                </a:r>
                <a:r>
                  <a:rPr lang="en-US" sz="800"/>
                  <a:t>, $/</a:t>
                </a:r>
                <a:r>
                  <a:rPr lang="ru-RU" sz="800"/>
                  <a:t>барр.</a:t>
                </a:r>
                <a:endParaRPr lang="en-US" sz="800"/>
              </a:p>
            </c:rich>
          </c:tx>
          <c:layout>
            <c:manualLayout>
              <c:xMode val="edge"/>
              <c:yMode val="edge"/>
              <c:x val="0.78485548362919133"/>
              <c:y val="0.81814616483887026"/>
            </c:manualLayout>
          </c:layout>
          <c:overlay val="0"/>
        </c:title>
        <c:numFmt formatCode="0" sourceLinked="0"/>
        <c:majorTickMark val="out"/>
        <c:minorTickMark val="none"/>
        <c:tickLblPos val="nextTo"/>
        <c:spPr>
          <a:ln>
            <a:solidFill>
              <a:srgbClr val="000000"/>
            </a:solidFill>
            <a:prstDash val="solid"/>
          </a:ln>
        </c:spPr>
        <c:txPr>
          <a:bodyPr/>
          <a:lstStyle/>
          <a:p>
            <a:pPr>
              <a:defRPr sz="900"/>
            </a:pPr>
            <a:endParaRPr lang="ru-RU"/>
          </a:p>
        </c:txPr>
        <c:crossAx val="135744128"/>
        <c:crosses val="autoZero"/>
        <c:crossBetween val="midCat"/>
      </c:valAx>
      <c:valAx>
        <c:axId val="135744128"/>
        <c:scaling>
          <c:orientation val="minMax"/>
          <c:max val="80"/>
          <c:min val="50"/>
        </c:scaling>
        <c:delete val="0"/>
        <c:axPos val="l"/>
        <c:majorGridlines>
          <c:spPr>
            <a:ln w="3175">
              <a:prstDash val="dash"/>
            </a:ln>
          </c:spPr>
        </c:majorGridlines>
        <c:title>
          <c:tx>
            <c:rich>
              <a:bodyPr rot="-5400000" vert="horz"/>
              <a:lstStyle/>
              <a:p>
                <a:pPr>
                  <a:defRPr sz="900"/>
                </a:pPr>
                <a:r>
                  <a:rPr lang="en-US" sz="900"/>
                  <a:t>USDRUB</a:t>
                </a:r>
              </a:p>
            </c:rich>
          </c:tx>
          <c:layout>
            <c:manualLayout>
              <c:xMode val="edge"/>
              <c:yMode val="edge"/>
              <c:x val="7.4149585988413994E-3"/>
              <c:y val="7.1404444077913564E-3"/>
            </c:manualLayout>
          </c:layout>
          <c:overlay val="0"/>
        </c:title>
        <c:numFmt formatCode="#,##0" sourceLinked="0"/>
        <c:majorTickMark val="out"/>
        <c:minorTickMark val="none"/>
        <c:tickLblPos val="nextTo"/>
        <c:spPr>
          <a:ln>
            <a:solidFill>
              <a:srgbClr val="000000"/>
            </a:solidFill>
            <a:prstDash val="solid"/>
          </a:ln>
        </c:spPr>
        <c:txPr>
          <a:bodyPr/>
          <a:lstStyle/>
          <a:p>
            <a:pPr>
              <a:defRPr sz="900"/>
            </a:pPr>
            <a:endParaRPr lang="ru-RU"/>
          </a:p>
        </c:txPr>
        <c:crossAx val="135742208"/>
        <c:crosses val="autoZero"/>
        <c:crossBetween val="midCat"/>
        <c:majorUnit val="5"/>
      </c:valAx>
      <c:spPr>
        <a:noFill/>
      </c:spPr>
    </c:plotArea>
    <c:legend>
      <c:legendPos val="b"/>
      <c:legendEntry>
        <c:idx val="2"/>
        <c:delete val="1"/>
      </c:legendEntry>
      <c:legendEntry>
        <c:idx val="3"/>
        <c:delete val="1"/>
      </c:legendEntry>
      <c:legendEntry>
        <c:idx val="4"/>
        <c:delete val="1"/>
      </c:legendEntry>
      <c:layout>
        <c:manualLayout>
          <c:xMode val="edge"/>
          <c:yMode val="edge"/>
          <c:x val="0.44588947008519958"/>
          <c:y val="6.7244642809874355E-2"/>
          <c:w val="0.49839893010639819"/>
          <c:h val="8.981202474308915E-2"/>
        </c:manualLayout>
      </c:layout>
      <c:overlay val="0"/>
    </c:legend>
    <c:plotVisOnly val="1"/>
    <c:dispBlanksAs val="gap"/>
    <c:showDLblsOverMax val="0"/>
  </c:chart>
  <c:spPr>
    <a:noFill/>
    <a:ln w="9525">
      <a:noFill/>
    </a:ln>
  </c:spPr>
  <c:txPr>
    <a:bodyPr/>
    <a:lstStyle/>
    <a:p>
      <a:pPr>
        <a:defRPr sz="1000">
          <a:latin typeface="Century" panose="020406040505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09003968152"/>
          <c:y val="3.5244670995888301E-2"/>
          <c:w val="0.84466727479633696"/>
          <c:h val="0.78568604833335098"/>
        </c:manualLayout>
      </c:layout>
      <c:lineChart>
        <c:grouping val="standard"/>
        <c:varyColors val="0"/>
        <c:ser>
          <c:idx val="0"/>
          <c:order val="0"/>
          <c:tx>
            <c:strRef>
              <c:f>WebCDM!$Z$1</c:f>
              <c:strCache>
                <c:ptCount val="1"/>
                <c:pt idx="0">
                  <c:v>относительная занятость: торгуемые/неторгуемые</c:v>
                </c:pt>
              </c:strCache>
            </c:strRef>
          </c:tx>
          <c:spPr>
            <a:ln w="12700">
              <a:solidFill>
                <a:srgbClr val="00B050"/>
              </a:solidFill>
            </a:ln>
          </c:spPr>
          <c:marker>
            <c:symbol val="none"/>
          </c:marker>
          <c:cat>
            <c:numRef>
              <c:f>WebCDM!$A$3:$A$27</c:f>
              <c:numCache>
                <c:formatCode>yyyy</c:formatCode>
                <c:ptCount val="25"/>
                <c:pt idx="0">
                  <c:v>33939</c:v>
                </c:pt>
                <c:pt idx="1">
                  <c:v>34304</c:v>
                </c:pt>
                <c:pt idx="2">
                  <c:v>34669</c:v>
                </c:pt>
                <c:pt idx="3">
                  <c:v>35034</c:v>
                </c:pt>
                <c:pt idx="4">
                  <c:v>35400</c:v>
                </c:pt>
                <c:pt idx="5">
                  <c:v>35765</c:v>
                </c:pt>
                <c:pt idx="6">
                  <c:v>36130</c:v>
                </c:pt>
                <c:pt idx="7">
                  <c:v>36495</c:v>
                </c:pt>
                <c:pt idx="8">
                  <c:v>36861</c:v>
                </c:pt>
                <c:pt idx="9">
                  <c:v>37226</c:v>
                </c:pt>
                <c:pt idx="10">
                  <c:v>37591</c:v>
                </c:pt>
                <c:pt idx="11">
                  <c:v>37956</c:v>
                </c:pt>
                <c:pt idx="12">
                  <c:v>38322</c:v>
                </c:pt>
                <c:pt idx="13">
                  <c:v>38687</c:v>
                </c:pt>
                <c:pt idx="14">
                  <c:v>39052</c:v>
                </c:pt>
                <c:pt idx="15">
                  <c:v>39417</c:v>
                </c:pt>
                <c:pt idx="16">
                  <c:v>39783</c:v>
                </c:pt>
                <c:pt idx="17">
                  <c:v>40148</c:v>
                </c:pt>
                <c:pt idx="18">
                  <c:v>40513</c:v>
                </c:pt>
                <c:pt idx="19">
                  <c:v>40878</c:v>
                </c:pt>
                <c:pt idx="20">
                  <c:v>41244</c:v>
                </c:pt>
                <c:pt idx="21">
                  <c:v>41609</c:v>
                </c:pt>
                <c:pt idx="22">
                  <c:v>41974</c:v>
                </c:pt>
                <c:pt idx="23">
                  <c:v>42339</c:v>
                </c:pt>
                <c:pt idx="24">
                  <c:v>42705</c:v>
                </c:pt>
              </c:numCache>
            </c:numRef>
          </c:cat>
          <c:val>
            <c:numRef>
              <c:f>WebCDM!$Z$3:$Z$27</c:f>
              <c:numCache>
                <c:formatCode>0.0</c:formatCode>
                <c:ptCount val="25"/>
                <c:pt idx="0">
                  <c:v>106.46800191903139</c:v>
                </c:pt>
                <c:pt idx="1">
                  <c:v>107.10415164701701</c:v>
                </c:pt>
                <c:pt idx="2">
                  <c:v>102.1136180706694</c:v>
                </c:pt>
                <c:pt idx="3">
                  <c:v>96.935633916796306</c:v>
                </c:pt>
                <c:pt idx="4">
                  <c:v>92.337532920068256</c:v>
                </c:pt>
                <c:pt idx="5">
                  <c:v>80.889202981197727</c:v>
                </c:pt>
                <c:pt idx="6">
                  <c:v>79.924201794844294</c:v>
                </c:pt>
                <c:pt idx="7">
                  <c:v>79.198527329368446</c:v>
                </c:pt>
                <c:pt idx="8">
                  <c:v>79.143990730662551</c:v>
                </c:pt>
                <c:pt idx="9">
                  <c:v>74.728030636798024</c:v>
                </c:pt>
                <c:pt idx="10">
                  <c:v>71.058606732699275</c:v>
                </c:pt>
                <c:pt idx="11">
                  <c:v>67.194664443518164</c:v>
                </c:pt>
                <c:pt idx="12">
                  <c:v>63.964161523761767</c:v>
                </c:pt>
                <c:pt idx="13">
                  <c:v>61.497932302037071</c:v>
                </c:pt>
                <c:pt idx="14">
                  <c:v>58.998561668464568</c:v>
                </c:pt>
                <c:pt idx="15">
                  <c:v>56.90496362733353</c:v>
                </c:pt>
                <c:pt idx="16">
                  <c:v>54.431175361407909</c:v>
                </c:pt>
                <c:pt idx="17">
                  <c:v>53.075098356861851</c:v>
                </c:pt>
                <c:pt idx="18">
                  <c:v>51.933037630562303</c:v>
                </c:pt>
                <c:pt idx="19">
                  <c:v>51.053612790237842</c:v>
                </c:pt>
                <c:pt idx="20">
                  <c:v>49.553274139844589</c:v>
                </c:pt>
                <c:pt idx="21">
                  <c:v>48.487097040151703</c:v>
                </c:pt>
                <c:pt idx="22">
                  <c:v>47.268214178554878</c:v>
                </c:pt>
                <c:pt idx="23">
                  <c:v>48.002953259050528</c:v>
                </c:pt>
                <c:pt idx="24">
                  <c:v>48.749113154268947</c:v>
                </c:pt>
              </c:numCache>
            </c:numRef>
          </c:val>
          <c:smooth val="0"/>
          <c:extLst xmlns:c16r2="http://schemas.microsoft.com/office/drawing/2015/06/chart">
            <c:ext xmlns:c16="http://schemas.microsoft.com/office/drawing/2014/chart" uri="{C3380CC4-5D6E-409C-BE32-E72D297353CC}">
              <c16:uniqueId val="{00000000-3A62-4513-817A-18087F11EA4C}"/>
            </c:ext>
          </c:extLst>
        </c:ser>
        <c:dLbls>
          <c:showLegendKey val="0"/>
          <c:showVal val="0"/>
          <c:showCatName val="0"/>
          <c:showSerName val="0"/>
          <c:showPercent val="0"/>
          <c:showBubbleSize val="0"/>
        </c:dLbls>
        <c:marker val="1"/>
        <c:smooth val="0"/>
        <c:axId val="128339968"/>
        <c:axId val="128341504"/>
      </c:lineChart>
      <c:dateAx>
        <c:axId val="128339968"/>
        <c:scaling>
          <c:orientation val="minMax"/>
        </c:scaling>
        <c:delete val="0"/>
        <c:axPos val="b"/>
        <c:numFmt formatCode="\'yy" sourceLinked="0"/>
        <c:majorTickMark val="out"/>
        <c:minorTickMark val="none"/>
        <c:tickLblPos val="low"/>
        <c:spPr>
          <a:ln>
            <a:solidFill>
              <a:srgbClr val="000000"/>
            </a:solidFill>
            <a:prstDash val="solid"/>
          </a:ln>
        </c:spPr>
        <c:crossAx val="128341504"/>
        <c:crosses val="autoZero"/>
        <c:auto val="1"/>
        <c:lblOffset val="100"/>
        <c:baseTimeUnit val="years"/>
      </c:dateAx>
      <c:valAx>
        <c:axId val="128341504"/>
        <c:scaling>
          <c:orientation val="minMax"/>
          <c:max val="110"/>
          <c:min val="40"/>
        </c:scaling>
        <c:delete val="0"/>
        <c:axPos val="l"/>
        <c:numFmt formatCode="0" sourceLinked="0"/>
        <c:majorTickMark val="out"/>
        <c:minorTickMark val="none"/>
        <c:tickLblPos val="nextTo"/>
        <c:spPr>
          <a:ln>
            <a:solidFill>
              <a:srgbClr val="000000"/>
            </a:solidFill>
            <a:prstDash val="solid"/>
          </a:ln>
        </c:spPr>
        <c:crossAx val="128339968"/>
        <c:crosses val="autoZero"/>
        <c:crossBetween val="between"/>
        <c:majorUnit val="10"/>
      </c:valAx>
      <c:spPr>
        <a:noFill/>
      </c:spPr>
    </c:plotArea>
    <c:legend>
      <c:legendPos val="b"/>
      <c:layout>
        <c:manualLayout>
          <c:xMode val="edge"/>
          <c:yMode val="edge"/>
          <c:x val="0"/>
          <c:y val="0.91616236423487096"/>
          <c:w val="1"/>
          <c:h val="8.3837635765128496E-2"/>
        </c:manualLayout>
      </c:layout>
      <c:overlay val="1"/>
      <c:spPr>
        <a:ln w="25400">
          <a:noFill/>
        </a:ln>
      </c:spPr>
    </c:legend>
    <c:plotVisOnly val="1"/>
    <c:dispBlanksAs val="gap"/>
    <c:showDLblsOverMax val="0"/>
  </c:chart>
  <c:spPr>
    <a:noFill/>
    <a:ln w="9525">
      <a:noFill/>
    </a:ln>
  </c:spPr>
  <c:txPr>
    <a:bodyPr/>
    <a:lstStyle/>
    <a:p>
      <a:pPr>
        <a:defRPr sz="600">
          <a:latin typeface="Century" panose="02040604050505020304" pitchFamily="18" charset="0"/>
          <a:cs typeface="Arial" panose="020B0604020202020204" pitchFamily="34"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251776933772297E-2"/>
          <c:y val="1.762341358198697E-2"/>
          <c:w val="0.85108143127678659"/>
          <c:h val="0.90795984347236691"/>
        </c:manualLayout>
      </c:layout>
      <c:scatterChart>
        <c:scatterStyle val="lineMarker"/>
        <c:varyColors val="0"/>
        <c:ser>
          <c:idx val="0"/>
          <c:order val="0"/>
          <c:spPr>
            <a:ln w="28575">
              <a:noFill/>
            </a:ln>
          </c:spPr>
          <c:marker>
            <c:symbol val="circle"/>
            <c:size val="5"/>
            <c:spPr>
              <a:solidFill>
                <a:schemeClr val="tx1"/>
              </a:solidFill>
              <a:ln>
                <a:noFill/>
              </a:ln>
            </c:spPr>
          </c:marker>
          <c:dPt>
            <c:idx val="0"/>
            <c:marker>
              <c:symbol val="circle"/>
              <c:size val="9"/>
              <c:spPr>
                <a:solidFill>
                  <a:srgbClr val="006600"/>
                </a:solidFill>
                <a:ln>
                  <a:noFill/>
                </a:ln>
              </c:spPr>
            </c:marker>
            <c:bubble3D val="0"/>
            <c:extLst xmlns:c16r2="http://schemas.microsoft.com/office/drawing/2015/06/chart">
              <c:ext xmlns:c16="http://schemas.microsoft.com/office/drawing/2014/chart" uri="{C3380CC4-5D6E-409C-BE32-E72D297353CC}">
                <c16:uniqueId val="{00000000-226D-4479-ABA1-982659652966}"/>
              </c:ext>
            </c:extLst>
          </c:dPt>
          <c:dPt>
            <c:idx val="27"/>
            <c:bubble3D val="0"/>
            <c:extLst xmlns:c16r2="http://schemas.microsoft.com/office/drawing/2015/06/chart">
              <c:ext xmlns:c16="http://schemas.microsoft.com/office/drawing/2014/chart" uri="{C3380CC4-5D6E-409C-BE32-E72D297353CC}">
                <c16:uniqueId val="{00000001-226D-4479-ABA1-982659652966}"/>
              </c:ext>
            </c:extLst>
          </c:dPt>
          <c:dLbls>
            <c:dLbl>
              <c:idx val="0"/>
              <c:layout>
                <c:manualLayout>
                  <c:x val="-0.10452818199940198"/>
                  <c:y val="-3.9430149369456866E-2"/>
                </c:manualLayout>
              </c:layout>
              <c:tx>
                <c:strRef>
                  <c:f>Траснпон!$C$3</c:f>
                  <c:strCache>
                    <c:ptCount val="1"/>
                    <c:pt idx="0">
                      <c:v>Россия</c:v>
                    </c:pt>
                  </c:strCache>
                </c:strRef>
              </c:tx>
              <c:spPr>
                <a:noFill/>
                <a:ln>
                  <a:noFill/>
                </a:ln>
                <a:effectLst/>
              </c:spPr>
              <c:txPr>
                <a:bodyPr wrap="square" lIns="38100" tIns="19050" rIns="38100" bIns="19050" anchor="ctr">
                  <a:spAutoFit/>
                </a:bodyPr>
                <a:lstStyle/>
                <a:p>
                  <a:pPr>
                    <a:defRPr sz="900" b="1"/>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{9D61236B-C4E1-4E45-8D7B-0A86EC8FB2DA}</c15:txfldGUID>
                      <c15:f>Траснпон!$C$3</c15:f>
                      <c15:dlblFieldTableCache>
                        <c:ptCount val="1"/>
                        <c:pt idx="0">
                          <c:v>Россия</c:v>
                        </c:pt>
                      </c15:dlblFieldTableCache>
                    </c15:dlblFTEntry>
                  </c15:dlblFieldTable>
                  <c15:showDataLabelsRange val="0"/>
                </c:ext>
                <c:ext xmlns:c16="http://schemas.microsoft.com/office/drawing/2014/chart" uri="{C3380CC4-5D6E-409C-BE32-E72D297353CC}">
                  <c16:uniqueId val="{00000000-226D-4479-ABA1-982659652966}"/>
                </c:ext>
              </c:extLst>
            </c:dLbl>
            <c:dLbl>
              <c:idx val="1"/>
              <c:layout>
                <c:manualLayout>
                  <c:x val="-3.5507185428820323E-2"/>
                  <c:y val="2.5140390273875757E-2"/>
                </c:manualLayout>
              </c:layout>
              <c:tx>
                <c:strRef>
                  <c:f>Траснпон!$D$3</c:f>
                  <c:strCache>
                    <c:ptCount val="1"/>
                    <c:pt idx="0">
                      <c:v>Индонезия</c:v>
                    </c:pt>
                  </c:strCache>
                </c:strRef>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{A52C23DA-BE55-452E-BBD8-A69F455A70D7}</c15:txfldGUID>
                      <c15:f>Траснпон!$D$3</c15:f>
                      <c15:dlblFieldTableCache>
                        <c:ptCount val="1"/>
                        <c:pt idx="0">
                          <c:v>Индонезия</c:v>
                        </c:pt>
                      </c15:dlblFieldTableCache>
                    </c15:dlblFTEntry>
                  </c15:dlblFieldTable>
                  <c15:showDataLabelsRange val="0"/>
                </c:ext>
                <c:ext xmlns:c16="http://schemas.microsoft.com/office/drawing/2014/chart" uri="{C3380CC4-5D6E-409C-BE32-E72D297353CC}">
                  <c16:uniqueId val="{00000002-226D-4479-ABA1-982659652966}"/>
                </c:ext>
              </c:extLst>
            </c:dLbl>
            <c:dLbl>
              <c:idx val="2"/>
              <c:layout/>
              <c:tx>
                <c:strRef>
                  <c:f>Траснпон!$E$3</c:f>
                  <c:strCache>
                    <c:ptCount val="1"/>
                    <c:pt idx="0">
                      <c:v>Чили</c:v>
                    </c:pt>
                  </c:strCache>
                </c:strRef>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{4609856D-6977-456C-987A-B640936A3480}</c15:txfldGUID>
                      <c15:f>Траснпон!$E$3</c15:f>
                      <c15:dlblFieldTableCache>
                        <c:ptCount val="1"/>
                        <c:pt idx="0">
                          <c:v>Чили</c:v>
                        </c:pt>
                      </c15:dlblFieldTableCache>
                    </c15:dlblFTEntry>
                  </c15:dlblFieldTable>
                  <c15:showDataLabelsRange val="0"/>
                </c:ext>
                <c:ext xmlns:c16="http://schemas.microsoft.com/office/drawing/2014/chart" uri="{C3380CC4-5D6E-409C-BE32-E72D297353CC}">
                  <c16:uniqueId val="{00000003-226D-4479-ABA1-982659652966}"/>
                </c:ext>
              </c:extLst>
            </c:dLbl>
            <c:dLbl>
              <c:idx val="3"/>
              <c:layout/>
              <c:tx>
                <c:strRef>
                  <c:f>Траснпон!$F$3</c:f>
                  <c:strCache>
                    <c:ptCount val="1"/>
                    <c:pt idx="0">
                      <c:v>Китай</c:v>
                    </c:pt>
                  </c:strCache>
                </c:strRef>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{AE3F113E-83A3-4E1B-B7FC-45446BA5EC47}</c15:txfldGUID>
                      <c15:f>Траснпон!$F$3</c15:f>
                      <c15:dlblFieldTableCache>
                        <c:ptCount val="1"/>
                        <c:pt idx="0">
                          <c:v>Китай</c:v>
                        </c:pt>
                      </c15:dlblFieldTableCache>
                    </c15:dlblFTEntry>
                  </c15:dlblFieldTable>
                  <c15:showDataLabelsRange val="0"/>
                </c:ext>
                <c:ext xmlns:c16="http://schemas.microsoft.com/office/drawing/2014/chart" uri="{C3380CC4-5D6E-409C-BE32-E72D297353CC}">
                  <c16:uniqueId val="{00000004-226D-4479-ABA1-982659652966}"/>
                </c:ext>
              </c:extLst>
            </c:dLbl>
            <c:dLbl>
              <c:idx val="4"/>
              <c:layout/>
              <c:tx>
                <c:strRef>
                  <c:f>Траснпон!$G$3</c:f>
                  <c:strCache>
                    <c:ptCount val="1"/>
                    <c:pt idx="0">
                      <c:v>Корея</c:v>
                    </c:pt>
                  </c:strCache>
                </c:strRef>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{64A79F96-AFF5-4BE1-A501-EED0C2A69698}</c15:txfldGUID>
                      <c15:f>Траснпон!$G$3</c15:f>
                      <c15:dlblFieldTableCache>
                        <c:ptCount val="1"/>
                        <c:pt idx="0">
                          <c:v>Корея</c:v>
                        </c:pt>
                      </c15:dlblFieldTableCache>
                    </c15:dlblFTEntry>
                  </c15:dlblFieldTable>
                  <c15:showDataLabelsRange val="0"/>
                </c:ext>
                <c:ext xmlns:c16="http://schemas.microsoft.com/office/drawing/2014/chart" uri="{C3380CC4-5D6E-409C-BE32-E72D297353CC}">
                  <c16:uniqueId val="{00000005-226D-4479-ABA1-982659652966}"/>
                </c:ext>
              </c:extLst>
            </c:dLbl>
            <c:dLbl>
              <c:idx val="5"/>
              <c:layout/>
              <c:tx>
                <c:strRef>
                  <c:f>Траснпон!$H$3</c:f>
                  <c:strCache>
                    <c:ptCount val="1"/>
                    <c:pt idx="0">
                      <c:v>ЮАР</c:v>
                    </c:pt>
                  </c:strCache>
                </c:strRef>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{B098BC53-6396-4184-95AF-F95A9531C701}</c15:txfldGUID>
                      <c15:f>Траснпон!$H$3</c15:f>
                      <c15:dlblFieldTableCache>
                        <c:ptCount val="1"/>
                        <c:pt idx="0">
                          <c:v>ЮАР</c:v>
                        </c:pt>
                      </c15:dlblFieldTableCache>
                    </c15:dlblFTEntry>
                  </c15:dlblFieldTable>
                  <c15:showDataLabelsRange val="0"/>
                </c:ext>
                <c:ext xmlns:c16="http://schemas.microsoft.com/office/drawing/2014/chart" uri="{C3380CC4-5D6E-409C-BE32-E72D297353CC}">
                  <c16:uniqueId val="{00000006-226D-4479-ABA1-982659652966}"/>
                </c:ext>
              </c:extLst>
            </c:dLbl>
            <c:dLbl>
              <c:idx val="6"/>
              <c:layout>
                <c:manualLayout>
                  <c:x val="-3.9446742792816077E-2"/>
                  <c:y val="-1.7598273191713094E-2"/>
                </c:manualLayout>
              </c:layout>
              <c:tx>
                <c:strRef>
                  <c:f>Траснпон!$I$3</c:f>
                  <c:strCache>
                    <c:ptCount val="1"/>
                    <c:pt idx="0">
                      <c:v>Румыния</c:v>
                    </c:pt>
                  </c:strCache>
                </c:strRef>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{909F236E-A16E-435F-A106-5EE179AEB297}</c15:txfldGUID>
                      <c15:f>Траснпон!$I$3</c15:f>
                      <c15:dlblFieldTableCache>
                        <c:ptCount val="1"/>
                        <c:pt idx="0">
                          <c:v>Румыния</c:v>
                        </c:pt>
                      </c15:dlblFieldTableCache>
                    </c15:dlblFTEntry>
                  </c15:dlblFieldTable>
                  <c15:showDataLabelsRange val="0"/>
                </c:ext>
                <c:ext xmlns:c16="http://schemas.microsoft.com/office/drawing/2014/chart" uri="{C3380CC4-5D6E-409C-BE32-E72D297353CC}">
                  <c16:uniqueId val="{00000007-226D-4479-ABA1-982659652966}"/>
                </c:ext>
              </c:extLst>
            </c:dLbl>
            <c:dLbl>
              <c:idx val="7"/>
              <c:layout/>
              <c:tx>
                <c:strRef>
                  <c:f>Траснпон!$J$3</c:f>
                  <c:strCache>
                    <c:ptCount val="1"/>
                    <c:pt idx="0">
                      <c:v>Болгария</c:v>
                    </c:pt>
                  </c:strCache>
                </c:strRef>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{37702CD9-1ACC-453F-BBE8-4723712849A9}</c15:txfldGUID>
                      <c15:f>Траснпон!$J$3</c15:f>
                      <c15:dlblFieldTableCache>
                        <c:ptCount val="1"/>
                        <c:pt idx="0">
                          <c:v>Болгария</c:v>
                        </c:pt>
                      </c15:dlblFieldTableCache>
                    </c15:dlblFTEntry>
                  </c15:dlblFieldTable>
                  <c15:showDataLabelsRange val="0"/>
                </c:ext>
                <c:ext xmlns:c16="http://schemas.microsoft.com/office/drawing/2014/chart" uri="{C3380CC4-5D6E-409C-BE32-E72D297353CC}">
                  <c16:uniqueId val="{00000008-226D-4479-ABA1-982659652966}"/>
                </c:ext>
              </c:extLst>
            </c:dLbl>
            <c:dLbl>
              <c:idx val="8"/>
              <c:layout>
                <c:manualLayout>
                  <c:x val="-2.0712524833478522E-2"/>
                  <c:y val="-1.5084234164325508E-2"/>
                </c:manualLayout>
              </c:layout>
              <c:tx>
                <c:strRef>
                  <c:f>Траснпон!$K$3</c:f>
                  <c:strCache>
                    <c:ptCount val="1"/>
                    <c:pt idx="0">
                      <c:v>Латвия</c:v>
                    </c:pt>
                  </c:strCache>
                </c:strRef>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{40B8DC78-5D60-46D8-9DC2-AE4892724CB6}</c15:txfldGUID>
                      <c15:f>Траснпон!$K$3</c15:f>
                      <c15:dlblFieldTableCache>
                        <c:ptCount val="1"/>
                        <c:pt idx="0">
                          <c:v>Латвия</c:v>
                        </c:pt>
                      </c15:dlblFieldTableCache>
                    </c15:dlblFTEntry>
                  </c15:dlblFieldTable>
                  <c15:showDataLabelsRange val="0"/>
                </c:ext>
                <c:ext xmlns:c16="http://schemas.microsoft.com/office/drawing/2014/chart" uri="{C3380CC4-5D6E-409C-BE32-E72D297353CC}">
                  <c16:uniqueId val="{00000009-226D-4479-ABA1-982659652966}"/>
                </c:ext>
              </c:extLst>
            </c:dLbl>
            <c:dLbl>
              <c:idx val="9"/>
              <c:layout>
                <c:manualLayout>
                  <c:x val="-1.4794660595341801E-2"/>
                  <c:y val="2.5140390273876308E-3"/>
                </c:manualLayout>
              </c:layout>
              <c:tx>
                <c:strRef>
                  <c:f>Траснпон!$L$3</c:f>
                  <c:strCache>
                    <c:ptCount val="1"/>
                    <c:pt idx="0">
                      <c:v>Чехия</c:v>
                    </c:pt>
                  </c:strCache>
                </c:strRef>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{C7824D62-3FEA-4F70-A610-236564ADDB3F}</c15:txfldGUID>
                      <c15:f>Траснпон!$L$3</c15:f>
                      <c15:dlblFieldTableCache>
                        <c:ptCount val="1"/>
                        <c:pt idx="0">
                          <c:v>Чехия</c:v>
                        </c:pt>
                      </c15:dlblFieldTableCache>
                    </c15:dlblFTEntry>
                  </c15:dlblFieldTable>
                  <c15:showDataLabelsRange val="0"/>
                </c:ext>
                <c:ext xmlns:c16="http://schemas.microsoft.com/office/drawing/2014/chart" uri="{C3380CC4-5D6E-409C-BE32-E72D297353CC}">
                  <c16:uniqueId val="{0000000A-226D-4479-ABA1-982659652966}"/>
                </c:ext>
              </c:extLst>
            </c:dLbl>
            <c:dLbl>
              <c:idx val="10"/>
              <c:layout/>
              <c:tx>
                <c:strRef>
                  <c:f>Траснпон!$M$3</c:f>
                  <c:strCache>
                    <c:ptCount val="1"/>
                    <c:pt idx="0">
                      <c:v>Турция</c:v>
                    </c:pt>
                  </c:strCache>
                </c:strRef>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{4D8283B2-327C-4222-90D4-713F624CE3E3}</c15:txfldGUID>
                      <c15:f>Траснпон!$M$3</c15:f>
                      <c15:dlblFieldTableCache>
                        <c:ptCount val="1"/>
                        <c:pt idx="0">
                          <c:v>Турция</c:v>
                        </c:pt>
                      </c15:dlblFieldTableCache>
                    </c15:dlblFTEntry>
                  </c15:dlblFieldTable>
                  <c15:showDataLabelsRange val="0"/>
                </c:ext>
                <c:ext xmlns:c16="http://schemas.microsoft.com/office/drawing/2014/chart" uri="{C3380CC4-5D6E-409C-BE32-E72D297353CC}">
                  <c16:uniqueId val="{0000000B-226D-4479-ABA1-982659652966}"/>
                </c:ext>
              </c:extLst>
            </c:dLbl>
            <c:dLbl>
              <c:idx val="11"/>
              <c:layout/>
              <c:tx>
                <c:strRef>
                  <c:f>Траснпон!$N$3</c:f>
                  <c:strCache>
                    <c:ptCount val="1"/>
                    <c:pt idx="0">
                      <c:v>Бразилия</c:v>
                    </c:pt>
                  </c:strCache>
                </c:strRef>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{4ACC6EDB-E8E9-424F-A091-83FBC052CB25}</c15:txfldGUID>
                      <c15:f>Траснпон!$N$3</c15:f>
                      <c15:dlblFieldTableCache>
                        <c:ptCount val="1"/>
                        <c:pt idx="0">
                          <c:v>Бразилия</c:v>
                        </c:pt>
                      </c15:dlblFieldTableCache>
                    </c15:dlblFTEntry>
                  </c15:dlblFieldTable>
                  <c15:showDataLabelsRange val="0"/>
                </c:ext>
                <c:ext xmlns:c16="http://schemas.microsoft.com/office/drawing/2014/chart" uri="{C3380CC4-5D6E-409C-BE32-E72D297353CC}">
                  <c16:uniqueId val="{0000000C-226D-4479-ABA1-982659652966}"/>
                </c:ext>
              </c:extLst>
            </c:dLbl>
            <c:dLbl>
              <c:idx val="12"/>
              <c:layout/>
              <c:tx>
                <c:strRef>
                  <c:f>Траснпон!$O$3</c:f>
                  <c:strCache>
                    <c:ptCount val="1"/>
                    <c:pt idx="0">
                      <c:v>Польша</c:v>
                    </c:pt>
                  </c:strCache>
                </c:strRef>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{A01FE445-C1C1-4633-A810-D2645295738B}</c15:txfldGUID>
                      <c15:f>Траснпон!$O$3</c15:f>
                      <c15:dlblFieldTableCache>
                        <c:ptCount val="1"/>
                        <c:pt idx="0">
                          <c:v>Польша</c:v>
                        </c:pt>
                      </c15:dlblFieldTableCache>
                    </c15:dlblFTEntry>
                  </c15:dlblFieldTable>
                  <c15:showDataLabelsRange val="0"/>
                </c:ext>
                <c:ext xmlns:c16="http://schemas.microsoft.com/office/drawing/2014/chart" uri="{C3380CC4-5D6E-409C-BE32-E72D297353CC}">
                  <c16:uniqueId val="{0000000D-226D-4479-ABA1-982659652966}"/>
                </c:ext>
              </c:extLst>
            </c:dLbl>
            <c:dLbl>
              <c:idx val="13"/>
              <c:layout/>
              <c:tx>
                <c:strRef>
                  <c:f>Траснпон!$P$3</c:f>
                  <c:strCache>
                    <c:ptCount val="1"/>
                    <c:pt idx="0">
                      <c:v>США</c:v>
                    </c:pt>
                  </c:strCache>
                </c:strRef>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{7B5625D0-C1BF-48CD-97E1-2CBAA1112037}</c15:txfldGUID>
                      <c15:f>Траснпон!$P$3</c15:f>
                      <c15:dlblFieldTableCache>
                        <c:ptCount val="1"/>
                        <c:pt idx="0">
                          <c:v>США</c:v>
                        </c:pt>
                      </c15:dlblFieldTableCache>
                    </c15:dlblFTEntry>
                  </c15:dlblFieldTable>
                  <c15:showDataLabelsRange val="0"/>
                </c:ext>
                <c:ext xmlns:c16="http://schemas.microsoft.com/office/drawing/2014/chart" uri="{C3380CC4-5D6E-409C-BE32-E72D297353CC}">
                  <c16:uniqueId val="{0000000E-226D-4479-ABA1-982659652966}"/>
                </c:ext>
              </c:extLst>
            </c:dLbl>
            <c:dLbl>
              <c:idx val="14"/>
              <c:layout>
                <c:manualLayout>
                  <c:x val="-0.13019301323900787"/>
                  <c:y val="-2.0112312219100772E-2"/>
                </c:manualLayout>
              </c:layout>
              <c:tx>
                <c:strRef>
                  <c:f>Траснпон!$Q$3</c:f>
                  <c:strCache>
                    <c:ptCount val="1"/>
                    <c:pt idx="0">
                      <c:v>Австралия</c:v>
                    </c:pt>
                  </c:strCache>
                </c:strRef>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{46155326-F81C-48DA-B743-0B53379C1E57}</c15:txfldGUID>
                      <c15:f>Траснпон!$Q$3</c15:f>
                      <c15:dlblFieldTableCache>
                        <c:ptCount val="1"/>
                        <c:pt idx="0">
                          <c:v>Австралия</c:v>
                        </c:pt>
                      </c15:dlblFieldTableCache>
                    </c15:dlblFTEntry>
                  </c15:dlblFieldTable>
                  <c15:showDataLabelsRange val="0"/>
                </c:ext>
                <c:ext xmlns:c16="http://schemas.microsoft.com/office/drawing/2014/chart" uri="{C3380CC4-5D6E-409C-BE32-E72D297353CC}">
                  <c16:uniqueId val="{0000000F-226D-4479-ABA1-982659652966}"/>
                </c:ext>
              </c:extLst>
            </c:dLbl>
            <c:dLbl>
              <c:idx val="15"/>
              <c:layout/>
              <c:tx>
                <c:strRef>
                  <c:f>Траснпон!$R$3</c:f>
                  <c:strCache>
                    <c:ptCount val="1"/>
                    <c:pt idx="0">
                      <c:v>Израиль</c:v>
                    </c:pt>
                  </c:strCache>
                </c:strRef>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{8332BAEA-AADB-4BE4-AB1E-FA5F1778EC0F}</c15:txfldGUID>
                      <c15:f>Траснпон!$R$3</c15:f>
                      <c15:dlblFieldTableCache>
                        <c:ptCount val="1"/>
                        <c:pt idx="0">
                          <c:v>Израиль</c:v>
                        </c:pt>
                      </c15:dlblFieldTableCache>
                    </c15:dlblFTEntry>
                  </c15:dlblFieldTable>
                  <c15:showDataLabelsRange val="0"/>
                </c:ext>
                <c:ext xmlns:c16="http://schemas.microsoft.com/office/drawing/2014/chart" uri="{C3380CC4-5D6E-409C-BE32-E72D297353CC}">
                  <c16:uniqueId val="{00000010-226D-4479-ABA1-982659652966}"/>
                </c:ext>
              </c:extLst>
            </c:dLbl>
            <c:dLbl>
              <c:idx val="16"/>
              <c:layout/>
              <c:tx>
                <c:strRef>
                  <c:f>Траснпон!$S$3</c:f>
                  <c:strCache>
                    <c:ptCount val="1"/>
                    <c:pt idx="0">
                      <c:v>Япония</c:v>
                    </c:pt>
                  </c:strCache>
                </c:strRef>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{400229A4-9F4D-4FB3-89BD-B05436EB015F}</c15:txfldGUID>
                      <c15:f>Траснпон!$S$3</c15:f>
                      <c15:dlblFieldTableCache>
                        <c:ptCount val="1"/>
                        <c:pt idx="0">
                          <c:v>Япония</c:v>
                        </c:pt>
                      </c15:dlblFieldTableCache>
                    </c15:dlblFTEntry>
                  </c15:dlblFieldTable>
                  <c15:showDataLabelsRange val="0"/>
                </c:ext>
                <c:ext xmlns:c16="http://schemas.microsoft.com/office/drawing/2014/chart" uri="{C3380CC4-5D6E-409C-BE32-E72D297353CC}">
                  <c16:uniqueId val="{00000011-226D-4479-ABA1-982659652966}"/>
                </c:ext>
              </c:extLst>
            </c:dLbl>
            <c:dLbl>
              <c:idx val="17"/>
              <c:layout>
                <c:manualLayout>
                  <c:x val="0"/>
                  <c:y val="-1.0056156109550339E-2"/>
                </c:manualLayout>
              </c:layout>
              <c:tx>
                <c:strRef>
                  <c:f>Траснпон!$T$3</c:f>
                  <c:strCache>
                    <c:ptCount val="1"/>
                    <c:pt idx="0">
                      <c:v>Финляндия</c:v>
                    </c:pt>
                  </c:strCache>
                </c:strRef>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{3D29B65E-E4DD-4255-AF0C-4550E5F8676C}</c15:txfldGUID>
                      <c15:f>Траснпон!$T$3</c15:f>
                      <c15:dlblFieldTableCache>
                        <c:ptCount val="1"/>
                        <c:pt idx="0">
                          <c:v>Финляндия</c:v>
                        </c:pt>
                      </c15:dlblFieldTableCache>
                    </c15:dlblFTEntry>
                  </c15:dlblFieldTable>
                  <c15:showDataLabelsRange val="0"/>
                </c:ext>
                <c:ext xmlns:c16="http://schemas.microsoft.com/office/drawing/2014/chart" uri="{C3380CC4-5D6E-409C-BE32-E72D297353CC}">
                  <c16:uniqueId val="{00000012-226D-4479-ABA1-982659652966}"/>
                </c:ext>
              </c:extLst>
            </c:dLbl>
            <c:dLbl>
              <c:idx val="18"/>
              <c:layout/>
              <c:tx>
                <c:strRef>
                  <c:f>Траснпон!$U$3</c:f>
                  <c:strCache>
                    <c:ptCount val="1"/>
                    <c:pt idx="0">
                      <c:v>Дания</c:v>
                    </c:pt>
                  </c:strCache>
                </c:strRef>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{1889769B-96A0-4279-8E50-D3BF9E677DB4}</c15:txfldGUID>
                      <c15:f>Траснпон!$U$3</c15:f>
                      <c15:dlblFieldTableCache>
                        <c:ptCount val="1"/>
                        <c:pt idx="0">
                          <c:v>Дания</c:v>
                        </c:pt>
                      </c15:dlblFieldTableCache>
                    </c15:dlblFTEntry>
                  </c15:dlblFieldTable>
                  <c15:showDataLabelsRange val="0"/>
                </c:ext>
                <c:ext xmlns:c16="http://schemas.microsoft.com/office/drawing/2014/chart" uri="{C3380CC4-5D6E-409C-BE32-E72D297353CC}">
                  <c16:uniqueId val="{00000013-226D-4479-ABA1-982659652966}"/>
                </c:ext>
              </c:extLst>
            </c:dLbl>
            <c:dLbl>
              <c:idx val="19"/>
              <c:layout>
                <c:manualLayout>
                  <c:x val="-3.5507185428820323E-2"/>
                  <c:y val="1.0056156109550293E-2"/>
                </c:manualLayout>
              </c:layout>
              <c:tx>
                <c:strRef>
                  <c:f>Траснпон!$V$3</c:f>
                  <c:strCache>
                    <c:ptCount val="1"/>
                    <c:pt idx="0">
                      <c:v>Франция</c:v>
                    </c:pt>
                  </c:strCache>
                </c:strRef>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{F79F1698-4D73-485A-9B99-F9FE52DB7476}</c15:txfldGUID>
                      <c15:f>Траснпон!$V$3</c15:f>
                      <c15:dlblFieldTableCache>
                        <c:ptCount val="1"/>
                        <c:pt idx="0">
                          <c:v>Франция</c:v>
                        </c:pt>
                      </c15:dlblFieldTableCache>
                    </c15:dlblFTEntry>
                  </c15:dlblFieldTable>
                  <c15:showDataLabelsRange val="0"/>
                </c:ext>
                <c:ext xmlns:c16="http://schemas.microsoft.com/office/drawing/2014/chart" uri="{C3380CC4-5D6E-409C-BE32-E72D297353CC}">
                  <c16:uniqueId val="{00000014-226D-4479-ABA1-982659652966}"/>
                </c:ext>
              </c:extLst>
            </c:dLbl>
            <c:dLbl>
              <c:idx val="20"/>
              <c:layout>
                <c:manualLayout>
                  <c:x val="-4.4383981786025511E-2"/>
                  <c:y val="-2.0112312219100634E-2"/>
                </c:manualLayout>
              </c:layout>
              <c:tx>
                <c:strRef>
                  <c:f>Траснпон!$W$3</c:f>
                  <c:strCache>
                    <c:ptCount val="1"/>
                    <c:pt idx="0">
                      <c:v>Бельгия</c:v>
                    </c:pt>
                  </c:strCache>
                </c:strRef>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{103D3D33-5753-4664-BFD9-6703D3C02BC3}</c15:txfldGUID>
                      <c15:f>Траснпон!$W$3</c15:f>
                      <c15:dlblFieldTableCache>
                        <c:ptCount val="1"/>
                        <c:pt idx="0">
                          <c:v>Бельгия</c:v>
                        </c:pt>
                      </c15:dlblFieldTableCache>
                    </c15:dlblFTEntry>
                  </c15:dlblFieldTable>
                  <c15:showDataLabelsRange val="0"/>
                </c:ext>
                <c:ext xmlns:c16="http://schemas.microsoft.com/office/drawing/2014/chart" uri="{C3380CC4-5D6E-409C-BE32-E72D297353CC}">
                  <c16:uniqueId val="{00000015-226D-4479-ABA1-982659652966}"/>
                </c:ext>
              </c:extLst>
            </c:dLbl>
            <c:dLbl>
              <c:idx val="21"/>
              <c:layout/>
              <c:tx>
                <c:strRef>
                  <c:f>Траснпон!$X$3</c:f>
                  <c:strCache>
                    <c:ptCount val="1"/>
                    <c:pt idx="0">
                      <c:v>Австрия</c:v>
                    </c:pt>
                  </c:strCache>
                </c:strRef>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{10EBE663-00FF-4EFB-B77E-FF384AEB9CC8}</c15:txfldGUID>
                      <c15:f>Траснпон!$X$3</c15:f>
                      <c15:dlblFieldTableCache>
                        <c:ptCount val="1"/>
                        <c:pt idx="0">
                          <c:v>Австрия</c:v>
                        </c:pt>
                      </c15:dlblFieldTableCache>
                    </c15:dlblFTEntry>
                  </c15:dlblFieldTable>
                  <c15:showDataLabelsRange val="0"/>
                </c:ext>
                <c:ext xmlns:c16="http://schemas.microsoft.com/office/drawing/2014/chart" uri="{C3380CC4-5D6E-409C-BE32-E72D297353CC}">
                  <c16:uniqueId val="{00000016-226D-4479-ABA1-982659652966}"/>
                </c:ext>
              </c:extLst>
            </c:dLbl>
            <c:dLbl>
              <c:idx val="22"/>
              <c:layout>
                <c:manualLayout>
                  <c:x val="-8.4528734556034452E-3"/>
                  <c:y val="-2.2626351246488239E-2"/>
                </c:manualLayout>
              </c:layout>
              <c:tx>
                <c:strRef>
                  <c:f>Траснпон!$Y$3</c:f>
                  <c:strCache>
                    <c:ptCount val="1"/>
                    <c:pt idx="0">
                      <c:v>Швеция</c:v>
                    </c:pt>
                  </c:strCache>
                </c:strRef>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{46023937-2544-43B4-B9D2-12354ACFDFD4}</c15:txfldGUID>
                      <c15:f>Траснпон!$Y$3</c15:f>
                      <c15:dlblFieldTableCache>
                        <c:ptCount val="1"/>
                        <c:pt idx="0">
                          <c:v>Швеция</c:v>
                        </c:pt>
                      </c15:dlblFieldTableCache>
                    </c15:dlblFTEntry>
                  </c15:dlblFieldTable>
                  <c15:showDataLabelsRange val="0"/>
                </c:ext>
                <c:ext xmlns:c16="http://schemas.microsoft.com/office/drawing/2014/chart" uri="{C3380CC4-5D6E-409C-BE32-E72D297353CC}">
                  <c16:uniqueId val="{00000017-226D-4479-ABA1-982659652966}"/>
                </c:ext>
              </c:extLst>
            </c:dLbl>
            <c:dLbl>
              <c:idx val="23"/>
              <c:layout/>
              <c:tx>
                <c:strRef>
                  <c:f>Траснпон!$Z$3</c:f>
                  <c:strCache>
                    <c:ptCount val="1"/>
                    <c:pt idx="0">
                      <c:v>Италия</c:v>
                    </c:pt>
                  </c:strCache>
                </c:strRef>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{08F584AA-F703-48F5-BDC3-35A59FB65301}</c15:txfldGUID>
                      <c15:f>Траснпон!$Z$3</c15:f>
                      <c15:dlblFieldTableCache>
                        <c:ptCount val="1"/>
                        <c:pt idx="0">
                          <c:v>Италия</c:v>
                        </c:pt>
                      </c15:dlblFieldTableCache>
                    </c15:dlblFTEntry>
                  </c15:dlblFieldTable>
                  <c15:showDataLabelsRange val="0"/>
                </c:ext>
                <c:ext xmlns:c16="http://schemas.microsoft.com/office/drawing/2014/chart" uri="{C3380CC4-5D6E-409C-BE32-E72D297353CC}">
                  <c16:uniqueId val="{00000018-226D-4479-ABA1-982659652966}"/>
                </c:ext>
              </c:extLst>
            </c:dLbl>
            <c:dLbl>
              <c:idx val="24"/>
              <c:layout>
                <c:manualLayout>
                  <c:x val="-9.2981608011637892E-2"/>
                  <c:y val="-1.7598273191713094E-2"/>
                </c:manualLayout>
              </c:layout>
              <c:tx>
                <c:strRef>
                  <c:f>Траснпон!$AA$3</c:f>
                  <c:strCache>
                    <c:ptCount val="1"/>
                    <c:pt idx="0">
                      <c:v>Греция</c:v>
                    </c:pt>
                  </c:strCache>
                </c:strRef>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{4D689EEA-849F-4159-B2F9-03DFD0301B69}</c15:txfldGUID>
                      <c15:f>Траснпон!$AA$3</c15:f>
                      <c15:dlblFieldTableCache>
                        <c:ptCount val="1"/>
                        <c:pt idx="0">
                          <c:v>Греция</c:v>
                        </c:pt>
                      </c15:dlblFieldTableCache>
                    </c15:dlblFTEntry>
                  </c15:dlblFieldTable>
                  <c15:showDataLabelsRange val="0"/>
                </c:ext>
                <c:ext xmlns:c16="http://schemas.microsoft.com/office/drawing/2014/chart" uri="{C3380CC4-5D6E-409C-BE32-E72D297353CC}">
                  <c16:uniqueId val="{00000019-226D-4479-ABA1-982659652966}"/>
                </c:ext>
              </c:extLst>
            </c:dLbl>
            <c:dLbl>
              <c:idx val="25"/>
              <c:layout/>
              <c:tx>
                <c:strRef>
                  <c:f>Траснпон!$AB$3</c:f>
                  <c:strCache>
                    <c:ptCount val="1"/>
                    <c:pt idx="0">
                      <c:v>Германия</c:v>
                    </c:pt>
                  </c:strCache>
                </c:strRef>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{06B38F24-11CF-4F2B-9BD0-9C11F92F2358}</c15:txfldGUID>
                      <c15:f>Траснпон!$AB$3</c15:f>
                      <c15:dlblFieldTableCache>
                        <c:ptCount val="1"/>
                        <c:pt idx="0">
                          <c:v>Германия</c:v>
                        </c:pt>
                      </c15:dlblFieldTableCache>
                    </c15:dlblFTEntry>
                  </c15:dlblFieldTable>
                  <c15:showDataLabelsRange val="0"/>
                </c:ext>
                <c:ext xmlns:c16="http://schemas.microsoft.com/office/drawing/2014/chart" uri="{C3380CC4-5D6E-409C-BE32-E72D297353CC}">
                  <c16:uniqueId val="{0000001A-226D-4479-ABA1-982659652966}"/>
                </c:ext>
              </c:extLst>
            </c:dLbl>
            <c:dLbl>
              <c:idx val="26"/>
              <c:layout>
                <c:manualLayout>
                  <c:x val="-5.0717240733620675E-2"/>
                  <c:y val="-3.5196546383426168E-2"/>
                </c:manualLayout>
              </c:layout>
              <c:tx>
                <c:strRef>
                  <c:f>Траснпон!$AC$3</c:f>
                  <c:strCache>
                    <c:ptCount val="1"/>
                    <c:pt idx="0">
                      <c:v>Норвегия</c:v>
                    </c:pt>
                  </c:strCache>
                </c:strRef>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{6AF1DB39-D015-4D1B-93A5-C603A671DF06}</c15:txfldGUID>
                      <c15:f>Траснпон!$AC$3</c15:f>
                      <c15:dlblFieldTableCache>
                        <c:ptCount val="1"/>
                        <c:pt idx="0">
                          <c:v>Норвегия</c:v>
                        </c:pt>
                      </c15:dlblFieldTableCache>
                    </c15:dlblFTEntry>
                  </c15:dlblFieldTable>
                  <c15:showDataLabelsRange val="0"/>
                </c:ext>
                <c:ext xmlns:c16="http://schemas.microsoft.com/office/drawing/2014/chart" uri="{C3380CC4-5D6E-409C-BE32-E72D297353CC}">
                  <c16:uniqueId val="{0000001B-226D-4479-ABA1-982659652966}"/>
                </c:ext>
              </c:extLst>
            </c:dLbl>
            <c:dLbl>
              <c:idx val="27"/>
              <c:layout>
                <c:manualLayout>
                  <c:x val="-0.16274126654875981"/>
                  <c:y val="-3.0168468328651016E-2"/>
                </c:manualLayout>
              </c:layout>
              <c:tx>
                <c:strRef>
                  <c:f>Траснпон!$AD$3</c:f>
                  <c:strCache>
                    <c:ptCount val="1"/>
                    <c:pt idx="0">
                      <c:v>Нидерланды</c:v>
                    </c:pt>
                  </c:strCache>
                </c:strRef>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{C1AAC95F-20D7-4847-A080-1EB2415438AC}</c15:txfldGUID>
                      <c15:f>Траснпон!$AD$3</c15:f>
                      <c15:dlblFieldTableCache>
                        <c:ptCount val="1"/>
                        <c:pt idx="0">
                          <c:v>Нидерланды</c:v>
                        </c:pt>
                      </c15:dlblFieldTableCache>
                    </c15:dlblFTEntry>
                  </c15:dlblFieldTable>
                  <c15:showDataLabelsRange val="0"/>
                </c:ext>
                <c:ext xmlns:c16="http://schemas.microsoft.com/office/drawing/2014/chart" uri="{C3380CC4-5D6E-409C-BE32-E72D297353CC}">
                  <c16:uniqueId val="{00000001-226D-4479-ABA1-982659652966}"/>
                </c:ext>
              </c:extLst>
            </c:dLbl>
            <c:dLbl>
              <c:idx val="28"/>
              <c:layout>
                <c:manualLayout>
                  <c:x val="-6.0445062543606085E-2"/>
                  <c:y val="-1.340395381177252E-2"/>
                </c:manualLayout>
              </c:layout>
              <c:tx>
                <c:strRef>
                  <c:f>Траснпон!$AE$3</c:f>
                  <c:strCache>
                    <c:ptCount val="1"/>
                    <c:pt idx="0">
                      <c:v>Венгрия</c:v>
                    </c:pt>
                  </c:strCache>
                </c:strRef>
              </c:tx>
              <c:spPr>
                <a:noFill/>
                <a:ln>
                  <a:noFill/>
                </a:ln>
                <a:effectLst/>
              </c:spPr>
              <c:txPr>
                <a:bodyPr wrap="square" lIns="38100" tIns="19050" rIns="38100" bIns="19050" anchor="ctr">
                  <a:noAutofit/>
                </a:bodyPr>
                <a:lstStyle/>
                <a:p>
                  <a:pPr>
                    <a:defRPr sz="700"/>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24849403219376059"/>
                      <c:h val="3.5075425687735931E-2"/>
                    </c:manualLayout>
                  </c15:layout>
                  <c15:dlblFieldTable>
                    <c15:dlblFTEntry>
                      <c15:txfldGUID>{E3332722-105B-4083-91A9-99D615AF2271}</c15:txfldGUID>
                      <c15:f>Траснпон!$AE$3</c15:f>
                      <c15:dlblFieldTableCache>
                        <c:ptCount val="1"/>
                        <c:pt idx="0">
                          <c:v>Венгрия</c:v>
                        </c:pt>
                      </c15:dlblFieldTableCache>
                    </c15:dlblFTEntry>
                  </c15:dlblFieldTable>
                  <c15:showDataLabelsRange val="0"/>
                </c:ext>
                <c:ext xmlns:c16="http://schemas.microsoft.com/office/drawing/2014/chart" uri="{C3380CC4-5D6E-409C-BE32-E72D297353CC}">
                  <c16:uniqueId val="{0000001C-226D-4479-ABA1-982659652966}"/>
                </c:ext>
              </c:extLst>
            </c:dLbl>
            <c:dLbl>
              <c:idx val="29"/>
              <c:layout/>
              <c:tx>
                <c:strRef>
                  <c:f>Траснпон!$AF$3</c:f>
                  <c:strCache>
                    <c:ptCount val="1"/>
                    <c:pt idx="0">
                      <c:v>Португалия</c:v>
                    </c:pt>
                  </c:strCache>
                </c:strRef>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{0B105629-0C33-4B32-9EDA-D00EED34245F}</c15:txfldGUID>
                      <c15:f>Траснпон!$AF$3</c15:f>
                      <c15:dlblFieldTableCache>
                        <c:ptCount val="1"/>
                        <c:pt idx="0">
                          <c:v>Португалия</c:v>
                        </c:pt>
                      </c15:dlblFieldTableCache>
                    </c15:dlblFTEntry>
                  </c15:dlblFieldTable>
                  <c15:showDataLabelsRange val="0"/>
                </c:ext>
                <c:ext xmlns:c16="http://schemas.microsoft.com/office/drawing/2014/chart" uri="{C3380CC4-5D6E-409C-BE32-E72D297353CC}">
                  <c16:uniqueId val="{0000001D-226D-4479-ABA1-982659652966}"/>
                </c:ext>
              </c:extLst>
            </c:dLbl>
            <c:dLbl>
              <c:idx val="30"/>
              <c:layout/>
              <c:tx>
                <c:strRef>
                  <c:f>Траснпон!$AG$3</c:f>
                  <c:strCache>
                    <c:ptCount val="1"/>
                    <c:pt idx="0">
                      <c:v>Словения</c:v>
                    </c:pt>
                  </c:strCache>
                </c:strRef>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{C8C1DB11-EC24-4BE2-9E46-1DA469328AFB}</c15:txfldGUID>
                      <c15:f>Траснпон!$AG$3</c15:f>
                      <c15:dlblFieldTableCache>
                        <c:ptCount val="1"/>
                        <c:pt idx="0">
                          <c:v>Словения</c:v>
                        </c:pt>
                      </c15:dlblFieldTableCache>
                    </c15:dlblFTEntry>
                  </c15:dlblFieldTable>
                  <c15:showDataLabelsRange val="0"/>
                </c:ext>
                <c:ext xmlns:c16="http://schemas.microsoft.com/office/drawing/2014/chart" uri="{C3380CC4-5D6E-409C-BE32-E72D297353CC}">
                  <c16:uniqueId val="{0000001E-226D-4479-ABA1-982659652966}"/>
                </c:ext>
              </c:extLst>
            </c:dLbl>
            <c:dLbl>
              <c:idx val="31"/>
              <c:layout>
                <c:manualLayout>
                  <c:x val="-0.17187509359727005"/>
                  <c:y val="-4.6090183064377936E-17"/>
                </c:manualLayout>
              </c:layout>
              <c:tx>
                <c:strRef>
                  <c:f>Траснпон!$AH$3</c:f>
                  <c:strCache>
                    <c:ptCount val="1"/>
                    <c:pt idx="0">
                      <c:v>Словакия</c:v>
                    </c:pt>
                  </c:strCache>
                </c:strRef>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{9693D763-6646-400A-B9D7-2D4299BD9E3E}</c15:txfldGUID>
                      <c15:f>Траснпон!$AH$3</c15:f>
                      <c15:dlblFieldTableCache>
                        <c:ptCount val="1"/>
                        <c:pt idx="0">
                          <c:v>Словакия</c:v>
                        </c:pt>
                      </c15:dlblFieldTableCache>
                    </c15:dlblFTEntry>
                  </c15:dlblFieldTable>
                  <c15:showDataLabelsRange val="0"/>
                </c:ext>
                <c:ext xmlns:c16="http://schemas.microsoft.com/office/drawing/2014/chart" uri="{C3380CC4-5D6E-409C-BE32-E72D297353CC}">
                  <c16:uniqueId val="{0000001F-226D-4479-ABA1-982659652966}"/>
                </c:ext>
              </c:extLst>
            </c:dLbl>
            <c:dLbl>
              <c:idx val="32"/>
              <c:layout>
                <c:manualLayout>
                  <c:x val="-5.0301846024162128E-2"/>
                  <c:y val="1.2570195136937924E-2"/>
                </c:manualLayout>
              </c:layout>
              <c:tx>
                <c:strRef>
                  <c:f>Траснпон!$AI$3</c:f>
                  <c:strCache>
                    <c:ptCount val="1"/>
                    <c:pt idx="0">
                      <c:v>Исландия</c:v>
                    </c:pt>
                  </c:strCache>
                </c:strRef>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{CBC9CF85-FE7B-455E-A6AC-41D409253DB5}</c15:txfldGUID>
                      <c15:f>Траснпон!$AI$3</c15:f>
                      <c15:dlblFieldTableCache>
                        <c:ptCount val="1"/>
                        <c:pt idx="0">
                          <c:v>Исландия</c:v>
                        </c:pt>
                      </c15:dlblFieldTableCache>
                    </c15:dlblFTEntry>
                  </c15:dlblFieldTable>
                  <c15:showDataLabelsRange val="0"/>
                </c:ext>
                <c:ext xmlns:c16="http://schemas.microsoft.com/office/drawing/2014/chart" uri="{C3380CC4-5D6E-409C-BE32-E72D297353CC}">
                  <c16:uniqueId val="{00000020-226D-4479-ABA1-982659652966}"/>
                </c:ext>
              </c:extLst>
            </c:dLbl>
            <c:dLbl>
              <c:idx val="33"/>
              <c:layout/>
              <c:tx>
                <c:strRef>
                  <c:f>Траснпон!$AJ$3</c:f>
                  <c:strCache>
                    <c:ptCount val="1"/>
                    <c:pt idx="0">
                      <c:v>Эстония</c:v>
                    </c:pt>
                  </c:strCache>
                </c:strRef>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{B638146F-F161-4E25-9DAA-5B4B97EF0153}</c15:txfldGUID>
                      <c15:f>Траснпон!$AJ$3</c15:f>
                      <c15:dlblFieldTableCache>
                        <c:ptCount val="1"/>
                        <c:pt idx="0">
                          <c:v>Эстония</c:v>
                        </c:pt>
                      </c15:dlblFieldTableCache>
                    </c15:dlblFTEntry>
                  </c15:dlblFieldTable>
                  <c15:showDataLabelsRange val="0"/>
                </c:ext>
                <c:ext xmlns:c16="http://schemas.microsoft.com/office/drawing/2014/chart" uri="{C3380CC4-5D6E-409C-BE32-E72D297353CC}">
                  <c16:uniqueId val="{00000021-226D-4479-ABA1-982659652966}"/>
                </c:ext>
              </c:extLst>
            </c:dLbl>
            <c:dLbl>
              <c:idx val="34"/>
              <c:layout>
                <c:manualLayout>
                  <c:x val="-0.14934266274534383"/>
                  <c:y val="-5.0280780547751697E-3"/>
                </c:manualLayout>
              </c:layout>
              <c:tx>
                <c:strRef>
                  <c:f>Траснпон!$AK$3</c:f>
                  <c:strCache>
                    <c:ptCount val="1"/>
                    <c:pt idx="0">
                      <c:v>Испания</c:v>
                    </c:pt>
                  </c:strCache>
                </c:strRef>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{4012E066-EC11-4CF0-AEA6-CF7370D678E1}</c15:txfldGUID>
                      <c15:f>Траснпон!$AK$3</c15:f>
                      <c15:dlblFieldTableCache>
                        <c:ptCount val="1"/>
                        <c:pt idx="0">
                          <c:v>Испания</c:v>
                        </c:pt>
                      </c15:dlblFieldTableCache>
                    </c15:dlblFTEntry>
                  </c15:dlblFieldTable>
                  <c15:showDataLabelsRange val="0"/>
                </c:ext>
                <c:ext xmlns:c16="http://schemas.microsoft.com/office/drawing/2014/chart" uri="{C3380CC4-5D6E-409C-BE32-E72D297353CC}">
                  <c16:uniqueId val="{00000022-226D-4479-ABA1-982659652966}"/>
                </c:ext>
              </c:extLst>
            </c:dLbl>
            <c:dLbl>
              <c:idx val="35"/>
              <c:layout>
                <c:manualLayout>
                  <c:x val="7.2470960569629941E-2"/>
                  <c:y val="-2.4319700279332904E-2"/>
                </c:manualLayout>
              </c:layout>
              <c:tx>
                <c:strRef>
                  <c:f>Траснпон!$AL$3</c:f>
                  <c:strCache>
                    <c:ptCount val="1"/>
                    <c:pt idx="0">
                      <c:v>Великобритания</c:v>
                    </c:pt>
                  </c:strCache>
                </c:strRef>
              </c:tx>
              <c:spPr>
                <a:noFill/>
                <a:ln>
                  <a:noFill/>
                </a:ln>
                <a:effectLst/>
              </c:spPr>
              <c:txPr>
                <a:bodyPr wrap="square" lIns="38100" tIns="19050" rIns="38100" bIns="19050" anchor="ctr">
                  <a:noAutofit/>
                </a:bodyPr>
                <a:lstStyle/>
                <a:p>
                  <a:pPr>
                    <a:defRPr sz="700"/>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39008926791587761"/>
                      <c:h val="5.3201142665098296E-2"/>
                    </c:manualLayout>
                  </c15:layout>
                  <c15:dlblFieldTable>
                    <c15:dlblFTEntry>
                      <c15:txfldGUID>{AAD3D51D-3291-4FD0-B9AE-5E037208557F}</c15:txfldGUID>
                      <c15:f>Траснпон!$AL$3</c15:f>
                      <c15:dlblFieldTableCache>
                        <c:ptCount val="1"/>
                        <c:pt idx="0">
                          <c:v>Великобритания</c:v>
                        </c:pt>
                      </c15:dlblFieldTableCache>
                    </c15:dlblFTEntry>
                  </c15:dlblFieldTable>
                  <c15:showDataLabelsRange val="0"/>
                </c:ext>
                <c:ext xmlns:c16="http://schemas.microsoft.com/office/drawing/2014/chart" uri="{C3380CC4-5D6E-409C-BE32-E72D297353CC}">
                  <c16:uniqueId val="{00000023-226D-4479-ABA1-982659652966}"/>
                </c:ext>
              </c:extLst>
            </c:dLbl>
            <c:dLbl>
              <c:idx val="36"/>
              <c:layout>
                <c:manualLayout>
                  <c:x val="-0.16865913078689654"/>
                  <c:y val="-9.2180366128755872E-17"/>
                </c:manualLayout>
              </c:layout>
              <c:tx>
                <c:strRef>
                  <c:f>Траснпон!$AM$3</c:f>
                  <c:strCache>
                    <c:ptCount val="1"/>
                    <c:pt idx="0">
                      <c:v>Швейцария</c:v>
                    </c:pt>
                  </c:strCache>
                </c:strRef>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{7EAE74C7-2DD2-4820-BF9E-650980F553F2}</c15:txfldGUID>
                      <c15:f>Траснпон!$AM$3</c15:f>
                      <c15:dlblFieldTableCache>
                        <c:ptCount val="1"/>
                        <c:pt idx="0">
                          <c:v>Швейцария</c:v>
                        </c:pt>
                      </c15:dlblFieldTableCache>
                    </c15:dlblFTEntry>
                  </c15:dlblFieldTable>
                  <c15:showDataLabelsRange val="0"/>
                </c:ext>
                <c:ext xmlns:c16="http://schemas.microsoft.com/office/drawing/2014/chart" uri="{C3380CC4-5D6E-409C-BE32-E72D297353CC}">
                  <c16:uniqueId val="{00000024-226D-4479-ABA1-982659652966}"/>
                </c:ext>
              </c:extLst>
            </c:dLbl>
            <c:dLbl>
              <c:idx val="37"/>
              <c:layout/>
              <c:tx>
                <c:strRef>
                  <c:f>Траснпон!$AN$3</c:f>
                  <c:strCache>
                    <c:ptCount val="1"/>
                    <c:pt idx="0">
                      <c:v>Ирландия</c:v>
                    </c:pt>
                  </c:strCache>
                </c:strRef>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{809540EF-2945-4986-B272-B4E737A4D61E}</c15:txfldGUID>
                      <c15:f>Траснпон!$AN$3</c15:f>
                      <c15:dlblFieldTableCache>
                        <c:ptCount val="1"/>
                        <c:pt idx="0">
                          <c:v>Ирландия</c:v>
                        </c:pt>
                      </c15:dlblFieldTableCache>
                    </c15:dlblFTEntry>
                  </c15:dlblFieldTable>
                  <c15:showDataLabelsRange val="0"/>
                </c:ext>
                <c:ext xmlns:c16="http://schemas.microsoft.com/office/drawing/2014/chart" uri="{C3380CC4-5D6E-409C-BE32-E72D297353CC}">
                  <c16:uniqueId val="{00000025-226D-4479-ABA1-982659652966}"/>
                </c:ext>
              </c:extLst>
            </c:dLbl>
            <c:spPr>
              <a:noFill/>
              <a:ln>
                <a:noFill/>
              </a:ln>
              <a:effectLst/>
            </c:spPr>
            <c:txPr>
              <a:bodyPr wrap="square" lIns="38100" tIns="19050" rIns="38100" bIns="19050" anchor="ctr">
                <a:spAutoFit/>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poly"/>
            <c:order val="2"/>
            <c:dispRSqr val="0"/>
            <c:dispEq val="0"/>
          </c:trendline>
          <c:xVal>
            <c:numRef>
              <c:f>Траснпон!$C$193:$AN$193</c:f>
              <c:numCache>
                <c:formatCode>#,##0.0</c:formatCode>
                <c:ptCount val="38"/>
                <c:pt idx="0">
                  <c:v>5.4299542285657898</c:v>
                </c:pt>
                <c:pt idx="1">
                  <c:v>4.0533383789024704</c:v>
                </c:pt>
                <c:pt idx="2" formatCode="#,##0.00">
                  <c:v>#N/A</c:v>
                </c:pt>
                <c:pt idx="3">
                  <c:v>5.10216483413625</c:v>
                </c:pt>
                <c:pt idx="4">
                  <c:v>4.5471904098660803</c:v>
                </c:pt>
                <c:pt idx="5" formatCode="#,##0.00">
                  <c:v>#N/A</c:v>
                </c:pt>
                <c:pt idx="6">
                  <c:v>7.7654370675028197</c:v>
                </c:pt>
                <c:pt idx="7" formatCode="#,##0.00">
                  <c:v>#N/A</c:v>
                </c:pt>
                <c:pt idx="8">
                  <c:v>7.72326960665165</c:v>
                </c:pt>
                <c:pt idx="9">
                  <c:v>7.2551467028497498</c:v>
                </c:pt>
                <c:pt idx="10">
                  <c:v>6.2284622419889004</c:v>
                </c:pt>
                <c:pt idx="11" formatCode="#,##0.00">
                  <c:v>#N/A</c:v>
                </c:pt>
                <c:pt idx="12">
                  <c:v>7.0311386420452804</c:v>
                </c:pt>
                <c:pt idx="13" formatCode="#,##0.00">
                  <c:v>#N/A</c:v>
                </c:pt>
                <c:pt idx="14">
                  <c:v>3.4687220205148002</c:v>
                </c:pt>
                <c:pt idx="15" formatCode="#,##0.00">
                  <c:v>#N/A</c:v>
                </c:pt>
                <c:pt idx="16">
                  <c:v>3.9014372983983101</c:v>
                </c:pt>
                <c:pt idx="17">
                  <c:v>9.2875523858539797</c:v>
                </c:pt>
                <c:pt idx="18">
                  <c:v>9.3435555598089408</c:v>
                </c:pt>
                <c:pt idx="19">
                  <c:v>6.9426640718716097</c:v>
                </c:pt>
                <c:pt idx="20">
                  <c:v>6.8447641576312002</c:v>
                </c:pt>
                <c:pt idx="21">
                  <c:v>7.7815694801625499</c:v>
                </c:pt>
                <c:pt idx="22">
                  <c:v>9.0284987064156095</c:v>
                </c:pt>
                <c:pt idx="23" formatCode="#,##0.00">
                  <c:v>#N/A</c:v>
                </c:pt>
                <c:pt idx="24">
                  <c:v>7.0783769989602403</c:v>
                </c:pt>
                <c:pt idx="25">
                  <c:v>6.9936531222987899</c:v>
                </c:pt>
                <c:pt idx="26">
                  <c:v>8.1490089530809495</c:v>
                </c:pt>
                <c:pt idx="27">
                  <c:v>6.4438643873440302</c:v>
                </c:pt>
                <c:pt idx="28">
                  <c:v>9.4500534271186805</c:v>
                </c:pt>
                <c:pt idx="29">
                  <c:v>8.4787489280490203</c:v>
                </c:pt>
                <c:pt idx="30">
                  <c:v>8.4619123045559501</c:v>
                </c:pt>
                <c:pt idx="31">
                  <c:v>6.6649108088955797</c:v>
                </c:pt>
                <c:pt idx="32">
                  <c:v>8.3280729551979409</c:v>
                </c:pt>
                <c:pt idx="33" formatCode="#,##0.00">
                  <c:v>#N/A</c:v>
                </c:pt>
                <c:pt idx="34">
                  <c:v>6.1114685456069102</c:v>
                </c:pt>
                <c:pt idx="35">
                  <c:v>6.9361257947295298</c:v>
                </c:pt>
                <c:pt idx="36">
                  <c:v>3.4611650734232202</c:v>
                </c:pt>
                <c:pt idx="37" formatCode="#,##0.00">
                  <c:v>#N/A</c:v>
                </c:pt>
              </c:numCache>
            </c:numRef>
          </c:xVal>
          <c:yVal>
            <c:numRef>
              <c:f>Траснпон!$C$192:$AN$192</c:f>
              <c:numCache>
                <c:formatCode>0.0</c:formatCode>
                <c:ptCount val="38"/>
                <c:pt idx="0">
                  <c:v>18</c:v>
                </c:pt>
                <c:pt idx="1">
                  <c:v>10</c:v>
                </c:pt>
                <c:pt idx="2">
                  <c:v>19</c:v>
                </c:pt>
                <c:pt idx="3">
                  <c:v>17</c:v>
                </c:pt>
                <c:pt idx="4">
                  <c:v>10</c:v>
                </c:pt>
                <c:pt idx="5">
                  <c:v>14</c:v>
                </c:pt>
                <c:pt idx="6">
                  <c:v>24</c:v>
                </c:pt>
                <c:pt idx="7">
                  <c:v>20</c:v>
                </c:pt>
                <c:pt idx="8">
                  <c:v>21</c:v>
                </c:pt>
                <c:pt idx="9">
                  <c:v>21</c:v>
                </c:pt>
                <c:pt idx="10">
                  <c:v>18</c:v>
                </c:pt>
                <c:pt idx="11">
                  <c:v>19</c:v>
                </c:pt>
                <c:pt idx="12">
                  <c:v>23</c:v>
                </c:pt>
                <c:pt idx="13" formatCode="#,##0.00">
                  <c:v>#N/A</c:v>
                </c:pt>
                <c:pt idx="14">
                  <c:v>10</c:v>
                </c:pt>
                <c:pt idx="15">
                  <c:v>17</c:v>
                </c:pt>
                <c:pt idx="16">
                  <c:v>8</c:v>
                </c:pt>
                <c:pt idx="17">
                  <c:v>24</c:v>
                </c:pt>
                <c:pt idx="18">
                  <c:v>25</c:v>
                </c:pt>
                <c:pt idx="19">
                  <c:v>20</c:v>
                </c:pt>
                <c:pt idx="20">
                  <c:v>21</c:v>
                </c:pt>
                <c:pt idx="21">
                  <c:v>20</c:v>
                </c:pt>
                <c:pt idx="22">
                  <c:v>25</c:v>
                </c:pt>
                <c:pt idx="23">
                  <c:v>22</c:v>
                </c:pt>
                <c:pt idx="24">
                  <c:v>23</c:v>
                </c:pt>
                <c:pt idx="25">
                  <c:v>19</c:v>
                </c:pt>
                <c:pt idx="26">
                  <c:v>25</c:v>
                </c:pt>
                <c:pt idx="27">
                  <c:v>21</c:v>
                </c:pt>
                <c:pt idx="28">
                  <c:v>27</c:v>
                </c:pt>
                <c:pt idx="29">
                  <c:v>23</c:v>
                </c:pt>
                <c:pt idx="30">
                  <c:v>22</c:v>
                </c:pt>
                <c:pt idx="31">
                  <c:v>20</c:v>
                </c:pt>
                <c:pt idx="32">
                  <c:v>24</c:v>
                </c:pt>
                <c:pt idx="33">
                  <c:v>20</c:v>
                </c:pt>
                <c:pt idx="34">
                  <c:v>21</c:v>
                </c:pt>
                <c:pt idx="35">
                  <c:v>20</c:v>
                </c:pt>
                <c:pt idx="36">
                  <c:v>8</c:v>
                </c:pt>
                <c:pt idx="37" formatCode="#,##0.00">
                  <c:v>#N/A</c:v>
                </c:pt>
              </c:numCache>
            </c:numRef>
          </c:yVal>
          <c:smooth val="0"/>
          <c:extLst xmlns:c16r2="http://schemas.microsoft.com/office/drawing/2015/06/chart">
            <c:ext xmlns:c16="http://schemas.microsoft.com/office/drawing/2014/chart" uri="{C3380CC4-5D6E-409C-BE32-E72D297353CC}">
              <c16:uniqueId val="{00000027-226D-4479-ABA1-982659652966}"/>
            </c:ext>
          </c:extLst>
        </c:ser>
        <c:dLbls>
          <c:showLegendKey val="0"/>
          <c:showVal val="0"/>
          <c:showCatName val="0"/>
          <c:showSerName val="0"/>
          <c:showPercent val="0"/>
          <c:showBubbleSize val="0"/>
        </c:dLbls>
        <c:axId val="169165184"/>
        <c:axId val="169167104"/>
      </c:scatterChart>
      <c:valAx>
        <c:axId val="169165184"/>
        <c:scaling>
          <c:orientation val="minMax"/>
          <c:min val="2"/>
        </c:scaling>
        <c:delete val="0"/>
        <c:axPos val="b"/>
        <c:title>
          <c:tx>
            <c:rich>
              <a:bodyPr/>
              <a:lstStyle/>
              <a:p>
                <a:pPr>
                  <a:defRPr b="0"/>
                </a:pPr>
                <a:r>
                  <a:rPr lang="ru-RU" b="0"/>
                  <a:t>НДС, % ВВП</a:t>
                </a:r>
              </a:p>
            </c:rich>
          </c:tx>
          <c:layout>
            <c:manualLayout>
              <c:xMode val="edge"/>
              <c:yMode val="edge"/>
              <c:x val="0.64713699709691974"/>
              <c:y val="0.86657395895688483"/>
            </c:manualLayout>
          </c:layout>
          <c:overlay val="0"/>
        </c:title>
        <c:numFmt formatCode="#,##0.0" sourceLinked="0"/>
        <c:majorTickMark val="out"/>
        <c:minorTickMark val="none"/>
        <c:tickLblPos val="nextTo"/>
        <c:spPr>
          <a:ln>
            <a:solidFill>
              <a:schemeClr val="tx1"/>
            </a:solidFill>
          </a:ln>
        </c:spPr>
        <c:crossAx val="169167104"/>
        <c:crosses val="autoZero"/>
        <c:crossBetween val="midCat"/>
      </c:valAx>
      <c:valAx>
        <c:axId val="169167104"/>
        <c:scaling>
          <c:orientation val="minMax"/>
          <c:min val="5"/>
        </c:scaling>
        <c:delete val="0"/>
        <c:axPos val="l"/>
        <c:title>
          <c:tx>
            <c:rich>
              <a:bodyPr/>
              <a:lstStyle/>
              <a:p>
                <a:pPr>
                  <a:defRPr b="0"/>
                </a:pPr>
                <a:r>
                  <a:rPr lang="ru-RU" b="0"/>
                  <a:t>ставка НДС,</a:t>
                </a:r>
                <a:r>
                  <a:rPr lang="ru-RU" b="0" baseline="0"/>
                  <a:t> </a:t>
                </a:r>
                <a:r>
                  <a:rPr lang="en-US" b="0"/>
                  <a:t>%</a:t>
                </a:r>
                <a:endParaRPr lang="ru-RU" b="0"/>
              </a:p>
            </c:rich>
          </c:tx>
          <c:layout>
            <c:manualLayout>
              <c:xMode val="edge"/>
              <c:yMode val="edge"/>
              <c:x val="8.7220120589890759E-2"/>
              <c:y val="8.9323608687251962E-3"/>
            </c:manualLayout>
          </c:layout>
          <c:overlay val="0"/>
        </c:title>
        <c:numFmt formatCode="#,##0" sourceLinked="0"/>
        <c:majorTickMark val="out"/>
        <c:minorTickMark val="none"/>
        <c:tickLblPos val="nextTo"/>
        <c:spPr>
          <a:ln>
            <a:solidFill>
              <a:schemeClr val="tx1"/>
            </a:solidFill>
          </a:ln>
        </c:spPr>
        <c:crossAx val="169165184"/>
        <c:crosses val="autoZero"/>
        <c:crossBetween val="midCat"/>
      </c:valAx>
    </c:plotArea>
    <c:plotVisOnly val="1"/>
    <c:dispBlanksAs val="gap"/>
    <c:showDLblsOverMax val="0"/>
  </c:chart>
  <c:spPr>
    <a:ln>
      <a:noFill/>
    </a:ln>
  </c:spPr>
  <c:txPr>
    <a:bodyPr/>
    <a:lstStyle/>
    <a:p>
      <a:pPr>
        <a:defRPr sz="1000">
          <a:latin typeface="Century" panose="02040604050505020304"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25047590304143E-2"/>
          <c:y val="1.5070475456352447E-2"/>
          <c:w val="0.8535151199485278"/>
          <c:h val="0.88092179040407081"/>
        </c:manualLayout>
      </c:layout>
      <c:scatterChart>
        <c:scatterStyle val="lineMarker"/>
        <c:varyColors val="0"/>
        <c:ser>
          <c:idx val="0"/>
          <c:order val="0"/>
          <c:spPr>
            <a:ln w="28575">
              <a:noFill/>
            </a:ln>
          </c:spPr>
          <c:marker>
            <c:symbol val="circle"/>
            <c:size val="5"/>
            <c:spPr>
              <a:solidFill>
                <a:schemeClr val="tx1"/>
              </a:solidFill>
              <a:ln>
                <a:noFill/>
              </a:ln>
            </c:spPr>
          </c:marker>
          <c:dPt>
            <c:idx val="0"/>
            <c:marker>
              <c:symbol val="circle"/>
              <c:size val="9"/>
              <c:spPr>
                <a:solidFill>
                  <a:srgbClr val="006600"/>
                </a:solidFill>
                <a:ln>
                  <a:noFill/>
                </a:ln>
              </c:spPr>
            </c:marker>
            <c:bubble3D val="0"/>
            <c:extLst xmlns:c16r2="http://schemas.microsoft.com/office/drawing/2015/06/chart">
              <c:ext xmlns:c16="http://schemas.microsoft.com/office/drawing/2014/chart" uri="{C3380CC4-5D6E-409C-BE32-E72D297353CC}">
                <c16:uniqueId val="{00000000-C074-41AD-A777-A076F87DF2EF}"/>
              </c:ext>
            </c:extLst>
          </c:dPt>
          <c:dPt>
            <c:idx val="6"/>
            <c:marker>
              <c:spPr>
                <a:noFill/>
                <a:ln>
                  <a:noFill/>
                </a:ln>
              </c:spPr>
            </c:marker>
            <c:bubble3D val="0"/>
            <c:extLst xmlns:c16r2="http://schemas.microsoft.com/office/drawing/2015/06/chart">
              <c:ext xmlns:c16="http://schemas.microsoft.com/office/drawing/2014/chart" uri="{C3380CC4-5D6E-409C-BE32-E72D297353CC}">
                <c16:uniqueId val="{00000007-C074-41AD-A777-A076F87DF2EF}"/>
              </c:ext>
            </c:extLst>
          </c:dPt>
          <c:dPt>
            <c:idx val="27"/>
            <c:bubble3D val="0"/>
            <c:extLst xmlns:c16r2="http://schemas.microsoft.com/office/drawing/2015/06/chart">
              <c:ext xmlns:c16="http://schemas.microsoft.com/office/drawing/2014/chart" uri="{C3380CC4-5D6E-409C-BE32-E72D297353CC}">
                <c16:uniqueId val="{00000001-C074-41AD-A777-A076F87DF2EF}"/>
              </c:ext>
            </c:extLst>
          </c:dPt>
          <c:dLbls>
            <c:dLbl>
              <c:idx val="0"/>
              <c:layout>
                <c:manualLayout>
                  <c:x val="-0.10116731517509731"/>
                  <c:y val="-3.3800912624640925E-2"/>
                </c:manualLayout>
              </c:layout>
              <c:tx>
                <c:strRef>
                  <c:f>Траснпон!$C$3</c:f>
                  <c:strCache>
                    <c:ptCount val="1"/>
                    <c:pt idx="0">
                      <c:v>Россия</c:v>
                    </c:pt>
                  </c:strCache>
                </c:strRef>
              </c:tx>
              <c:spPr/>
              <c:txPr>
                <a:bodyPr/>
                <a:lstStyle/>
                <a:p>
                  <a:pPr>
                    <a:defRPr sz="1000" b="1" i="0" strike="noStrike">
                      <a:solidFill>
                        <a:schemeClr val="tx1"/>
                      </a:solidFill>
                      <a:latin typeface="Century"/>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{3D098D54-9A46-4393-B7BA-F88569B2233F}</c15:txfldGUID>
                      <c15:f>Траснпон!$C$3</c15:f>
                      <c15:dlblFieldTableCache>
                        <c:ptCount val="1"/>
                        <c:pt idx="0">
                          <c:v>Россия</c:v>
                        </c:pt>
                      </c15:dlblFieldTableCache>
                    </c15:dlblFTEntry>
                  </c15:dlblFieldTable>
                  <c15:showDataLabelsRange val="0"/>
                </c:ext>
                <c:ext xmlns:c16="http://schemas.microsoft.com/office/drawing/2014/chart" uri="{C3380CC4-5D6E-409C-BE32-E72D297353CC}">
                  <c16:uniqueId val="{00000000-C074-41AD-A777-A076F87DF2EF}"/>
                </c:ext>
              </c:extLst>
            </c:dLbl>
            <c:dLbl>
              <c:idx val="1"/>
              <c:layout/>
              <c:tx>
                <c:strRef>
                  <c:f>Траснпон!$D$3</c:f>
                  <c:strCache>
                    <c:ptCount val="1"/>
                    <c:pt idx="0">
                      <c:v>Индонезия</c:v>
                    </c:pt>
                  </c:strCache>
                </c:strRef>
              </c:tx>
              <c:spPr/>
              <c:txPr>
                <a:bodyPr/>
                <a:lstStyle/>
                <a:p>
                  <a:pPr>
                    <a:defRPr sz="700" b="0" i="0" strike="noStrike">
                      <a:latin typeface="Century"/>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{2BD66E7A-C026-4765-ABE4-302823E2D275}</c15:txfldGUID>
                      <c15:f>Траснпон!$D$3</c15:f>
                      <c15:dlblFieldTableCache>
                        <c:ptCount val="1"/>
                        <c:pt idx="0">
                          <c:v>Индонезия</c:v>
                        </c:pt>
                      </c15:dlblFieldTableCache>
                    </c15:dlblFTEntry>
                  </c15:dlblFieldTable>
                  <c15:showDataLabelsRange val="0"/>
                </c:ext>
                <c:ext xmlns:c16="http://schemas.microsoft.com/office/drawing/2014/chart" uri="{C3380CC4-5D6E-409C-BE32-E72D297353CC}">
                  <c16:uniqueId val="{00000002-C074-41AD-A777-A076F87DF2EF}"/>
                </c:ext>
              </c:extLst>
            </c:dLbl>
            <c:dLbl>
              <c:idx val="2"/>
              <c:layout/>
              <c:tx>
                <c:strRef>
                  <c:f>Траснпон!$E$3</c:f>
                  <c:strCache>
                    <c:ptCount val="1"/>
                    <c:pt idx="0">
                      <c:v>Чили</c:v>
                    </c:pt>
                  </c:strCache>
                </c:strRef>
              </c:tx>
              <c:spPr/>
              <c:txPr>
                <a:bodyPr/>
                <a:lstStyle/>
                <a:p>
                  <a:pPr>
                    <a:defRPr sz="700" b="0" i="0" strike="noStrike">
                      <a:latin typeface="Century"/>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{76B04E8D-ED37-4D5C-988F-ED96D9F94356}</c15:txfldGUID>
                      <c15:f>Траснпон!$E$3</c15:f>
                      <c15:dlblFieldTableCache>
                        <c:ptCount val="1"/>
                        <c:pt idx="0">
                          <c:v>Чили</c:v>
                        </c:pt>
                      </c15:dlblFieldTableCache>
                    </c15:dlblFTEntry>
                  </c15:dlblFieldTable>
                  <c15:showDataLabelsRange val="0"/>
                </c:ext>
                <c:ext xmlns:c16="http://schemas.microsoft.com/office/drawing/2014/chart" uri="{C3380CC4-5D6E-409C-BE32-E72D297353CC}">
                  <c16:uniqueId val="{00000003-C074-41AD-A777-A076F87DF2EF}"/>
                </c:ext>
              </c:extLst>
            </c:dLbl>
            <c:dLbl>
              <c:idx val="3"/>
              <c:layout/>
              <c:tx>
                <c:strRef>
                  <c:f>Траснпон!$F$3</c:f>
                  <c:strCache>
                    <c:ptCount val="1"/>
                    <c:pt idx="0">
                      <c:v>Китай</c:v>
                    </c:pt>
                  </c:strCache>
                </c:strRef>
              </c:tx>
              <c:spPr/>
              <c:txPr>
                <a:bodyPr/>
                <a:lstStyle/>
                <a:p>
                  <a:pPr>
                    <a:defRPr sz="700" b="0" i="0" strike="noStrike">
                      <a:latin typeface="Century"/>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{85B4E1AA-E8BF-42E2-9012-9EE5291BCB2F}</c15:txfldGUID>
                      <c15:f>Траснпон!$F$3</c15:f>
                      <c15:dlblFieldTableCache>
                        <c:ptCount val="1"/>
                        <c:pt idx="0">
                          <c:v>Китай</c:v>
                        </c:pt>
                      </c15:dlblFieldTableCache>
                    </c15:dlblFTEntry>
                  </c15:dlblFieldTable>
                  <c15:showDataLabelsRange val="0"/>
                </c:ext>
                <c:ext xmlns:c16="http://schemas.microsoft.com/office/drawing/2014/chart" uri="{C3380CC4-5D6E-409C-BE32-E72D297353CC}">
                  <c16:uniqueId val="{00000004-C074-41AD-A777-A076F87DF2EF}"/>
                </c:ext>
              </c:extLst>
            </c:dLbl>
            <c:dLbl>
              <c:idx val="4"/>
              <c:layout/>
              <c:tx>
                <c:strRef>
                  <c:f>Траснпон!$G$3</c:f>
                  <c:strCache>
                    <c:ptCount val="1"/>
                    <c:pt idx="0">
                      <c:v>Корея</c:v>
                    </c:pt>
                  </c:strCache>
                </c:strRef>
              </c:tx>
              <c:spPr/>
              <c:txPr>
                <a:bodyPr/>
                <a:lstStyle/>
                <a:p>
                  <a:pPr>
                    <a:defRPr sz="700" b="0" i="0" strike="noStrike">
                      <a:latin typeface="Century"/>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{BF9567DC-DAC4-4627-B3D4-034EED3A210B}</c15:txfldGUID>
                      <c15:f>Траснпон!$G$3</c15:f>
                      <c15:dlblFieldTableCache>
                        <c:ptCount val="1"/>
                        <c:pt idx="0">
                          <c:v>Корея</c:v>
                        </c:pt>
                      </c15:dlblFieldTableCache>
                    </c15:dlblFTEntry>
                  </c15:dlblFieldTable>
                  <c15:showDataLabelsRange val="0"/>
                </c:ext>
                <c:ext xmlns:c16="http://schemas.microsoft.com/office/drawing/2014/chart" uri="{C3380CC4-5D6E-409C-BE32-E72D297353CC}">
                  <c16:uniqueId val="{00000005-C074-41AD-A777-A076F87DF2EF}"/>
                </c:ext>
              </c:extLst>
            </c:dLbl>
            <c:dLbl>
              <c:idx val="5"/>
              <c:layout/>
              <c:tx>
                <c:strRef>
                  <c:f>Траснпон!$H$3</c:f>
                  <c:strCache>
                    <c:ptCount val="1"/>
                    <c:pt idx="0">
                      <c:v>ЮАР</c:v>
                    </c:pt>
                  </c:strCache>
                </c:strRef>
              </c:tx>
              <c:spPr/>
              <c:txPr>
                <a:bodyPr/>
                <a:lstStyle/>
                <a:p>
                  <a:pPr>
                    <a:defRPr sz="700" b="0" i="0" strike="noStrike">
                      <a:latin typeface="Century"/>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{881065E3-6D32-48F1-A951-61E78120FA54}</c15:txfldGUID>
                      <c15:f>Траснпон!$H$3</c15:f>
                      <c15:dlblFieldTableCache>
                        <c:ptCount val="1"/>
                        <c:pt idx="0">
                          <c:v>ЮАР</c:v>
                        </c:pt>
                      </c15:dlblFieldTableCache>
                    </c15:dlblFTEntry>
                  </c15:dlblFieldTable>
                  <c15:showDataLabelsRange val="0"/>
                </c:ext>
                <c:ext xmlns:c16="http://schemas.microsoft.com/office/drawing/2014/chart" uri="{C3380CC4-5D6E-409C-BE32-E72D297353CC}">
                  <c16:uniqueId val="{00000006-C074-41AD-A777-A076F87DF2EF}"/>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074-41AD-A777-A076F87DF2EF}"/>
                </c:ext>
              </c:extLst>
            </c:dLbl>
            <c:dLbl>
              <c:idx val="7"/>
              <c:layout/>
              <c:tx>
                <c:strRef>
                  <c:f>Траснпон!$J$3</c:f>
                  <c:strCache>
                    <c:ptCount val="1"/>
                    <c:pt idx="0">
                      <c:v>Болгария</c:v>
                    </c:pt>
                  </c:strCache>
                </c:strRef>
              </c:tx>
              <c:spPr/>
              <c:txPr>
                <a:bodyPr/>
                <a:lstStyle/>
                <a:p>
                  <a:pPr>
                    <a:defRPr sz="700" b="0" i="0" strike="noStrike">
                      <a:latin typeface="Century"/>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{E135F380-9704-4EFC-B37B-5C7335316EEF}</c15:txfldGUID>
                      <c15:f>Траснпон!$J$3</c15:f>
                      <c15:dlblFieldTableCache>
                        <c:ptCount val="1"/>
                        <c:pt idx="0">
                          <c:v>Болгария</c:v>
                        </c:pt>
                      </c15:dlblFieldTableCache>
                    </c15:dlblFTEntry>
                  </c15:dlblFieldTable>
                  <c15:showDataLabelsRange val="0"/>
                </c:ext>
                <c:ext xmlns:c16="http://schemas.microsoft.com/office/drawing/2014/chart" uri="{C3380CC4-5D6E-409C-BE32-E72D297353CC}">
                  <c16:uniqueId val="{00000008-C074-41AD-A777-A076F87DF2EF}"/>
                </c:ext>
              </c:extLst>
            </c:dLbl>
            <c:dLbl>
              <c:idx val="8"/>
              <c:layout/>
              <c:tx>
                <c:strRef>
                  <c:f>Траснпон!$K$3</c:f>
                  <c:strCache>
                    <c:ptCount val="1"/>
                    <c:pt idx="0">
                      <c:v>Латвия</c:v>
                    </c:pt>
                  </c:strCache>
                </c:strRef>
              </c:tx>
              <c:spPr/>
              <c:txPr>
                <a:bodyPr/>
                <a:lstStyle/>
                <a:p>
                  <a:pPr>
                    <a:defRPr sz="700" b="0" i="0" strike="noStrike">
                      <a:latin typeface="Century"/>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{59590D5C-C5A4-4518-9824-A8847A44AEEE}</c15:txfldGUID>
                      <c15:f>Траснпон!$K$3</c15:f>
                      <c15:dlblFieldTableCache>
                        <c:ptCount val="1"/>
                        <c:pt idx="0">
                          <c:v>Латвия</c:v>
                        </c:pt>
                      </c15:dlblFieldTableCache>
                    </c15:dlblFTEntry>
                  </c15:dlblFieldTable>
                  <c15:showDataLabelsRange val="0"/>
                </c:ext>
                <c:ext xmlns:c16="http://schemas.microsoft.com/office/drawing/2014/chart" uri="{C3380CC4-5D6E-409C-BE32-E72D297353CC}">
                  <c16:uniqueId val="{00000009-C074-41AD-A777-A076F87DF2EF}"/>
                </c:ext>
              </c:extLst>
            </c:dLbl>
            <c:dLbl>
              <c:idx val="9"/>
              <c:layout>
                <c:manualLayout>
                  <c:x val="-7.8715342949148587E-2"/>
                  <c:y val="-2.2568099685053602E-2"/>
                </c:manualLayout>
              </c:layout>
              <c:tx>
                <c:strRef>
                  <c:f>Траснпон!$L$3</c:f>
                  <c:strCache>
                    <c:ptCount val="1"/>
                    <c:pt idx="0">
                      <c:v>Чехия</c:v>
                    </c:pt>
                  </c:strCache>
                </c:strRef>
              </c:tx>
              <c:spPr/>
              <c:txPr>
                <a:bodyPr/>
                <a:lstStyle/>
                <a:p>
                  <a:pPr>
                    <a:defRPr sz="700" b="0" i="0" strike="noStrike">
                      <a:latin typeface="Century"/>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{E30C6D2A-6B0C-4788-B666-C18AB3E83773}</c15:txfldGUID>
                      <c15:f>Траснпон!$L$3</c15:f>
                      <c15:dlblFieldTableCache>
                        <c:ptCount val="1"/>
                        <c:pt idx="0">
                          <c:v>Чехия</c:v>
                        </c:pt>
                      </c15:dlblFieldTableCache>
                    </c15:dlblFTEntry>
                  </c15:dlblFieldTable>
                  <c15:showDataLabelsRange val="0"/>
                </c:ext>
                <c:ext xmlns:c16="http://schemas.microsoft.com/office/drawing/2014/chart" uri="{C3380CC4-5D6E-409C-BE32-E72D297353CC}">
                  <c16:uniqueId val="{0000000A-C074-41AD-A777-A076F87DF2EF}"/>
                </c:ext>
              </c:extLst>
            </c:dLbl>
            <c:dLbl>
              <c:idx val="10"/>
              <c:layout/>
              <c:tx>
                <c:strRef>
                  <c:f>Траснпон!$M$3</c:f>
                  <c:strCache>
                    <c:ptCount val="1"/>
                    <c:pt idx="0">
                      <c:v>Турция</c:v>
                    </c:pt>
                  </c:strCache>
                </c:strRef>
              </c:tx>
              <c:spPr/>
              <c:txPr>
                <a:bodyPr/>
                <a:lstStyle/>
                <a:p>
                  <a:pPr>
                    <a:defRPr sz="700" b="0" i="0" strike="noStrike">
                      <a:latin typeface="Century"/>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{E0A0265C-A030-4228-82D7-6D276D4F34E4}</c15:txfldGUID>
                      <c15:f>Траснпон!$M$3</c15:f>
                      <c15:dlblFieldTableCache>
                        <c:ptCount val="1"/>
                        <c:pt idx="0">
                          <c:v>Турция</c:v>
                        </c:pt>
                      </c15:dlblFieldTableCache>
                    </c15:dlblFTEntry>
                  </c15:dlblFieldTable>
                  <c15:showDataLabelsRange val="0"/>
                </c:ext>
                <c:ext xmlns:c16="http://schemas.microsoft.com/office/drawing/2014/chart" uri="{C3380CC4-5D6E-409C-BE32-E72D297353CC}">
                  <c16:uniqueId val="{0000000B-C074-41AD-A777-A076F87DF2EF}"/>
                </c:ext>
              </c:extLst>
            </c:dLbl>
            <c:dLbl>
              <c:idx val="11"/>
              <c:layout/>
              <c:tx>
                <c:strRef>
                  <c:f>Траснпон!$N$3</c:f>
                  <c:strCache>
                    <c:ptCount val="1"/>
                    <c:pt idx="0">
                      <c:v>Бразилия</c:v>
                    </c:pt>
                  </c:strCache>
                </c:strRef>
              </c:tx>
              <c:spPr/>
              <c:txPr>
                <a:bodyPr/>
                <a:lstStyle/>
                <a:p>
                  <a:pPr>
                    <a:defRPr sz="700" b="0" i="0" strike="noStrike">
                      <a:latin typeface="Century"/>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{62D9E113-E0D0-4DCB-81C6-49871DE9CCCA}</c15:txfldGUID>
                      <c15:f>Траснпон!$N$3</c15:f>
                      <c15:dlblFieldTableCache>
                        <c:ptCount val="1"/>
                        <c:pt idx="0">
                          <c:v>Бразилия</c:v>
                        </c:pt>
                      </c15:dlblFieldTableCache>
                    </c15:dlblFTEntry>
                  </c15:dlblFieldTable>
                  <c15:showDataLabelsRange val="0"/>
                </c:ext>
                <c:ext xmlns:c16="http://schemas.microsoft.com/office/drawing/2014/chart" uri="{C3380CC4-5D6E-409C-BE32-E72D297353CC}">
                  <c16:uniqueId val="{0000000C-C074-41AD-A777-A076F87DF2EF}"/>
                </c:ext>
              </c:extLst>
            </c:dLbl>
            <c:dLbl>
              <c:idx val="12"/>
              <c:layout>
                <c:manualLayout>
                  <c:x val="-0.14408293368282332"/>
                  <c:y val="0"/>
                </c:manualLayout>
              </c:layout>
              <c:tx>
                <c:strRef>
                  <c:f>Траснпон!$O$3</c:f>
                  <c:strCache>
                    <c:ptCount val="1"/>
                    <c:pt idx="0">
                      <c:v>Польша</c:v>
                    </c:pt>
                  </c:strCache>
                </c:strRef>
              </c:tx>
              <c:spPr/>
              <c:txPr>
                <a:bodyPr/>
                <a:lstStyle/>
                <a:p>
                  <a:pPr>
                    <a:defRPr sz="700" b="0" i="0" strike="noStrike">
                      <a:latin typeface="Century"/>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{6A20A733-6281-47CB-95FA-A8200B52E68F}</c15:txfldGUID>
                      <c15:f>Траснпон!$O$3</c15:f>
                      <c15:dlblFieldTableCache>
                        <c:ptCount val="1"/>
                        <c:pt idx="0">
                          <c:v>Польша</c:v>
                        </c:pt>
                      </c15:dlblFieldTableCache>
                    </c15:dlblFTEntry>
                  </c15:dlblFieldTable>
                  <c15:showDataLabelsRange val="0"/>
                </c:ext>
                <c:ext xmlns:c16="http://schemas.microsoft.com/office/drawing/2014/chart" uri="{C3380CC4-5D6E-409C-BE32-E72D297353CC}">
                  <c16:uniqueId val="{0000000D-C074-41AD-A777-A076F87DF2EF}"/>
                </c:ext>
              </c:extLst>
            </c:dLbl>
            <c:dLbl>
              <c:idx val="13"/>
              <c:layout/>
              <c:tx>
                <c:strRef>
                  <c:f>Траснпон!$P$3</c:f>
                  <c:strCache>
                    <c:ptCount val="1"/>
                    <c:pt idx="0">
                      <c:v>США</c:v>
                    </c:pt>
                  </c:strCache>
                </c:strRef>
              </c:tx>
              <c:spPr/>
              <c:txPr>
                <a:bodyPr/>
                <a:lstStyle/>
                <a:p>
                  <a:pPr>
                    <a:defRPr sz="700" b="0" i="0" strike="noStrike">
                      <a:latin typeface="Century"/>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{07CA63BF-C407-4D15-ABF0-4D75F20B4469}</c15:txfldGUID>
                      <c15:f>Траснпон!$P$3</c15:f>
                      <c15:dlblFieldTableCache>
                        <c:ptCount val="1"/>
                        <c:pt idx="0">
                          <c:v>США</c:v>
                        </c:pt>
                      </c15:dlblFieldTableCache>
                    </c15:dlblFTEntry>
                  </c15:dlblFieldTable>
                  <c15:showDataLabelsRange val="0"/>
                </c:ext>
                <c:ext xmlns:c16="http://schemas.microsoft.com/office/drawing/2014/chart" uri="{C3380CC4-5D6E-409C-BE32-E72D297353CC}">
                  <c16:uniqueId val="{0000000E-C074-41AD-A777-A076F87DF2EF}"/>
                </c:ext>
              </c:extLst>
            </c:dLbl>
            <c:dLbl>
              <c:idx val="14"/>
              <c:layout/>
              <c:tx>
                <c:strRef>
                  <c:f>Траснпон!$Q$3</c:f>
                  <c:strCache>
                    <c:ptCount val="1"/>
                    <c:pt idx="0">
                      <c:v>Австралия</c:v>
                    </c:pt>
                  </c:strCache>
                </c:strRef>
              </c:tx>
              <c:spPr/>
              <c:txPr>
                <a:bodyPr/>
                <a:lstStyle/>
                <a:p>
                  <a:pPr>
                    <a:defRPr sz="700" b="0" i="0" strike="noStrike">
                      <a:latin typeface="Century"/>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{A38B7052-D0CB-47D0-A22F-2AFA9D54D48C}</c15:txfldGUID>
                      <c15:f>Траснпон!$Q$3</c15:f>
                      <c15:dlblFieldTableCache>
                        <c:ptCount val="1"/>
                        <c:pt idx="0">
                          <c:v>Австралия</c:v>
                        </c:pt>
                      </c15:dlblFieldTableCache>
                    </c15:dlblFTEntry>
                  </c15:dlblFieldTable>
                  <c15:showDataLabelsRange val="0"/>
                </c:ext>
                <c:ext xmlns:c16="http://schemas.microsoft.com/office/drawing/2014/chart" uri="{C3380CC4-5D6E-409C-BE32-E72D297353CC}">
                  <c16:uniqueId val="{0000000F-C074-41AD-A777-A076F87DF2EF}"/>
                </c:ext>
              </c:extLst>
            </c:dLbl>
            <c:dLbl>
              <c:idx val="15"/>
              <c:layout/>
              <c:tx>
                <c:strRef>
                  <c:f>Траснпон!$R$3</c:f>
                  <c:strCache>
                    <c:ptCount val="1"/>
                    <c:pt idx="0">
                      <c:v>Израиль</c:v>
                    </c:pt>
                  </c:strCache>
                </c:strRef>
              </c:tx>
              <c:spPr/>
              <c:txPr>
                <a:bodyPr/>
                <a:lstStyle/>
                <a:p>
                  <a:pPr>
                    <a:defRPr sz="700" b="0" i="0" strike="noStrike">
                      <a:latin typeface="Century"/>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{AD00F3B0-C300-4ABC-8A77-32D9867F5939}</c15:txfldGUID>
                      <c15:f>Траснпон!$R$3</c15:f>
                      <c15:dlblFieldTableCache>
                        <c:ptCount val="1"/>
                        <c:pt idx="0">
                          <c:v>Израиль</c:v>
                        </c:pt>
                      </c15:dlblFieldTableCache>
                    </c15:dlblFTEntry>
                  </c15:dlblFieldTable>
                  <c15:showDataLabelsRange val="0"/>
                </c:ext>
                <c:ext xmlns:c16="http://schemas.microsoft.com/office/drawing/2014/chart" uri="{C3380CC4-5D6E-409C-BE32-E72D297353CC}">
                  <c16:uniqueId val="{00000010-C074-41AD-A777-A076F87DF2EF}"/>
                </c:ext>
              </c:extLst>
            </c:dLbl>
            <c:dLbl>
              <c:idx val="16"/>
              <c:layout/>
              <c:tx>
                <c:strRef>
                  <c:f>Траснпон!$S$3</c:f>
                  <c:strCache>
                    <c:ptCount val="1"/>
                    <c:pt idx="0">
                      <c:v>Япония</c:v>
                    </c:pt>
                  </c:strCache>
                </c:strRef>
              </c:tx>
              <c:spPr/>
              <c:txPr>
                <a:bodyPr/>
                <a:lstStyle/>
                <a:p>
                  <a:pPr>
                    <a:defRPr sz="700" b="0" i="0" strike="noStrike">
                      <a:latin typeface="Century"/>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{4A159832-7405-4850-95EE-C6CEDE9E4F3D}</c15:txfldGUID>
                      <c15:f>Траснпон!$S$3</c15:f>
                      <c15:dlblFieldTableCache>
                        <c:ptCount val="1"/>
                        <c:pt idx="0">
                          <c:v>Япония</c:v>
                        </c:pt>
                      </c15:dlblFieldTableCache>
                    </c15:dlblFTEntry>
                  </c15:dlblFieldTable>
                  <c15:showDataLabelsRange val="0"/>
                </c:ext>
                <c:ext xmlns:c16="http://schemas.microsoft.com/office/drawing/2014/chart" uri="{C3380CC4-5D6E-409C-BE32-E72D297353CC}">
                  <c16:uniqueId val="{00000011-C074-41AD-A777-A076F87DF2EF}"/>
                </c:ext>
              </c:extLst>
            </c:dLbl>
            <c:dLbl>
              <c:idx val="17"/>
              <c:layout/>
              <c:tx>
                <c:strRef>
                  <c:f>Траснпон!$T$3</c:f>
                  <c:strCache>
                    <c:ptCount val="1"/>
                    <c:pt idx="0">
                      <c:v>Финляндия</c:v>
                    </c:pt>
                  </c:strCache>
                </c:strRef>
              </c:tx>
              <c:spPr/>
              <c:txPr>
                <a:bodyPr/>
                <a:lstStyle/>
                <a:p>
                  <a:pPr>
                    <a:defRPr sz="700" b="0" i="0" strike="noStrike">
                      <a:latin typeface="Century"/>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{9BD7BE91-3478-4ACC-8DE5-93CFC126DBF0}</c15:txfldGUID>
                      <c15:f>Траснпон!$T$3</c15:f>
                      <c15:dlblFieldTableCache>
                        <c:ptCount val="1"/>
                        <c:pt idx="0">
                          <c:v>Финляндия</c:v>
                        </c:pt>
                      </c15:dlblFieldTableCache>
                    </c15:dlblFTEntry>
                  </c15:dlblFieldTable>
                  <c15:showDataLabelsRange val="0"/>
                </c:ext>
                <c:ext xmlns:c16="http://schemas.microsoft.com/office/drawing/2014/chart" uri="{C3380CC4-5D6E-409C-BE32-E72D297353CC}">
                  <c16:uniqueId val="{00000012-C074-41AD-A777-A076F87DF2EF}"/>
                </c:ext>
              </c:extLst>
            </c:dLbl>
            <c:dLbl>
              <c:idx val="18"/>
              <c:layout/>
              <c:tx>
                <c:strRef>
                  <c:f>Траснпон!$U$3</c:f>
                  <c:strCache>
                    <c:ptCount val="1"/>
                    <c:pt idx="0">
                      <c:v>Дания</c:v>
                    </c:pt>
                  </c:strCache>
                </c:strRef>
              </c:tx>
              <c:spPr/>
              <c:txPr>
                <a:bodyPr/>
                <a:lstStyle/>
                <a:p>
                  <a:pPr>
                    <a:defRPr sz="700" b="0" i="0" strike="noStrike">
                      <a:latin typeface="Century"/>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{44846A78-6E76-46BF-B9B1-477909BED5F2}</c15:txfldGUID>
                      <c15:f>Траснпон!$U$3</c15:f>
                      <c15:dlblFieldTableCache>
                        <c:ptCount val="1"/>
                        <c:pt idx="0">
                          <c:v>Дания</c:v>
                        </c:pt>
                      </c15:dlblFieldTableCache>
                    </c15:dlblFTEntry>
                  </c15:dlblFieldTable>
                  <c15:showDataLabelsRange val="0"/>
                </c:ext>
                <c:ext xmlns:c16="http://schemas.microsoft.com/office/drawing/2014/chart" uri="{C3380CC4-5D6E-409C-BE32-E72D297353CC}">
                  <c16:uniqueId val="{00000013-C074-41AD-A777-A076F87DF2EF}"/>
                </c:ext>
              </c:extLst>
            </c:dLbl>
            <c:dLbl>
              <c:idx val="19"/>
              <c:tx>
                <c:strRef>
                  <c:f>Траснпон!$V$3</c:f>
                  <c:strCache>
                    <c:ptCount val="1"/>
                    <c:pt idx="0">
                      <c:v>Франция</c:v>
                    </c:pt>
                  </c:strCache>
                </c:strRef>
              </c:tx>
              <c:spPr/>
              <c:txPr>
                <a:bodyPr/>
                <a:lstStyle/>
                <a:p>
                  <a:pPr>
                    <a:defRPr sz="700" b="0" i="0" strike="noStrike">
                      <a:latin typeface="Century"/>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{9F2B75E4-9CB7-48AF-8FE3-D1F81E89EB88}</c15:txfldGUID>
                      <c15:f>Траснпон!$V$3</c15:f>
                      <c15:dlblFieldTableCache>
                        <c:ptCount val="1"/>
                        <c:pt idx="0">
                          <c:v>Франция</c:v>
                        </c:pt>
                      </c15:dlblFieldTableCache>
                    </c15:dlblFTEntry>
                  </c15:dlblFieldTable>
                  <c15:showDataLabelsRange val="0"/>
                </c:ext>
                <c:ext xmlns:c16="http://schemas.microsoft.com/office/drawing/2014/chart" uri="{C3380CC4-5D6E-409C-BE32-E72D297353CC}">
                  <c16:uniqueId val="{00000014-C074-41AD-A777-A076F87DF2EF}"/>
                </c:ext>
              </c:extLst>
            </c:dLbl>
            <c:dLbl>
              <c:idx val="20"/>
              <c:layout/>
              <c:tx>
                <c:strRef>
                  <c:f>Траснпон!$W$3</c:f>
                  <c:strCache>
                    <c:ptCount val="1"/>
                    <c:pt idx="0">
                      <c:v>Бельгия</c:v>
                    </c:pt>
                  </c:strCache>
                </c:strRef>
              </c:tx>
              <c:spPr/>
              <c:txPr>
                <a:bodyPr/>
                <a:lstStyle/>
                <a:p>
                  <a:pPr>
                    <a:defRPr sz="700" b="0" i="0" strike="noStrike">
                      <a:latin typeface="Century"/>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{80DA53B9-BD62-4064-BB89-82080689FA1E}</c15:txfldGUID>
                      <c15:f>Траснпон!$W$3</c15:f>
                      <c15:dlblFieldTableCache>
                        <c:ptCount val="1"/>
                        <c:pt idx="0">
                          <c:v>Бельгия</c:v>
                        </c:pt>
                      </c15:dlblFieldTableCache>
                    </c15:dlblFTEntry>
                  </c15:dlblFieldTable>
                  <c15:showDataLabelsRange val="0"/>
                </c:ext>
                <c:ext xmlns:c16="http://schemas.microsoft.com/office/drawing/2014/chart" uri="{C3380CC4-5D6E-409C-BE32-E72D297353CC}">
                  <c16:uniqueId val="{00000015-C074-41AD-A777-A076F87DF2EF}"/>
                </c:ext>
              </c:extLst>
            </c:dLbl>
            <c:dLbl>
              <c:idx val="21"/>
              <c:layout/>
              <c:tx>
                <c:strRef>
                  <c:f>Траснпон!$X$3</c:f>
                  <c:strCache>
                    <c:ptCount val="1"/>
                    <c:pt idx="0">
                      <c:v>Австрия</c:v>
                    </c:pt>
                  </c:strCache>
                </c:strRef>
              </c:tx>
              <c:spPr/>
              <c:txPr>
                <a:bodyPr/>
                <a:lstStyle/>
                <a:p>
                  <a:pPr>
                    <a:defRPr sz="700" b="0" i="0" strike="noStrike">
                      <a:latin typeface="Century"/>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{CC0CA857-EB4A-45E6-960A-1D4C48BE2E0F}</c15:txfldGUID>
                      <c15:f>Траснпон!$X$3</c15:f>
                      <c15:dlblFieldTableCache>
                        <c:ptCount val="1"/>
                        <c:pt idx="0">
                          <c:v>Австрия</c:v>
                        </c:pt>
                      </c15:dlblFieldTableCache>
                    </c15:dlblFTEntry>
                  </c15:dlblFieldTable>
                  <c15:showDataLabelsRange val="0"/>
                </c:ext>
                <c:ext xmlns:c16="http://schemas.microsoft.com/office/drawing/2014/chart" uri="{C3380CC4-5D6E-409C-BE32-E72D297353CC}">
                  <c16:uniqueId val="{00000016-C074-41AD-A777-A076F87DF2EF}"/>
                </c:ext>
              </c:extLst>
            </c:dLbl>
            <c:dLbl>
              <c:idx val="22"/>
              <c:layout/>
              <c:tx>
                <c:strRef>
                  <c:f>Траснпон!$Y$3</c:f>
                  <c:strCache>
                    <c:ptCount val="1"/>
                    <c:pt idx="0">
                      <c:v>Швеция</c:v>
                    </c:pt>
                  </c:strCache>
                </c:strRef>
              </c:tx>
              <c:spPr/>
              <c:txPr>
                <a:bodyPr/>
                <a:lstStyle/>
                <a:p>
                  <a:pPr>
                    <a:defRPr sz="700" b="0" i="0" strike="noStrike">
                      <a:latin typeface="Century"/>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{B3DA1EED-9A2D-4CC7-A1E9-A573ABD05722}</c15:txfldGUID>
                      <c15:f>Траснпон!$Y$3</c15:f>
                      <c15:dlblFieldTableCache>
                        <c:ptCount val="1"/>
                        <c:pt idx="0">
                          <c:v>Швеция</c:v>
                        </c:pt>
                      </c15:dlblFieldTableCache>
                    </c15:dlblFTEntry>
                  </c15:dlblFieldTable>
                  <c15:showDataLabelsRange val="0"/>
                </c:ext>
                <c:ext xmlns:c16="http://schemas.microsoft.com/office/drawing/2014/chart" uri="{C3380CC4-5D6E-409C-BE32-E72D297353CC}">
                  <c16:uniqueId val="{00000017-C074-41AD-A777-A076F87DF2EF}"/>
                </c:ext>
              </c:extLst>
            </c:dLbl>
            <c:dLbl>
              <c:idx val="23"/>
              <c:layout/>
              <c:tx>
                <c:strRef>
                  <c:f>Траснпон!$Z$3</c:f>
                  <c:strCache>
                    <c:ptCount val="1"/>
                    <c:pt idx="0">
                      <c:v>Италия</c:v>
                    </c:pt>
                  </c:strCache>
                </c:strRef>
              </c:tx>
              <c:spPr/>
              <c:txPr>
                <a:bodyPr/>
                <a:lstStyle/>
                <a:p>
                  <a:pPr>
                    <a:defRPr sz="700" b="0" i="0" strike="noStrike">
                      <a:latin typeface="Century"/>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{4E4085FA-4B41-4520-9622-310C66CB8C8F}</c15:txfldGUID>
                      <c15:f>Траснпон!$Z$3</c15:f>
                      <c15:dlblFieldTableCache>
                        <c:ptCount val="1"/>
                        <c:pt idx="0">
                          <c:v>Италия</c:v>
                        </c:pt>
                      </c15:dlblFieldTableCache>
                    </c15:dlblFTEntry>
                  </c15:dlblFieldTable>
                  <c15:showDataLabelsRange val="0"/>
                </c:ext>
                <c:ext xmlns:c16="http://schemas.microsoft.com/office/drawing/2014/chart" uri="{C3380CC4-5D6E-409C-BE32-E72D297353CC}">
                  <c16:uniqueId val="{00000018-C074-41AD-A777-A076F87DF2EF}"/>
                </c:ext>
              </c:extLst>
            </c:dLbl>
            <c:dLbl>
              <c:idx val="24"/>
              <c:layout/>
              <c:tx>
                <c:strRef>
                  <c:f>Траснпон!$AA$3</c:f>
                  <c:strCache>
                    <c:ptCount val="1"/>
                    <c:pt idx="0">
                      <c:v>Греция</c:v>
                    </c:pt>
                  </c:strCache>
                </c:strRef>
              </c:tx>
              <c:spPr/>
              <c:txPr>
                <a:bodyPr/>
                <a:lstStyle/>
                <a:p>
                  <a:pPr>
                    <a:defRPr sz="700" b="0" i="0" strike="noStrike">
                      <a:latin typeface="Century"/>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{F11D9BD3-0F07-457C-AE87-84C09847AA7D}</c15:txfldGUID>
                      <c15:f>Траснпон!$AA$3</c15:f>
                      <c15:dlblFieldTableCache>
                        <c:ptCount val="1"/>
                        <c:pt idx="0">
                          <c:v>Греция</c:v>
                        </c:pt>
                      </c15:dlblFieldTableCache>
                    </c15:dlblFTEntry>
                  </c15:dlblFieldTable>
                  <c15:showDataLabelsRange val="0"/>
                </c:ext>
                <c:ext xmlns:c16="http://schemas.microsoft.com/office/drawing/2014/chart" uri="{C3380CC4-5D6E-409C-BE32-E72D297353CC}">
                  <c16:uniqueId val="{00000019-C074-41AD-A777-A076F87DF2EF}"/>
                </c:ext>
              </c:extLst>
            </c:dLbl>
            <c:dLbl>
              <c:idx val="25"/>
              <c:layout/>
              <c:tx>
                <c:strRef>
                  <c:f>Траснпон!$AB$3</c:f>
                  <c:strCache>
                    <c:ptCount val="1"/>
                    <c:pt idx="0">
                      <c:v>Германия</c:v>
                    </c:pt>
                  </c:strCache>
                </c:strRef>
              </c:tx>
              <c:spPr/>
              <c:txPr>
                <a:bodyPr/>
                <a:lstStyle/>
                <a:p>
                  <a:pPr>
                    <a:defRPr sz="700" b="0" i="0" strike="noStrike">
                      <a:latin typeface="Century"/>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{2EF62580-27EE-485C-AD3E-7DA38ADFC5D4}</c15:txfldGUID>
                      <c15:f>Траснпон!$AB$3</c15:f>
                      <c15:dlblFieldTableCache>
                        <c:ptCount val="1"/>
                        <c:pt idx="0">
                          <c:v>Германия</c:v>
                        </c:pt>
                      </c15:dlblFieldTableCache>
                    </c15:dlblFTEntry>
                  </c15:dlblFieldTable>
                  <c15:showDataLabelsRange val="0"/>
                </c:ext>
                <c:ext xmlns:c16="http://schemas.microsoft.com/office/drawing/2014/chart" uri="{C3380CC4-5D6E-409C-BE32-E72D297353CC}">
                  <c16:uniqueId val="{0000001A-C074-41AD-A777-A076F87DF2EF}"/>
                </c:ext>
              </c:extLst>
            </c:dLbl>
            <c:dLbl>
              <c:idx val="26"/>
              <c:layout/>
              <c:tx>
                <c:strRef>
                  <c:f>Траснпон!$AC$3</c:f>
                  <c:strCache>
                    <c:ptCount val="1"/>
                    <c:pt idx="0">
                      <c:v>Норвегия</c:v>
                    </c:pt>
                  </c:strCache>
                </c:strRef>
              </c:tx>
              <c:spPr/>
              <c:txPr>
                <a:bodyPr/>
                <a:lstStyle/>
                <a:p>
                  <a:pPr>
                    <a:defRPr sz="700" b="0" i="0" strike="noStrike">
                      <a:latin typeface="Century"/>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{7D4FBBDE-720B-4232-8FC9-65611D35112F}</c15:txfldGUID>
                      <c15:f>Траснпон!$AC$3</c15:f>
                      <c15:dlblFieldTableCache>
                        <c:ptCount val="1"/>
                        <c:pt idx="0">
                          <c:v>Норвегия</c:v>
                        </c:pt>
                      </c15:dlblFieldTableCache>
                    </c15:dlblFTEntry>
                  </c15:dlblFieldTable>
                  <c15:showDataLabelsRange val="0"/>
                </c:ext>
                <c:ext xmlns:c16="http://schemas.microsoft.com/office/drawing/2014/chart" uri="{C3380CC4-5D6E-409C-BE32-E72D297353CC}">
                  <c16:uniqueId val="{0000001B-C074-41AD-A777-A076F87DF2EF}"/>
                </c:ext>
              </c:extLst>
            </c:dLbl>
            <c:dLbl>
              <c:idx val="27"/>
              <c:layout>
                <c:manualLayout>
                  <c:x val="0"/>
                  <c:y val="1.0030266526690481E-2"/>
                </c:manualLayout>
              </c:layout>
              <c:tx>
                <c:strRef>
                  <c:f>Траснпон!$AD$3</c:f>
                  <c:strCache>
                    <c:ptCount val="1"/>
                    <c:pt idx="0">
                      <c:v>Нидерланды</c:v>
                    </c:pt>
                  </c:strCache>
                </c:strRef>
              </c:tx>
              <c:spPr/>
              <c:txPr>
                <a:bodyPr/>
                <a:lstStyle/>
                <a:p>
                  <a:pPr>
                    <a:defRPr sz="700" b="0" i="0" strike="noStrike">
                      <a:latin typeface="Century"/>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{773D09D4-F9D9-49B1-B8CF-D2212DFB027B}</c15:txfldGUID>
                      <c15:f>Траснпон!$AD$3</c15:f>
                      <c15:dlblFieldTableCache>
                        <c:ptCount val="1"/>
                        <c:pt idx="0">
                          <c:v>Нидерланды</c:v>
                        </c:pt>
                      </c15:dlblFieldTableCache>
                    </c15:dlblFTEntry>
                  </c15:dlblFieldTable>
                  <c15:showDataLabelsRange val="0"/>
                </c:ext>
                <c:ext xmlns:c16="http://schemas.microsoft.com/office/drawing/2014/chart" uri="{C3380CC4-5D6E-409C-BE32-E72D297353CC}">
                  <c16:uniqueId val="{00000001-C074-41AD-A777-A076F87DF2EF}"/>
                </c:ext>
              </c:extLst>
            </c:dLbl>
            <c:dLbl>
              <c:idx val="28"/>
              <c:layout/>
              <c:tx>
                <c:strRef>
                  <c:f>Траснпон!$AE$3</c:f>
                  <c:strCache>
                    <c:ptCount val="1"/>
                    <c:pt idx="0">
                      <c:v>Венгрия</c:v>
                    </c:pt>
                  </c:strCache>
                </c:strRef>
              </c:tx>
              <c:spPr/>
              <c:txPr>
                <a:bodyPr/>
                <a:lstStyle/>
                <a:p>
                  <a:pPr>
                    <a:defRPr sz="700" b="0" i="0" strike="noStrike">
                      <a:latin typeface="Century"/>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{E433D313-54C4-499A-907D-6C805A686735}</c15:txfldGUID>
                      <c15:f>Траснпон!$AE$3</c15:f>
                      <c15:dlblFieldTableCache>
                        <c:ptCount val="1"/>
                        <c:pt idx="0">
                          <c:v>Венгрия</c:v>
                        </c:pt>
                      </c15:dlblFieldTableCache>
                    </c15:dlblFTEntry>
                  </c15:dlblFieldTable>
                  <c15:showDataLabelsRange val="0"/>
                </c:ext>
                <c:ext xmlns:c16="http://schemas.microsoft.com/office/drawing/2014/chart" uri="{C3380CC4-5D6E-409C-BE32-E72D297353CC}">
                  <c16:uniqueId val="{0000001C-C074-41AD-A777-A076F87DF2EF}"/>
                </c:ext>
              </c:extLst>
            </c:dLbl>
            <c:dLbl>
              <c:idx val="29"/>
              <c:layout/>
              <c:tx>
                <c:strRef>
                  <c:f>Траснпон!$AF$3</c:f>
                  <c:strCache>
                    <c:ptCount val="1"/>
                    <c:pt idx="0">
                      <c:v>Португалия</c:v>
                    </c:pt>
                  </c:strCache>
                </c:strRef>
              </c:tx>
              <c:spPr/>
              <c:txPr>
                <a:bodyPr/>
                <a:lstStyle/>
                <a:p>
                  <a:pPr>
                    <a:defRPr sz="700" b="0" i="0" strike="noStrike">
                      <a:latin typeface="Century"/>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{03CCC6E8-0782-4261-8A94-122A3FC67158}</c15:txfldGUID>
                      <c15:f>Траснпон!$AF$3</c15:f>
                      <c15:dlblFieldTableCache>
                        <c:ptCount val="1"/>
                        <c:pt idx="0">
                          <c:v>Португалия</c:v>
                        </c:pt>
                      </c15:dlblFieldTableCache>
                    </c15:dlblFTEntry>
                  </c15:dlblFieldTable>
                  <c15:showDataLabelsRange val="0"/>
                </c:ext>
                <c:ext xmlns:c16="http://schemas.microsoft.com/office/drawing/2014/chart" uri="{C3380CC4-5D6E-409C-BE32-E72D297353CC}">
                  <c16:uniqueId val="{0000001D-C074-41AD-A777-A076F87DF2EF}"/>
                </c:ext>
              </c:extLst>
            </c:dLbl>
            <c:dLbl>
              <c:idx val="30"/>
              <c:layout>
                <c:manualLayout>
                  <c:x val="-4.6692607003891051E-2"/>
                  <c:y val="-6.760182524928173E-3"/>
                </c:manualLayout>
              </c:layout>
              <c:tx>
                <c:strRef>
                  <c:f>Траснпон!$AG$3</c:f>
                  <c:strCache>
                    <c:ptCount val="1"/>
                    <c:pt idx="0">
                      <c:v>Словения</c:v>
                    </c:pt>
                  </c:strCache>
                </c:strRef>
              </c:tx>
              <c:spPr/>
              <c:txPr>
                <a:bodyPr/>
                <a:lstStyle/>
                <a:p>
                  <a:pPr>
                    <a:defRPr sz="700" b="0" i="0" strike="noStrike">
                      <a:latin typeface="Century"/>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{AEEDE67C-BF52-4D14-B55D-15CBD0940F48}</c15:txfldGUID>
                      <c15:f>Траснпон!$AG$3</c15:f>
                      <c15:dlblFieldTableCache>
                        <c:ptCount val="1"/>
                        <c:pt idx="0">
                          <c:v>Словения</c:v>
                        </c:pt>
                      </c15:dlblFieldTableCache>
                    </c15:dlblFTEntry>
                  </c15:dlblFieldTable>
                  <c15:showDataLabelsRange val="0"/>
                </c:ext>
                <c:ext xmlns:c16="http://schemas.microsoft.com/office/drawing/2014/chart" uri="{C3380CC4-5D6E-409C-BE32-E72D297353CC}">
                  <c16:uniqueId val="{0000001E-C074-41AD-A777-A076F87DF2EF}"/>
                </c:ext>
              </c:extLst>
            </c:dLbl>
            <c:dLbl>
              <c:idx val="31"/>
              <c:layout/>
              <c:tx>
                <c:strRef>
                  <c:f>Траснпон!$AH$3</c:f>
                  <c:strCache>
                    <c:ptCount val="1"/>
                    <c:pt idx="0">
                      <c:v>Словакия</c:v>
                    </c:pt>
                  </c:strCache>
                </c:strRef>
              </c:tx>
              <c:spPr/>
              <c:txPr>
                <a:bodyPr/>
                <a:lstStyle/>
                <a:p>
                  <a:pPr>
                    <a:defRPr sz="700" b="0" i="0" strike="noStrike">
                      <a:latin typeface="Century"/>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{8EEA8CAD-B5E1-4CA4-9C69-B42A426D2A78}</c15:txfldGUID>
                      <c15:f>Траснпон!$AH$3</c15:f>
                      <c15:dlblFieldTableCache>
                        <c:ptCount val="1"/>
                        <c:pt idx="0">
                          <c:v>Словакия</c:v>
                        </c:pt>
                      </c15:dlblFieldTableCache>
                    </c15:dlblFTEntry>
                  </c15:dlblFieldTable>
                  <c15:showDataLabelsRange val="0"/>
                </c:ext>
                <c:ext xmlns:c16="http://schemas.microsoft.com/office/drawing/2014/chart" uri="{C3380CC4-5D6E-409C-BE32-E72D297353CC}">
                  <c16:uniqueId val="{0000001F-C074-41AD-A777-A076F87DF2EF}"/>
                </c:ext>
              </c:extLst>
            </c:dLbl>
            <c:dLbl>
              <c:idx val="32"/>
              <c:layout/>
              <c:tx>
                <c:strRef>
                  <c:f>Траснпон!$AI$3</c:f>
                  <c:strCache>
                    <c:ptCount val="1"/>
                    <c:pt idx="0">
                      <c:v>Исландия</c:v>
                    </c:pt>
                  </c:strCache>
                </c:strRef>
              </c:tx>
              <c:spPr/>
              <c:txPr>
                <a:bodyPr/>
                <a:lstStyle/>
                <a:p>
                  <a:pPr>
                    <a:defRPr sz="700" b="0" i="0" strike="noStrike">
                      <a:latin typeface="Century"/>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{6066FF4A-2157-4AF4-AA08-F3F3ECE664D0}</c15:txfldGUID>
                      <c15:f>Траснпон!$AI$3</c15:f>
                      <c15:dlblFieldTableCache>
                        <c:ptCount val="1"/>
                        <c:pt idx="0">
                          <c:v>Исландия</c:v>
                        </c:pt>
                      </c15:dlblFieldTableCache>
                    </c15:dlblFTEntry>
                  </c15:dlblFieldTable>
                  <c15:showDataLabelsRange val="0"/>
                </c:ext>
                <c:ext xmlns:c16="http://schemas.microsoft.com/office/drawing/2014/chart" uri="{C3380CC4-5D6E-409C-BE32-E72D297353CC}">
                  <c16:uniqueId val="{00000020-C074-41AD-A777-A076F87DF2EF}"/>
                </c:ext>
              </c:extLst>
            </c:dLbl>
            <c:dLbl>
              <c:idx val="33"/>
              <c:layout/>
              <c:tx>
                <c:strRef>
                  <c:f>Траснпон!$AJ$3</c:f>
                  <c:strCache>
                    <c:ptCount val="1"/>
                    <c:pt idx="0">
                      <c:v>Эстония</c:v>
                    </c:pt>
                  </c:strCache>
                </c:strRef>
              </c:tx>
              <c:spPr/>
              <c:txPr>
                <a:bodyPr/>
                <a:lstStyle/>
                <a:p>
                  <a:pPr>
                    <a:defRPr sz="700" b="0" i="0" strike="noStrike">
                      <a:latin typeface="Century"/>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{BD02B3CA-4916-4494-B418-543E06282B63}</c15:txfldGUID>
                      <c15:f>Траснпон!$AJ$3</c15:f>
                      <c15:dlblFieldTableCache>
                        <c:ptCount val="1"/>
                        <c:pt idx="0">
                          <c:v>Эстония</c:v>
                        </c:pt>
                      </c15:dlblFieldTableCache>
                    </c15:dlblFTEntry>
                  </c15:dlblFieldTable>
                  <c15:showDataLabelsRange val="0"/>
                </c:ext>
                <c:ext xmlns:c16="http://schemas.microsoft.com/office/drawing/2014/chart" uri="{C3380CC4-5D6E-409C-BE32-E72D297353CC}">
                  <c16:uniqueId val="{00000021-C074-41AD-A777-A076F87DF2EF}"/>
                </c:ext>
              </c:extLst>
            </c:dLbl>
            <c:dLbl>
              <c:idx val="34"/>
              <c:layout/>
              <c:tx>
                <c:strRef>
                  <c:f>Траснпон!$AK$3</c:f>
                  <c:strCache>
                    <c:ptCount val="1"/>
                    <c:pt idx="0">
                      <c:v>Испания</c:v>
                    </c:pt>
                  </c:strCache>
                </c:strRef>
              </c:tx>
              <c:spPr/>
              <c:txPr>
                <a:bodyPr/>
                <a:lstStyle/>
                <a:p>
                  <a:pPr>
                    <a:defRPr sz="700" b="0" i="0" strike="noStrike">
                      <a:latin typeface="Century"/>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{D18ED2A6-FAD4-4770-A508-1BFDC8BF91B1}</c15:txfldGUID>
                      <c15:f>Траснпон!$AK$3</c15:f>
                      <c15:dlblFieldTableCache>
                        <c:ptCount val="1"/>
                        <c:pt idx="0">
                          <c:v>Испания</c:v>
                        </c:pt>
                      </c15:dlblFieldTableCache>
                    </c15:dlblFTEntry>
                  </c15:dlblFieldTable>
                  <c15:showDataLabelsRange val="0"/>
                </c:ext>
                <c:ext xmlns:c16="http://schemas.microsoft.com/office/drawing/2014/chart" uri="{C3380CC4-5D6E-409C-BE32-E72D297353CC}">
                  <c16:uniqueId val="{00000022-C074-41AD-A777-A076F87DF2EF}"/>
                </c:ext>
              </c:extLst>
            </c:dLbl>
            <c:dLbl>
              <c:idx val="35"/>
              <c:layout>
                <c:manualLayout>
                  <c:x val="0"/>
                  <c:y val="-1.5313390957502929E-2"/>
                </c:manualLayout>
              </c:layout>
              <c:tx>
                <c:strRef>
                  <c:f>Траснпон!$AL$3</c:f>
                  <c:strCache>
                    <c:ptCount val="1"/>
                    <c:pt idx="0">
                      <c:v>Великобритания</c:v>
                    </c:pt>
                  </c:strCache>
                </c:strRef>
              </c:tx>
              <c:spPr/>
              <c:txPr>
                <a:bodyPr/>
                <a:lstStyle/>
                <a:p>
                  <a:pPr>
                    <a:defRPr sz="700" b="0" i="0" strike="noStrike">
                      <a:latin typeface="Century"/>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{C1DD1F65-7A92-44A5-94EB-337E7BFABC14}</c15:txfldGUID>
                      <c15:f>Траснпон!$AL$3</c15:f>
                      <c15:dlblFieldTableCache>
                        <c:ptCount val="1"/>
                        <c:pt idx="0">
                          <c:v>Великобритания</c:v>
                        </c:pt>
                      </c15:dlblFieldTableCache>
                    </c15:dlblFTEntry>
                  </c15:dlblFieldTable>
                  <c15:showDataLabelsRange val="0"/>
                </c:ext>
                <c:ext xmlns:c16="http://schemas.microsoft.com/office/drawing/2014/chart" uri="{C3380CC4-5D6E-409C-BE32-E72D297353CC}">
                  <c16:uniqueId val="{00000023-C074-41AD-A777-A076F87DF2EF}"/>
                </c:ext>
              </c:extLst>
            </c:dLbl>
            <c:dLbl>
              <c:idx val="36"/>
              <c:layout/>
              <c:tx>
                <c:strRef>
                  <c:f>Траснпон!$AM$3</c:f>
                  <c:strCache>
                    <c:ptCount val="1"/>
                    <c:pt idx="0">
                      <c:v>Швейцария</c:v>
                    </c:pt>
                  </c:strCache>
                </c:strRef>
              </c:tx>
              <c:spPr/>
              <c:txPr>
                <a:bodyPr/>
                <a:lstStyle/>
                <a:p>
                  <a:pPr>
                    <a:defRPr sz="700" b="0" i="0" strike="noStrike">
                      <a:latin typeface="Century"/>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{580FE9FD-FAEE-42D4-A46F-F291B1018A52}</c15:txfldGUID>
                      <c15:f>Траснпон!$AM$3</c15:f>
                      <c15:dlblFieldTableCache>
                        <c:ptCount val="1"/>
                        <c:pt idx="0">
                          <c:v>Швейцария</c:v>
                        </c:pt>
                      </c15:dlblFieldTableCache>
                    </c15:dlblFTEntry>
                  </c15:dlblFieldTable>
                  <c15:showDataLabelsRange val="0"/>
                </c:ext>
                <c:ext xmlns:c16="http://schemas.microsoft.com/office/drawing/2014/chart" uri="{C3380CC4-5D6E-409C-BE32-E72D297353CC}">
                  <c16:uniqueId val="{00000024-C074-41AD-A777-A076F87DF2EF}"/>
                </c:ext>
              </c:extLst>
            </c:dLbl>
            <c:dLbl>
              <c:idx val="37"/>
              <c:layout/>
              <c:tx>
                <c:strRef>
                  <c:f>Траснпон!$AN$3</c:f>
                  <c:strCache>
                    <c:ptCount val="1"/>
                    <c:pt idx="0">
                      <c:v>Ирландия</c:v>
                    </c:pt>
                  </c:strCache>
                </c:strRef>
              </c:tx>
              <c:spPr/>
              <c:txPr>
                <a:bodyPr/>
                <a:lstStyle/>
                <a:p>
                  <a:pPr>
                    <a:defRPr sz="700" b="0" i="0" strike="noStrike">
                      <a:latin typeface="Century"/>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{6D919E4D-96E7-4FCA-98EC-75E59107DDE8}</c15:txfldGUID>
                      <c15:f>Траснпон!$AN$3</c15:f>
                      <c15:dlblFieldTableCache>
                        <c:ptCount val="1"/>
                        <c:pt idx="0">
                          <c:v>Ирландия</c:v>
                        </c:pt>
                      </c15:dlblFieldTableCache>
                    </c15:dlblFTEntry>
                  </c15:dlblFieldTable>
                  <c15:showDataLabelsRange val="0"/>
                </c:ext>
                <c:ext xmlns:c16="http://schemas.microsoft.com/office/drawing/2014/chart" uri="{C3380CC4-5D6E-409C-BE32-E72D297353CC}">
                  <c16:uniqueId val="{00000025-C074-41AD-A777-A076F87DF2EF}"/>
                </c:ext>
              </c:extLst>
            </c:dLbl>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poly"/>
            <c:order val="2"/>
            <c:dispRSqr val="0"/>
            <c:dispEq val="0"/>
          </c:trendline>
          <c:xVal>
            <c:numRef>
              <c:f>Траснпон!$C$187:$AN$187</c:f>
              <c:numCache>
                <c:formatCode>#,##0.00</c:formatCode>
                <c:ptCount val="38"/>
                <c:pt idx="0">
                  <c:v>6.3194144369744301</c:v>
                </c:pt>
                <c:pt idx="1">
                  <c:v>#N/A</c:v>
                </c:pt>
                <c:pt idx="2">
                  <c:v>#N/A</c:v>
                </c:pt>
                <c:pt idx="3">
                  <c:v>#N/A</c:v>
                </c:pt>
                <c:pt idx="4">
                  <c:v>3.9258138087855938</c:v>
                </c:pt>
                <c:pt idx="5">
                  <c:v>#N/A</c:v>
                </c:pt>
                <c:pt idx="6">
                  <c:v>8.272354397211199</c:v>
                </c:pt>
                <c:pt idx="7">
                  <c:v>7.3516657518307902</c:v>
                </c:pt>
                <c:pt idx="8">
                  <c:v>#N/A</c:v>
                </c:pt>
                <c:pt idx="9">
                  <c:v>12.126315835696316</c:v>
                </c:pt>
                <c:pt idx="10">
                  <c:v>11.268207081204002</c:v>
                </c:pt>
                <c:pt idx="11">
                  <c:v>#N/A</c:v>
                </c:pt>
                <c:pt idx="12">
                  <c:v>11.164969423017624</c:v>
                </c:pt>
                <c:pt idx="13">
                  <c:v>5.9458491460443064</c:v>
                </c:pt>
                <c:pt idx="14">
                  <c:v>#N/A</c:v>
                </c:pt>
                <c:pt idx="15">
                  <c:v>5.2184494837073769</c:v>
                </c:pt>
                <c:pt idx="16">
                  <c:v>13.228012019682531</c:v>
                </c:pt>
                <c:pt idx="17">
                  <c:v>11.892752983849233</c:v>
                </c:pt>
                <c:pt idx="18">
                  <c:v>#N/A</c:v>
                </c:pt>
                <c:pt idx="19">
                  <c:v>17.842996776441183</c:v>
                </c:pt>
                <c:pt idx="20">
                  <c:v>15.349118342797873</c:v>
                </c:pt>
                <c:pt idx="21">
                  <c:v>13.556163875071082</c:v>
                </c:pt>
                <c:pt idx="22">
                  <c:v>#N/A</c:v>
                </c:pt>
                <c:pt idx="23">
                  <c:v>11.548249606373657</c:v>
                </c:pt>
                <c:pt idx="24">
                  <c:v>#N/A</c:v>
                </c:pt>
                <c:pt idx="25">
                  <c:v>14.01523526150307</c:v>
                </c:pt>
                <c:pt idx="26">
                  <c:v>9.7302962602460923</c:v>
                </c:pt>
                <c:pt idx="27">
                  <c:v>12.987009068002479</c:v>
                </c:pt>
                <c:pt idx="28">
                  <c:v>12.963059089188135</c:v>
                </c:pt>
                <c:pt idx="29">
                  <c:v>#N/A</c:v>
                </c:pt>
                <c:pt idx="30">
                  <c:v>13.151086903993146</c:v>
                </c:pt>
                <c:pt idx="31">
                  <c:v>11.120329881446359</c:v>
                </c:pt>
                <c:pt idx="32">
                  <c:v>3.6140582239957899</c:v>
                </c:pt>
                <c:pt idx="33">
                  <c:v>11.335125847207511</c:v>
                </c:pt>
                <c:pt idx="34">
                  <c:v>10.654539717270893</c:v>
                </c:pt>
                <c:pt idx="35">
                  <c:v>7.5899949204293709</c:v>
                </c:pt>
                <c:pt idx="36">
                  <c:v>6.2852685781790889</c:v>
                </c:pt>
                <c:pt idx="37">
                  <c:v>4.2718269061626604</c:v>
                </c:pt>
              </c:numCache>
            </c:numRef>
          </c:xVal>
          <c:yVal>
            <c:numRef>
              <c:f>Траснпон!$C$186:$AN$186</c:f>
              <c:numCache>
                <c:formatCode>#,##0.00</c:formatCode>
                <c:ptCount val="38"/>
                <c:pt idx="0">
                  <c:v>30</c:v>
                </c:pt>
                <c:pt idx="1">
                  <c:v>#N/A</c:v>
                </c:pt>
                <c:pt idx="2">
                  <c:v>#N/A</c:v>
                </c:pt>
                <c:pt idx="3">
                  <c:v>#N/A</c:v>
                </c:pt>
                <c:pt idx="4">
                  <c:v>18.717586000000001</c:v>
                </c:pt>
                <c:pt idx="5">
                  <c:v>#N/A</c:v>
                </c:pt>
                <c:pt idx="6">
                  <c:v>38.299999999999997</c:v>
                </c:pt>
                <c:pt idx="7">
                  <c:v>22.7</c:v>
                </c:pt>
                <c:pt idx="8">
                  <c:v>#N/A</c:v>
                </c:pt>
                <c:pt idx="9">
                  <c:v>38.5</c:v>
                </c:pt>
                <c:pt idx="10">
                  <c:v>32.5</c:v>
                </c:pt>
                <c:pt idx="11">
                  <c:v>#N/A</c:v>
                </c:pt>
                <c:pt idx="12">
                  <c:v>24.39</c:v>
                </c:pt>
                <c:pt idx="13">
                  <c:v>15.9</c:v>
                </c:pt>
                <c:pt idx="14">
                  <c:v>#N/A</c:v>
                </c:pt>
                <c:pt idx="15">
                  <c:v>13.1</c:v>
                </c:pt>
                <c:pt idx="16">
                  <c:v>29.092000000000002</c:v>
                </c:pt>
                <c:pt idx="17">
                  <c:v>24.38</c:v>
                </c:pt>
                <c:pt idx="18">
                  <c:v>#N/A</c:v>
                </c:pt>
                <c:pt idx="19">
                  <c:v>56.230000000000004</c:v>
                </c:pt>
                <c:pt idx="20">
                  <c:v>47.72</c:v>
                </c:pt>
                <c:pt idx="21">
                  <c:v>36.48571428571428</c:v>
                </c:pt>
                <c:pt idx="22">
                  <c:v>#N/A</c:v>
                </c:pt>
                <c:pt idx="23">
                  <c:v>42.07</c:v>
                </c:pt>
                <c:pt idx="24">
                  <c:v>#N/A</c:v>
                </c:pt>
                <c:pt idx="25">
                  <c:v>39.549999999999997</c:v>
                </c:pt>
                <c:pt idx="26">
                  <c:v>21.200000000000003</c:v>
                </c:pt>
                <c:pt idx="27">
                  <c:v>38.245000000000005</c:v>
                </c:pt>
                <c:pt idx="28">
                  <c:v>45.5</c:v>
                </c:pt>
                <c:pt idx="29">
                  <c:v>#N/A</c:v>
                </c:pt>
                <c:pt idx="30">
                  <c:v>38.200000000000003</c:v>
                </c:pt>
                <c:pt idx="31">
                  <c:v>29.799999999999997</c:v>
                </c:pt>
                <c:pt idx="32">
                  <c:v>7.4899999999999993</c:v>
                </c:pt>
                <c:pt idx="33">
                  <c:v>35.4</c:v>
                </c:pt>
                <c:pt idx="34">
                  <c:v>36.25</c:v>
                </c:pt>
                <c:pt idx="35">
                  <c:v>25.8</c:v>
                </c:pt>
                <c:pt idx="36">
                  <c:v>11.399999999999999</c:v>
                </c:pt>
                <c:pt idx="37">
                  <c:v>14.75</c:v>
                </c:pt>
              </c:numCache>
            </c:numRef>
          </c:yVal>
          <c:smooth val="0"/>
          <c:extLst xmlns:c16r2="http://schemas.microsoft.com/office/drawing/2015/06/chart">
            <c:ext xmlns:c16="http://schemas.microsoft.com/office/drawing/2014/chart" uri="{C3380CC4-5D6E-409C-BE32-E72D297353CC}">
              <c16:uniqueId val="{00000027-C074-41AD-A777-A076F87DF2EF}"/>
            </c:ext>
          </c:extLst>
        </c:ser>
        <c:dLbls>
          <c:showLegendKey val="0"/>
          <c:showVal val="0"/>
          <c:showCatName val="0"/>
          <c:showSerName val="0"/>
          <c:showPercent val="0"/>
          <c:showBubbleSize val="0"/>
        </c:dLbls>
        <c:axId val="222121344"/>
        <c:axId val="222135808"/>
      </c:scatterChart>
      <c:valAx>
        <c:axId val="222121344"/>
        <c:scaling>
          <c:orientation val="minMax"/>
          <c:max val="17.5"/>
          <c:min val="2.5"/>
        </c:scaling>
        <c:delete val="0"/>
        <c:axPos val="b"/>
        <c:title>
          <c:tx>
            <c:rich>
              <a:bodyPr/>
              <a:lstStyle/>
              <a:p>
                <a:pPr>
                  <a:defRPr b="0"/>
                </a:pPr>
                <a:r>
                  <a:rPr lang="ru-RU" b="0"/>
                  <a:t>страховые взносы, % ВВП</a:t>
                </a:r>
              </a:p>
            </c:rich>
          </c:tx>
          <c:layout>
            <c:manualLayout>
              <c:xMode val="edge"/>
              <c:yMode val="edge"/>
              <c:x val="0.41628377533889344"/>
              <c:y val="0.84723083044940972"/>
            </c:manualLayout>
          </c:layout>
          <c:overlay val="0"/>
        </c:title>
        <c:numFmt formatCode="#,##0.0" sourceLinked="0"/>
        <c:majorTickMark val="out"/>
        <c:minorTickMark val="none"/>
        <c:tickLblPos val="nextTo"/>
        <c:spPr>
          <a:ln>
            <a:solidFill>
              <a:schemeClr val="tx1"/>
            </a:solidFill>
          </a:ln>
        </c:spPr>
        <c:crossAx val="222135808"/>
        <c:crosses val="autoZero"/>
        <c:crossBetween val="midCat"/>
        <c:majorUnit val="2.5"/>
      </c:valAx>
      <c:valAx>
        <c:axId val="222135808"/>
        <c:scaling>
          <c:orientation val="minMax"/>
          <c:max val="50"/>
        </c:scaling>
        <c:delete val="0"/>
        <c:axPos val="l"/>
        <c:title>
          <c:tx>
            <c:rich>
              <a:bodyPr/>
              <a:lstStyle/>
              <a:p>
                <a:pPr>
                  <a:defRPr b="0"/>
                </a:pPr>
                <a:r>
                  <a:rPr lang="ru-RU" b="0"/>
                  <a:t>тариф страховых взносов,</a:t>
                </a:r>
                <a:r>
                  <a:rPr lang="ru-RU" b="0" baseline="0"/>
                  <a:t> </a:t>
                </a:r>
                <a:r>
                  <a:rPr lang="en-US" b="0"/>
                  <a:t>%</a:t>
                </a:r>
                <a:endParaRPr lang="ru-RU" b="0"/>
              </a:p>
            </c:rich>
          </c:tx>
          <c:layout>
            <c:manualLayout>
              <c:xMode val="edge"/>
              <c:yMode val="edge"/>
              <c:x val="9.5450707483744138E-2"/>
              <c:y val="8.9389814264342147E-3"/>
            </c:manualLayout>
          </c:layout>
          <c:overlay val="0"/>
        </c:title>
        <c:numFmt formatCode="#,##0" sourceLinked="0"/>
        <c:majorTickMark val="out"/>
        <c:minorTickMark val="none"/>
        <c:tickLblPos val="nextTo"/>
        <c:spPr>
          <a:ln>
            <a:solidFill>
              <a:schemeClr val="tx1"/>
            </a:solidFill>
          </a:ln>
        </c:spPr>
        <c:crossAx val="222121344"/>
        <c:crosses val="autoZero"/>
        <c:crossBetween val="midCat"/>
      </c:valAx>
    </c:plotArea>
    <c:plotVisOnly val="1"/>
    <c:dispBlanksAs val="gap"/>
    <c:showDLblsOverMax val="0"/>
  </c:chart>
  <c:spPr>
    <a:ln>
      <a:noFill/>
    </a:ln>
  </c:spPr>
  <c:txPr>
    <a:bodyPr/>
    <a:lstStyle/>
    <a:p>
      <a:pPr>
        <a:defRPr sz="1000">
          <a:latin typeface="Century" panose="02040604050505020304"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76662292213474"/>
          <c:y val="5.0925925925925923E-2"/>
          <c:w val="0.77282786526684177"/>
          <c:h val="0.74932742782152229"/>
        </c:manualLayout>
      </c:layout>
      <c:barChart>
        <c:barDir val="col"/>
        <c:grouping val="clustered"/>
        <c:varyColors val="0"/>
        <c:ser>
          <c:idx val="2"/>
          <c:order val="2"/>
          <c:tx>
            <c:strRef>
              <c:f>Sheet1!$G$66</c:f>
              <c:strCache>
                <c:ptCount val="1"/>
                <c:pt idx="0">
                  <c:v>вмененная субсидия (пр.шк.)</c:v>
                </c:pt>
              </c:strCache>
            </c:strRef>
          </c:tx>
          <c:spPr>
            <a:solidFill>
              <a:srgbClr val="006600"/>
            </a:solidFill>
            <a:ln>
              <a:noFill/>
            </a:ln>
            <a:effectLst/>
          </c:spPr>
          <c:invertIfNegative val="0"/>
          <c:dLbls>
            <c:dLbl>
              <c:idx val="7"/>
              <c:layout>
                <c:manualLayout>
                  <c:x val="-2.777777777777676E-3"/>
                  <c:y val="2.422207640711569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Century" panose="02040604050505020304" pitchFamily="18" charset="0"/>
                      <a:ea typeface="+mn-ea"/>
                      <a:cs typeface="+mn-cs"/>
                    </a:defRPr>
                  </a:pPr>
                  <a:endParaRPr lang="ru-RU"/>
                </a:p>
              </c:txPr>
              <c:dLblPos val="outEnd"/>
              <c:showLegendKey val="0"/>
              <c:showVal val="1"/>
              <c:showCatName val="0"/>
              <c:showSerName val="0"/>
              <c:showPercent val="0"/>
              <c:showBubbleSize val="0"/>
              <c:separator>;</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F14-4DB9-ADB0-74A6510A917A}"/>
                </c:ext>
              </c:extLst>
            </c:dLbl>
            <c:dLbl>
              <c:idx val="8"/>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Century" panose="02040604050505020304" pitchFamily="18" charset="0"/>
                      <a:ea typeface="+mn-ea"/>
                      <a:cs typeface="+mn-cs"/>
                    </a:defRPr>
                  </a:pPr>
                  <a:endParaRPr lang="ru-RU"/>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F14-4DB9-ADB0-74A6510A917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panose="02040604050505020304" pitchFamily="18" charset="0"/>
                    <a:ea typeface="+mn-ea"/>
                    <a:cs typeface="+mn-cs"/>
                  </a:defRPr>
                </a:pPr>
                <a:endParaRPr lang="ru-RU"/>
              </a:p>
            </c:txPr>
            <c:dLblPos val="inEnd"/>
            <c:showLegendKey val="0"/>
            <c:showVal val="1"/>
            <c:showCatName val="0"/>
            <c:showSerName val="0"/>
            <c:showPercent val="0"/>
            <c:showBubbleSize val="0"/>
            <c:separator>;</c:separator>
            <c:showLeaderLines val="0"/>
            <c:extLst xmlns:c16r2="http://schemas.microsoft.com/office/drawing/2015/06/chart">
              <c:ext xmlns:c15="http://schemas.microsoft.com/office/drawing/2012/chart" uri="{CE6537A1-D6FC-4f65-9D91-7224C49458BB}">
                <c15:showLeaderLines val="0"/>
              </c:ext>
            </c:extLst>
          </c:dLbls>
          <c:cat>
            <c:numRef>
              <c:f>Sheet1!$J$2:$R$2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Sheet1!$J$66:$R$66</c:f>
              <c:numCache>
                <c:formatCode>_(* #,##0_);_(* \(#,##0\);_(* "-"??_);_(@_)</c:formatCode>
                <c:ptCount val="9"/>
                <c:pt idx="0">
                  <c:v>247.23799675736797</c:v>
                </c:pt>
                <c:pt idx="1">
                  <c:v>243.65175869136354</c:v>
                </c:pt>
                <c:pt idx="2">
                  <c:v>198.21550193907535</c:v>
                </c:pt>
                <c:pt idx="3">
                  <c:v>254.273117139693</c:v>
                </c:pt>
                <c:pt idx="4">
                  <c:v>385.81936472361315</c:v>
                </c:pt>
                <c:pt idx="5">
                  <c:v>346.47474890310878</c:v>
                </c:pt>
                <c:pt idx="6">
                  <c:v>110.97353175691529</c:v>
                </c:pt>
                <c:pt idx="7">
                  <c:v>20.106925737473464</c:v>
                </c:pt>
                <c:pt idx="8">
                  <c:v>2.5308704754878111</c:v>
                </c:pt>
              </c:numCache>
            </c:numRef>
          </c:val>
          <c:extLst xmlns:c16r2="http://schemas.microsoft.com/office/drawing/2015/06/chart">
            <c:ext xmlns:c16="http://schemas.microsoft.com/office/drawing/2014/chart" uri="{C3380CC4-5D6E-409C-BE32-E72D297353CC}">
              <c16:uniqueId val="{00000002-1F14-4DB9-ADB0-74A6510A917A}"/>
            </c:ext>
          </c:extLst>
        </c:ser>
        <c:dLbls>
          <c:showLegendKey val="0"/>
          <c:showVal val="0"/>
          <c:showCatName val="0"/>
          <c:showSerName val="0"/>
          <c:showPercent val="0"/>
          <c:showBubbleSize val="0"/>
        </c:dLbls>
        <c:gapWidth val="50"/>
        <c:axId val="136278784"/>
        <c:axId val="136276608"/>
      </c:barChart>
      <c:lineChart>
        <c:grouping val="standard"/>
        <c:varyColors val="0"/>
        <c:ser>
          <c:idx val="0"/>
          <c:order val="0"/>
          <c:tx>
            <c:strRef>
              <c:f>Sheet1!$G$64</c:f>
              <c:strCache>
                <c:ptCount val="1"/>
                <c:pt idx="0">
                  <c:v>дивидендная доходность</c:v>
                </c:pt>
              </c:strCache>
            </c:strRef>
          </c:tx>
          <c:spPr>
            <a:ln w="12700" cap="rnd">
              <a:solidFill>
                <a:schemeClr val="tx1"/>
              </a:solidFill>
              <a:round/>
            </a:ln>
            <a:effectLst/>
          </c:spPr>
          <c:marker>
            <c:symbol val="circle"/>
            <c:size val="6"/>
            <c:spPr>
              <a:solidFill>
                <a:schemeClr val="bg1"/>
              </a:solidFill>
              <a:ln w="12700">
                <a:solidFill>
                  <a:schemeClr val="tx1"/>
                </a:solidFill>
              </a:ln>
              <a:effectLst/>
            </c:spPr>
          </c:marker>
          <c:cat>
            <c:numRef>
              <c:f>Sheet1!$J$2:$R$2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Sheet1!$J$64:$R$64</c:f>
              <c:numCache>
                <c:formatCode>0.0%</c:formatCode>
                <c:ptCount val="9"/>
                <c:pt idx="0">
                  <c:v>3.5899419519389304E-2</c:v>
                </c:pt>
                <c:pt idx="1">
                  <c:v>2.6064068814712533E-2</c:v>
                </c:pt>
                <c:pt idx="2">
                  <c:v>3.1074625330933286E-2</c:v>
                </c:pt>
                <c:pt idx="3">
                  <c:v>2.808164492350089E-2</c:v>
                </c:pt>
                <c:pt idx="4">
                  <c:v>2.7832392742890743E-2</c:v>
                </c:pt>
                <c:pt idx="5">
                  <c:v>3.2324164714757034E-2</c:v>
                </c:pt>
                <c:pt idx="6">
                  <c:v>6.1818504733725105E-2</c:v>
                </c:pt>
                <c:pt idx="7">
                  <c:v>6.7049816222801942E-2</c:v>
                </c:pt>
                <c:pt idx="8">
                  <c:v>6.464801767436533E-2</c:v>
                </c:pt>
              </c:numCache>
            </c:numRef>
          </c:val>
          <c:smooth val="0"/>
          <c:extLst xmlns:c16r2="http://schemas.microsoft.com/office/drawing/2015/06/chart">
            <c:ext xmlns:c16="http://schemas.microsoft.com/office/drawing/2014/chart" uri="{C3380CC4-5D6E-409C-BE32-E72D297353CC}">
              <c16:uniqueId val="{00000003-1F14-4DB9-ADB0-74A6510A917A}"/>
            </c:ext>
          </c:extLst>
        </c:ser>
        <c:ser>
          <c:idx val="1"/>
          <c:order val="1"/>
          <c:tx>
            <c:strRef>
              <c:f>Sheet1!$G$65</c:f>
              <c:strCache>
                <c:ptCount val="1"/>
                <c:pt idx="0">
                  <c:v>доходность ОФЗ</c:v>
                </c:pt>
              </c:strCache>
            </c:strRef>
          </c:tx>
          <c:spPr>
            <a:ln w="12700" cap="rnd">
              <a:solidFill>
                <a:schemeClr val="tx1">
                  <a:lumMod val="50000"/>
                  <a:lumOff val="50000"/>
                </a:schemeClr>
              </a:solidFill>
              <a:round/>
            </a:ln>
            <a:effectLst/>
          </c:spPr>
          <c:marker>
            <c:symbol val="circle"/>
            <c:size val="6"/>
            <c:spPr>
              <a:solidFill>
                <a:schemeClr val="bg1"/>
              </a:solidFill>
              <a:ln w="12700">
                <a:solidFill>
                  <a:schemeClr val="tx1">
                    <a:lumMod val="50000"/>
                    <a:lumOff val="50000"/>
                  </a:schemeClr>
                </a:solidFill>
              </a:ln>
              <a:effectLst/>
            </c:spPr>
          </c:marker>
          <c:cat>
            <c:numRef>
              <c:f>Sheet1!$J$2:$R$2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Sheet1!$J$65:$R$65</c:f>
              <c:numCache>
                <c:formatCode>0.0%</c:formatCode>
                <c:ptCount val="9"/>
                <c:pt idx="0">
                  <c:v>8.2275845410628004E-2</c:v>
                </c:pt>
                <c:pt idx="1">
                  <c:v>7.7338509316770165E-2</c:v>
                </c:pt>
                <c:pt idx="2">
                  <c:v>7.2318145161290356E-2</c:v>
                </c:pt>
                <c:pt idx="3">
                  <c:v>9.3231404958677724E-2</c:v>
                </c:pt>
                <c:pt idx="4">
                  <c:v>0.10552369942196535</c:v>
                </c:pt>
                <c:pt idx="5">
                  <c:v>8.8906374501992055E-2</c:v>
                </c:pt>
                <c:pt idx="6">
                  <c:v>7.8996610169491555E-2</c:v>
                </c:pt>
                <c:pt idx="7">
                  <c:v>7.0000000000000007E-2</c:v>
                </c:pt>
                <c:pt idx="8">
                  <c:v>6.5000000000000002E-2</c:v>
                </c:pt>
              </c:numCache>
            </c:numRef>
          </c:val>
          <c:smooth val="0"/>
          <c:extLst xmlns:c16r2="http://schemas.microsoft.com/office/drawing/2015/06/chart">
            <c:ext xmlns:c16="http://schemas.microsoft.com/office/drawing/2014/chart" uri="{C3380CC4-5D6E-409C-BE32-E72D297353CC}">
              <c16:uniqueId val="{00000004-1F14-4DB9-ADB0-74A6510A917A}"/>
            </c:ext>
          </c:extLst>
        </c:ser>
        <c:dLbls>
          <c:showLegendKey val="0"/>
          <c:showVal val="0"/>
          <c:showCatName val="0"/>
          <c:showSerName val="0"/>
          <c:showPercent val="0"/>
          <c:showBubbleSize val="0"/>
        </c:dLbls>
        <c:marker val="1"/>
        <c:smooth val="0"/>
        <c:axId val="136260608"/>
        <c:axId val="136275072"/>
      </c:lineChart>
      <c:catAx>
        <c:axId val="136260608"/>
        <c:scaling>
          <c:orientation val="minMax"/>
        </c:scaling>
        <c:delete val="0"/>
        <c:axPos val="b"/>
        <c:numFmt formatCode="General"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entury" panose="02040604050505020304" pitchFamily="18" charset="0"/>
                <a:ea typeface="+mn-ea"/>
                <a:cs typeface="+mn-cs"/>
              </a:defRPr>
            </a:pPr>
            <a:endParaRPr lang="ru-RU"/>
          </a:p>
        </c:txPr>
        <c:crossAx val="136275072"/>
        <c:crosses val="autoZero"/>
        <c:auto val="1"/>
        <c:lblAlgn val="ctr"/>
        <c:lblOffset val="100"/>
        <c:noMultiLvlLbl val="0"/>
      </c:catAx>
      <c:valAx>
        <c:axId val="136275072"/>
        <c:scaling>
          <c:orientation val="minMax"/>
        </c:scaling>
        <c:delete val="0"/>
        <c:axPos val="l"/>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entury" panose="02040604050505020304" pitchFamily="18" charset="0"/>
                <a:ea typeface="+mn-ea"/>
                <a:cs typeface="+mn-cs"/>
              </a:defRPr>
            </a:pPr>
            <a:endParaRPr lang="ru-RU"/>
          </a:p>
        </c:txPr>
        <c:crossAx val="136260608"/>
        <c:crosses val="autoZero"/>
        <c:crossBetween val="between"/>
      </c:valAx>
      <c:valAx>
        <c:axId val="136276608"/>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Century" panose="02040604050505020304" pitchFamily="18" charset="0"/>
                    <a:ea typeface="+mn-ea"/>
                    <a:cs typeface="+mn-cs"/>
                  </a:defRPr>
                </a:pPr>
                <a:r>
                  <a:rPr lang="ru-RU" sz="1000" b="0" i="0" u="none" strike="noStrike" kern="1200" baseline="0">
                    <a:solidFill>
                      <a:sysClr val="windowText" lastClr="000000"/>
                    </a:solidFill>
                    <a:latin typeface="Century" panose="02040604050505020304" pitchFamily="18" charset="0"/>
                    <a:ea typeface="+mn-ea"/>
                    <a:cs typeface="+mn-cs"/>
                  </a:rPr>
                  <a:t>млрд</a:t>
                </a:r>
                <a:r>
                  <a:rPr lang="ru-RU" b="0" baseline="0"/>
                  <a:t> рублей</a:t>
                </a:r>
                <a:endParaRPr lang="ru-RU" b="0"/>
              </a:p>
            </c:rich>
          </c:tx>
          <c:layout>
            <c:manualLayout>
              <c:xMode val="edge"/>
              <c:yMode val="edge"/>
              <c:x val="0.9527082239720035"/>
              <c:y val="4.6405657626129911E-3"/>
            </c:manualLayout>
          </c:layout>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entury" panose="02040604050505020304" pitchFamily="18" charset="0"/>
                <a:ea typeface="+mn-ea"/>
                <a:cs typeface="+mn-cs"/>
              </a:defRPr>
            </a:pPr>
            <a:endParaRPr lang="ru-RU"/>
          </a:p>
        </c:txPr>
        <c:crossAx val="136278784"/>
        <c:crosses val="max"/>
        <c:crossBetween val="between"/>
      </c:valAx>
      <c:catAx>
        <c:axId val="136278784"/>
        <c:scaling>
          <c:orientation val="minMax"/>
        </c:scaling>
        <c:delete val="1"/>
        <c:axPos val="b"/>
        <c:numFmt formatCode="General" sourceLinked="1"/>
        <c:majorTickMark val="out"/>
        <c:minorTickMark val="none"/>
        <c:tickLblPos val="nextTo"/>
        <c:crossAx val="136276608"/>
        <c:crosses val="autoZero"/>
        <c:auto val="1"/>
        <c:lblAlgn val="ctr"/>
        <c:lblOffset val="100"/>
        <c:noMultiLvlLbl val="0"/>
      </c:catAx>
      <c:spPr>
        <a:noFill/>
        <a:ln>
          <a:noFill/>
        </a:ln>
        <a:effectLst/>
      </c:spPr>
    </c:plotArea>
    <c:legend>
      <c:legendPos val="b"/>
      <c:layout>
        <c:manualLayout>
          <c:xMode val="edge"/>
          <c:yMode val="edge"/>
          <c:x val="3.2624890638670162E-2"/>
          <c:y val="0.88002989209682103"/>
          <c:w val="0.9458613298337708"/>
          <c:h val="9.219233012540099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entury" panose="020406040505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Century" panose="020406040505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963336847851283"/>
          <c:y val="4.9717514124293788E-2"/>
          <c:w val="0.57252426032567461"/>
          <c:h val="0.54199706392633129"/>
        </c:manualLayout>
      </c:layout>
      <c:barChart>
        <c:barDir val="col"/>
        <c:grouping val="stacked"/>
        <c:varyColors val="0"/>
        <c:ser>
          <c:idx val="0"/>
          <c:order val="0"/>
          <c:tx>
            <c:strRef>
              <c:f>'7. постсоветские кризисы'!$C$2</c:f>
              <c:strCache>
                <c:ptCount val="1"/>
                <c:pt idx="0">
                  <c:v>шок экспорта</c:v>
                </c:pt>
              </c:strCache>
            </c:strRef>
          </c:tx>
          <c:spPr>
            <a:solidFill>
              <a:schemeClr val="accent3">
                <a:lumMod val="50000"/>
              </a:schemeClr>
            </a:solidFill>
            <a:ln>
              <a:solidFill>
                <a:schemeClr val="accent3">
                  <a:lumMod val="50000"/>
                </a:schemeClr>
              </a:solidFill>
            </a:ln>
          </c:spPr>
          <c:invertIfNegative val="0"/>
          <c:cat>
            <c:strRef>
              <c:f>'7. постсоветские кризисы'!$B$3:$B$5</c:f>
              <c:strCache>
                <c:ptCount val="3"/>
                <c:pt idx="0">
                  <c:v>1997-1999 гг.</c:v>
                </c:pt>
                <c:pt idx="1">
                  <c:v>2008-2009 гг.</c:v>
                </c:pt>
                <c:pt idx="2">
                  <c:v>2013-2016 гг.</c:v>
                </c:pt>
              </c:strCache>
            </c:strRef>
          </c:cat>
          <c:val>
            <c:numRef>
              <c:f>'7. постсоветские кризисы'!$C$3:$C$5</c:f>
              <c:numCache>
                <c:formatCode>0.00%</c:formatCode>
                <c:ptCount val="3"/>
                <c:pt idx="0">
                  <c:v>-2.3751365066781091E-2</c:v>
                </c:pt>
                <c:pt idx="1">
                  <c:v>-6.6648180259466644E-2</c:v>
                </c:pt>
                <c:pt idx="2">
                  <c:v>-8.8744638295584988E-2</c:v>
                </c:pt>
              </c:numCache>
            </c:numRef>
          </c:val>
          <c:extLst xmlns:c16r2="http://schemas.microsoft.com/office/drawing/2015/06/chart">
            <c:ext xmlns:c16="http://schemas.microsoft.com/office/drawing/2014/chart" uri="{C3380CC4-5D6E-409C-BE32-E72D297353CC}">
              <c16:uniqueId val="{00000000-CE2E-4904-ADF1-E8ACBF860F01}"/>
            </c:ext>
          </c:extLst>
        </c:ser>
        <c:ser>
          <c:idx val="1"/>
          <c:order val="1"/>
          <c:tx>
            <c:strRef>
              <c:f>'7. постсоветские кризисы'!$D$2</c:f>
              <c:strCache>
                <c:ptCount val="1"/>
                <c:pt idx="0">
                  <c:v>шок финансовых санкций (отток капитала)</c:v>
                </c:pt>
              </c:strCache>
            </c:strRef>
          </c:tx>
          <c:spPr>
            <a:solidFill>
              <a:srgbClr val="FFC000"/>
            </a:solidFill>
            <a:ln>
              <a:solidFill>
                <a:srgbClr val="FFC000"/>
              </a:solidFill>
            </a:ln>
          </c:spPr>
          <c:invertIfNegative val="0"/>
          <c:cat>
            <c:strRef>
              <c:f>'7. постсоветские кризисы'!$B$3:$B$5</c:f>
              <c:strCache>
                <c:ptCount val="3"/>
                <c:pt idx="0">
                  <c:v>1997-1999 гг.</c:v>
                </c:pt>
                <c:pt idx="1">
                  <c:v>2008-2009 гг.</c:v>
                </c:pt>
                <c:pt idx="2">
                  <c:v>2013-2016 гг.</c:v>
                </c:pt>
              </c:strCache>
            </c:strRef>
          </c:cat>
          <c:val>
            <c:numRef>
              <c:f>'7. постсоветские кризисы'!$D$3:$D$5</c:f>
              <c:numCache>
                <c:formatCode>General</c:formatCode>
                <c:ptCount val="3"/>
                <c:pt idx="2" formatCode="0.00%">
                  <c:v>-4.5030069948099681E-2</c:v>
                </c:pt>
              </c:numCache>
            </c:numRef>
          </c:val>
          <c:extLst xmlns:c16r2="http://schemas.microsoft.com/office/drawing/2015/06/chart">
            <c:ext xmlns:c16="http://schemas.microsoft.com/office/drawing/2014/chart" uri="{C3380CC4-5D6E-409C-BE32-E72D297353CC}">
              <c16:uniqueId val="{00000001-CE2E-4904-ADF1-E8ACBF860F01}"/>
            </c:ext>
          </c:extLst>
        </c:ser>
        <c:dLbls>
          <c:showLegendKey val="0"/>
          <c:showVal val="0"/>
          <c:showCatName val="0"/>
          <c:showSerName val="0"/>
          <c:showPercent val="0"/>
          <c:showBubbleSize val="0"/>
        </c:dLbls>
        <c:gapWidth val="150"/>
        <c:overlap val="100"/>
        <c:axId val="130073728"/>
        <c:axId val="130075264"/>
      </c:barChart>
      <c:lineChart>
        <c:grouping val="standard"/>
        <c:varyColors val="0"/>
        <c:ser>
          <c:idx val="2"/>
          <c:order val="2"/>
          <c:tx>
            <c:strRef>
              <c:f>'7. постсоветские кризисы'!$E$2</c:f>
              <c:strCache>
                <c:ptCount val="1"/>
                <c:pt idx="0">
                  <c:v>глубина спада (правая ось)</c:v>
                </c:pt>
              </c:strCache>
            </c:strRef>
          </c:tx>
          <c:marker>
            <c:symbol val="none"/>
          </c:marker>
          <c:val>
            <c:numRef>
              <c:f>'7. постсоветские кризисы'!$E$3:$E$5</c:f>
              <c:numCache>
                <c:formatCode>0.00%</c:formatCode>
                <c:ptCount val="3"/>
                <c:pt idx="0">
                  <c:v>-0.10510100349826434</c:v>
                </c:pt>
                <c:pt idx="1">
                  <c:v>-0.10790704865162637</c:v>
                </c:pt>
                <c:pt idx="2">
                  <c:v>-3.6192578488737914E-2</c:v>
                </c:pt>
              </c:numCache>
            </c:numRef>
          </c:val>
          <c:smooth val="0"/>
          <c:extLst xmlns:c16r2="http://schemas.microsoft.com/office/drawing/2015/06/chart">
            <c:ext xmlns:c16="http://schemas.microsoft.com/office/drawing/2014/chart" uri="{C3380CC4-5D6E-409C-BE32-E72D297353CC}">
              <c16:uniqueId val="{00000002-CE2E-4904-ADF1-E8ACBF860F01}"/>
            </c:ext>
          </c:extLst>
        </c:ser>
        <c:dLbls>
          <c:showLegendKey val="0"/>
          <c:showVal val="0"/>
          <c:showCatName val="0"/>
          <c:showSerName val="0"/>
          <c:showPercent val="0"/>
          <c:showBubbleSize val="0"/>
        </c:dLbls>
        <c:marker val="1"/>
        <c:smooth val="0"/>
        <c:axId val="130079360"/>
        <c:axId val="130077440"/>
      </c:lineChart>
      <c:catAx>
        <c:axId val="130073728"/>
        <c:scaling>
          <c:orientation val="minMax"/>
        </c:scaling>
        <c:delete val="0"/>
        <c:axPos val="b"/>
        <c:numFmt formatCode="General" sourceLinked="0"/>
        <c:majorTickMark val="out"/>
        <c:minorTickMark val="none"/>
        <c:tickLblPos val="low"/>
        <c:txPr>
          <a:bodyPr rot="-5400000" vert="horz"/>
          <a:lstStyle/>
          <a:p>
            <a:pPr>
              <a:defRPr sz="700"/>
            </a:pPr>
            <a:endParaRPr lang="ru-RU"/>
          </a:p>
        </c:txPr>
        <c:crossAx val="130075264"/>
        <c:crosses val="autoZero"/>
        <c:auto val="1"/>
        <c:lblAlgn val="ctr"/>
        <c:lblOffset val="100"/>
        <c:noMultiLvlLbl val="0"/>
      </c:catAx>
      <c:valAx>
        <c:axId val="130075264"/>
        <c:scaling>
          <c:orientation val="minMax"/>
        </c:scaling>
        <c:delete val="0"/>
        <c:axPos val="l"/>
        <c:majorGridlines>
          <c:spPr>
            <a:ln>
              <a:noFill/>
            </a:ln>
          </c:spPr>
        </c:majorGridlines>
        <c:title>
          <c:tx>
            <c:rich>
              <a:bodyPr rot="-5400000" vert="horz"/>
              <a:lstStyle/>
              <a:p>
                <a:pPr>
                  <a:defRPr b="0"/>
                </a:pPr>
                <a:r>
                  <a:rPr lang="ru-RU" b="0"/>
                  <a:t>доля ВВП за предкризисный год</a:t>
                </a:r>
              </a:p>
            </c:rich>
          </c:tx>
          <c:layout/>
          <c:overlay val="0"/>
        </c:title>
        <c:numFmt formatCode="0%" sourceLinked="0"/>
        <c:majorTickMark val="out"/>
        <c:minorTickMark val="none"/>
        <c:tickLblPos val="nextTo"/>
        <c:txPr>
          <a:bodyPr/>
          <a:lstStyle/>
          <a:p>
            <a:pPr>
              <a:defRPr sz="800"/>
            </a:pPr>
            <a:endParaRPr lang="ru-RU"/>
          </a:p>
        </c:txPr>
        <c:crossAx val="130073728"/>
        <c:crosses val="autoZero"/>
        <c:crossBetween val="between"/>
      </c:valAx>
      <c:valAx>
        <c:axId val="130077440"/>
        <c:scaling>
          <c:orientation val="minMax"/>
        </c:scaling>
        <c:delete val="0"/>
        <c:axPos val="r"/>
        <c:title>
          <c:tx>
            <c:rich>
              <a:bodyPr rot="-5400000" vert="horz"/>
              <a:lstStyle/>
              <a:p>
                <a:pPr>
                  <a:defRPr b="0"/>
                </a:pPr>
                <a:r>
                  <a:rPr lang="ru-RU" b="0"/>
                  <a:t>изменение</a:t>
                </a:r>
                <a:r>
                  <a:rPr lang="ru-RU" b="0" baseline="0"/>
                  <a:t> ВВП с пика до дна</a:t>
                </a:r>
                <a:endParaRPr lang="ru-RU" b="0"/>
              </a:p>
            </c:rich>
          </c:tx>
          <c:layout>
            <c:manualLayout>
              <c:xMode val="edge"/>
              <c:yMode val="edge"/>
              <c:x val="0.88534267196357785"/>
              <c:y val="3.7026202233195422E-2"/>
            </c:manualLayout>
          </c:layout>
          <c:overlay val="0"/>
        </c:title>
        <c:numFmt formatCode="0%" sourceLinked="0"/>
        <c:majorTickMark val="out"/>
        <c:minorTickMark val="none"/>
        <c:tickLblPos val="nextTo"/>
        <c:txPr>
          <a:bodyPr/>
          <a:lstStyle/>
          <a:p>
            <a:pPr>
              <a:defRPr sz="800"/>
            </a:pPr>
            <a:endParaRPr lang="ru-RU"/>
          </a:p>
        </c:txPr>
        <c:crossAx val="130079360"/>
        <c:crosses val="max"/>
        <c:crossBetween val="between"/>
      </c:valAx>
      <c:catAx>
        <c:axId val="130079360"/>
        <c:scaling>
          <c:orientation val="minMax"/>
        </c:scaling>
        <c:delete val="1"/>
        <c:axPos val="b"/>
        <c:majorTickMark val="out"/>
        <c:minorTickMark val="none"/>
        <c:tickLblPos val="nextTo"/>
        <c:crossAx val="130077440"/>
        <c:crosses val="autoZero"/>
        <c:auto val="1"/>
        <c:lblAlgn val="ctr"/>
        <c:lblOffset val="100"/>
        <c:noMultiLvlLbl val="0"/>
      </c:catAx>
    </c:plotArea>
    <c:legend>
      <c:legendPos val="b"/>
      <c:layout>
        <c:manualLayout>
          <c:xMode val="edge"/>
          <c:yMode val="edge"/>
          <c:x val="3.1851702297896523E-2"/>
          <c:y val="0.82093530418125726"/>
          <c:w val="0.94389363722697051"/>
          <c:h val="0.15194589484815416"/>
        </c:manualLayout>
      </c:layout>
      <c:overlay val="0"/>
    </c:legend>
    <c:plotVisOnly val="1"/>
    <c:dispBlanksAs val="gap"/>
    <c:showDLblsOverMax val="0"/>
  </c:chart>
  <c:spPr>
    <a:ln>
      <a:noFill/>
    </a:ln>
  </c:spPr>
  <c:txPr>
    <a:bodyPr/>
    <a:lstStyle/>
    <a:p>
      <a:pPr>
        <a:defRPr sz="900">
          <a:latin typeface="Century" panose="020406040505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667646021859209"/>
          <c:y val="5.0972222222222224E-2"/>
          <c:w val="0.74073663180162186"/>
          <c:h val="0.7864432050160397"/>
        </c:manualLayout>
      </c:layout>
      <c:scatterChart>
        <c:scatterStyle val="lineMarker"/>
        <c:varyColors val="0"/>
        <c:ser>
          <c:idx val="0"/>
          <c:order val="0"/>
          <c:spPr>
            <a:ln w="28575">
              <a:noFill/>
            </a:ln>
          </c:spPr>
          <c:marker>
            <c:spPr>
              <a:solidFill>
                <a:schemeClr val="accent3">
                  <a:lumMod val="50000"/>
                </a:schemeClr>
              </a:solidFill>
              <a:ln>
                <a:solidFill>
                  <a:schemeClr val="accent3">
                    <a:lumMod val="50000"/>
                  </a:schemeClr>
                </a:solidFill>
              </a:ln>
            </c:spPr>
          </c:marker>
          <c:dPt>
            <c:idx val="20"/>
            <c:marker>
              <c:spPr>
                <a:solidFill>
                  <a:srgbClr val="FF0000"/>
                </a:solidFill>
                <a:ln>
                  <a:solidFill>
                    <a:srgbClr val="FF0000"/>
                  </a:solidFill>
                </a:ln>
              </c:spPr>
            </c:marker>
            <c:bubble3D val="0"/>
            <c:extLst xmlns:c16r2="http://schemas.microsoft.com/office/drawing/2015/06/chart">
              <c:ext xmlns:c16="http://schemas.microsoft.com/office/drawing/2014/chart" uri="{C3380CC4-5D6E-409C-BE32-E72D297353CC}">
                <c16:uniqueId val="{00000000-9E84-4548-8CDB-8F5C696F965A}"/>
              </c:ext>
            </c:extLst>
          </c:dPt>
          <c:xVal>
            <c:numRef>
              <c:f>cherry_pick!$K$3:$K$75</c:f>
              <c:numCache>
                <c:formatCode>0.0%</c:formatCode>
                <c:ptCount val="24"/>
                <c:pt idx="0">
                  <c:v>-3.4692359670913935E-2</c:v>
                </c:pt>
                <c:pt idx="1">
                  <c:v>2.898322318485733E-2</c:v>
                </c:pt>
                <c:pt idx="2">
                  <c:v>-4.005320176521987E-2</c:v>
                </c:pt>
                <c:pt idx="3">
                  <c:v>-0.15565643394468703</c:v>
                </c:pt>
                <c:pt idx="4">
                  <c:v>-2.3109346545305644E-2</c:v>
                </c:pt>
                <c:pt idx="5">
                  <c:v>-6.2914078625302391E-2</c:v>
                </c:pt>
                <c:pt idx="6">
                  <c:v>-1.3022491065590351E-2</c:v>
                </c:pt>
                <c:pt idx="7">
                  <c:v>-0.10585589317031563</c:v>
                </c:pt>
                <c:pt idx="8">
                  <c:v>-5.4552128344229615E-2</c:v>
                </c:pt>
                <c:pt idx="9">
                  <c:v>-4.1728374745093319E-2</c:v>
                </c:pt>
                <c:pt idx="10">
                  <c:v>-4.1416621470899931E-2</c:v>
                </c:pt>
                <c:pt idx="11">
                  <c:v>6.196517272441418E-2</c:v>
                </c:pt>
                <c:pt idx="12">
                  <c:v>-0.1237172852122642</c:v>
                </c:pt>
                <c:pt idx="13">
                  <c:v>-5.112348082170759E-3</c:v>
                </c:pt>
                <c:pt idx="14">
                  <c:v>-5.2583095702320448E-2</c:v>
                </c:pt>
                <c:pt idx="15">
                  <c:v>-3.1381060954047163E-2</c:v>
                </c:pt>
                <c:pt idx="16">
                  <c:v>-5.057981145191872E-2</c:v>
                </c:pt>
                <c:pt idx="17">
                  <c:v>-0.1299395121648797</c:v>
                </c:pt>
                <c:pt idx="18">
                  <c:v>-3.4540233599966143E-2</c:v>
                </c:pt>
                <c:pt idx="19">
                  <c:v>-1.5396535155063023E-3</c:v>
                </c:pt>
                <c:pt idx="20">
                  <c:v>-0.11316495388603066</c:v>
                </c:pt>
                <c:pt idx="21">
                  <c:v>-5.2985811429912232E-2</c:v>
                </c:pt>
                <c:pt idx="22">
                  <c:v>-1.0525846157015739E-2</c:v>
                </c:pt>
                <c:pt idx="23">
                  <c:v>-4.1005766024265596E-2</c:v>
                </c:pt>
              </c:numCache>
            </c:numRef>
          </c:xVal>
          <c:yVal>
            <c:numRef>
              <c:f>cherry_pick!$L$3:$L$75</c:f>
              <c:numCache>
                <c:formatCode>0.0%</c:formatCode>
                <c:ptCount val="24"/>
                <c:pt idx="0">
                  <c:v>-4.7029999999999995E-2</c:v>
                </c:pt>
                <c:pt idx="1">
                  <c:v>-3.0919999999999996E-2</c:v>
                </c:pt>
                <c:pt idx="2">
                  <c:v>3.5499999999999998E-3</c:v>
                </c:pt>
                <c:pt idx="3">
                  <c:v>-9.5749999999999988E-2</c:v>
                </c:pt>
                <c:pt idx="4">
                  <c:v>-6.6000000000000003E-2</c:v>
                </c:pt>
                <c:pt idx="5">
                  <c:v>-2.4910000000000005E-2</c:v>
                </c:pt>
                <c:pt idx="6">
                  <c:v>-1.0999999999999996E-2</c:v>
                </c:pt>
                <c:pt idx="7">
                  <c:v>-7.1150000000000005E-2</c:v>
                </c:pt>
                <c:pt idx="8">
                  <c:v>-1.9849999999999993E-2</c:v>
                </c:pt>
                <c:pt idx="9">
                  <c:v>2.8800000000000023E-3</c:v>
                </c:pt>
                <c:pt idx="10">
                  <c:v>-5.4100000000000033E-3</c:v>
                </c:pt>
                <c:pt idx="11">
                  <c:v>4.1550000000000004E-2</c:v>
                </c:pt>
                <c:pt idx="12">
                  <c:v>-4.5500000000000011E-3</c:v>
                </c:pt>
                <c:pt idx="13">
                  <c:v>9.4199999999999996E-3</c:v>
                </c:pt>
                <c:pt idx="14">
                  <c:v>-5.4000000000000006E-2</c:v>
                </c:pt>
                <c:pt idx="15">
                  <c:v>-3.048E-2</c:v>
                </c:pt>
                <c:pt idx="16">
                  <c:v>-3.7409999999999999E-2</c:v>
                </c:pt>
                <c:pt idx="17">
                  <c:v>2.5000000000000022E-4</c:v>
                </c:pt>
                <c:pt idx="18">
                  <c:v>-1.9220000000000001E-2</c:v>
                </c:pt>
                <c:pt idx="19">
                  <c:v>-2.2499999999999964E-3</c:v>
                </c:pt>
                <c:pt idx="20">
                  <c:v>-1.5269999999999999E-2</c:v>
                </c:pt>
                <c:pt idx="21">
                  <c:v>-2.2099999999999998E-2</c:v>
                </c:pt>
                <c:pt idx="22">
                  <c:v>-5.6150000000000005E-2</c:v>
                </c:pt>
                <c:pt idx="23">
                  <c:v>-3.2000000000000001E-2</c:v>
                </c:pt>
              </c:numCache>
            </c:numRef>
          </c:yVal>
          <c:smooth val="0"/>
          <c:extLst xmlns:c16r2="http://schemas.microsoft.com/office/drawing/2015/06/chart">
            <c:ext xmlns:c16="http://schemas.microsoft.com/office/drawing/2014/chart" uri="{C3380CC4-5D6E-409C-BE32-E72D297353CC}">
              <c16:uniqueId val="{00000001-9E84-4548-8CDB-8F5C696F965A}"/>
            </c:ext>
          </c:extLst>
        </c:ser>
        <c:ser>
          <c:idx val="1"/>
          <c:order val="1"/>
          <c:spPr>
            <a:ln w="28575">
              <a:solidFill>
                <a:schemeClr val="tx1">
                  <a:lumMod val="85000"/>
                  <a:lumOff val="15000"/>
                </a:schemeClr>
              </a:solidFill>
              <a:prstDash val="dash"/>
            </a:ln>
          </c:spPr>
          <c:marker>
            <c:symbol val="none"/>
          </c:marker>
          <c:xVal>
            <c:numRef>
              <c:f>cherry_pick!$A$83:$A$123</c:f>
              <c:numCache>
                <c:formatCode>0.00%</c:formatCode>
                <c:ptCount val="41"/>
                <c:pt idx="0">
                  <c:v>-0.2</c:v>
                </c:pt>
                <c:pt idx="1">
                  <c:v>-0.19</c:v>
                </c:pt>
                <c:pt idx="2">
                  <c:v>-0.18000000000000002</c:v>
                </c:pt>
                <c:pt idx="3">
                  <c:v>-0.17</c:v>
                </c:pt>
                <c:pt idx="4">
                  <c:v>-0.16</c:v>
                </c:pt>
                <c:pt idx="5">
                  <c:v>-0.15</c:v>
                </c:pt>
                <c:pt idx="6">
                  <c:v>-0.13999999999999999</c:v>
                </c:pt>
                <c:pt idx="7">
                  <c:v>-0.13</c:v>
                </c:pt>
                <c:pt idx="8">
                  <c:v>-0.12</c:v>
                </c:pt>
                <c:pt idx="9">
                  <c:v>-0.11000000000000001</c:v>
                </c:pt>
                <c:pt idx="10">
                  <c:v>-0.1</c:v>
                </c:pt>
                <c:pt idx="11">
                  <c:v>-9.0000000000000011E-2</c:v>
                </c:pt>
                <c:pt idx="12">
                  <c:v>-7.9999999999999807E-2</c:v>
                </c:pt>
                <c:pt idx="13">
                  <c:v>-6.9999999999999798E-2</c:v>
                </c:pt>
                <c:pt idx="14">
                  <c:v>-5.9999999999999803E-2</c:v>
                </c:pt>
                <c:pt idx="15">
                  <c:v>-4.9999999999999802E-2</c:v>
                </c:pt>
                <c:pt idx="16">
                  <c:v>-3.99999999999998E-2</c:v>
                </c:pt>
                <c:pt idx="17">
                  <c:v>-2.9999999999999801E-2</c:v>
                </c:pt>
                <c:pt idx="18">
                  <c:v>-1.9999999999999803E-2</c:v>
                </c:pt>
                <c:pt idx="19">
                  <c:v>-9.999999999999799E-3</c:v>
                </c:pt>
                <c:pt idx="20">
                  <c:v>0</c:v>
                </c:pt>
                <c:pt idx="21">
                  <c:v>0.01</c:v>
                </c:pt>
                <c:pt idx="22">
                  <c:v>0.02</c:v>
                </c:pt>
                <c:pt idx="23">
                  <c:v>0.03</c:v>
                </c:pt>
                <c:pt idx="24">
                  <c:v>0.04</c:v>
                </c:pt>
                <c:pt idx="25">
                  <c:v>0.05</c:v>
                </c:pt>
                <c:pt idx="26">
                  <c:v>0.06</c:v>
                </c:pt>
                <c:pt idx="27">
                  <c:v>6.9999999999999993E-2</c:v>
                </c:pt>
                <c:pt idx="28">
                  <c:v>0.08</c:v>
                </c:pt>
                <c:pt idx="29">
                  <c:v>9.0000000000000011E-2</c:v>
                </c:pt>
                <c:pt idx="30">
                  <c:v>0.1</c:v>
                </c:pt>
                <c:pt idx="31">
                  <c:v>0.11000000000000001</c:v>
                </c:pt>
                <c:pt idx="32">
                  <c:v>0.12</c:v>
                </c:pt>
                <c:pt idx="33">
                  <c:v>0.13</c:v>
                </c:pt>
                <c:pt idx="34">
                  <c:v>0.13999999999999999</c:v>
                </c:pt>
                <c:pt idx="35">
                  <c:v>0.15</c:v>
                </c:pt>
                <c:pt idx="36">
                  <c:v>0.16</c:v>
                </c:pt>
                <c:pt idx="37">
                  <c:v>0.17</c:v>
                </c:pt>
                <c:pt idx="38">
                  <c:v>0.18000000000000002</c:v>
                </c:pt>
                <c:pt idx="39">
                  <c:v>0.19</c:v>
                </c:pt>
                <c:pt idx="40">
                  <c:v>0.2</c:v>
                </c:pt>
              </c:numCache>
            </c:numRef>
          </c:xVal>
          <c:yVal>
            <c:numRef>
              <c:f>cherry_pick!$B$83:$B$123</c:f>
              <c:numCache>
                <c:formatCode>0.00%</c:formatCode>
                <c:ptCount val="41"/>
                <c:pt idx="0">
                  <c:v>-0.12</c:v>
                </c:pt>
                <c:pt idx="1">
                  <c:v>-0.114</c:v>
                </c:pt>
                <c:pt idx="2">
                  <c:v>-0.108</c:v>
                </c:pt>
                <c:pt idx="3">
                  <c:v>-0.10200000000000001</c:v>
                </c:pt>
                <c:pt idx="4">
                  <c:v>-9.6000000000000002E-2</c:v>
                </c:pt>
                <c:pt idx="5">
                  <c:v>-0.09</c:v>
                </c:pt>
                <c:pt idx="6">
                  <c:v>-8.4000000000000019E-2</c:v>
                </c:pt>
                <c:pt idx="7">
                  <c:v>-7.8E-2</c:v>
                </c:pt>
                <c:pt idx="8">
                  <c:v>-7.1999999999999995E-2</c:v>
                </c:pt>
                <c:pt idx="9">
                  <c:v>-6.6000000000000003E-2</c:v>
                </c:pt>
                <c:pt idx="10">
                  <c:v>-0.06</c:v>
                </c:pt>
                <c:pt idx="11">
                  <c:v>-5.3999999999999999E-2</c:v>
                </c:pt>
                <c:pt idx="12">
                  <c:v>-4.8000000000000001E-2</c:v>
                </c:pt>
                <c:pt idx="13">
                  <c:v>-4.200000000000001E-2</c:v>
                </c:pt>
                <c:pt idx="14">
                  <c:v>-3.5999999999999997E-2</c:v>
                </c:pt>
                <c:pt idx="15">
                  <c:v>-0.03</c:v>
                </c:pt>
                <c:pt idx="16">
                  <c:v>-2.4E-2</c:v>
                </c:pt>
                <c:pt idx="17">
                  <c:v>-1.7999999999999999E-2</c:v>
                </c:pt>
                <c:pt idx="18">
                  <c:v>-1.2E-2</c:v>
                </c:pt>
                <c:pt idx="19">
                  <c:v>-6.0000000000000001E-3</c:v>
                </c:pt>
                <c:pt idx="20">
                  <c:v>0</c:v>
                </c:pt>
                <c:pt idx="21">
                  <c:v>6.0000000000000001E-3</c:v>
                </c:pt>
                <c:pt idx="22">
                  <c:v>1.2E-2</c:v>
                </c:pt>
                <c:pt idx="23">
                  <c:v>1.7999999999999999E-2</c:v>
                </c:pt>
                <c:pt idx="24">
                  <c:v>2.4E-2</c:v>
                </c:pt>
                <c:pt idx="25">
                  <c:v>0.03</c:v>
                </c:pt>
                <c:pt idx="26">
                  <c:v>3.5999999999999997E-2</c:v>
                </c:pt>
                <c:pt idx="27">
                  <c:v>4.200000000000001E-2</c:v>
                </c:pt>
                <c:pt idx="28">
                  <c:v>4.8000000000000001E-2</c:v>
                </c:pt>
                <c:pt idx="29">
                  <c:v>5.3999999999999999E-2</c:v>
                </c:pt>
                <c:pt idx="30">
                  <c:v>0.06</c:v>
                </c:pt>
                <c:pt idx="31">
                  <c:v>6.6000000000000003E-2</c:v>
                </c:pt>
                <c:pt idx="32">
                  <c:v>7.1999999999999995E-2</c:v>
                </c:pt>
                <c:pt idx="33">
                  <c:v>7.8E-2</c:v>
                </c:pt>
                <c:pt idx="34">
                  <c:v>8.4000000000000019E-2</c:v>
                </c:pt>
                <c:pt idx="35">
                  <c:v>0.09</c:v>
                </c:pt>
                <c:pt idx="36">
                  <c:v>9.6000000000000002E-2</c:v>
                </c:pt>
                <c:pt idx="37">
                  <c:v>0.10200000000000001</c:v>
                </c:pt>
                <c:pt idx="38">
                  <c:v>0.108</c:v>
                </c:pt>
                <c:pt idx="39">
                  <c:v>0.114</c:v>
                </c:pt>
                <c:pt idx="40">
                  <c:v>0.12</c:v>
                </c:pt>
              </c:numCache>
            </c:numRef>
          </c:yVal>
          <c:smooth val="0"/>
          <c:extLst xmlns:c16r2="http://schemas.microsoft.com/office/drawing/2015/06/chart">
            <c:ext xmlns:c16="http://schemas.microsoft.com/office/drawing/2014/chart" uri="{C3380CC4-5D6E-409C-BE32-E72D297353CC}">
              <c16:uniqueId val="{00000002-9E84-4548-8CDB-8F5C696F965A}"/>
            </c:ext>
          </c:extLst>
        </c:ser>
        <c:dLbls>
          <c:showLegendKey val="0"/>
          <c:showVal val="0"/>
          <c:showCatName val="0"/>
          <c:showSerName val="0"/>
          <c:showPercent val="0"/>
          <c:showBubbleSize val="0"/>
        </c:dLbls>
        <c:axId val="130160896"/>
        <c:axId val="130179456"/>
      </c:scatterChart>
      <c:valAx>
        <c:axId val="130160896"/>
        <c:scaling>
          <c:orientation val="minMax"/>
          <c:max val="0.1"/>
          <c:min val="-0.2"/>
        </c:scaling>
        <c:delete val="0"/>
        <c:axPos val="b"/>
        <c:title>
          <c:tx>
            <c:rich>
              <a:bodyPr/>
              <a:lstStyle/>
              <a:p>
                <a:pPr>
                  <a:defRPr sz="800" b="0"/>
                </a:pPr>
                <a:r>
                  <a:rPr lang="ru-RU" sz="800" b="0"/>
                  <a:t>изменение экспорта в 2013-2016 гг, % ВВП</a:t>
                </a:r>
              </a:p>
            </c:rich>
          </c:tx>
          <c:layout>
            <c:manualLayout>
              <c:xMode val="edge"/>
              <c:yMode val="edge"/>
              <c:x val="0.32450992013095137"/>
              <c:y val="0.92581000291630211"/>
            </c:manualLayout>
          </c:layout>
          <c:overlay val="0"/>
        </c:title>
        <c:numFmt formatCode="0%" sourceLinked="0"/>
        <c:majorTickMark val="out"/>
        <c:minorTickMark val="none"/>
        <c:tickLblPos val="low"/>
        <c:crossAx val="130179456"/>
        <c:crosses val="autoZero"/>
        <c:crossBetween val="midCat"/>
      </c:valAx>
      <c:valAx>
        <c:axId val="130179456"/>
        <c:scaling>
          <c:orientation val="minMax"/>
          <c:max val="6.0000000000000012E-2"/>
          <c:min val="-0.12000000000000001"/>
        </c:scaling>
        <c:delete val="0"/>
        <c:axPos val="l"/>
        <c:majorGridlines>
          <c:spPr>
            <a:ln>
              <a:noFill/>
            </a:ln>
          </c:spPr>
        </c:majorGridlines>
        <c:title>
          <c:tx>
            <c:rich>
              <a:bodyPr rot="-5400000" vert="horz"/>
              <a:lstStyle/>
              <a:p>
                <a:pPr>
                  <a:defRPr sz="750" b="0"/>
                </a:pPr>
                <a:r>
                  <a:rPr lang="ru-RU" sz="750" b="0"/>
                  <a:t>изменение темпа роста ВВП в 2013-2016 гг.</a:t>
                </a:r>
              </a:p>
            </c:rich>
          </c:tx>
          <c:layout>
            <c:manualLayout>
              <c:xMode val="edge"/>
              <c:yMode val="edge"/>
              <c:x val="1.4336917562724014E-2"/>
              <c:y val="6.8360309128025668E-2"/>
            </c:manualLayout>
          </c:layout>
          <c:overlay val="0"/>
        </c:title>
        <c:numFmt formatCode="0%" sourceLinked="0"/>
        <c:majorTickMark val="out"/>
        <c:minorTickMark val="none"/>
        <c:tickLblPos val="low"/>
        <c:crossAx val="130160896"/>
        <c:crosses val="autoZero"/>
        <c:crossBetween val="midCat"/>
      </c:valAx>
    </c:plotArea>
    <c:plotVisOnly val="1"/>
    <c:dispBlanksAs val="gap"/>
    <c:showDLblsOverMax val="0"/>
  </c:chart>
  <c:spPr>
    <a:ln>
      <a:noFill/>
    </a:ln>
  </c:spPr>
  <c:txPr>
    <a:bodyPr/>
    <a:lstStyle/>
    <a:p>
      <a:pPr>
        <a:defRPr>
          <a:latin typeface="Century" panose="02040604050505020304" pitchFamily="18" charset="0"/>
        </a:defRPr>
      </a:pPr>
      <a:endParaRPr lang="ru-R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61009911074548E-2"/>
          <c:y val="5.6461538461538459E-2"/>
          <c:w val="0.87410153954636272"/>
          <c:h val="0.72098147961472248"/>
        </c:manualLayout>
      </c:layout>
      <c:barChart>
        <c:barDir val="col"/>
        <c:grouping val="clustered"/>
        <c:varyColors val="0"/>
        <c:ser>
          <c:idx val="0"/>
          <c:order val="0"/>
          <c:tx>
            <c:strRef>
              <c:f>'[170701-Fiscal_breakeven.xlsx]CA'!$B$33</c:f>
              <c:strCache>
                <c:ptCount val="1"/>
                <c:pt idx="0">
                  <c:v>2013</c:v>
                </c:pt>
              </c:strCache>
            </c:strRef>
          </c:tx>
          <c:spPr>
            <a:solidFill>
              <a:srgbClr val="005A36"/>
            </a:solidFill>
            <a:ln>
              <a:noFill/>
            </a:ln>
          </c:spPr>
          <c:invertIfNegative val="0"/>
          <c:cat>
            <c:strRef>
              <c:f>'[170701-Fiscal_breakeven.xlsx]CA'!$A$41:$A$46</c:f>
              <c:strCache>
                <c:ptCount val="6"/>
                <c:pt idx="0">
                  <c:v>Россия</c:v>
                </c:pt>
                <c:pt idx="1">
                  <c:v>Ирак</c:v>
                </c:pt>
                <c:pt idx="2">
                  <c:v>С.Аравия</c:v>
                </c:pt>
                <c:pt idx="3">
                  <c:v>Катар</c:v>
                </c:pt>
                <c:pt idx="4">
                  <c:v>Бахрейн</c:v>
                </c:pt>
                <c:pt idx="5">
                  <c:v>Казахстан</c:v>
                </c:pt>
              </c:strCache>
            </c:strRef>
          </c:cat>
          <c:val>
            <c:numRef>
              <c:f>'[170701-Fiscal_breakeven.xlsx]CA'!$B$41:$B$46</c:f>
              <c:numCache>
                <c:formatCode>0</c:formatCode>
                <c:ptCount val="6"/>
                <c:pt idx="0">
                  <c:v>100</c:v>
                </c:pt>
                <c:pt idx="1">
                  <c:v>103.9</c:v>
                </c:pt>
                <c:pt idx="2">
                  <c:v>59.4</c:v>
                </c:pt>
                <c:pt idx="3">
                  <c:v>55.1</c:v>
                </c:pt>
                <c:pt idx="4">
                  <c:v>64.900000000000006</c:v>
                </c:pt>
                <c:pt idx="5">
                  <c:v>61.9</c:v>
                </c:pt>
              </c:numCache>
            </c:numRef>
          </c:val>
          <c:extLst xmlns:c16r2="http://schemas.microsoft.com/office/drawing/2015/06/chart">
            <c:ext xmlns:c16="http://schemas.microsoft.com/office/drawing/2014/chart" uri="{C3380CC4-5D6E-409C-BE32-E72D297353CC}">
              <c16:uniqueId val="{00000000-5C90-491C-8E1C-99E50EC3CC58}"/>
            </c:ext>
          </c:extLst>
        </c:ser>
        <c:ser>
          <c:idx val="1"/>
          <c:order val="1"/>
          <c:tx>
            <c:strRef>
              <c:f>'[170701-Fiscal_breakeven.xlsx]CA'!$C$33</c:f>
              <c:strCache>
                <c:ptCount val="1"/>
                <c:pt idx="0">
                  <c:v>2017</c:v>
                </c:pt>
              </c:strCache>
            </c:strRef>
          </c:tx>
          <c:spPr>
            <a:solidFill>
              <a:schemeClr val="bg2">
                <a:lumMod val="75000"/>
              </a:schemeClr>
            </a:solidFill>
            <a:ln>
              <a:noFill/>
            </a:ln>
          </c:spPr>
          <c:invertIfNegative val="0"/>
          <c:cat>
            <c:strRef>
              <c:f>'[170701-Fiscal_breakeven.xlsx]CA'!$A$41:$A$46</c:f>
              <c:strCache>
                <c:ptCount val="6"/>
                <c:pt idx="0">
                  <c:v>Россия</c:v>
                </c:pt>
                <c:pt idx="1">
                  <c:v>Ирак</c:v>
                </c:pt>
                <c:pt idx="2">
                  <c:v>С.Аравия</c:v>
                </c:pt>
                <c:pt idx="3">
                  <c:v>Катар</c:v>
                </c:pt>
                <c:pt idx="4">
                  <c:v>Бахрейн</c:v>
                </c:pt>
                <c:pt idx="5">
                  <c:v>Казахстан</c:v>
                </c:pt>
              </c:strCache>
            </c:strRef>
          </c:cat>
          <c:val>
            <c:numRef>
              <c:f>'[170701-Fiscal_breakeven.xlsx]CA'!$C$41:$C$46</c:f>
              <c:numCache>
                <c:formatCode>0</c:formatCode>
                <c:ptCount val="6"/>
                <c:pt idx="0">
                  <c:v>40</c:v>
                </c:pt>
                <c:pt idx="1">
                  <c:v>53.403160469593097</c:v>
                </c:pt>
                <c:pt idx="2">
                  <c:v>52.770741524476101</c:v>
                </c:pt>
                <c:pt idx="3">
                  <c:v>52.370224342236199</c:v>
                </c:pt>
                <c:pt idx="4">
                  <c:v>71.6382554570624</c:v>
                </c:pt>
                <c:pt idx="5">
                  <c:v>82.672112847065094</c:v>
                </c:pt>
              </c:numCache>
            </c:numRef>
          </c:val>
          <c:extLst xmlns:c16r2="http://schemas.microsoft.com/office/drawing/2015/06/chart">
            <c:ext xmlns:c16="http://schemas.microsoft.com/office/drawing/2014/chart" uri="{C3380CC4-5D6E-409C-BE32-E72D297353CC}">
              <c16:uniqueId val="{00000001-5C90-491C-8E1C-99E50EC3CC58}"/>
            </c:ext>
          </c:extLst>
        </c:ser>
        <c:dLbls>
          <c:showLegendKey val="0"/>
          <c:showVal val="0"/>
          <c:showCatName val="0"/>
          <c:showSerName val="0"/>
          <c:showPercent val="0"/>
          <c:showBubbleSize val="0"/>
        </c:dLbls>
        <c:gapWidth val="40"/>
        <c:axId val="130147456"/>
        <c:axId val="130148992"/>
      </c:barChart>
      <c:catAx>
        <c:axId val="130147456"/>
        <c:scaling>
          <c:orientation val="minMax"/>
        </c:scaling>
        <c:delete val="0"/>
        <c:axPos val="b"/>
        <c:numFmt formatCode="General" sourceLinked="0"/>
        <c:majorTickMark val="out"/>
        <c:minorTickMark val="none"/>
        <c:tickLblPos val="low"/>
        <c:spPr>
          <a:ln>
            <a:solidFill>
              <a:schemeClr val="tx1"/>
            </a:solidFill>
          </a:ln>
        </c:spPr>
        <c:txPr>
          <a:bodyPr rot="-2400000" vert="horz"/>
          <a:lstStyle/>
          <a:p>
            <a:pPr>
              <a:defRPr/>
            </a:pPr>
            <a:endParaRPr lang="ru-RU"/>
          </a:p>
        </c:txPr>
        <c:crossAx val="130148992"/>
        <c:crosses val="autoZero"/>
        <c:auto val="1"/>
        <c:lblAlgn val="ctr"/>
        <c:lblOffset val="100"/>
        <c:noMultiLvlLbl val="0"/>
      </c:catAx>
      <c:valAx>
        <c:axId val="130148992"/>
        <c:scaling>
          <c:orientation val="minMax"/>
        </c:scaling>
        <c:delete val="0"/>
        <c:axPos val="l"/>
        <c:numFmt formatCode="0" sourceLinked="0"/>
        <c:majorTickMark val="out"/>
        <c:minorTickMark val="none"/>
        <c:tickLblPos val="nextTo"/>
        <c:spPr>
          <a:ln>
            <a:solidFill>
              <a:schemeClr val="tx1"/>
            </a:solidFill>
          </a:ln>
        </c:spPr>
        <c:crossAx val="130147456"/>
        <c:crosses val="autoZero"/>
        <c:crossBetween val="between"/>
      </c:valAx>
      <c:spPr>
        <a:noFill/>
      </c:spPr>
    </c:plotArea>
    <c:legend>
      <c:legendPos val="b"/>
      <c:layout>
        <c:manualLayout>
          <c:xMode val="edge"/>
          <c:yMode val="edge"/>
          <c:x val="0.41215460312358915"/>
          <c:y val="8.5801771614636174E-2"/>
          <c:w val="0.26240475042660483"/>
          <c:h val="9.4340262172202191E-2"/>
        </c:manualLayout>
      </c:layout>
      <c:overlay val="0"/>
    </c:legend>
    <c:plotVisOnly val="1"/>
    <c:dispBlanksAs val="gap"/>
    <c:showDLblsOverMax val="0"/>
  </c:chart>
  <c:spPr>
    <a:noFill/>
    <a:ln w="9525">
      <a:noFill/>
    </a:ln>
  </c:spPr>
  <c:txPr>
    <a:bodyPr/>
    <a:lstStyle/>
    <a:p>
      <a:pPr>
        <a:defRPr sz="700">
          <a:latin typeface="Century" panose="020406040505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51545682149959"/>
          <c:y val="2.2383612662942271E-2"/>
          <c:w val="0.8136039004026574"/>
          <c:h val="0.7663928961434564"/>
        </c:manualLayout>
      </c:layout>
      <c:scatterChart>
        <c:scatterStyle val="smoothMarker"/>
        <c:varyColors val="0"/>
        <c:ser>
          <c:idx val="6"/>
          <c:order val="0"/>
          <c:tx>
            <c:strRef>
              <c:f>'Fisc_BE (2)'!$B$8</c:f>
              <c:strCache>
                <c:ptCount val="1"/>
                <c:pt idx="0">
                  <c:v>Казахстан</c:v>
                </c:pt>
              </c:strCache>
            </c:strRef>
          </c:tx>
          <c:spPr>
            <a:ln w="3175">
              <a:solidFill>
                <a:schemeClr val="tx1"/>
              </a:solidFill>
              <a:headEnd type="oval"/>
              <a:tailEnd type="triangle"/>
            </a:ln>
          </c:spPr>
          <c:marker>
            <c:symbol val="none"/>
          </c:marker>
          <c:xVal>
            <c:numRef>
              <c:f>'Fisc_BE (2)'!$C$8:$G$8</c:f>
              <c:numCache>
                <c:formatCode>0.0</c:formatCode>
                <c:ptCount val="5"/>
                <c:pt idx="0">
                  <c:v>48.8</c:v>
                </c:pt>
                <c:pt idx="1">
                  <c:v>66.694364876645295</c:v>
                </c:pt>
                <c:pt idx="2">
                  <c:v>63.903313743088198</c:v>
                </c:pt>
                <c:pt idx="3">
                  <c:v>61.621789078639203</c:v>
                </c:pt>
                <c:pt idx="4">
                  <c:v>60.559021548033201</c:v>
                </c:pt>
              </c:numCache>
            </c:numRef>
          </c:xVal>
          <c:yVal>
            <c:numRef>
              <c:f>'Fisc_BE (2)'!$J$8:$N$8</c:f>
              <c:numCache>
                <c:formatCode>0.0</c:formatCode>
                <c:ptCount val="5"/>
                <c:pt idx="0">
                  <c:v>5</c:v>
                </c:pt>
                <c:pt idx="1">
                  <c:v>2.4278556112348455</c:v>
                </c:pt>
                <c:pt idx="2">
                  <c:v>-6.3008080097702992</c:v>
                </c:pt>
                <c:pt idx="3">
                  <c:v>-4.4095703717233032</c:v>
                </c:pt>
                <c:pt idx="4">
                  <c:v>-6.2930671221964367</c:v>
                </c:pt>
              </c:numCache>
            </c:numRef>
          </c:yVal>
          <c:smooth val="1"/>
          <c:extLst xmlns:c16r2="http://schemas.microsoft.com/office/drawing/2015/06/chart">
            <c:ext xmlns:c16="http://schemas.microsoft.com/office/drawing/2014/chart" uri="{C3380CC4-5D6E-409C-BE32-E72D297353CC}">
              <c16:uniqueId val="{00000000-EC05-40D3-84A5-421EEAEF888E}"/>
            </c:ext>
          </c:extLst>
        </c:ser>
        <c:ser>
          <c:idx val="9"/>
          <c:order val="1"/>
          <c:tx>
            <c:strRef>
              <c:f>'Fisc_BE (2)'!$B$11</c:f>
              <c:strCache>
                <c:ptCount val="1"/>
                <c:pt idx="0">
                  <c:v>Оман</c:v>
                </c:pt>
              </c:strCache>
            </c:strRef>
          </c:tx>
          <c:spPr>
            <a:ln w="3175">
              <a:solidFill>
                <a:schemeClr val="bg2">
                  <a:lumMod val="50000"/>
                </a:schemeClr>
              </a:solidFill>
              <a:headEnd type="oval"/>
              <a:tailEnd type="triangle"/>
            </a:ln>
          </c:spPr>
          <c:marker>
            <c:symbol val="none"/>
          </c:marker>
          <c:xVal>
            <c:numRef>
              <c:f>'Fisc_BE (2)'!$C$11:$G$11</c:f>
              <c:numCache>
                <c:formatCode>0.0</c:formatCode>
                <c:ptCount val="5"/>
                <c:pt idx="0">
                  <c:v>90.8</c:v>
                </c:pt>
                <c:pt idx="1">
                  <c:v>94.042052552348807</c:v>
                </c:pt>
                <c:pt idx="2">
                  <c:v>100.258857428064</c:v>
                </c:pt>
                <c:pt idx="3">
                  <c:v>80.1418091509249</c:v>
                </c:pt>
                <c:pt idx="4">
                  <c:v>79.230304861800604</c:v>
                </c:pt>
              </c:numCache>
            </c:numRef>
          </c:xVal>
          <c:yVal>
            <c:numRef>
              <c:f>'Fisc_BE (2)'!$J$11:$N$11</c:f>
              <c:numCache>
                <c:formatCode>0.0</c:formatCode>
                <c:ptCount val="5"/>
                <c:pt idx="0">
                  <c:v>4.8</c:v>
                </c:pt>
                <c:pt idx="1">
                  <c:v>-1.0804252844419417</c:v>
                </c:pt>
                <c:pt idx="2">
                  <c:v>-15.122431117831525</c:v>
                </c:pt>
                <c:pt idx="3">
                  <c:v>-20.558079445952387</c:v>
                </c:pt>
                <c:pt idx="4">
                  <c:v>-10.127793114099216</c:v>
                </c:pt>
              </c:numCache>
            </c:numRef>
          </c:yVal>
          <c:smooth val="1"/>
          <c:extLst xmlns:c16r2="http://schemas.microsoft.com/office/drawing/2015/06/chart">
            <c:ext xmlns:c16="http://schemas.microsoft.com/office/drawing/2014/chart" uri="{C3380CC4-5D6E-409C-BE32-E72D297353CC}">
              <c16:uniqueId val="{00000001-EC05-40D3-84A5-421EEAEF888E}"/>
            </c:ext>
          </c:extLst>
        </c:ser>
        <c:ser>
          <c:idx val="10"/>
          <c:order val="2"/>
          <c:tx>
            <c:strRef>
              <c:f>'Fisc_BE (2)'!$B$12</c:f>
              <c:strCache>
                <c:ptCount val="1"/>
                <c:pt idx="0">
                  <c:v>С.Аравия</c:v>
                </c:pt>
              </c:strCache>
            </c:strRef>
          </c:tx>
          <c:spPr>
            <a:ln w="3175">
              <a:solidFill>
                <a:srgbClr val="FF0000"/>
              </a:solidFill>
              <a:prstDash val="solid"/>
              <a:headEnd type="oval"/>
              <a:tailEnd type="triangle"/>
            </a:ln>
          </c:spPr>
          <c:marker>
            <c:symbol val="none"/>
          </c:marker>
          <c:xVal>
            <c:numRef>
              <c:f>'Fisc_BE (2)'!$C$12:$G$12</c:f>
              <c:numCache>
                <c:formatCode>0.0</c:formatCode>
                <c:ptCount val="5"/>
                <c:pt idx="0">
                  <c:v>89</c:v>
                </c:pt>
                <c:pt idx="1">
                  <c:v>105.747877826391</c:v>
                </c:pt>
                <c:pt idx="2">
                  <c:v>93.791900376358697</c:v>
                </c:pt>
                <c:pt idx="3">
                  <c:v>93.725186912439597</c:v>
                </c:pt>
                <c:pt idx="4">
                  <c:v>83.848798759205593</c:v>
                </c:pt>
              </c:numCache>
            </c:numRef>
          </c:xVal>
          <c:yVal>
            <c:numRef>
              <c:f>'Fisc_BE (2)'!$J$12:$N$12</c:f>
              <c:numCache>
                <c:formatCode>0.0</c:formatCode>
                <c:ptCount val="5"/>
                <c:pt idx="0">
                  <c:v>8.6999999999999993</c:v>
                </c:pt>
                <c:pt idx="1">
                  <c:v>-3.3895755792926376</c:v>
                </c:pt>
                <c:pt idx="2">
                  <c:v>-15.820450895425116</c:v>
                </c:pt>
                <c:pt idx="3">
                  <c:v>-16.901877260634439</c:v>
                </c:pt>
                <c:pt idx="4">
                  <c:v>-9.8462892457838915</c:v>
                </c:pt>
              </c:numCache>
            </c:numRef>
          </c:yVal>
          <c:smooth val="1"/>
          <c:extLst xmlns:c16r2="http://schemas.microsoft.com/office/drawing/2015/06/chart">
            <c:ext xmlns:c16="http://schemas.microsoft.com/office/drawing/2014/chart" uri="{C3380CC4-5D6E-409C-BE32-E72D297353CC}">
              <c16:uniqueId val="{00000002-EC05-40D3-84A5-421EEAEF888E}"/>
            </c:ext>
          </c:extLst>
        </c:ser>
        <c:ser>
          <c:idx val="11"/>
          <c:order val="3"/>
          <c:tx>
            <c:strRef>
              <c:f>'Fisc_BE (2)'!$B$14</c:f>
              <c:strCache>
                <c:ptCount val="1"/>
                <c:pt idx="0">
                  <c:v>Россия</c:v>
                </c:pt>
              </c:strCache>
            </c:strRef>
          </c:tx>
          <c:spPr>
            <a:ln w="15875">
              <a:solidFill>
                <a:srgbClr val="004800"/>
              </a:solidFill>
              <a:headEnd type="oval"/>
              <a:tailEnd type="triangle"/>
            </a:ln>
          </c:spPr>
          <c:marker>
            <c:symbol val="none"/>
          </c:marker>
          <c:dLbls>
            <c:dLbl>
              <c:idx val="0"/>
              <c:layout>
                <c:manualLayout>
                  <c:x val="-4.8148153764730681E-2"/>
                  <c:y val="5.7189542483660129E-2"/>
                </c:manualLayout>
              </c:layout>
              <c:tx>
                <c:rich>
                  <a:bodyPr/>
                  <a:lstStyle/>
                  <a:p>
                    <a:pPr>
                      <a:defRPr>
                        <a:solidFill>
                          <a:srgbClr val="003300"/>
                        </a:solidFill>
                      </a:defRPr>
                    </a:pPr>
                    <a:r>
                      <a:rPr lang="en-US">
                        <a:solidFill>
                          <a:srgbClr val="003300"/>
                        </a:solidFill>
                      </a:rPr>
                      <a:t>2012</a:t>
                    </a:r>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C05-40D3-84A5-421EEAEF888E}"/>
                </c:ext>
              </c:extLst>
            </c:dLbl>
            <c:dLbl>
              <c:idx val="4"/>
              <c:layout>
                <c:manualLayout>
                  <c:x val="-4.2287202972032055E-2"/>
                  <c:y val="0.1169912063911719"/>
                </c:manualLayout>
              </c:layout>
              <c:tx>
                <c:rich>
                  <a:bodyPr/>
                  <a:lstStyle/>
                  <a:p>
                    <a:pPr>
                      <a:defRPr>
                        <a:solidFill>
                          <a:srgbClr val="003300"/>
                        </a:solidFill>
                      </a:defRPr>
                    </a:pPr>
                    <a:r>
                      <a:rPr lang="ru-RU">
                        <a:solidFill>
                          <a:srgbClr val="003300"/>
                        </a:solidFill>
                      </a:rPr>
                      <a:t>2017(о)</a:t>
                    </a:r>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C05-40D3-84A5-421EEAEF888E}"/>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xVal>
            <c:numRef>
              <c:f>'Fisc_BE (2)'!$C$14:$G$14</c:f>
              <c:numCache>
                <c:formatCode>0.0</c:formatCode>
                <c:ptCount val="5"/>
                <c:pt idx="0">
                  <c:v>122.64736281190301</c:v>
                </c:pt>
                <c:pt idx="1">
                  <c:v>110.14007285239497</c:v>
                </c:pt>
                <c:pt idx="2">
                  <c:v>77.483645316297114</c:v>
                </c:pt>
                <c:pt idx="3">
                  <c:v>72.116980562808095</c:v>
                </c:pt>
                <c:pt idx="4">
                  <c:v>60</c:v>
                </c:pt>
              </c:numCache>
            </c:numRef>
          </c:xVal>
          <c:yVal>
            <c:numRef>
              <c:f>'Fisc_BE (2)'!$J$14:$N$14</c:f>
              <c:numCache>
                <c:formatCode>0.0</c:formatCode>
                <c:ptCount val="5"/>
                <c:pt idx="0">
                  <c:v>-1.1943997903168344</c:v>
                </c:pt>
                <c:pt idx="1">
                  <c:v>-1.0676637528158566</c:v>
                </c:pt>
                <c:pt idx="2">
                  <c:v>-3.3874867687295582</c:v>
                </c:pt>
                <c:pt idx="3">
                  <c:v>-3.6517976489594837</c:v>
                </c:pt>
                <c:pt idx="4">
                  <c:v>-2.2999999999999998</c:v>
                </c:pt>
              </c:numCache>
            </c:numRef>
          </c:yVal>
          <c:smooth val="1"/>
          <c:extLst xmlns:c16r2="http://schemas.microsoft.com/office/drawing/2015/06/chart">
            <c:ext xmlns:c16="http://schemas.microsoft.com/office/drawing/2014/chart" uri="{C3380CC4-5D6E-409C-BE32-E72D297353CC}">
              <c16:uniqueId val="{00000005-EC05-40D3-84A5-421EEAEF888E}"/>
            </c:ext>
          </c:extLst>
        </c:ser>
        <c:dLbls>
          <c:showLegendKey val="0"/>
          <c:showVal val="0"/>
          <c:showCatName val="0"/>
          <c:showSerName val="0"/>
          <c:showPercent val="0"/>
          <c:showBubbleSize val="0"/>
        </c:dLbls>
        <c:axId val="130266240"/>
        <c:axId val="130268160"/>
      </c:scatterChart>
      <c:valAx>
        <c:axId val="130266240"/>
        <c:scaling>
          <c:orientation val="minMax"/>
          <c:max val="125"/>
          <c:min val="40"/>
        </c:scaling>
        <c:delete val="0"/>
        <c:axPos val="b"/>
        <c:title>
          <c:tx>
            <c:rich>
              <a:bodyPr/>
              <a:lstStyle/>
              <a:p>
                <a:pPr>
                  <a:defRPr b="0"/>
                </a:pPr>
                <a:r>
                  <a:rPr lang="ru-RU" b="0"/>
                  <a:t>балансирующая бюджет цена на нефть</a:t>
                </a:r>
              </a:p>
            </c:rich>
          </c:tx>
          <c:layout>
            <c:manualLayout>
              <c:xMode val="edge"/>
              <c:yMode val="edge"/>
              <c:x val="0.2455797253829918"/>
              <c:y val="0.74423530087936085"/>
            </c:manualLayout>
          </c:layout>
          <c:overlay val="0"/>
        </c:title>
        <c:numFmt formatCode="0" sourceLinked="0"/>
        <c:majorTickMark val="out"/>
        <c:minorTickMark val="none"/>
        <c:tickLblPos val="low"/>
        <c:spPr>
          <a:ln w="3175">
            <a:solidFill>
              <a:schemeClr val="tx1"/>
            </a:solidFill>
          </a:ln>
        </c:spPr>
        <c:crossAx val="130268160"/>
        <c:crossesAt val="0"/>
        <c:crossBetween val="midCat"/>
        <c:majorUnit val="20"/>
      </c:valAx>
      <c:valAx>
        <c:axId val="130268160"/>
        <c:scaling>
          <c:orientation val="minMax"/>
          <c:max val="18"/>
          <c:min val="-25"/>
        </c:scaling>
        <c:delete val="0"/>
        <c:axPos val="l"/>
        <c:title>
          <c:tx>
            <c:rich>
              <a:bodyPr rot="-5400000" vert="horz"/>
              <a:lstStyle/>
              <a:p>
                <a:pPr>
                  <a:defRPr b="0"/>
                </a:pPr>
                <a:r>
                  <a:rPr lang="ru-RU" b="0"/>
                  <a:t>дефицит бюджета, %ВВП</a:t>
                </a:r>
              </a:p>
            </c:rich>
          </c:tx>
          <c:layout>
            <c:manualLayout>
              <c:xMode val="edge"/>
              <c:yMode val="edge"/>
              <c:x val="0"/>
              <c:y val="3.4354253512428594E-2"/>
            </c:manualLayout>
          </c:layout>
          <c:overlay val="0"/>
        </c:title>
        <c:numFmt formatCode="0" sourceLinked="0"/>
        <c:majorTickMark val="out"/>
        <c:minorTickMark val="none"/>
        <c:tickLblPos val="nextTo"/>
        <c:spPr>
          <a:ln w="3175">
            <a:solidFill>
              <a:schemeClr val="tx1"/>
            </a:solidFill>
          </a:ln>
        </c:spPr>
        <c:crossAx val="130266240"/>
        <c:crosses val="autoZero"/>
        <c:crossBetween val="midCat"/>
        <c:majorUnit val="5"/>
      </c:valAx>
      <c:spPr>
        <a:noFill/>
      </c:spPr>
    </c:plotArea>
    <c:legend>
      <c:legendPos val="r"/>
      <c:layout>
        <c:manualLayout>
          <c:xMode val="edge"/>
          <c:yMode val="edge"/>
          <c:x val="2.1230681974999358E-3"/>
          <c:y val="0.9133703086384275"/>
          <c:w val="0.99544350904263768"/>
          <c:h val="8.6629691361572503E-2"/>
        </c:manualLayout>
      </c:layout>
      <c:overlay val="0"/>
      <c:txPr>
        <a:bodyPr/>
        <a:lstStyle/>
        <a:p>
          <a:pPr>
            <a:defRPr sz="600"/>
          </a:pPr>
          <a:endParaRPr lang="ru-RU"/>
        </a:p>
      </c:txPr>
    </c:legend>
    <c:plotVisOnly val="1"/>
    <c:dispBlanksAs val="gap"/>
    <c:showDLblsOverMax val="0"/>
  </c:chart>
  <c:spPr>
    <a:noFill/>
    <a:ln>
      <a:noFill/>
    </a:ln>
  </c:spPr>
  <c:txPr>
    <a:bodyPr/>
    <a:lstStyle/>
    <a:p>
      <a:pPr>
        <a:defRPr sz="700">
          <a:latin typeface="Century" panose="020406040505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19394161404629"/>
          <c:y val="2.9249812333296099E-2"/>
          <c:w val="0.85017729531850883"/>
          <c:h val="0.79381756865211739"/>
        </c:manualLayout>
      </c:layout>
      <c:lineChart>
        <c:grouping val="standard"/>
        <c:varyColors val="0"/>
        <c:ser>
          <c:idx val="0"/>
          <c:order val="0"/>
          <c:tx>
            <c:strRef>
              <c:f>Sheet1!$D$6</c:f>
              <c:strCache>
                <c:ptCount val="1"/>
                <c:pt idx="0">
                  <c:v>рост доходов</c:v>
                </c:pt>
              </c:strCache>
            </c:strRef>
          </c:tx>
          <c:spPr>
            <a:ln w="12700" cmpd="sng">
              <a:solidFill>
                <a:srgbClr val="00B050"/>
              </a:solidFill>
            </a:ln>
          </c:spPr>
          <c:marker>
            <c:symbol val="circle"/>
            <c:size val="5"/>
            <c:spPr>
              <a:solidFill>
                <a:schemeClr val="bg1"/>
              </a:solidFill>
              <a:ln>
                <a:solidFill>
                  <a:srgbClr val="00B050"/>
                </a:solidFill>
              </a:ln>
            </c:spPr>
          </c:marker>
          <c:cat>
            <c:numRef>
              <c:f>Sheet1!$C$7:$C$11</c:f>
              <c:numCache>
                <c:formatCode>General</c:formatCode>
                <c:ptCount val="5"/>
                <c:pt idx="0">
                  <c:v>0</c:v>
                </c:pt>
                <c:pt idx="1">
                  <c:v>1</c:v>
                </c:pt>
                <c:pt idx="2">
                  <c:v>2</c:v>
                </c:pt>
                <c:pt idx="3">
                  <c:v>3</c:v>
                </c:pt>
                <c:pt idx="4">
                  <c:v>4</c:v>
                </c:pt>
              </c:numCache>
            </c:numRef>
          </c:cat>
          <c:val>
            <c:numRef>
              <c:f>Sheet1!$D$7:$D$11</c:f>
              <c:numCache>
                <c:formatCode>General</c:formatCode>
                <c:ptCount val="5"/>
                <c:pt idx="0">
                  <c:v>-0.95</c:v>
                </c:pt>
                <c:pt idx="1">
                  <c:v>-2.2999999999999998</c:v>
                </c:pt>
                <c:pt idx="2">
                  <c:v>-2.9</c:v>
                </c:pt>
                <c:pt idx="3">
                  <c:v>-3</c:v>
                </c:pt>
                <c:pt idx="4">
                  <c:v>-2.8</c:v>
                </c:pt>
              </c:numCache>
            </c:numRef>
          </c:val>
          <c:smooth val="0"/>
          <c:extLst xmlns:c16r2="http://schemas.microsoft.com/office/drawing/2015/06/chart">
            <c:ext xmlns:c16="http://schemas.microsoft.com/office/drawing/2014/chart" uri="{C3380CC4-5D6E-409C-BE32-E72D297353CC}">
              <c16:uniqueId val="{00000000-293A-4943-BCD2-C4DDC2D1EBC0}"/>
            </c:ext>
          </c:extLst>
        </c:ser>
        <c:dLbls>
          <c:showLegendKey val="0"/>
          <c:showVal val="0"/>
          <c:showCatName val="0"/>
          <c:showSerName val="0"/>
          <c:showPercent val="0"/>
          <c:showBubbleSize val="0"/>
        </c:dLbls>
        <c:marker val="1"/>
        <c:smooth val="0"/>
        <c:axId val="130603264"/>
        <c:axId val="130609920"/>
      </c:lineChart>
      <c:lineChart>
        <c:grouping val="standard"/>
        <c:varyColors val="0"/>
        <c:ser>
          <c:idx val="1"/>
          <c:order val="1"/>
          <c:tx>
            <c:strRef>
              <c:f>Sheet1!$E$6</c:f>
              <c:strCache>
                <c:ptCount val="1"/>
                <c:pt idx="0">
                  <c:v>снижение расходов</c:v>
                </c:pt>
              </c:strCache>
            </c:strRef>
          </c:tx>
          <c:spPr>
            <a:ln w="12700">
              <a:solidFill>
                <a:schemeClr val="tx1">
                  <a:lumMod val="50000"/>
                  <a:lumOff val="50000"/>
                </a:schemeClr>
              </a:solidFill>
            </a:ln>
          </c:spPr>
          <c:marker>
            <c:symbol val="circle"/>
            <c:size val="5"/>
            <c:spPr>
              <a:solidFill>
                <a:schemeClr val="bg1"/>
              </a:solidFill>
              <a:ln>
                <a:solidFill>
                  <a:schemeClr val="tx1">
                    <a:lumMod val="50000"/>
                    <a:lumOff val="50000"/>
                  </a:schemeClr>
                </a:solidFill>
              </a:ln>
            </c:spPr>
          </c:marker>
          <c:cat>
            <c:numRef>
              <c:f>Sheet1!$C$7:$C$11</c:f>
              <c:numCache>
                <c:formatCode>General</c:formatCode>
                <c:ptCount val="5"/>
                <c:pt idx="0">
                  <c:v>0</c:v>
                </c:pt>
                <c:pt idx="1">
                  <c:v>1</c:v>
                </c:pt>
                <c:pt idx="2">
                  <c:v>2</c:v>
                </c:pt>
                <c:pt idx="3">
                  <c:v>3</c:v>
                </c:pt>
                <c:pt idx="4">
                  <c:v>4</c:v>
                </c:pt>
              </c:numCache>
            </c:numRef>
          </c:cat>
          <c:val>
            <c:numRef>
              <c:f>Sheet1!$E$7:$E$11</c:f>
              <c:numCache>
                <c:formatCode>General</c:formatCode>
                <c:ptCount val="5"/>
                <c:pt idx="0">
                  <c:v>0.2</c:v>
                </c:pt>
                <c:pt idx="1">
                  <c:v>-0.3</c:v>
                </c:pt>
                <c:pt idx="2">
                  <c:v>-0.1</c:v>
                </c:pt>
                <c:pt idx="3">
                  <c:v>0.4</c:v>
                </c:pt>
                <c:pt idx="4">
                  <c:v>0.6</c:v>
                </c:pt>
              </c:numCache>
            </c:numRef>
          </c:val>
          <c:smooth val="0"/>
          <c:extLst xmlns:c16r2="http://schemas.microsoft.com/office/drawing/2015/06/chart">
            <c:ext xmlns:c16="http://schemas.microsoft.com/office/drawing/2014/chart" uri="{C3380CC4-5D6E-409C-BE32-E72D297353CC}">
              <c16:uniqueId val="{00000001-293A-4943-BCD2-C4DDC2D1EBC0}"/>
            </c:ext>
          </c:extLst>
        </c:ser>
        <c:dLbls>
          <c:showLegendKey val="0"/>
          <c:showVal val="0"/>
          <c:showCatName val="0"/>
          <c:showSerName val="0"/>
          <c:showPercent val="0"/>
          <c:showBubbleSize val="0"/>
        </c:dLbls>
        <c:marker val="1"/>
        <c:smooth val="0"/>
        <c:axId val="130679168"/>
        <c:axId val="130611840"/>
      </c:lineChart>
      <c:catAx>
        <c:axId val="130603264"/>
        <c:scaling>
          <c:orientation val="minMax"/>
        </c:scaling>
        <c:delete val="0"/>
        <c:axPos val="b"/>
        <c:title>
          <c:tx>
            <c:rich>
              <a:bodyPr/>
              <a:lstStyle/>
              <a:p>
                <a:pPr>
                  <a:defRPr/>
                </a:pPr>
                <a:r>
                  <a:rPr lang="ru-RU"/>
                  <a:t>год с начала реализации плана консолидации</a:t>
                </a:r>
              </a:p>
            </c:rich>
          </c:tx>
          <c:layout>
            <c:manualLayout>
              <c:xMode val="edge"/>
              <c:yMode val="edge"/>
              <c:x val="0.38914052252715875"/>
              <c:y val="0.76634879982562731"/>
            </c:manualLayout>
          </c:layout>
          <c:overlay val="0"/>
        </c:title>
        <c:numFmt formatCode="General" sourceLinked="1"/>
        <c:majorTickMark val="out"/>
        <c:minorTickMark val="none"/>
        <c:tickLblPos val="low"/>
        <c:spPr>
          <a:ln>
            <a:solidFill>
              <a:schemeClr val="tx1"/>
            </a:solidFill>
          </a:ln>
        </c:spPr>
        <c:crossAx val="130609920"/>
        <c:crosses val="autoZero"/>
        <c:auto val="1"/>
        <c:lblAlgn val="ctr"/>
        <c:lblOffset val="100"/>
        <c:noMultiLvlLbl val="0"/>
      </c:catAx>
      <c:valAx>
        <c:axId val="130609920"/>
        <c:scaling>
          <c:orientation val="minMax"/>
        </c:scaling>
        <c:delete val="0"/>
        <c:axPos val="l"/>
        <c:title>
          <c:tx>
            <c:rich>
              <a:bodyPr rot="-5400000" vert="horz"/>
              <a:lstStyle/>
              <a:p>
                <a:pPr>
                  <a:defRPr/>
                </a:pPr>
                <a:r>
                  <a:rPr lang="ru-RU"/>
                  <a:t>прирост ВВП</a:t>
                </a:r>
              </a:p>
            </c:rich>
          </c:tx>
          <c:layout>
            <c:manualLayout>
              <c:xMode val="edge"/>
              <c:yMode val="edge"/>
              <c:x val="2.95673413358027E-3"/>
              <c:y val="7.6691180111920004E-3"/>
            </c:manualLayout>
          </c:layout>
          <c:overlay val="0"/>
        </c:title>
        <c:numFmt formatCode="#,##0.0" sourceLinked="0"/>
        <c:majorTickMark val="out"/>
        <c:minorTickMark val="none"/>
        <c:tickLblPos val="nextTo"/>
        <c:spPr>
          <a:ln>
            <a:solidFill>
              <a:schemeClr val="tx1"/>
            </a:solidFill>
          </a:ln>
        </c:spPr>
        <c:crossAx val="130603264"/>
        <c:crosses val="autoZero"/>
        <c:crossBetween val="between"/>
      </c:valAx>
      <c:valAx>
        <c:axId val="130611840"/>
        <c:scaling>
          <c:orientation val="minMax"/>
        </c:scaling>
        <c:delete val="1"/>
        <c:axPos val="r"/>
        <c:numFmt formatCode="General" sourceLinked="1"/>
        <c:majorTickMark val="out"/>
        <c:minorTickMark val="none"/>
        <c:tickLblPos val="nextTo"/>
        <c:crossAx val="130679168"/>
        <c:crosses val="max"/>
        <c:crossBetween val="between"/>
      </c:valAx>
      <c:catAx>
        <c:axId val="130679168"/>
        <c:scaling>
          <c:orientation val="minMax"/>
        </c:scaling>
        <c:delete val="1"/>
        <c:axPos val="b"/>
        <c:numFmt formatCode="General" sourceLinked="1"/>
        <c:majorTickMark val="out"/>
        <c:minorTickMark val="none"/>
        <c:tickLblPos val="none"/>
        <c:crossAx val="130611840"/>
        <c:crosses val="autoZero"/>
        <c:auto val="1"/>
        <c:lblAlgn val="ctr"/>
        <c:lblOffset val="100"/>
        <c:noMultiLvlLbl val="0"/>
      </c:catAx>
      <c:spPr>
        <a:noFill/>
      </c:spPr>
    </c:plotArea>
    <c:legend>
      <c:legendPos val="b"/>
      <c:layout>
        <c:manualLayout>
          <c:xMode val="edge"/>
          <c:yMode val="edge"/>
          <c:x val="3.1438898839374367E-4"/>
          <c:y val="0.92531067501046049"/>
          <c:w val="0.99968549793930495"/>
          <c:h val="7.4219001171566351E-2"/>
        </c:manualLayout>
      </c:layout>
      <c:overlay val="0"/>
    </c:legend>
    <c:plotVisOnly val="1"/>
    <c:dispBlanksAs val="gap"/>
    <c:showDLblsOverMax val="0"/>
  </c:chart>
  <c:spPr>
    <a:noFill/>
    <a:ln>
      <a:noFill/>
    </a:ln>
  </c:spPr>
  <c:txPr>
    <a:bodyPr/>
    <a:lstStyle/>
    <a:p>
      <a:pPr>
        <a:defRPr sz="800" b="0">
          <a:solidFill>
            <a:sysClr val="windowText" lastClr="000000"/>
          </a:solidFill>
          <a:latin typeface="Century" panose="020406040505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9.5170815341630397E-4"/>
          <c:w val="1"/>
          <c:h val="0.83765960280334939"/>
        </c:manualLayout>
      </c:layout>
      <c:barChart>
        <c:barDir val="col"/>
        <c:grouping val="clustered"/>
        <c:varyColors val="0"/>
        <c:ser>
          <c:idx val="0"/>
          <c:order val="0"/>
          <c:tx>
            <c:strRef>
              <c:f>Лист1!$AC$58</c:f>
              <c:strCache>
                <c:ptCount val="1"/>
                <c:pt idx="0">
                  <c:v>НДС, % от конечного внутреннего спроса</c:v>
                </c:pt>
              </c:strCache>
            </c:strRef>
          </c:tx>
          <c:spPr>
            <a:solidFill>
              <a:srgbClr val="006600"/>
            </a:solidFill>
          </c:spPr>
          <c:invertIfNegative val="0"/>
          <c:dLbls>
            <c:dLbl>
              <c:idx val="0"/>
              <c:layout>
                <c:manualLayout>
                  <c:x val="0"/>
                  <c:y val="0.1274768909316695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506-4B3A-B4DB-986C347561DD}"/>
                </c:ext>
              </c:extLst>
            </c:dLbl>
            <c:dLbl>
              <c:idx val="1"/>
              <c:layout>
                <c:manualLayout>
                  <c:x val="0"/>
                  <c:y val="0.17042958578532588"/>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506-4B3A-B4DB-986C347561DD}"/>
                </c:ext>
              </c:extLst>
            </c:dLbl>
            <c:dLbl>
              <c:idx val="2"/>
              <c:layout>
                <c:manualLayout>
                  <c:x val="5.5555555555555558E-3"/>
                  <c:y val="0.13649105478550866"/>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506-4B3A-B4DB-986C347561DD}"/>
                </c:ext>
              </c:extLst>
            </c:dLbl>
            <c:dLbl>
              <c:idx val="3"/>
              <c:layout>
                <c:manualLayout>
                  <c:x val="1.0185067526415994E-16"/>
                  <c:y val="0.12171077573636628"/>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506-4B3A-B4DB-986C347561DD}"/>
                </c:ext>
              </c:extLst>
            </c:dLbl>
            <c:spPr>
              <a:noFill/>
              <a:ln>
                <a:noFill/>
              </a:ln>
              <a:effectLst/>
            </c:spPr>
            <c:txPr>
              <a:bodyPr/>
              <a:lstStyle/>
              <a:p>
                <a:pPr>
                  <a:defRPr sz="800" b="1">
                    <a:solidFill>
                      <a:schemeClr val="bg1"/>
                    </a:solidFill>
                    <a:latin typeface="Century" panose="02040604050505020304" pitchFamily="18"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Лист1!$AB$60:$AB$62</c:f>
              <c:numCache>
                <c:formatCode>General</c:formatCode>
                <c:ptCount val="3"/>
                <c:pt idx="0">
                  <c:v>2014</c:v>
                </c:pt>
                <c:pt idx="1">
                  <c:v>2015</c:v>
                </c:pt>
                <c:pt idx="2">
                  <c:v>2016</c:v>
                </c:pt>
              </c:numCache>
            </c:numRef>
          </c:cat>
          <c:val>
            <c:numRef>
              <c:f>Лист1!$AC$60:$AC$62</c:f>
              <c:numCache>
                <c:formatCode>General</c:formatCode>
                <c:ptCount val="3"/>
                <c:pt idx="0">
                  <c:v>5.4</c:v>
                </c:pt>
                <c:pt idx="1">
                  <c:v>5.6</c:v>
                </c:pt>
                <c:pt idx="2">
                  <c:v>5.9</c:v>
                </c:pt>
              </c:numCache>
            </c:numRef>
          </c:val>
          <c:extLst xmlns:c16r2="http://schemas.microsoft.com/office/drawing/2015/06/chart">
            <c:ext xmlns:c16="http://schemas.microsoft.com/office/drawing/2014/chart" uri="{C3380CC4-5D6E-409C-BE32-E72D297353CC}">
              <c16:uniqueId val="{00000004-2506-4B3A-B4DB-986C347561DD}"/>
            </c:ext>
          </c:extLst>
        </c:ser>
        <c:dLbls>
          <c:showLegendKey val="0"/>
          <c:showVal val="0"/>
          <c:showCatName val="0"/>
          <c:showSerName val="0"/>
          <c:showPercent val="0"/>
          <c:showBubbleSize val="0"/>
        </c:dLbls>
        <c:gapWidth val="50"/>
        <c:axId val="130783872"/>
        <c:axId val="130806144"/>
      </c:barChart>
      <c:catAx>
        <c:axId val="130783872"/>
        <c:scaling>
          <c:orientation val="minMax"/>
        </c:scaling>
        <c:delete val="0"/>
        <c:axPos val="b"/>
        <c:numFmt formatCode="General" sourceLinked="1"/>
        <c:majorTickMark val="out"/>
        <c:minorTickMark val="none"/>
        <c:tickLblPos val="low"/>
        <c:txPr>
          <a:bodyPr/>
          <a:lstStyle/>
          <a:p>
            <a:pPr>
              <a:defRPr sz="800">
                <a:latin typeface="Century" panose="02040604050505020304" pitchFamily="18" charset="0"/>
              </a:defRPr>
            </a:pPr>
            <a:endParaRPr lang="ru-RU"/>
          </a:p>
        </c:txPr>
        <c:crossAx val="130806144"/>
        <c:crosses val="autoZero"/>
        <c:auto val="1"/>
        <c:lblAlgn val="ctr"/>
        <c:lblOffset val="100"/>
        <c:noMultiLvlLbl val="0"/>
      </c:catAx>
      <c:valAx>
        <c:axId val="130806144"/>
        <c:scaling>
          <c:orientation val="minMax"/>
          <c:min val="5"/>
        </c:scaling>
        <c:delete val="1"/>
        <c:axPos val="l"/>
        <c:numFmt formatCode="General" sourceLinked="1"/>
        <c:majorTickMark val="out"/>
        <c:minorTickMark val="none"/>
        <c:tickLblPos val="nextTo"/>
        <c:crossAx val="130783872"/>
        <c:crosses val="autoZero"/>
        <c:crossBetween val="between"/>
        <c:majorUnit val="1"/>
      </c:valAx>
    </c:plotArea>
    <c:legend>
      <c:legendPos val="b"/>
      <c:layout>
        <c:manualLayout>
          <c:xMode val="edge"/>
          <c:yMode val="edge"/>
          <c:x val="0.12405063944471065"/>
          <c:y val="0.91800910589136187"/>
          <c:w val="0.70841461904583025"/>
          <c:h val="7.953019836230607E-2"/>
        </c:manualLayout>
      </c:layout>
      <c:overlay val="0"/>
      <c:txPr>
        <a:bodyPr/>
        <a:lstStyle/>
        <a:p>
          <a:pPr>
            <a:defRPr sz="800">
              <a:latin typeface="Century" panose="02040604050505020304" pitchFamily="18" charset="0"/>
            </a:defRPr>
          </a:pPr>
          <a:endParaRPr lang="ru-RU"/>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90955280325839E-2"/>
          <c:y val="2.0821188723445282E-3"/>
          <c:w val="0.97252541217800847"/>
          <c:h val="0.80382340905790883"/>
        </c:manualLayout>
      </c:layout>
      <c:barChart>
        <c:barDir val="col"/>
        <c:grouping val="clustered"/>
        <c:varyColors val="0"/>
        <c:ser>
          <c:idx val="0"/>
          <c:order val="0"/>
          <c:tx>
            <c:strRef>
              <c:f>Лист1!$AB$21</c:f>
              <c:strCache>
                <c:ptCount val="1"/>
                <c:pt idx="0">
                  <c:v>акцизы на крепкий алкоголь, г/г %</c:v>
                </c:pt>
              </c:strCache>
            </c:strRef>
          </c:tx>
          <c:spPr>
            <a:solidFill>
              <a:srgbClr val="006600"/>
            </a:solidFill>
          </c:spPr>
          <c:invertIfNegative val="0"/>
          <c:dLbls>
            <c:dLbl>
              <c:idx val="1"/>
              <c:layout>
                <c:manualLayout>
                  <c:x val="3.7561151477025737E-3"/>
                  <c:y val="0.1292346847603894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264-4E70-9183-61A61AA350A7}"/>
                </c:ext>
              </c:extLst>
            </c:dLbl>
            <c:dLbl>
              <c:idx val="2"/>
              <c:layout>
                <c:manualLayout>
                  <c:x val="-5.5555555555555558E-3"/>
                  <c:y val="0.1318208661417322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264-4E70-9183-61A61AA350A7}"/>
                </c:ext>
              </c:extLst>
            </c:dLbl>
            <c:dLbl>
              <c:idx val="3"/>
              <c:layout>
                <c:manualLayout>
                  <c:x val="1.0185067526415994E-16"/>
                  <c:y val="0.12171077573636628"/>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264-4E70-9183-61A61AA350A7}"/>
                </c:ext>
              </c:extLst>
            </c:dLbl>
            <c:spPr>
              <a:noFill/>
              <a:ln>
                <a:noFill/>
              </a:ln>
              <a:effectLst/>
            </c:spPr>
            <c:txPr>
              <a:bodyPr/>
              <a:lstStyle/>
              <a:p>
                <a:pPr>
                  <a:defRPr sz="800" b="1">
                    <a:solidFill>
                      <a:schemeClr val="bg1"/>
                    </a:solidFill>
                    <a:latin typeface="Century" panose="02040604050505020304" pitchFamily="18"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Лист1!$AA$22:$AA$25</c:f>
              <c:strCache>
                <c:ptCount val="4"/>
                <c:pt idx="0">
                  <c:v>2014</c:v>
                </c:pt>
                <c:pt idx="1">
                  <c:v>2015</c:v>
                </c:pt>
                <c:pt idx="2">
                  <c:v>2016</c:v>
                </c:pt>
                <c:pt idx="3">
                  <c:v>IП 2017г.</c:v>
                </c:pt>
              </c:strCache>
            </c:strRef>
          </c:cat>
          <c:val>
            <c:numRef>
              <c:f>Лист1!$AB$22:$AB$25</c:f>
              <c:numCache>
                <c:formatCode>General</c:formatCode>
                <c:ptCount val="4"/>
                <c:pt idx="0">
                  <c:v>7.4</c:v>
                </c:pt>
                <c:pt idx="1">
                  <c:v>-10.4</c:v>
                </c:pt>
                <c:pt idx="2">
                  <c:v>28.4</c:v>
                </c:pt>
                <c:pt idx="3">
                  <c:v>21.6</c:v>
                </c:pt>
              </c:numCache>
            </c:numRef>
          </c:val>
          <c:extLst xmlns:c16r2="http://schemas.microsoft.com/office/drawing/2015/06/chart">
            <c:ext xmlns:c16="http://schemas.microsoft.com/office/drawing/2014/chart" uri="{C3380CC4-5D6E-409C-BE32-E72D297353CC}">
              <c16:uniqueId val="{00000003-0264-4E70-9183-61A61AA350A7}"/>
            </c:ext>
          </c:extLst>
        </c:ser>
        <c:dLbls>
          <c:showLegendKey val="0"/>
          <c:showVal val="0"/>
          <c:showCatName val="0"/>
          <c:showSerName val="0"/>
          <c:showPercent val="0"/>
          <c:showBubbleSize val="0"/>
        </c:dLbls>
        <c:gapWidth val="50"/>
        <c:axId val="132011904"/>
        <c:axId val="132013440"/>
      </c:barChart>
      <c:catAx>
        <c:axId val="132011904"/>
        <c:scaling>
          <c:orientation val="minMax"/>
        </c:scaling>
        <c:delete val="0"/>
        <c:axPos val="b"/>
        <c:numFmt formatCode="General" sourceLinked="0"/>
        <c:majorTickMark val="out"/>
        <c:minorTickMark val="none"/>
        <c:tickLblPos val="low"/>
        <c:txPr>
          <a:bodyPr/>
          <a:lstStyle/>
          <a:p>
            <a:pPr>
              <a:defRPr sz="800">
                <a:latin typeface="Century" panose="02040604050505020304" pitchFamily="18" charset="0"/>
              </a:defRPr>
            </a:pPr>
            <a:endParaRPr lang="ru-RU"/>
          </a:p>
        </c:txPr>
        <c:crossAx val="132013440"/>
        <c:crosses val="autoZero"/>
        <c:auto val="1"/>
        <c:lblAlgn val="ctr"/>
        <c:lblOffset val="100"/>
        <c:noMultiLvlLbl val="0"/>
      </c:catAx>
      <c:valAx>
        <c:axId val="132013440"/>
        <c:scaling>
          <c:orientation val="minMax"/>
        </c:scaling>
        <c:delete val="1"/>
        <c:axPos val="l"/>
        <c:numFmt formatCode="General" sourceLinked="1"/>
        <c:majorTickMark val="out"/>
        <c:minorTickMark val="none"/>
        <c:tickLblPos val="nextTo"/>
        <c:crossAx val="132011904"/>
        <c:crosses val="autoZero"/>
        <c:crossBetween val="between"/>
      </c:valAx>
    </c:plotArea>
    <c:legend>
      <c:legendPos val="b"/>
      <c:layout>
        <c:manualLayout>
          <c:xMode val="edge"/>
          <c:yMode val="edge"/>
          <c:x val="0.17151241277912918"/>
          <c:y val="0.89904659697017197"/>
          <c:w val="0.64884966755423368"/>
          <c:h val="8.0567526576484291E-2"/>
        </c:manualLayout>
      </c:layout>
      <c:overlay val="0"/>
      <c:txPr>
        <a:bodyPr/>
        <a:lstStyle/>
        <a:p>
          <a:pPr>
            <a:defRPr sz="800">
              <a:latin typeface="Century" panose="02040604050505020304" pitchFamily="18" charset="0"/>
            </a:defRPr>
          </a:pPr>
          <a:endParaRPr lang="ru-RU"/>
        </a:p>
      </c:txPr>
    </c:legend>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0.24158</cdr:x>
      <cdr:y>0.22685</cdr:y>
    </cdr:from>
    <cdr:to>
      <cdr:x>0.43496</cdr:x>
      <cdr:y>0.28938</cdr:y>
    </cdr:to>
    <cdr:sp macro="" textlink="">
      <cdr:nvSpPr>
        <cdr:cNvPr id="2" name="TextBox 1"/>
        <cdr:cNvSpPr txBox="1"/>
      </cdr:nvSpPr>
      <cdr:spPr>
        <a:xfrm xmlns:a="http://schemas.openxmlformats.org/drawingml/2006/main">
          <a:off x="820401" y="622295"/>
          <a:ext cx="656706" cy="1715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700">
              <a:latin typeface="Century" panose="02040604050505020304" pitchFamily="18" charset="0"/>
            </a:rPr>
            <a:t>Норвегия</a:t>
          </a:r>
        </a:p>
      </cdr:txBody>
    </cdr:sp>
  </cdr:relSizeAnchor>
  <cdr:relSizeAnchor xmlns:cdr="http://schemas.openxmlformats.org/drawingml/2006/chartDrawing">
    <cdr:from>
      <cdr:x>0.20502</cdr:x>
      <cdr:y>0.3206</cdr:y>
    </cdr:from>
    <cdr:to>
      <cdr:x>0.42687</cdr:x>
      <cdr:y>0.38194</cdr:y>
    </cdr:to>
    <cdr:sp macro="" textlink="">
      <cdr:nvSpPr>
        <cdr:cNvPr id="3" name="TextBox 2"/>
        <cdr:cNvSpPr txBox="1"/>
      </cdr:nvSpPr>
      <cdr:spPr>
        <a:xfrm xmlns:a="http://schemas.openxmlformats.org/drawingml/2006/main">
          <a:off x="654193" y="879470"/>
          <a:ext cx="707882" cy="1682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700">
              <a:latin typeface="Century" panose="02040604050505020304" pitchFamily="18" charset="0"/>
            </a:rPr>
            <a:t>Малайзия</a:t>
          </a:r>
        </a:p>
      </cdr:txBody>
    </cdr:sp>
  </cdr:relSizeAnchor>
  <cdr:relSizeAnchor xmlns:cdr="http://schemas.openxmlformats.org/drawingml/2006/chartDrawing">
    <cdr:from>
      <cdr:x>0.26953</cdr:x>
      <cdr:y>0.39352</cdr:y>
    </cdr:from>
    <cdr:to>
      <cdr:x>0.43082</cdr:x>
      <cdr:y>0.45255</cdr:y>
    </cdr:to>
    <cdr:sp macro="" textlink="">
      <cdr:nvSpPr>
        <cdr:cNvPr id="4" name="TextBox 3"/>
        <cdr:cNvSpPr txBox="1"/>
      </cdr:nvSpPr>
      <cdr:spPr>
        <a:xfrm xmlns:a="http://schemas.openxmlformats.org/drawingml/2006/main">
          <a:off x="1193800" y="1079500"/>
          <a:ext cx="714375" cy="1619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ru-RU" sz="700">
              <a:latin typeface="Century" panose="02040604050505020304" pitchFamily="18" charset="0"/>
            </a:rPr>
            <a:t>Россия</a:t>
          </a:r>
        </a:p>
      </cdr:txBody>
    </cdr:sp>
  </cdr:relSizeAnchor>
  <cdr:relSizeAnchor xmlns:cdr="http://schemas.openxmlformats.org/drawingml/2006/chartDrawing">
    <cdr:from>
      <cdr:x>0.10689</cdr:x>
      <cdr:y>0.64756</cdr:y>
    </cdr:from>
    <cdr:to>
      <cdr:x>0.35507</cdr:x>
      <cdr:y>0.72161</cdr:y>
    </cdr:to>
    <cdr:sp macro="" textlink="">
      <cdr:nvSpPr>
        <cdr:cNvPr id="5" name="TextBox 4"/>
        <cdr:cNvSpPr txBox="1"/>
      </cdr:nvSpPr>
      <cdr:spPr>
        <a:xfrm xmlns:a="http://schemas.openxmlformats.org/drawingml/2006/main">
          <a:off x="362988" y="1776384"/>
          <a:ext cx="842813" cy="2031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700">
              <a:latin typeface="Century" panose="02040604050505020304" pitchFamily="18" charset="0"/>
            </a:rPr>
            <a:t>Азербайджан</a:t>
          </a:r>
        </a:p>
      </cdr:txBody>
    </cdr:sp>
  </cdr:relSizeAnchor>
  <cdr:relSizeAnchor xmlns:cdr="http://schemas.openxmlformats.org/drawingml/2006/chartDrawing">
    <cdr:from>
      <cdr:x>0.3276</cdr:x>
      <cdr:y>0.64699</cdr:y>
    </cdr:from>
    <cdr:to>
      <cdr:x>0.52239</cdr:x>
      <cdr:y>0.70833</cdr:y>
    </cdr:to>
    <cdr:sp macro="" textlink="">
      <cdr:nvSpPr>
        <cdr:cNvPr id="6" name="TextBox 5"/>
        <cdr:cNvSpPr txBox="1"/>
      </cdr:nvSpPr>
      <cdr:spPr>
        <a:xfrm xmlns:a="http://schemas.openxmlformats.org/drawingml/2006/main">
          <a:off x="1045331" y="1774823"/>
          <a:ext cx="621544" cy="1682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700">
              <a:latin typeface="Century" panose="02040604050505020304" pitchFamily="18" charset="0"/>
            </a:rPr>
            <a:t>Эквадор</a:t>
          </a:r>
        </a:p>
      </cdr:txBody>
    </cdr:sp>
  </cdr:relSizeAnchor>
  <cdr:relSizeAnchor xmlns:cdr="http://schemas.openxmlformats.org/drawingml/2006/chartDrawing">
    <cdr:from>
      <cdr:x>0.79588</cdr:x>
      <cdr:y>0.13909</cdr:y>
    </cdr:from>
    <cdr:to>
      <cdr:x>0.99573</cdr:x>
      <cdr:y>0.20879</cdr:y>
    </cdr:to>
    <cdr:sp macro="" textlink="">
      <cdr:nvSpPr>
        <cdr:cNvPr id="7" name="TextBox 6"/>
        <cdr:cNvSpPr txBox="1"/>
      </cdr:nvSpPr>
      <cdr:spPr>
        <a:xfrm xmlns:a="http://schemas.openxmlformats.org/drawingml/2006/main">
          <a:off x="2702804" y="381564"/>
          <a:ext cx="678674" cy="1911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700">
              <a:latin typeface="Century" panose="02040604050505020304" pitchFamily="18" charset="0"/>
            </a:rPr>
            <a:t>Ирландия</a:t>
          </a:r>
          <a:endParaRPr lang="ru-RU" sz="800">
            <a:latin typeface="Century" panose="02040604050505020304" pitchFamily="18" charset="0"/>
          </a:endParaRPr>
        </a:p>
      </cdr:txBody>
    </cdr:sp>
  </cdr:relSizeAnchor>
  <cdr:relSizeAnchor xmlns:cdr="http://schemas.openxmlformats.org/drawingml/2006/chartDrawing">
    <cdr:from>
      <cdr:x>0.76846</cdr:x>
      <cdr:y>0.41319</cdr:y>
    </cdr:from>
    <cdr:to>
      <cdr:x>0.95276</cdr:x>
      <cdr:y>0.49084</cdr:y>
    </cdr:to>
    <cdr:sp macro="" textlink="">
      <cdr:nvSpPr>
        <cdr:cNvPr id="8" name="TextBox 7"/>
        <cdr:cNvSpPr txBox="1"/>
      </cdr:nvSpPr>
      <cdr:spPr>
        <a:xfrm xmlns:a="http://schemas.openxmlformats.org/drawingml/2006/main">
          <a:off x="2609675" y="1133463"/>
          <a:ext cx="625894" cy="2130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ru-RU" sz="700">
              <a:latin typeface="Century" panose="02040604050505020304" pitchFamily="18" charset="0"/>
            </a:rPr>
            <a:t>Армения</a:t>
          </a:r>
        </a:p>
      </cdr:txBody>
    </cdr:sp>
  </cdr:relSizeAnchor>
  <cdr:relSizeAnchor xmlns:cdr="http://schemas.openxmlformats.org/drawingml/2006/chartDrawing">
    <cdr:from>
      <cdr:x>0.54265</cdr:x>
      <cdr:y>0.625</cdr:y>
    </cdr:from>
    <cdr:to>
      <cdr:x>0.75748</cdr:x>
      <cdr:y>0.69963</cdr:y>
    </cdr:to>
    <cdr:sp macro="" textlink="">
      <cdr:nvSpPr>
        <cdr:cNvPr id="9" name="TextBox 8"/>
        <cdr:cNvSpPr txBox="1"/>
      </cdr:nvSpPr>
      <cdr:spPr>
        <a:xfrm xmlns:a="http://schemas.openxmlformats.org/drawingml/2006/main">
          <a:off x="1842829" y="1714500"/>
          <a:ext cx="729549" cy="2047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700">
              <a:latin typeface="Century" panose="02040604050505020304" pitchFamily="18" charset="0"/>
            </a:rPr>
            <a:t>Бразилия</a:t>
          </a:r>
        </a:p>
      </cdr:txBody>
    </cdr:sp>
  </cdr:relSizeAnchor>
  <cdr:relSizeAnchor xmlns:cdr="http://schemas.openxmlformats.org/drawingml/2006/chartDrawing">
    <cdr:from>
      <cdr:x>0.69104</cdr:x>
      <cdr:y>0.52778</cdr:y>
    </cdr:from>
    <cdr:to>
      <cdr:x>0.86022</cdr:x>
      <cdr:y>0.60417</cdr:y>
    </cdr:to>
    <cdr:sp macro="" textlink="">
      <cdr:nvSpPr>
        <cdr:cNvPr id="10" name="TextBox 9"/>
        <cdr:cNvSpPr txBox="1"/>
      </cdr:nvSpPr>
      <cdr:spPr>
        <a:xfrm xmlns:a="http://schemas.openxmlformats.org/drawingml/2006/main">
          <a:off x="3060701" y="1447800"/>
          <a:ext cx="749299" cy="2095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ru-RU" sz="700">
              <a:latin typeface="Century" panose="02040604050505020304" pitchFamily="18" charset="0"/>
            </a:rPr>
            <a:t>Турция</a:t>
          </a:r>
        </a:p>
      </cdr:txBody>
    </cdr:sp>
  </cdr:relSizeAnchor>
  <cdr:relSizeAnchor xmlns:cdr="http://schemas.openxmlformats.org/drawingml/2006/chartDrawing">
    <cdr:from>
      <cdr:x>0.42388</cdr:x>
      <cdr:y>0.5625</cdr:y>
    </cdr:from>
    <cdr:to>
      <cdr:x>0.6332</cdr:x>
      <cdr:y>0.625</cdr:y>
    </cdr:to>
    <cdr:sp macro="" textlink="">
      <cdr:nvSpPr>
        <cdr:cNvPr id="11" name="TextBox 10"/>
        <cdr:cNvSpPr txBox="1"/>
      </cdr:nvSpPr>
      <cdr:spPr>
        <a:xfrm xmlns:a="http://schemas.openxmlformats.org/drawingml/2006/main">
          <a:off x="1352550" y="1543050"/>
          <a:ext cx="667912" cy="1714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700">
              <a:latin typeface="Century" panose="02040604050505020304" pitchFamily="18" charset="0"/>
            </a:rPr>
            <a:t>Молдавия</a:t>
          </a:r>
        </a:p>
      </cdr:txBody>
    </cdr:sp>
  </cdr:relSizeAnchor>
  <cdr:relSizeAnchor xmlns:cdr="http://schemas.openxmlformats.org/drawingml/2006/chartDrawing">
    <cdr:from>
      <cdr:x>0.41147</cdr:x>
      <cdr:y>0.41319</cdr:y>
    </cdr:from>
    <cdr:to>
      <cdr:x>0.55054</cdr:x>
      <cdr:y>0.48611</cdr:y>
    </cdr:to>
    <cdr:sp macro="" textlink="">
      <cdr:nvSpPr>
        <cdr:cNvPr id="12" name="TextBox 11"/>
        <cdr:cNvSpPr txBox="1"/>
      </cdr:nvSpPr>
      <cdr:spPr>
        <a:xfrm xmlns:a="http://schemas.openxmlformats.org/drawingml/2006/main">
          <a:off x="1822451" y="1133475"/>
          <a:ext cx="615949" cy="2000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700">
              <a:latin typeface="Century" panose="02040604050505020304" pitchFamily="18" charset="0"/>
            </a:rPr>
            <a:t>Чили</a:t>
          </a:r>
        </a:p>
      </cdr:txBody>
    </cdr:sp>
  </cdr:relSizeAnchor>
  <cdr:relSizeAnchor xmlns:cdr="http://schemas.openxmlformats.org/drawingml/2006/chartDrawing">
    <cdr:from>
      <cdr:x>0.58566</cdr:x>
      <cdr:y>0.47222</cdr:y>
    </cdr:from>
    <cdr:to>
      <cdr:x>0.7914</cdr:x>
      <cdr:y>0.55208</cdr:y>
    </cdr:to>
    <cdr:sp macro="" textlink="">
      <cdr:nvSpPr>
        <cdr:cNvPr id="13" name="TextBox 12"/>
        <cdr:cNvSpPr txBox="1"/>
      </cdr:nvSpPr>
      <cdr:spPr>
        <a:xfrm xmlns:a="http://schemas.openxmlformats.org/drawingml/2006/main">
          <a:off x="2593976" y="1295399"/>
          <a:ext cx="911224" cy="2190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700">
              <a:latin typeface="Century" panose="02040604050505020304" pitchFamily="18" charset="0"/>
            </a:rPr>
            <a:t>Аргентина</a:t>
          </a:r>
        </a:p>
      </cdr:txBody>
    </cdr:sp>
  </cdr:relSizeAnchor>
  <cdr:relSizeAnchor xmlns:cdr="http://schemas.openxmlformats.org/drawingml/2006/chartDrawing">
    <cdr:from>
      <cdr:x>0.49709</cdr:x>
      <cdr:y>0.21238</cdr:y>
    </cdr:from>
    <cdr:to>
      <cdr:x>0.71828</cdr:x>
      <cdr:y>0.27839</cdr:y>
    </cdr:to>
    <cdr:sp macro="" textlink="">
      <cdr:nvSpPr>
        <cdr:cNvPr id="14" name="TextBox 13"/>
        <cdr:cNvSpPr txBox="1"/>
      </cdr:nvSpPr>
      <cdr:spPr>
        <a:xfrm xmlns:a="http://schemas.openxmlformats.org/drawingml/2006/main">
          <a:off x="1688123" y="582598"/>
          <a:ext cx="751142" cy="1810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ru-RU" sz="700">
              <a:latin typeface="Century" panose="02040604050505020304" pitchFamily="18" charset="0"/>
            </a:rPr>
            <a:t>Автралия</a:t>
          </a:r>
        </a:p>
      </cdr:txBody>
    </cdr:sp>
  </cdr:relSizeAnchor>
  <cdr:relSizeAnchor xmlns:cdr="http://schemas.openxmlformats.org/drawingml/2006/chartDrawing">
    <cdr:from>
      <cdr:x>0.39857</cdr:x>
      <cdr:y>0.24653</cdr:y>
    </cdr:from>
    <cdr:to>
      <cdr:x>0.57419</cdr:x>
      <cdr:y>0.31944</cdr:y>
    </cdr:to>
    <cdr:sp macro="" textlink="">
      <cdr:nvSpPr>
        <cdr:cNvPr id="15" name="TextBox 14"/>
        <cdr:cNvSpPr txBox="1"/>
      </cdr:nvSpPr>
      <cdr:spPr>
        <a:xfrm xmlns:a="http://schemas.openxmlformats.org/drawingml/2006/main">
          <a:off x="1765301" y="676275"/>
          <a:ext cx="777874" cy="2000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ru-RU" sz="700">
              <a:latin typeface="Century" panose="02040604050505020304" pitchFamily="18" charset="0"/>
            </a:rPr>
            <a:t>Индия</a:t>
          </a:r>
        </a:p>
      </cdr:txBody>
    </cdr:sp>
  </cdr:relSizeAnchor>
  <cdr:relSizeAnchor xmlns:cdr="http://schemas.openxmlformats.org/drawingml/2006/chartDrawing">
    <cdr:from>
      <cdr:x>0.37328</cdr:x>
      <cdr:y>0.30903</cdr:y>
    </cdr:from>
    <cdr:to>
      <cdr:x>0.60361</cdr:x>
      <cdr:y>0.37729</cdr:y>
    </cdr:to>
    <cdr:sp macro="" textlink="">
      <cdr:nvSpPr>
        <cdr:cNvPr id="16" name="TextBox 15"/>
        <cdr:cNvSpPr txBox="1"/>
      </cdr:nvSpPr>
      <cdr:spPr>
        <a:xfrm xmlns:a="http://schemas.openxmlformats.org/drawingml/2006/main">
          <a:off x="1267654" y="847731"/>
          <a:ext cx="782209" cy="1872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ru-RU" sz="700">
              <a:latin typeface="Century" panose="02040604050505020304" pitchFamily="18" charset="0"/>
            </a:rPr>
            <a:t>Индонезия</a:t>
          </a:r>
        </a:p>
      </cdr:txBody>
    </cdr:sp>
  </cdr:relSizeAnchor>
  <cdr:relSizeAnchor xmlns:cdr="http://schemas.openxmlformats.org/drawingml/2006/chartDrawing">
    <cdr:from>
      <cdr:x>0.68889</cdr:x>
      <cdr:y>0.28588</cdr:y>
    </cdr:from>
    <cdr:to>
      <cdr:x>0.9403</cdr:x>
      <cdr:y>0.36458</cdr:y>
    </cdr:to>
    <cdr:sp macro="" textlink="">
      <cdr:nvSpPr>
        <cdr:cNvPr id="17" name="TextBox 16"/>
        <cdr:cNvSpPr txBox="1"/>
      </cdr:nvSpPr>
      <cdr:spPr>
        <a:xfrm xmlns:a="http://schemas.openxmlformats.org/drawingml/2006/main">
          <a:off x="2198162" y="784226"/>
          <a:ext cx="802213" cy="2158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700">
              <a:latin typeface="Century" panose="02040604050505020304" pitchFamily="18" charset="0"/>
            </a:rPr>
            <a:t>Филиппины</a:t>
          </a:r>
          <a:endParaRPr lang="ru-RU" sz="800">
            <a:latin typeface="Century" panose="02040604050505020304" pitchFamily="18" charset="0"/>
          </a:endParaRPr>
        </a:p>
      </cdr:txBody>
    </cdr:sp>
  </cdr:relSizeAnchor>
  <cdr:relSizeAnchor xmlns:cdr="http://schemas.openxmlformats.org/drawingml/2006/chartDrawing">
    <cdr:from>
      <cdr:x>0.65878</cdr:x>
      <cdr:y>0.34144</cdr:y>
    </cdr:from>
    <cdr:to>
      <cdr:x>0.82796</cdr:x>
      <cdr:y>0.40972</cdr:y>
    </cdr:to>
    <cdr:sp macro="" textlink="">
      <cdr:nvSpPr>
        <cdr:cNvPr id="18" name="TextBox 17"/>
        <cdr:cNvSpPr txBox="1"/>
      </cdr:nvSpPr>
      <cdr:spPr>
        <a:xfrm xmlns:a="http://schemas.openxmlformats.org/drawingml/2006/main">
          <a:off x="2917826" y="936625"/>
          <a:ext cx="749300" cy="187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ru-RU" sz="700">
              <a:latin typeface="Century" panose="02040604050505020304" pitchFamily="18" charset="0"/>
            </a:rPr>
            <a:t>Китай</a:t>
          </a:r>
        </a:p>
      </cdr:txBody>
    </cdr:sp>
  </cdr:relSizeAnchor>
  <cdr:relSizeAnchor xmlns:cdr="http://schemas.openxmlformats.org/drawingml/2006/chartDrawing">
    <cdr:from>
      <cdr:x>0.68029</cdr:x>
      <cdr:y>0.20255</cdr:y>
    </cdr:from>
    <cdr:to>
      <cdr:x>0.87957</cdr:x>
      <cdr:y>0.27778</cdr:y>
    </cdr:to>
    <cdr:sp macro="" textlink="">
      <cdr:nvSpPr>
        <cdr:cNvPr id="21" name="TextBox 20"/>
        <cdr:cNvSpPr txBox="1"/>
      </cdr:nvSpPr>
      <cdr:spPr>
        <a:xfrm xmlns:a="http://schemas.openxmlformats.org/drawingml/2006/main">
          <a:off x="3013075" y="555625"/>
          <a:ext cx="882649" cy="2063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ru-RU" sz="700">
              <a:latin typeface="Century" panose="02040604050505020304" pitchFamily="18" charset="0"/>
            </a:rPr>
            <a:t>Мексика</a:t>
          </a:r>
        </a:p>
      </cdr:txBody>
    </cdr:sp>
  </cdr:relSizeAnchor>
</c:userShapes>
</file>

<file path=word/drawings/drawing2.xml><?xml version="1.0" encoding="utf-8"?>
<c:userShapes xmlns:c="http://schemas.openxmlformats.org/drawingml/2006/chart">
  <cdr:relSizeAnchor xmlns:cdr="http://schemas.openxmlformats.org/drawingml/2006/chartDrawing">
    <cdr:from>
      <cdr:x>0.24172</cdr:x>
      <cdr:y>0.00943</cdr:y>
    </cdr:from>
    <cdr:to>
      <cdr:x>0.73819</cdr:x>
      <cdr:y>0.15226</cdr:y>
    </cdr:to>
    <cdr:sp macro="" textlink="">
      <cdr:nvSpPr>
        <cdr:cNvPr id="2" name="TextBox 1"/>
        <cdr:cNvSpPr txBox="1"/>
      </cdr:nvSpPr>
      <cdr:spPr>
        <a:xfrm xmlns:a="http://schemas.openxmlformats.org/drawingml/2006/main">
          <a:off x="668303" y="22011"/>
          <a:ext cx="1372637" cy="33322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r>
            <a:rPr lang="ru-RU" sz="600" b="1" dirty="0">
              <a:latin typeface="Century" pitchFamily="18" charset="0"/>
              <a:cs typeface="Times New Roman" pitchFamily="18" charset="0"/>
            </a:rPr>
            <a:t>Данные</a:t>
          </a:r>
          <a:r>
            <a:rPr lang="ru-RU" sz="600" b="1" baseline="0" dirty="0">
              <a:latin typeface="Century" pitchFamily="18" charset="0"/>
              <a:cs typeface="Times New Roman" pitchFamily="18" charset="0"/>
            </a:rPr>
            <a:t> за период 1981-2014</a:t>
          </a:r>
          <a:endParaRPr lang="en-US" sz="600" b="1" dirty="0">
            <a:latin typeface="Century" pitchFamily="18" charset="0"/>
            <a:cs typeface="Times New Roman" pitchFamily="18" charset="0"/>
          </a:endParaRPr>
        </a:p>
      </cdr:txBody>
    </cdr:sp>
  </cdr:relSizeAnchor>
  <cdr:relSizeAnchor xmlns:cdr="http://schemas.openxmlformats.org/drawingml/2006/chartDrawing">
    <cdr:from>
      <cdr:x>0</cdr:x>
      <cdr:y>0</cdr:y>
    </cdr:from>
    <cdr:to>
      <cdr:x>0.0643</cdr:x>
      <cdr:y>0.34289</cdr:y>
    </cdr:to>
    <cdr:sp macro="" textlink="">
      <cdr:nvSpPr>
        <cdr:cNvPr id="3" name="TextBox 2"/>
        <cdr:cNvSpPr txBox="1"/>
      </cdr:nvSpPr>
      <cdr:spPr>
        <a:xfrm xmlns:a="http://schemas.openxmlformats.org/drawingml/2006/main">
          <a:off x="0" y="0"/>
          <a:ext cx="241300" cy="1085850"/>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ru-RU" sz="600" b="1" dirty="0">
              <a:latin typeface="Century" panose="02040604050505020304" pitchFamily="18" charset="0"/>
            </a:rPr>
            <a:t>Рост </a:t>
          </a:r>
          <a:r>
            <a:rPr lang="ru-RU" sz="600" b="1" dirty="0" err="1">
              <a:latin typeface="Century" panose="02040604050505020304" pitchFamily="18" charset="0"/>
            </a:rPr>
            <a:t>подушевого</a:t>
          </a:r>
          <a:r>
            <a:rPr lang="ru-RU" sz="600" b="1" dirty="0">
              <a:latin typeface="Century" panose="02040604050505020304" pitchFamily="18" charset="0"/>
            </a:rPr>
            <a:t> ВВП,</a:t>
          </a:r>
          <a:r>
            <a:rPr lang="ru-RU" sz="600" b="1" baseline="0" dirty="0">
              <a:latin typeface="Century" panose="02040604050505020304" pitchFamily="18" charset="0"/>
            </a:rPr>
            <a:t> %</a:t>
          </a:r>
          <a:endParaRPr lang="ru-RU" sz="600" b="1" dirty="0">
            <a:latin typeface="Century" panose="02040604050505020304" pitchFamily="18" charset="0"/>
          </a:endParaRPr>
        </a:p>
      </cdr:txBody>
    </cdr:sp>
  </cdr:relSizeAnchor>
  <cdr:relSizeAnchor xmlns:cdr="http://schemas.openxmlformats.org/drawingml/2006/chartDrawing">
    <cdr:from>
      <cdr:x>0.54769</cdr:x>
      <cdr:y>0.84033</cdr:y>
    </cdr:from>
    <cdr:to>
      <cdr:x>1</cdr:x>
      <cdr:y>0.86161</cdr:y>
    </cdr:to>
    <cdr:sp macro="" textlink="">
      <cdr:nvSpPr>
        <cdr:cNvPr id="4" name="TextBox 1"/>
        <cdr:cNvSpPr txBox="1"/>
      </cdr:nvSpPr>
      <cdr:spPr>
        <a:xfrm xmlns:a="http://schemas.openxmlformats.org/drawingml/2006/main">
          <a:off x="1514246" y="1960474"/>
          <a:ext cx="1250543" cy="49654"/>
        </a:xfrm>
        <a:prstGeom xmlns:a="http://schemas.openxmlformats.org/drawingml/2006/main" prst="rect">
          <a:avLst/>
        </a:prstGeom>
      </cdr:spPr>
      <cdr:txBody>
        <a:bodyPr xmlns:a="http://schemas.openxmlformats.org/drawingml/2006/main" vert="horz"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600" b="1" dirty="0">
              <a:latin typeface="Century" panose="02040604050505020304" pitchFamily="18" charset="0"/>
            </a:rPr>
            <a:t>Доля инвестиций в ВВП,</a:t>
          </a:r>
          <a:r>
            <a:rPr lang="ru-RU" sz="600" b="1" baseline="0" dirty="0">
              <a:latin typeface="Century" panose="02040604050505020304" pitchFamily="18" charset="0"/>
            </a:rPr>
            <a:t> %</a:t>
          </a:r>
          <a:endParaRPr lang="ru-RU" sz="600" b="1" dirty="0">
            <a:latin typeface="Century" panose="02040604050505020304" pitchFamily="18" charset="0"/>
          </a:endParaRPr>
        </a:p>
      </cdr:txBody>
    </cdr:sp>
  </cdr:relSizeAnchor>
  <cdr:relSizeAnchor xmlns:cdr="http://schemas.openxmlformats.org/drawingml/2006/chartDrawing">
    <cdr:from>
      <cdr:x>0.06838</cdr:x>
      <cdr:y>0.62008</cdr:y>
    </cdr:from>
    <cdr:to>
      <cdr:x>0.26723</cdr:x>
      <cdr:y>0.75253</cdr:y>
    </cdr:to>
    <cdr:sp macro="" textlink="">
      <cdr:nvSpPr>
        <cdr:cNvPr id="7" name="TextBox 6"/>
        <cdr:cNvSpPr txBox="1"/>
      </cdr:nvSpPr>
      <cdr:spPr>
        <a:xfrm xmlns:a="http://schemas.openxmlformats.org/drawingml/2006/main">
          <a:off x="189062" y="1446635"/>
          <a:ext cx="549774" cy="3090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600" b="1" dirty="0">
              <a:latin typeface="Century" panose="02040604050505020304" pitchFamily="18" charset="0"/>
            </a:rPr>
            <a:t>Россия сейчас</a:t>
          </a:r>
        </a:p>
      </cdr:txBody>
    </cdr:sp>
  </cdr:relSizeAnchor>
  <cdr:relSizeAnchor xmlns:cdr="http://schemas.openxmlformats.org/drawingml/2006/chartDrawing">
    <cdr:from>
      <cdr:x>0.22277</cdr:x>
      <cdr:y>0.76642</cdr:y>
    </cdr:from>
    <cdr:to>
      <cdr:x>0.24196</cdr:x>
      <cdr:y>0.78066</cdr:y>
    </cdr:to>
    <cdr:sp macro="" textlink="">
      <cdr:nvSpPr>
        <cdr:cNvPr id="9" name="Овал 8"/>
        <cdr:cNvSpPr/>
      </cdr:nvSpPr>
      <cdr:spPr>
        <a:xfrm xmlns:a="http://schemas.openxmlformats.org/drawingml/2006/main">
          <a:off x="838005" y="3452955"/>
          <a:ext cx="72189" cy="64169"/>
        </a:xfrm>
        <a:prstGeom xmlns:a="http://schemas.openxmlformats.org/drawingml/2006/main" prst="ellipse">
          <a:avLst/>
        </a:prstGeom>
        <a:solidFill xmlns:a="http://schemas.openxmlformats.org/drawingml/2006/main">
          <a:srgbClr val="FF3300"/>
        </a:solidFill>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0.19292</cdr:x>
      <cdr:y>0.6952</cdr:y>
    </cdr:from>
    <cdr:to>
      <cdr:x>0.22704</cdr:x>
      <cdr:y>0.76286</cdr:y>
    </cdr:to>
    <cdr:cxnSp macro="">
      <cdr:nvCxnSpPr>
        <cdr:cNvPr id="11" name="Прямая со стрелкой 10"/>
        <cdr:cNvCxnSpPr/>
      </cdr:nvCxnSpPr>
      <cdr:spPr>
        <a:xfrm xmlns:a="http://schemas.openxmlformats.org/drawingml/2006/main">
          <a:off x="725710" y="3132113"/>
          <a:ext cx="128337" cy="304800"/>
        </a:xfrm>
        <a:prstGeom xmlns:a="http://schemas.openxmlformats.org/drawingml/2006/main" prst="straightConnector1">
          <a:avLst/>
        </a:prstGeom>
        <a:ln xmlns:a="http://schemas.openxmlformats.org/drawingml/2006/main" w="1270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B0033-8487-4569-9810-285CDA214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81</Pages>
  <Words>20528</Words>
  <Characters>145883</Characters>
  <Application>Microsoft Office Word</Application>
  <DocSecurity>0</DocSecurity>
  <Lines>1215</Lines>
  <Paragraphs>332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ОСНОВНЫЕ НАПРАВЛЕНИЯ БЮДЖЕТНОЙ, НАЛОГОВОЙ И ТАМОЖЕННО-ТАРИФНОЙ ПОЛИТИКИ НА 2018 ГОД И НА ПЛАНОВЫЙ ПЕРИОД 2019 И 2020 ГОДОВ</vt:lpstr>
      <vt:lpstr>ОСНОВНЫЕ НАПРАВЛЕНИЯ БЮДЖЕТНОЙ, НАЛОГОВОЙ И ТАМОЖЕННО-ТАРИФНОЙ ПОЛИТИКИ НА 2018 ГОД И НА ПЛАНОВЫЙ ПЕРИОД 2019 И 2020 ГОДОВ</vt:lpstr>
    </vt:vector>
  </TitlesOfParts>
  <Company>Hewlett-Packard Company</Company>
  <LinksUpToDate>false</LinksUpToDate>
  <CharactersWithSpaces>166079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ОСНОВНЫЕ НАПРАВЛЕНИЯ БЮДЖЕТНОЙ, НАЛОГОВОЙ И ТАМОЖЕННО-ТАРИФНОЙ ПОЛИТИКИ НА 2018 ГОД И НА ПЛАНОВЫЙ ПЕРИОД 2019 И 2020 ГОДОВ</dc:title>
  <dc:creator>Домбровский Е.А.</dc:creator>
  <cp:lastModifiedBy>Домбровский Е.А.</cp:lastModifiedBy>
  <cp:revision>4</cp:revision>
  <cp:lastPrinted>2017-09-29T07:01:00Z</cp:lastPrinted>
  <dcterms:created xsi:type="dcterms:W3CDTF">2017-09-29T07:37:00Z</dcterms:created>
  <dcterms:modified xsi:type="dcterms:W3CDTF">2017-10-03T07:00:00Z</dcterms:modified>
</cp:coreProperties>
</file>