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1" w:rsidRPr="009754DD" w:rsidRDefault="00421401">
      <w:pPr>
        <w:pStyle w:val="a4"/>
        <w:jc w:val="center"/>
        <w:rPr>
          <w:b/>
        </w:rPr>
      </w:pPr>
      <w:r w:rsidRPr="0017274B">
        <w:rPr>
          <w:b/>
        </w:rPr>
        <w:t xml:space="preserve">Информация о результатах мониторинга местных </w:t>
      </w:r>
      <w:r w:rsidRPr="009754DD">
        <w:rPr>
          <w:b/>
        </w:rPr>
        <w:t>бюджетов Российской Федерац</w:t>
      </w:r>
      <w:r w:rsidR="00011C7D" w:rsidRPr="009754DD">
        <w:rPr>
          <w:b/>
        </w:rPr>
        <w:t>ии по состоянию на 1 января 201</w:t>
      </w:r>
      <w:r w:rsidR="004F13BB" w:rsidRPr="009754DD">
        <w:rPr>
          <w:b/>
        </w:rPr>
        <w:t xml:space="preserve">4 </w:t>
      </w:r>
      <w:r w:rsidRPr="009754DD">
        <w:rPr>
          <w:b/>
        </w:rPr>
        <w:t>года</w:t>
      </w:r>
    </w:p>
    <w:p w:rsidR="00421401" w:rsidRPr="009754DD" w:rsidRDefault="00011C7D">
      <w:pPr>
        <w:jc w:val="center"/>
        <w:rPr>
          <w:b/>
        </w:rPr>
      </w:pPr>
      <w:r w:rsidRPr="009754DD">
        <w:rPr>
          <w:b/>
        </w:rPr>
        <w:t>(период мониторинга –</w:t>
      </w:r>
      <w:r w:rsidR="00070986" w:rsidRPr="009754DD">
        <w:rPr>
          <w:b/>
        </w:rPr>
        <w:t xml:space="preserve"> </w:t>
      </w:r>
      <w:r w:rsidRPr="009754DD">
        <w:rPr>
          <w:b/>
        </w:rPr>
        <w:t>20</w:t>
      </w:r>
      <w:r w:rsidR="00C01628" w:rsidRPr="009754DD">
        <w:rPr>
          <w:b/>
        </w:rPr>
        <w:t>1</w:t>
      </w:r>
      <w:r w:rsidR="004F13BB" w:rsidRPr="009754DD">
        <w:rPr>
          <w:b/>
        </w:rPr>
        <w:t>3</w:t>
      </w:r>
      <w:r w:rsidR="00421401" w:rsidRPr="009754DD">
        <w:rPr>
          <w:b/>
        </w:rPr>
        <w:t xml:space="preserve"> год)</w:t>
      </w:r>
    </w:p>
    <w:p w:rsidR="00421401" w:rsidRPr="009754DD" w:rsidRDefault="00421401">
      <w:pPr>
        <w:pStyle w:val="7"/>
        <w:jc w:val="both"/>
      </w:pPr>
      <w:r w:rsidRPr="009754DD">
        <w:tab/>
      </w:r>
    </w:p>
    <w:p w:rsidR="00020C71" w:rsidRPr="009754DD" w:rsidRDefault="00020C71">
      <w:pPr>
        <w:ind w:firstLine="709"/>
        <w:jc w:val="both"/>
      </w:pPr>
    </w:p>
    <w:p w:rsidR="00421401" w:rsidRPr="009754DD" w:rsidRDefault="00421401">
      <w:pPr>
        <w:ind w:firstLine="709"/>
        <w:jc w:val="both"/>
      </w:pPr>
      <w:r w:rsidRPr="009754DD">
        <w:t xml:space="preserve">Согласно данным официальной отчетности </w:t>
      </w:r>
      <w:r w:rsidR="00070986" w:rsidRPr="009754DD">
        <w:t>в 201</w:t>
      </w:r>
      <w:r w:rsidR="004F13BB" w:rsidRPr="009754DD">
        <w:t>3</w:t>
      </w:r>
      <w:r w:rsidR="00070986" w:rsidRPr="009754DD">
        <w:t xml:space="preserve"> году</w:t>
      </w:r>
      <w:r w:rsidRPr="009754DD">
        <w:t xml:space="preserve"> общий объем поступивших в местные бю</w:t>
      </w:r>
      <w:r w:rsidR="004750CE" w:rsidRPr="009754DD">
        <w:t xml:space="preserve">джеты доходов составляет </w:t>
      </w:r>
      <w:r w:rsidR="004F13BB" w:rsidRPr="009754DD">
        <w:t>3 386,7</w:t>
      </w:r>
      <w:r w:rsidRPr="009754DD">
        <w:t xml:space="preserve"> млрд. рублей, </w:t>
      </w:r>
      <w:r w:rsidR="0096454F" w:rsidRPr="009754DD">
        <w:t xml:space="preserve">что </w:t>
      </w:r>
      <w:r w:rsidR="00A671CF" w:rsidRPr="009754DD">
        <w:t>выше</w:t>
      </w:r>
      <w:r w:rsidR="0096454F" w:rsidRPr="009754DD">
        <w:t xml:space="preserve"> уровня 20</w:t>
      </w:r>
      <w:r w:rsidR="00BA2FFE" w:rsidRPr="009754DD">
        <w:t>1</w:t>
      </w:r>
      <w:r w:rsidR="004F13BB" w:rsidRPr="009754DD">
        <w:t>2</w:t>
      </w:r>
      <w:r w:rsidR="00BA2FFE" w:rsidRPr="009754DD">
        <w:t xml:space="preserve"> </w:t>
      </w:r>
      <w:r w:rsidR="0096454F" w:rsidRPr="009754DD">
        <w:t xml:space="preserve">года на </w:t>
      </w:r>
      <w:r w:rsidR="004F13BB" w:rsidRPr="009754DD">
        <w:t>7,9</w:t>
      </w:r>
      <w:r w:rsidR="00BB5BD7" w:rsidRPr="009754DD">
        <w:t xml:space="preserve">% или </w:t>
      </w:r>
      <w:r w:rsidR="004F13BB" w:rsidRPr="009754DD">
        <w:t>248,3</w:t>
      </w:r>
      <w:r w:rsidRPr="009754DD">
        <w:t xml:space="preserve"> млрд. рублей. </w:t>
      </w:r>
    </w:p>
    <w:p w:rsidR="00421401" w:rsidRPr="009754DD" w:rsidRDefault="00421401">
      <w:pPr>
        <w:ind w:firstLine="709"/>
        <w:jc w:val="both"/>
      </w:pPr>
      <w:r w:rsidRPr="009754DD">
        <w:t xml:space="preserve">Собственные доходы местных бюджетов, </w:t>
      </w:r>
      <w:r w:rsidR="001337E6" w:rsidRPr="009754DD">
        <w:t xml:space="preserve">которые являются средствами </w:t>
      </w:r>
      <w:r w:rsidRPr="009754DD">
        <w:t>муниципальны</w:t>
      </w:r>
      <w:r w:rsidR="001337E6" w:rsidRPr="009754DD">
        <w:t>х</w:t>
      </w:r>
      <w:r w:rsidRPr="009754DD">
        <w:t xml:space="preserve"> образовани</w:t>
      </w:r>
      <w:r w:rsidR="001337E6" w:rsidRPr="009754DD">
        <w:t>й</w:t>
      </w:r>
      <w:r w:rsidRPr="009754DD">
        <w:t xml:space="preserve"> </w:t>
      </w:r>
      <w:r w:rsidR="001337E6" w:rsidRPr="009754DD">
        <w:t>для</w:t>
      </w:r>
      <w:r w:rsidRPr="009754DD">
        <w:t xml:space="preserve"> решени</w:t>
      </w:r>
      <w:r w:rsidR="001337E6" w:rsidRPr="009754DD">
        <w:t>я</w:t>
      </w:r>
      <w:r w:rsidRPr="009754DD">
        <w:t xml:space="preserve"> вопросо</w:t>
      </w:r>
      <w:r w:rsidR="0096454F" w:rsidRPr="009754DD">
        <w:t>в мест</w:t>
      </w:r>
      <w:r w:rsidR="00A671CF" w:rsidRPr="009754DD">
        <w:t xml:space="preserve">ного значения, </w:t>
      </w:r>
      <w:r w:rsidR="004F13BB" w:rsidRPr="009754DD">
        <w:t>увеличились</w:t>
      </w:r>
      <w:r w:rsidR="0096454F" w:rsidRPr="009754DD">
        <w:t xml:space="preserve"> в 20</w:t>
      </w:r>
      <w:r w:rsidR="00A671CF" w:rsidRPr="009754DD">
        <w:t>1</w:t>
      </w:r>
      <w:r w:rsidR="004F13BB" w:rsidRPr="009754DD">
        <w:t>3</w:t>
      </w:r>
      <w:r w:rsidRPr="009754DD">
        <w:t xml:space="preserve"> году по сравнению с предыдущим годом </w:t>
      </w:r>
      <w:r w:rsidR="0096454F" w:rsidRPr="009754DD">
        <w:t xml:space="preserve">(на </w:t>
      </w:r>
      <w:r w:rsidR="004F13BB" w:rsidRPr="009754DD">
        <w:t>198,1</w:t>
      </w:r>
      <w:r w:rsidR="0096454F" w:rsidRPr="009754DD">
        <w:t xml:space="preserve"> млрд. рублей или </w:t>
      </w:r>
      <w:r w:rsidR="004F13BB" w:rsidRPr="009754DD">
        <w:t>8,8</w:t>
      </w:r>
      <w:r w:rsidRPr="009754DD">
        <w:t>%</w:t>
      </w:r>
      <w:r w:rsidR="0096454F" w:rsidRPr="009754DD">
        <w:t>)</w:t>
      </w:r>
      <w:r w:rsidR="001337E6" w:rsidRPr="009754DD">
        <w:t xml:space="preserve">, за счет </w:t>
      </w:r>
      <w:r w:rsidR="004F13BB" w:rsidRPr="009754DD">
        <w:t>увеличения</w:t>
      </w:r>
      <w:r w:rsidR="001337E6" w:rsidRPr="009754DD">
        <w:t xml:space="preserve"> объемов межбюджетных трансфертов местны</w:t>
      </w:r>
      <w:r w:rsidR="004F13BB" w:rsidRPr="009754DD">
        <w:t>м бюджетам, в частности, субсидий</w:t>
      </w:r>
      <w:r w:rsidR="001337E6" w:rsidRPr="009754DD">
        <w:t>,</w:t>
      </w:r>
      <w:r w:rsidR="004F13BB" w:rsidRPr="009754DD">
        <w:t xml:space="preserve"> и составили 2 442,9</w:t>
      </w:r>
      <w:r w:rsidRPr="009754DD">
        <w:t xml:space="preserve"> млрд. рублей. </w:t>
      </w:r>
    </w:p>
    <w:p w:rsidR="00C82DFF" w:rsidRPr="009754DD" w:rsidRDefault="001337E6">
      <w:pPr>
        <w:pStyle w:val="a7"/>
      </w:pPr>
      <w:r w:rsidRPr="009754DD">
        <w:t>При этом в</w:t>
      </w:r>
      <w:r w:rsidR="008A5906" w:rsidRPr="009754DD">
        <w:t xml:space="preserve"> местных бюджетах </w:t>
      </w:r>
      <w:r w:rsidR="002F5825" w:rsidRPr="009754DD">
        <w:t>69</w:t>
      </w:r>
      <w:r w:rsidR="00421401" w:rsidRPr="009754DD">
        <w:t xml:space="preserve"> субъектов Российской Федерации </w:t>
      </w:r>
      <w:r w:rsidR="002F5825" w:rsidRPr="009754DD">
        <w:t>по сравнению с 2012</w:t>
      </w:r>
      <w:r w:rsidRPr="009754DD">
        <w:t xml:space="preserve"> годом </w:t>
      </w:r>
      <w:r w:rsidR="00C82DFF" w:rsidRPr="009754DD">
        <w:t xml:space="preserve">произошел </w:t>
      </w:r>
      <w:r w:rsidR="00421401" w:rsidRPr="009754DD">
        <w:t>рост собственных доходов</w:t>
      </w:r>
      <w:r w:rsidRPr="009754DD">
        <w:t>, а</w:t>
      </w:r>
      <w:r w:rsidR="00421401" w:rsidRPr="009754DD">
        <w:t xml:space="preserve"> </w:t>
      </w:r>
      <w:r w:rsidR="008A5906" w:rsidRPr="009754DD">
        <w:t xml:space="preserve">в </w:t>
      </w:r>
      <w:r w:rsidR="002F5825" w:rsidRPr="009754DD">
        <w:t>14</w:t>
      </w:r>
      <w:r w:rsidR="00C82DFF" w:rsidRPr="009754DD">
        <w:t xml:space="preserve"> субъектах Российской Федерации</w:t>
      </w:r>
      <w:r w:rsidRPr="009754DD">
        <w:t xml:space="preserve"> - снижение</w:t>
      </w:r>
      <w:r w:rsidR="00C82DFF" w:rsidRPr="009754DD">
        <w:t>.</w:t>
      </w:r>
    </w:p>
    <w:p w:rsidR="00421401" w:rsidRPr="009754DD" w:rsidRDefault="00421401">
      <w:pPr>
        <w:jc w:val="both"/>
        <w:rPr>
          <w:szCs w:val="28"/>
        </w:rPr>
      </w:pPr>
      <w:r w:rsidRPr="009754DD">
        <w:tab/>
      </w:r>
      <w:r w:rsidRPr="009754DD">
        <w:rPr>
          <w:szCs w:val="28"/>
        </w:rPr>
        <w:t>Самые</w:t>
      </w:r>
      <w:r w:rsidRPr="009754DD">
        <w:rPr>
          <w:sz w:val="24"/>
          <w:szCs w:val="24"/>
        </w:rPr>
        <w:t xml:space="preserve"> </w:t>
      </w:r>
      <w:r w:rsidRPr="009754DD">
        <w:rPr>
          <w:szCs w:val="28"/>
        </w:rPr>
        <w:t>высокие темпы роста собственных доходов отмечаются в местных бюджетах следующих субъектов Российской Федерации:</w:t>
      </w:r>
    </w:p>
    <w:p w:rsidR="00020C71" w:rsidRPr="009754DD" w:rsidRDefault="00020C71">
      <w:pPr>
        <w:jc w:val="both"/>
        <w:rPr>
          <w:szCs w:val="28"/>
        </w:rPr>
      </w:pPr>
    </w:p>
    <w:p w:rsidR="005406B4" w:rsidRPr="009754DD" w:rsidRDefault="005406B4" w:rsidP="005406B4">
      <w:pPr>
        <w:jc w:val="right"/>
        <w:rPr>
          <w:sz w:val="24"/>
          <w:szCs w:val="24"/>
        </w:rPr>
      </w:pPr>
      <w:r w:rsidRPr="009754DD">
        <w:rPr>
          <w:sz w:val="24"/>
          <w:szCs w:val="24"/>
        </w:rPr>
        <w:t>Таблица 1</w:t>
      </w:r>
    </w:p>
    <w:p w:rsidR="005406B4" w:rsidRPr="009754DD" w:rsidRDefault="005406B4" w:rsidP="005406B4">
      <w:pPr>
        <w:jc w:val="right"/>
        <w:rPr>
          <w:sz w:val="24"/>
          <w:szCs w:val="24"/>
          <w:highlight w:val="lightGray"/>
        </w:rPr>
      </w:pPr>
      <w:r w:rsidRPr="009754DD">
        <w:rPr>
          <w:sz w:val="24"/>
          <w:szCs w:val="24"/>
        </w:rPr>
        <w:t xml:space="preserve"> (млн.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409"/>
        <w:gridCol w:w="1560"/>
      </w:tblGrid>
      <w:tr w:rsidR="0017274B" w:rsidRPr="009754DD" w:rsidTr="00DC215D">
        <w:trPr>
          <w:trHeight w:val="545"/>
        </w:trPr>
        <w:tc>
          <w:tcPr>
            <w:tcW w:w="3936" w:type="dxa"/>
            <w:vMerge w:val="restart"/>
            <w:shd w:val="clear" w:color="auto" w:fill="auto"/>
            <w:hideMark/>
          </w:tcPr>
          <w:p w:rsidR="00AB0186" w:rsidRPr="009754DD" w:rsidRDefault="00AB0186" w:rsidP="00DC215D">
            <w:pPr>
              <w:jc w:val="center"/>
              <w:rPr>
                <w:b/>
                <w:sz w:val="24"/>
                <w:szCs w:val="24"/>
              </w:rPr>
            </w:pPr>
            <w:r w:rsidRPr="009754DD">
              <w:rPr>
                <w:b/>
                <w:sz w:val="24"/>
                <w:szCs w:val="24"/>
              </w:rPr>
              <w:t>Наименование субъекта РФ</w:t>
            </w:r>
          </w:p>
          <w:p w:rsidR="00AB0186" w:rsidRPr="009754DD" w:rsidRDefault="00AB0186" w:rsidP="00DC21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hideMark/>
          </w:tcPr>
          <w:p w:rsidR="00AB0186" w:rsidRPr="009754DD" w:rsidRDefault="00AB0186" w:rsidP="00DC215D">
            <w:pPr>
              <w:jc w:val="center"/>
              <w:rPr>
                <w:b/>
                <w:sz w:val="24"/>
                <w:szCs w:val="24"/>
              </w:rPr>
            </w:pPr>
            <w:r w:rsidRPr="009754DD">
              <w:rPr>
                <w:b/>
                <w:sz w:val="24"/>
                <w:szCs w:val="24"/>
              </w:rPr>
              <w:t>Собственные доходы (исполнение)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B0186" w:rsidRPr="009754DD" w:rsidRDefault="00EF15A9" w:rsidP="001337E6">
            <w:pPr>
              <w:jc w:val="center"/>
              <w:rPr>
                <w:b/>
                <w:sz w:val="24"/>
                <w:szCs w:val="24"/>
              </w:rPr>
            </w:pPr>
            <w:r w:rsidRPr="009754DD">
              <w:rPr>
                <w:b/>
                <w:sz w:val="24"/>
                <w:szCs w:val="24"/>
              </w:rPr>
              <w:t>Темп роста 2013/2012</w:t>
            </w:r>
            <w:r w:rsidR="001337E6" w:rsidRPr="009754DD">
              <w:rPr>
                <w:b/>
                <w:sz w:val="24"/>
                <w:szCs w:val="24"/>
              </w:rPr>
              <w:t>, %</w:t>
            </w:r>
            <w:r w:rsidR="00AB0186" w:rsidRPr="009754DD">
              <w:rPr>
                <w:b/>
                <w:sz w:val="24"/>
                <w:szCs w:val="24"/>
              </w:rPr>
              <w:t> </w:t>
            </w:r>
          </w:p>
        </w:tc>
      </w:tr>
      <w:tr w:rsidR="0017274B" w:rsidRPr="009754DD" w:rsidTr="00DC215D">
        <w:trPr>
          <w:trHeight w:val="70"/>
        </w:trPr>
        <w:tc>
          <w:tcPr>
            <w:tcW w:w="3936" w:type="dxa"/>
            <w:vMerge/>
            <w:shd w:val="clear" w:color="auto" w:fill="auto"/>
            <w:hideMark/>
          </w:tcPr>
          <w:p w:rsidR="00AB0186" w:rsidRPr="009754DD" w:rsidRDefault="00AB0186" w:rsidP="00DC2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B0186" w:rsidRPr="009754DD" w:rsidRDefault="00AB0186" w:rsidP="0074067B">
            <w:pPr>
              <w:jc w:val="center"/>
              <w:rPr>
                <w:b/>
                <w:sz w:val="24"/>
                <w:szCs w:val="24"/>
              </w:rPr>
            </w:pPr>
            <w:r w:rsidRPr="009754DD">
              <w:rPr>
                <w:b/>
                <w:sz w:val="24"/>
                <w:szCs w:val="24"/>
              </w:rPr>
              <w:t>201</w:t>
            </w:r>
            <w:r w:rsidR="00EF15A9" w:rsidRPr="009754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AB0186" w:rsidRPr="009754DD" w:rsidRDefault="00AB0186" w:rsidP="0074067B">
            <w:pPr>
              <w:jc w:val="center"/>
              <w:rPr>
                <w:b/>
                <w:sz w:val="24"/>
                <w:szCs w:val="24"/>
              </w:rPr>
            </w:pPr>
            <w:r w:rsidRPr="009754DD">
              <w:rPr>
                <w:b/>
                <w:sz w:val="24"/>
                <w:szCs w:val="24"/>
              </w:rPr>
              <w:t>201</w:t>
            </w:r>
            <w:r w:rsidR="00EF15A9" w:rsidRPr="009754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AB0186" w:rsidRPr="009754DD" w:rsidRDefault="00AB0186" w:rsidP="00DC215D">
            <w:pPr>
              <w:jc w:val="both"/>
              <w:rPr>
                <w:sz w:val="24"/>
                <w:szCs w:val="24"/>
              </w:rPr>
            </w:pP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74067B" w:rsidRPr="009754DD" w:rsidRDefault="00EF15A9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F15A9" w:rsidP="00DC215D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31 081,1</w:t>
            </w:r>
          </w:p>
        </w:tc>
        <w:tc>
          <w:tcPr>
            <w:tcW w:w="2409" w:type="dxa"/>
            <w:shd w:val="clear" w:color="auto" w:fill="auto"/>
            <w:noWrap/>
          </w:tcPr>
          <w:p w:rsidR="0074067B" w:rsidRPr="009754DD" w:rsidRDefault="00EF15A9" w:rsidP="0074067B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43 244,4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39,1%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FF4DBF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Республика Сах</w:t>
            </w:r>
            <w:r w:rsidR="00EF15A9" w:rsidRPr="009754DD">
              <w:rPr>
                <w:sz w:val="24"/>
                <w:szCs w:val="24"/>
              </w:rPr>
              <w:t>а (Якутия)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40 923,6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55 804,5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36,4%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EF15A9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25 038,8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33 220,6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F15A9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32,7%</w:t>
            </w:r>
          </w:p>
        </w:tc>
      </w:tr>
      <w:tr w:rsidR="0017274B" w:rsidRPr="009754DD" w:rsidTr="0074067B">
        <w:trPr>
          <w:trHeight w:val="248"/>
        </w:trPr>
        <w:tc>
          <w:tcPr>
            <w:tcW w:w="3936" w:type="dxa"/>
            <w:shd w:val="clear" w:color="auto" w:fill="auto"/>
          </w:tcPr>
          <w:p w:rsidR="00AB0186" w:rsidRPr="009754DD" w:rsidRDefault="00E2238C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19 475,6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24 595,5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26,3%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E2238C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11 807,9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14 797,1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2238C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25,3%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E2238C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10 984,0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13</w:t>
            </w:r>
            <w:r w:rsidR="00BD6A01" w:rsidRPr="009754DD">
              <w:rPr>
                <w:sz w:val="24"/>
                <w:szCs w:val="24"/>
              </w:rPr>
              <w:t xml:space="preserve"> </w:t>
            </w:r>
            <w:r w:rsidRPr="009754DD">
              <w:rPr>
                <w:sz w:val="24"/>
                <w:szCs w:val="24"/>
              </w:rPr>
              <w:t>762,9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E2238C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25,3%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E2238C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E2238C" w:rsidP="00436C2B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40 512,2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E2238C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49</w:t>
            </w:r>
            <w:r w:rsidR="000D074D" w:rsidRPr="009754DD">
              <w:rPr>
                <w:sz w:val="24"/>
                <w:szCs w:val="24"/>
              </w:rPr>
              <w:t> 694,3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DC215D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22,7%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13 718,5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16 836,8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22,7%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20 320,2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24 879,0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22,4%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436C2B" w:rsidRPr="009754DD" w:rsidRDefault="000D074D" w:rsidP="00436C2B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2 874,6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3 478,4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21,0%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70 957,7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85 877,0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0067D8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21,0%</w:t>
            </w:r>
          </w:p>
        </w:tc>
      </w:tr>
      <w:tr w:rsidR="0017274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20 266,8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24 493,0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0D074D" w:rsidP="00212E33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20,9%</w:t>
            </w:r>
          </w:p>
        </w:tc>
      </w:tr>
      <w:tr w:rsidR="0074067B" w:rsidRPr="009754DD" w:rsidTr="0074067B">
        <w:trPr>
          <w:trHeight w:val="255"/>
        </w:trPr>
        <w:tc>
          <w:tcPr>
            <w:tcW w:w="3936" w:type="dxa"/>
            <w:shd w:val="clear" w:color="auto" w:fill="auto"/>
          </w:tcPr>
          <w:p w:rsidR="00AB0186" w:rsidRPr="009754DD" w:rsidRDefault="000D074D" w:rsidP="00DC215D">
            <w:pPr>
              <w:jc w:val="both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53 661,1</w:t>
            </w:r>
          </w:p>
        </w:tc>
        <w:tc>
          <w:tcPr>
            <w:tcW w:w="2409" w:type="dxa"/>
            <w:shd w:val="clear" w:color="auto" w:fill="auto"/>
            <w:noWrap/>
          </w:tcPr>
          <w:p w:rsidR="00AB0186" w:rsidRPr="009754DD" w:rsidRDefault="000D074D" w:rsidP="003D5784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64 569,7</w:t>
            </w:r>
          </w:p>
        </w:tc>
        <w:tc>
          <w:tcPr>
            <w:tcW w:w="1560" w:type="dxa"/>
            <w:shd w:val="clear" w:color="auto" w:fill="auto"/>
            <w:noWrap/>
          </w:tcPr>
          <w:p w:rsidR="00AB0186" w:rsidRPr="009754DD" w:rsidRDefault="00B534D8" w:rsidP="00212E33">
            <w:pPr>
              <w:jc w:val="center"/>
              <w:rPr>
                <w:sz w:val="24"/>
                <w:szCs w:val="24"/>
              </w:rPr>
            </w:pPr>
            <w:r w:rsidRPr="009754DD">
              <w:rPr>
                <w:sz w:val="24"/>
                <w:szCs w:val="24"/>
              </w:rPr>
              <w:t>20,3%</w:t>
            </w:r>
          </w:p>
        </w:tc>
      </w:tr>
    </w:tbl>
    <w:p w:rsidR="00C82DFF" w:rsidRPr="009754DD" w:rsidRDefault="00C82DFF">
      <w:pPr>
        <w:jc w:val="right"/>
        <w:rPr>
          <w:sz w:val="24"/>
        </w:rPr>
      </w:pPr>
    </w:p>
    <w:p w:rsidR="00421401" w:rsidRPr="009754DD" w:rsidRDefault="00421401" w:rsidP="00C3535A">
      <w:pPr>
        <w:pStyle w:val="30"/>
        <w:rPr>
          <w:b w:val="0"/>
          <w:color w:val="auto"/>
        </w:rPr>
      </w:pPr>
      <w:r w:rsidRPr="009754DD">
        <w:rPr>
          <w:b w:val="0"/>
          <w:color w:val="auto"/>
        </w:rPr>
        <w:t>Распределение собственных доходов по типам м</w:t>
      </w:r>
      <w:r w:rsidR="00142521" w:rsidRPr="009754DD">
        <w:rPr>
          <w:b w:val="0"/>
          <w:color w:val="auto"/>
        </w:rPr>
        <w:t>униципальных образований в 20</w:t>
      </w:r>
      <w:r w:rsidR="00A522DC" w:rsidRPr="009754DD">
        <w:rPr>
          <w:b w:val="0"/>
          <w:color w:val="auto"/>
        </w:rPr>
        <w:t>1</w:t>
      </w:r>
      <w:r w:rsidR="00B534D8" w:rsidRPr="009754DD">
        <w:rPr>
          <w:b w:val="0"/>
          <w:color w:val="auto"/>
        </w:rPr>
        <w:t>3</w:t>
      </w:r>
      <w:r w:rsidR="00142521" w:rsidRPr="009754DD">
        <w:rPr>
          <w:b w:val="0"/>
          <w:color w:val="auto"/>
        </w:rPr>
        <w:t xml:space="preserve"> году, как и в предыдущие годы, характеризуется </w:t>
      </w:r>
      <w:r w:rsidR="00DB50AE" w:rsidRPr="009754DD">
        <w:rPr>
          <w:b w:val="0"/>
          <w:color w:val="auto"/>
        </w:rPr>
        <w:t>следующей структурой</w:t>
      </w:r>
      <w:r w:rsidR="000E6164" w:rsidRPr="009754DD">
        <w:rPr>
          <w:b w:val="0"/>
          <w:color w:val="auto"/>
        </w:rPr>
        <w:t xml:space="preserve">: </w:t>
      </w:r>
      <w:r w:rsidR="00142521" w:rsidRPr="009754DD">
        <w:rPr>
          <w:b w:val="0"/>
          <w:color w:val="auto"/>
        </w:rPr>
        <w:t>в бюджеты городских округов</w:t>
      </w:r>
      <w:r w:rsidR="0003620A">
        <w:rPr>
          <w:b w:val="0"/>
          <w:color w:val="auto"/>
        </w:rPr>
        <w:t xml:space="preserve"> и</w:t>
      </w:r>
      <w:r w:rsidR="00FF4DBF" w:rsidRPr="009754DD">
        <w:rPr>
          <w:b w:val="0"/>
          <w:color w:val="auto"/>
        </w:rPr>
        <w:t xml:space="preserve"> внутригор</w:t>
      </w:r>
      <w:r w:rsidR="0003620A">
        <w:rPr>
          <w:b w:val="0"/>
          <w:color w:val="auto"/>
        </w:rPr>
        <w:t>одских муниципальных образований (далее – городских округов)</w:t>
      </w:r>
      <w:r w:rsidR="00142521" w:rsidRPr="009754DD">
        <w:rPr>
          <w:b w:val="0"/>
          <w:color w:val="auto"/>
        </w:rPr>
        <w:t xml:space="preserve"> поступило</w:t>
      </w:r>
      <w:r w:rsidR="000E6164" w:rsidRPr="009754DD">
        <w:rPr>
          <w:b w:val="0"/>
          <w:color w:val="auto"/>
        </w:rPr>
        <w:t xml:space="preserve"> </w:t>
      </w:r>
      <w:r w:rsidR="00A522DC" w:rsidRPr="009754DD">
        <w:rPr>
          <w:b w:val="0"/>
          <w:color w:val="auto"/>
        </w:rPr>
        <w:t>1</w:t>
      </w:r>
      <w:r w:rsidR="00B534D8" w:rsidRPr="009754DD">
        <w:rPr>
          <w:b w:val="0"/>
          <w:color w:val="auto"/>
        </w:rPr>
        <w:t> 230,3</w:t>
      </w:r>
      <w:r w:rsidR="000E6164" w:rsidRPr="009754DD">
        <w:rPr>
          <w:b w:val="0"/>
          <w:color w:val="auto"/>
        </w:rPr>
        <w:t xml:space="preserve"> млрд. рублей (</w:t>
      </w:r>
      <w:r w:rsidR="006542B7" w:rsidRPr="009754DD">
        <w:rPr>
          <w:b w:val="0"/>
          <w:color w:val="auto"/>
        </w:rPr>
        <w:t>5</w:t>
      </w:r>
      <w:r w:rsidR="00FF4DBF" w:rsidRPr="009754DD">
        <w:rPr>
          <w:b w:val="0"/>
          <w:color w:val="auto"/>
        </w:rPr>
        <w:t>0,3</w:t>
      </w:r>
      <w:r w:rsidRPr="009754DD">
        <w:rPr>
          <w:b w:val="0"/>
          <w:color w:val="auto"/>
        </w:rPr>
        <w:t xml:space="preserve">%), </w:t>
      </w:r>
      <w:r w:rsidR="00142521" w:rsidRPr="009754DD">
        <w:rPr>
          <w:b w:val="0"/>
          <w:color w:val="auto"/>
        </w:rPr>
        <w:t xml:space="preserve">в </w:t>
      </w:r>
      <w:r w:rsidRPr="009754DD">
        <w:rPr>
          <w:b w:val="0"/>
          <w:color w:val="auto"/>
        </w:rPr>
        <w:t>бюдже</w:t>
      </w:r>
      <w:r w:rsidR="000E6164" w:rsidRPr="009754DD">
        <w:rPr>
          <w:b w:val="0"/>
          <w:color w:val="auto"/>
        </w:rPr>
        <w:t xml:space="preserve">ты муниципальных районов – </w:t>
      </w:r>
      <w:r w:rsidR="00B534D8" w:rsidRPr="009754DD">
        <w:rPr>
          <w:b w:val="0"/>
          <w:color w:val="auto"/>
        </w:rPr>
        <w:t>866,7</w:t>
      </w:r>
      <w:r w:rsidR="000E6164" w:rsidRPr="009754DD">
        <w:rPr>
          <w:b w:val="0"/>
          <w:color w:val="auto"/>
        </w:rPr>
        <w:t xml:space="preserve"> млрд. рублей (</w:t>
      </w:r>
      <w:r w:rsidR="00B534D8" w:rsidRPr="009754DD">
        <w:rPr>
          <w:b w:val="0"/>
          <w:color w:val="auto"/>
        </w:rPr>
        <w:t>35,5</w:t>
      </w:r>
      <w:r w:rsidRPr="009754DD">
        <w:rPr>
          <w:b w:val="0"/>
          <w:color w:val="auto"/>
        </w:rPr>
        <w:t xml:space="preserve">%), </w:t>
      </w:r>
      <w:r w:rsidR="00142521" w:rsidRPr="009754DD">
        <w:rPr>
          <w:b w:val="0"/>
          <w:color w:val="auto"/>
        </w:rPr>
        <w:t xml:space="preserve">в </w:t>
      </w:r>
      <w:r w:rsidRPr="009754DD">
        <w:rPr>
          <w:b w:val="0"/>
          <w:color w:val="auto"/>
        </w:rPr>
        <w:t>бюджеты посе</w:t>
      </w:r>
      <w:r w:rsidR="000E6164" w:rsidRPr="009754DD">
        <w:rPr>
          <w:b w:val="0"/>
          <w:color w:val="auto"/>
        </w:rPr>
        <w:t xml:space="preserve">лений – </w:t>
      </w:r>
      <w:r w:rsidR="00B534D8" w:rsidRPr="009754DD">
        <w:rPr>
          <w:b w:val="0"/>
          <w:color w:val="auto"/>
        </w:rPr>
        <w:t>346,0</w:t>
      </w:r>
      <w:r w:rsidR="000E6164" w:rsidRPr="009754DD">
        <w:rPr>
          <w:b w:val="0"/>
          <w:color w:val="auto"/>
        </w:rPr>
        <w:t xml:space="preserve"> млрд. рублей (</w:t>
      </w:r>
      <w:r w:rsidR="006542B7" w:rsidRPr="009754DD">
        <w:rPr>
          <w:b w:val="0"/>
          <w:color w:val="auto"/>
        </w:rPr>
        <w:t>1</w:t>
      </w:r>
      <w:r w:rsidR="00FF4DBF" w:rsidRPr="009754DD">
        <w:rPr>
          <w:b w:val="0"/>
          <w:color w:val="auto"/>
        </w:rPr>
        <w:t>4,2</w:t>
      </w:r>
      <w:r w:rsidRPr="009754DD">
        <w:rPr>
          <w:b w:val="0"/>
          <w:color w:val="auto"/>
        </w:rPr>
        <w:t>%).</w:t>
      </w:r>
      <w:r w:rsidR="00DB50AE" w:rsidRPr="009754DD">
        <w:rPr>
          <w:b w:val="0"/>
          <w:color w:val="auto"/>
        </w:rPr>
        <w:t xml:space="preserve"> Указанное распределение отражает сбалансированное распределение </w:t>
      </w:r>
      <w:r w:rsidR="00DB50AE" w:rsidRPr="009754DD">
        <w:rPr>
          <w:b w:val="0"/>
          <w:color w:val="auto"/>
        </w:rPr>
        <w:lastRenderedPageBreak/>
        <w:t>собственных доходов между городскими округами и муниципальными районами с поселениями.</w:t>
      </w:r>
    </w:p>
    <w:p w:rsidR="004778AA" w:rsidRPr="009754DD" w:rsidRDefault="004778AA" w:rsidP="004778AA">
      <w:pPr>
        <w:pStyle w:val="a7"/>
      </w:pPr>
      <w:r w:rsidRPr="009754DD">
        <w:t>В</w:t>
      </w:r>
      <w:r w:rsidR="006120A9" w:rsidRPr="009754DD">
        <w:t xml:space="preserve"> общем объеме поступивших в 20</w:t>
      </w:r>
      <w:r w:rsidR="00255CB4" w:rsidRPr="009754DD">
        <w:t>1</w:t>
      </w:r>
      <w:r w:rsidR="00B50EC8" w:rsidRPr="009754DD">
        <w:t>3</w:t>
      </w:r>
      <w:r w:rsidRPr="009754DD">
        <w:t xml:space="preserve"> году собственных доходов местных бюджетов налоговые и не</w:t>
      </w:r>
      <w:r w:rsidR="006120A9" w:rsidRPr="009754DD">
        <w:t>налоговые доходы составляют 5</w:t>
      </w:r>
      <w:r w:rsidR="00B50EC8" w:rsidRPr="009754DD">
        <w:t>3,9</w:t>
      </w:r>
      <w:r w:rsidR="006120A9" w:rsidRPr="009754DD">
        <w:t>% (</w:t>
      </w:r>
      <w:r w:rsidR="00B50EC8" w:rsidRPr="009754DD">
        <w:t>1 317,7</w:t>
      </w:r>
      <w:r w:rsidRPr="009754DD">
        <w:t xml:space="preserve"> млрд. рублей), межбюджетные трансферты (без учета субвенций</w:t>
      </w:r>
      <w:r w:rsidR="006120A9" w:rsidRPr="009754DD">
        <w:t xml:space="preserve">) – </w:t>
      </w:r>
      <w:r w:rsidR="00B50EC8" w:rsidRPr="009754DD">
        <w:t>46,1</w:t>
      </w:r>
      <w:r w:rsidR="006120A9" w:rsidRPr="009754DD">
        <w:t>%  (</w:t>
      </w:r>
      <w:r w:rsidR="00B50EC8" w:rsidRPr="009754DD">
        <w:t>1 125,2</w:t>
      </w:r>
      <w:r w:rsidRPr="009754DD">
        <w:t xml:space="preserve"> млрд. рублей).</w:t>
      </w:r>
    </w:p>
    <w:p w:rsidR="004778AA" w:rsidRPr="009754DD" w:rsidRDefault="004778AA" w:rsidP="004778AA">
      <w:pPr>
        <w:pStyle w:val="a7"/>
      </w:pPr>
      <w:r w:rsidRPr="009754DD">
        <w:t>При этом налоговые доходы м</w:t>
      </w:r>
      <w:r w:rsidR="00B9607E" w:rsidRPr="009754DD">
        <w:t>естных бюджетов исполнены в 20</w:t>
      </w:r>
      <w:r w:rsidR="001B768C" w:rsidRPr="009754DD">
        <w:t>1</w:t>
      </w:r>
      <w:r w:rsidR="00B50EC8" w:rsidRPr="009754DD">
        <w:t>3</w:t>
      </w:r>
      <w:r w:rsidR="00B9607E" w:rsidRPr="009754DD">
        <w:t xml:space="preserve"> году в сумме </w:t>
      </w:r>
      <w:r w:rsidR="00B50EC8" w:rsidRPr="009754DD">
        <w:t>1 042,7</w:t>
      </w:r>
      <w:r w:rsidR="00D26956" w:rsidRPr="009754DD">
        <w:t xml:space="preserve"> млрд. рублей, </w:t>
      </w:r>
      <w:r w:rsidRPr="009754DD">
        <w:t>с</w:t>
      </w:r>
      <w:r w:rsidR="00390E30" w:rsidRPr="009754DD">
        <w:t xml:space="preserve"> </w:t>
      </w:r>
      <w:r w:rsidR="001B768C" w:rsidRPr="009754DD">
        <w:t>ростом</w:t>
      </w:r>
      <w:r w:rsidR="00390E30" w:rsidRPr="009754DD">
        <w:t xml:space="preserve"> к</w:t>
      </w:r>
      <w:r w:rsidRPr="009754DD">
        <w:t xml:space="preserve"> </w:t>
      </w:r>
      <w:r w:rsidR="00390E30" w:rsidRPr="009754DD">
        <w:t>первоначальному плану</w:t>
      </w:r>
      <w:r w:rsidRPr="009754DD">
        <w:t xml:space="preserve"> </w:t>
      </w:r>
      <w:r w:rsidR="00390E30" w:rsidRPr="009754DD">
        <w:t xml:space="preserve">поступлений на </w:t>
      </w:r>
      <w:r w:rsidR="00B50EC8" w:rsidRPr="009754DD">
        <w:t>6,7</w:t>
      </w:r>
      <w:r w:rsidR="00390E30" w:rsidRPr="009754DD">
        <w:t xml:space="preserve">% или </w:t>
      </w:r>
      <w:r w:rsidR="00B50EC8" w:rsidRPr="009754DD">
        <w:t>65,9</w:t>
      </w:r>
      <w:r w:rsidRPr="009754DD">
        <w:t xml:space="preserve"> млрд. рублей. В структуре собственных доходов местных бюджето</w:t>
      </w:r>
      <w:r w:rsidR="008A4053" w:rsidRPr="009754DD">
        <w:t xml:space="preserve">в </w:t>
      </w:r>
      <w:r w:rsidR="00BD2DEF" w:rsidRPr="009754DD">
        <w:t xml:space="preserve"> </w:t>
      </w:r>
      <w:r w:rsidR="008A4053" w:rsidRPr="009754DD">
        <w:t xml:space="preserve">налоговые доходы занимают </w:t>
      </w:r>
      <w:r w:rsidR="00B50EC8" w:rsidRPr="009754DD">
        <w:t>42,7</w:t>
      </w:r>
      <w:r w:rsidRPr="009754DD">
        <w:t>%</w:t>
      </w:r>
      <w:r w:rsidR="00DB50AE" w:rsidRPr="009754DD">
        <w:t xml:space="preserve"> в среднем</w:t>
      </w:r>
      <w:r w:rsidRPr="009754DD">
        <w:t xml:space="preserve"> по Российской Федерации. </w:t>
      </w:r>
    </w:p>
    <w:p w:rsidR="004778AA" w:rsidRPr="009754DD" w:rsidRDefault="00B514C2" w:rsidP="004778AA">
      <w:pPr>
        <w:pStyle w:val="a7"/>
      </w:pPr>
      <w:r w:rsidRPr="009754DD">
        <w:rPr>
          <w:noProof/>
        </w:rPr>
        <w:drawing>
          <wp:anchor distT="0" distB="0" distL="114300" distR="114300" simplePos="0" relativeHeight="251657216" behindDoc="0" locked="0" layoutInCell="1" allowOverlap="1" wp14:anchorId="11036BD1" wp14:editId="4B4BFB54">
            <wp:simplePos x="0" y="0"/>
            <wp:positionH relativeFrom="column">
              <wp:posOffset>-205105</wp:posOffset>
            </wp:positionH>
            <wp:positionV relativeFrom="paragraph">
              <wp:posOffset>735330</wp:posOffset>
            </wp:positionV>
            <wp:extent cx="6286500" cy="4505325"/>
            <wp:effectExtent l="0" t="0" r="0" b="0"/>
            <wp:wrapTopAndBottom/>
            <wp:docPr id="116" name="Объект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8AA" w:rsidRPr="009754DD">
        <w:t>Данное соотношение в разрезе федеральных округов представлено на следующей диаграмме:</w:t>
      </w:r>
    </w:p>
    <w:p w:rsidR="00421401" w:rsidRPr="009754DD" w:rsidRDefault="00421401">
      <w:pPr>
        <w:ind w:firstLine="567"/>
        <w:jc w:val="both"/>
      </w:pPr>
    </w:p>
    <w:p w:rsidR="00421401" w:rsidRPr="009754DD" w:rsidRDefault="007C412A">
      <w:pPr>
        <w:pStyle w:val="a7"/>
      </w:pPr>
      <w:r w:rsidRPr="009754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6553" wp14:editId="5155FF56">
                <wp:simplePos x="0" y="0"/>
                <wp:positionH relativeFrom="column">
                  <wp:posOffset>2115185</wp:posOffset>
                </wp:positionH>
                <wp:positionV relativeFrom="paragraph">
                  <wp:posOffset>3996690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C9" w:rsidRDefault="00C901C9">
                            <w:r>
                              <w:t>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55pt;margin-top:314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LPBR3PiAAAACwEA&#10;AA8AAAAAAAAAAAAAAAAAlQQAAGRycy9kb3ducmV2LnhtbFBLBQYAAAAABAAEAPMAAACkBQAAAAA=&#10;" stroked="f">
                <v:textbox style="mso-fit-shape-to-text:t">
                  <w:txbxContent>
                    <w:p w:rsidR="00C901C9" w:rsidRDefault="00C901C9">
                      <w:r>
                        <w:t>Налоговые доходы</w:t>
                      </w:r>
                    </w:p>
                  </w:txbxContent>
                </v:textbox>
              </v:shape>
            </w:pict>
          </mc:Fallback>
        </mc:AlternateContent>
      </w:r>
      <w:r w:rsidR="00407D8F" w:rsidRPr="009754DD">
        <w:t xml:space="preserve">В </w:t>
      </w:r>
      <w:r w:rsidR="00FF4DBF" w:rsidRPr="009754DD">
        <w:t>39</w:t>
      </w:r>
      <w:r w:rsidR="00421401" w:rsidRPr="009754DD">
        <w:t xml:space="preserve"> субъектах Российской Федерации удельный вес налоговых доходов в общем объеме собственных доходов превысил выше</w:t>
      </w:r>
      <w:r w:rsidR="00FF4DBF" w:rsidRPr="009754DD">
        <w:t>указанное среднее значение, в 44</w:t>
      </w:r>
      <w:r w:rsidR="00421401" w:rsidRPr="009754DD">
        <w:t xml:space="preserve"> субъек</w:t>
      </w:r>
      <w:r w:rsidR="004554AE" w:rsidRPr="009754DD">
        <w:t>тах</w:t>
      </w:r>
      <w:r w:rsidR="00421401" w:rsidRPr="009754DD">
        <w:t xml:space="preserve"> Рос</w:t>
      </w:r>
      <w:r w:rsidR="00925F0A" w:rsidRPr="009754DD">
        <w:t xml:space="preserve">сийской Федерации </w:t>
      </w:r>
      <w:r w:rsidR="00182A1A" w:rsidRPr="009754DD">
        <w:t>был</w:t>
      </w:r>
      <w:r w:rsidR="00925F0A" w:rsidRPr="009754DD">
        <w:t xml:space="preserve"> </w:t>
      </w:r>
      <w:r w:rsidR="00421401" w:rsidRPr="009754DD">
        <w:t>ниже среднего уровня по Российской Федерации.</w:t>
      </w:r>
    </w:p>
    <w:p w:rsidR="00B86CE6" w:rsidRPr="009754DD" w:rsidRDefault="00B86CE6">
      <w:pPr>
        <w:pStyle w:val="a7"/>
      </w:pPr>
      <w:r w:rsidRPr="009754DD">
        <w:t>Максимальн</w:t>
      </w:r>
      <w:r w:rsidR="00F93A5E" w:rsidRPr="009754DD">
        <w:t xml:space="preserve">ые </w:t>
      </w:r>
      <w:r w:rsidRPr="009754DD">
        <w:t>и минимальн</w:t>
      </w:r>
      <w:r w:rsidR="00F93A5E" w:rsidRPr="009754DD">
        <w:t>ы</w:t>
      </w:r>
      <w:r w:rsidRPr="009754DD">
        <w:t>е значения указанного показателя в разрезе субъектов Российской Федерации приведены в таблице.</w:t>
      </w:r>
    </w:p>
    <w:p w:rsidR="00020C71" w:rsidRPr="009754DD" w:rsidRDefault="00020C71">
      <w:pPr>
        <w:pStyle w:val="a7"/>
      </w:pPr>
    </w:p>
    <w:p w:rsidR="00020C71" w:rsidRPr="009754DD" w:rsidRDefault="00020C71">
      <w:pPr>
        <w:pStyle w:val="a7"/>
      </w:pPr>
    </w:p>
    <w:p w:rsidR="00020C71" w:rsidRPr="009754DD" w:rsidRDefault="00020C71">
      <w:pPr>
        <w:pStyle w:val="a7"/>
      </w:pPr>
    </w:p>
    <w:p w:rsidR="00830A50" w:rsidRPr="009754DD" w:rsidRDefault="00830A50">
      <w:pPr>
        <w:pStyle w:val="a7"/>
      </w:pPr>
    </w:p>
    <w:p w:rsidR="00421401" w:rsidRPr="009754DD" w:rsidRDefault="00421401">
      <w:pPr>
        <w:jc w:val="right"/>
        <w:rPr>
          <w:sz w:val="24"/>
        </w:rPr>
      </w:pPr>
      <w:r w:rsidRPr="009754DD">
        <w:rPr>
          <w:sz w:val="24"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007"/>
        <w:gridCol w:w="3529"/>
        <w:gridCol w:w="1134"/>
      </w:tblGrid>
      <w:tr w:rsidR="004F5E06" w:rsidRPr="009754DD" w:rsidTr="00DB50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6" w:rsidRPr="009754DD" w:rsidRDefault="00AD7DD6" w:rsidP="001751F1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Субъекты РФ с наибольшим удельным весом налоговых доходов</w:t>
            </w:r>
            <w:r w:rsidR="00DB50AE" w:rsidRPr="009754DD">
              <w:rPr>
                <w:b/>
                <w:sz w:val="20"/>
              </w:rPr>
              <w:t xml:space="preserve"> местных бюджетов</w:t>
            </w:r>
            <w:r w:rsidRPr="009754DD">
              <w:rPr>
                <w:b/>
                <w:sz w:val="20"/>
              </w:rPr>
              <w:t xml:space="preserve"> в собственных доходах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D6" w:rsidRPr="009754DD" w:rsidRDefault="00AD7DD6" w:rsidP="001751F1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%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D6" w:rsidRPr="009754DD" w:rsidRDefault="00AD7DD6" w:rsidP="001751F1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 xml:space="preserve">Субъекты РФ с наименьшим удельным весом налоговых доходов </w:t>
            </w:r>
            <w:r w:rsidR="00DB50AE" w:rsidRPr="009754DD">
              <w:rPr>
                <w:b/>
                <w:sz w:val="20"/>
              </w:rPr>
              <w:t xml:space="preserve">местных бюджетов </w:t>
            </w:r>
            <w:r w:rsidRPr="009754DD">
              <w:rPr>
                <w:b/>
                <w:sz w:val="20"/>
              </w:rPr>
              <w:t>в собственных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D6" w:rsidRPr="009754DD" w:rsidRDefault="00AD7DD6" w:rsidP="001751F1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%</w:t>
            </w:r>
          </w:p>
        </w:tc>
      </w:tr>
      <w:tr w:rsidR="004F5E06" w:rsidRPr="009754DD" w:rsidTr="0025584F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7708F6" w:rsidP="00DB50AE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г. Санкт-Петербург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6372CE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77,0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11,6</w:t>
            </w:r>
          </w:p>
        </w:tc>
      </w:tr>
      <w:tr w:rsidR="004F5E06" w:rsidRPr="009754DD" w:rsidTr="006372CE">
        <w:trPr>
          <w:trHeight w:val="1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7708F6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г. Москва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65,9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19,1</w:t>
            </w:r>
          </w:p>
        </w:tc>
      </w:tr>
      <w:tr w:rsidR="004F5E06" w:rsidRPr="009754DD" w:rsidTr="0025584F">
        <w:trPr>
          <w:trHeight w:val="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Московская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62,3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21,3</w:t>
            </w:r>
          </w:p>
        </w:tc>
      </w:tr>
      <w:tr w:rsidR="004F5E06" w:rsidRPr="009754DD" w:rsidTr="006372CE">
        <w:trPr>
          <w:trHeight w:val="1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Вологодская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58,2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4F" w:rsidRPr="009754DD" w:rsidRDefault="0050524F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22,3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Липецкая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57,7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Республика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22,5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Калужская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57,6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Тюменская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23,3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Приморский край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56,9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25,6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Курская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54,1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27,2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Республика Адыгея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53,2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DB50AE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Ямало-Ненецкий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6372CE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30,2</w:t>
            </w:r>
          </w:p>
        </w:tc>
      </w:tr>
      <w:tr w:rsidR="004F5E06" w:rsidRPr="009754DD" w:rsidTr="006372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Кабардино-Балкарская Республика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FA22DC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53,2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DB50AE">
            <w:pPr>
              <w:pStyle w:val="a7"/>
              <w:ind w:firstLine="0"/>
              <w:jc w:val="left"/>
              <w:rPr>
                <w:sz w:val="24"/>
              </w:rPr>
            </w:pPr>
            <w:r w:rsidRPr="009754DD">
              <w:rPr>
                <w:sz w:val="24"/>
              </w:rPr>
              <w:t>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2" w:rsidRPr="009754DD" w:rsidRDefault="004C6322" w:rsidP="006372CE">
            <w:pPr>
              <w:pStyle w:val="a7"/>
              <w:ind w:firstLine="0"/>
              <w:jc w:val="center"/>
              <w:rPr>
                <w:sz w:val="24"/>
              </w:rPr>
            </w:pPr>
            <w:r w:rsidRPr="009754DD">
              <w:rPr>
                <w:sz w:val="24"/>
              </w:rPr>
              <w:t>31,4</w:t>
            </w:r>
          </w:p>
        </w:tc>
      </w:tr>
    </w:tbl>
    <w:p w:rsidR="00020C71" w:rsidRPr="009754DD" w:rsidRDefault="00020C71">
      <w:pPr>
        <w:ind w:firstLine="709"/>
        <w:jc w:val="both"/>
      </w:pPr>
    </w:p>
    <w:p w:rsidR="00F0762A" w:rsidRPr="009754DD" w:rsidRDefault="00F0762A">
      <w:pPr>
        <w:ind w:firstLine="709"/>
        <w:jc w:val="both"/>
      </w:pPr>
      <w:r w:rsidRPr="009754DD">
        <w:t xml:space="preserve">Следует отметить, что в связи со значительной дифференциацией социально-экономического развития муниципалитетов распределение налоговых доходов по типам муниципальных </w:t>
      </w:r>
      <w:r w:rsidR="00FB2034" w:rsidRPr="009754DD">
        <w:t xml:space="preserve">образований осуществляется </w:t>
      </w:r>
      <w:r w:rsidRPr="009754DD">
        <w:t xml:space="preserve">неравномерно: в бюджетах городских округов аккумулируется </w:t>
      </w:r>
      <w:r w:rsidR="000D3C38" w:rsidRPr="009754DD">
        <w:t>60,3</w:t>
      </w:r>
      <w:r w:rsidRPr="009754DD">
        <w:t>%</w:t>
      </w:r>
      <w:r w:rsidR="00FE48C2" w:rsidRPr="009754DD">
        <w:t xml:space="preserve"> (</w:t>
      </w:r>
      <w:r w:rsidR="000D3C38" w:rsidRPr="009754DD">
        <w:t>629,0</w:t>
      </w:r>
      <w:r w:rsidR="00FE48C2" w:rsidRPr="009754DD">
        <w:t xml:space="preserve"> млрд. рублей)</w:t>
      </w:r>
      <w:r w:rsidRPr="009754DD">
        <w:t xml:space="preserve"> налоговых доходов</w:t>
      </w:r>
      <w:r w:rsidR="00FE48C2" w:rsidRPr="009754DD">
        <w:t xml:space="preserve">, в бюджетах муниципальных районов – </w:t>
      </w:r>
      <w:r w:rsidR="00F2462C" w:rsidRPr="009754DD">
        <w:t>2</w:t>
      </w:r>
      <w:r w:rsidR="000D3C38" w:rsidRPr="009754DD">
        <w:t>8,4</w:t>
      </w:r>
      <w:r w:rsidR="00FE48C2" w:rsidRPr="009754DD">
        <w:t>% (</w:t>
      </w:r>
      <w:r w:rsidR="000D3C38" w:rsidRPr="009754DD">
        <w:t>296,5</w:t>
      </w:r>
      <w:r w:rsidR="00DB50AE" w:rsidRPr="009754DD">
        <w:t xml:space="preserve"> млрд. рублей) и </w:t>
      </w:r>
      <w:r w:rsidR="000D3C38" w:rsidRPr="009754DD">
        <w:t>11,3</w:t>
      </w:r>
      <w:r w:rsidR="00FE48C2" w:rsidRPr="009754DD">
        <w:t>% (</w:t>
      </w:r>
      <w:r w:rsidR="000D3C38" w:rsidRPr="009754DD">
        <w:t>117,2</w:t>
      </w:r>
      <w:r w:rsidR="00FE48C2" w:rsidRPr="009754DD">
        <w:t xml:space="preserve"> млрд. рублей)</w:t>
      </w:r>
      <w:r w:rsidR="00FB2034" w:rsidRPr="009754DD">
        <w:t xml:space="preserve"> –</w:t>
      </w:r>
      <w:r w:rsidR="00FE48C2" w:rsidRPr="009754DD">
        <w:t xml:space="preserve"> в бюджетах поселений.</w:t>
      </w:r>
      <w:r w:rsidR="000D3C38" w:rsidRPr="009754DD">
        <w:t>7</w:t>
      </w:r>
    </w:p>
    <w:p w:rsidR="00605381" w:rsidRPr="009754DD" w:rsidRDefault="00421401" w:rsidP="00AE7D9E">
      <w:pPr>
        <w:pStyle w:val="a7"/>
      </w:pPr>
      <w:r w:rsidRPr="009754DD">
        <w:t xml:space="preserve">Анализ налоговых поступлений показал, что основным </w:t>
      </w:r>
      <w:proofErr w:type="spellStart"/>
      <w:r w:rsidR="00E72CD2" w:rsidRPr="009754DD">
        <w:t>бюджетообразующим</w:t>
      </w:r>
      <w:proofErr w:type="spellEnd"/>
      <w:r w:rsidR="00E72CD2" w:rsidRPr="009754DD">
        <w:t xml:space="preserve"> налогом в 20</w:t>
      </w:r>
      <w:r w:rsidR="00A4388B" w:rsidRPr="009754DD">
        <w:t>1</w:t>
      </w:r>
      <w:r w:rsidR="000D3C38" w:rsidRPr="009754DD">
        <w:t>3</w:t>
      </w:r>
      <w:r w:rsidR="00A4388B" w:rsidRPr="009754DD">
        <w:t xml:space="preserve"> </w:t>
      </w:r>
      <w:r w:rsidRPr="009754DD">
        <w:t>году продолжает оставаться налог на доходы физических лиц, удельный вес кот</w:t>
      </w:r>
      <w:r w:rsidR="00E72CD2" w:rsidRPr="009754DD">
        <w:t xml:space="preserve">орого </w:t>
      </w:r>
      <w:r w:rsidR="00746326" w:rsidRPr="009754DD">
        <w:t xml:space="preserve">в налоговых доходах </w:t>
      </w:r>
      <w:r w:rsidR="00DB50AE" w:rsidRPr="009754DD">
        <w:t xml:space="preserve">местных бюджетов </w:t>
      </w:r>
      <w:r w:rsidR="00E72CD2" w:rsidRPr="009754DD">
        <w:t xml:space="preserve">составляет </w:t>
      </w:r>
      <w:r w:rsidR="000D3C38" w:rsidRPr="009754DD">
        <w:t>69,9</w:t>
      </w:r>
      <w:r w:rsidR="00E72CD2" w:rsidRPr="009754DD">
        <w:t xml:space="preserve">% или </w:t>
      </w:r>
      <w:r w:rsidR="000D3C38" w:rsidRPr="009754DD">
        <w:t>729,0</w:t>
      </w:r>
      <w:r w:rsidR="005E49E4" w:rsidRPr="009754DD">
        <w:t xml:space="preserve"> млрд. рублей (в 201</w:t>
      </w:r>
      <w:r w:rsidR="000D3C38" w:rsidRPr="009754DD">
        <w:t>2</w:t>
      </w:r>
      <w:r w:rsidR="00E72CD2" w:rsidRPr="009754DD">
        <w:t xml:space="preserve"> году – </w:t>
      </w:r>
      <w:r w:rsidR="000D3C38" w:rsidRPr="009754DD">
        <w:t>70,2</w:t>
      </w:r>
      <w:r w:rsidR="00E72CD2" w:rsidRPr="009754DD">
        <w:t xml:space="preserve">% или </w:t>
      </w:r>
      <w:r w:rsidR="000D3C38" w:rsidRPr="009754DD">
        <w:t>656,7</w:t>
      </w:r>
      <w:r w:rsidRPr="009754DD">
        <w:t xml:space="preserve"> млрд. рублей).</w:t>
      </w:r>
    </w:p>
    <w:p w:rsidR="00421401" w:rsidRPr="009754DD" w:rsidRDefault="00421401" w:rsidP="00AE7D9E">
      <w:pPr>
        <w:pStyle w:val="a7"/>
      </w:pPr>
      <w:r w:rsidRPr="009754DD">
        <w:t xml:space="preserve"> </w:t>
      </w:r>
      <w:proofErr w:type="gramStart"/>
      <w:r w:rsidR="00D530BA" w:rsidRPr="009754DD">
        <w:t>В</w:t>
      </w:r>
      <w:r w:rsidR="000D3C38" w:rsidRPr="009754DD">
        <w:t xml:space="preserve"> 2013</w:t>
      </w:r>
      <w:r w:rsidR="00234FF5" w:rsidRPr="009754DD">
        <w:t xml:space="preserve"> год</w:t>
      </w:r>
      <w:r w:rsidR="00D530BA" w:rsidRPr="009754DD">
        <w:t>у</w:t>
      </w:r>
      <w:r w:rsidR="00234FF5" w:rsidRPr="009754DD">
        <w:t xml:space="preserve"> в</w:t>
      </w:r>
      <w:r w:rsidRPr="009754DD">
        <w:t xml:space="preserve"> соответствии с пунктом 3 статьи 58 Бюджетного кодекса Российской Федерации субъекты Российской Федерации</w:t>
      </w:r>
      <w:r w:rsidR="000C4DA2" w:rsidRPr="009754DD">
        <w:t xml:space="preserve"> были</w:t>
      </w:r>
      <w:r w:rsidRPr="009754DD">
        <w:t xml:space="preserve"> обязаны передать в местные бюджеты единые и (или) дополнительные нормативы отчислений от налога на доходы физических лиц, исходя из зачисления в местные бюджеты не менее</w:t>
      </w:r>
      <w:r w:rsidR="00234FF5" w:rsidRPr="009754DD">
        <w:t xml:space="preserve"> </w:t>
      </w:r>
      <w:r w:rsidR="00746326" w:rsidRPr="009754DD">
        <w:t>20</w:t>
      </w:r>
      <w:r w:rsidR="0063591B">
        <w:t>%</w:t>
      </w:r>
      <w:r w:rsidRPr="009754DD">
        <w:t xml:space="preserve"> </w:t>
      </w:r>
      <w:r w:rsidR="003B5796">
        <w:t xml:space="preserve"> </w:t>
      </w:r>
      <w:r w:rsidRPr="009754DD">
        <w:t>налоговых доходов консолидированного бюджета субъекта Российской Федерации</w:t>
      </w:r>
      <w:r w:rsidR="000C4DA2" w:rsidRPr="009754DD">
        <w:t xml:space="preserve"> по указанному налогу</w:t>
      </w:r>
      <w:r w:rsidRPr="009754DD">
        <w:t>.</w:t>
      </w:r>
      <w:proofErr w:type="gramEnd"/>
      <w:r w:rsidRPr="009754DD">
        <w:t xml:space="preserve"> </w:t>
      </w:r>
      <w:r w:rsidR="00A215B0" w:rsidRPr="009754DD">
        <w:t>В 20</w:t>
      </w:r>
      <w:r w:rsidR="009C523F" w:rsidRPr="009754DD">
        <w:t>1</w:t>
      </w:r>
      <w:r w:rsidR="000D3C38" w:rsidRPr="009754DD">
        <w:t>3</w:t>
      </w:r>
      <w:r w:rsidR="00FB43D6" w:rsidRPr="009754DD">
        <w:t xml:space="preserve"> </w:t>
      </w:r>
      <w:r w:rsidRPr="009754DD">
        <w:t>году</w:t>
      </w:r>
      <w:r w:rsidR="00FB2034" w:rsidRPr="009754DD">
        <w:t xml:space="preserve"> </w:t>
      </w:r>
      <w:r w:rsidRPr="009754DD">
        <w:t>поступления в местные бюджеты налога на доходы физических лиц в порядке исполнения указ</w:t>
      </w:r>
      <w:r w:rsidR="00FB2034" w:rsidRPr="009754DD">
        <w:t>анной</w:t>
      </w:r>
      <w:r w:rsidR="00A215B0" w:rsidRPr="009754DD">
        <w:t xml:space="preserve"> </w:t>
      </w:r>
      <w:r w:rsidR="00FB2034" w:rsidRPr="009754DD">
        <w:t>нормы</w:t>
      </w:r>
      <w:r w:rsidR="00A215B0" w:rsidRPr="009754DD">
        <w:t xml:space="preserve"> оценива</w:t>
      </w:r>
      <w:r w:rsidR="00182A1A" w:rsidRPr="009754DD">
        <w:t>ю</w:t>
      </w:r>
      <w:r w:rsidR="00A215B0" w:rsidRPr="009754DD">
        <w:t xml:space="preserve">тся в </w:t>
      </w:r>
      <w:r w:rsidR="001F0375">
        <w:t>352,</w:t>
      </w:r>
      <w:r w:rsidR="000E6D6A">
        <w:t>2</w:t>
      </w:r>
      <w:r w:rsidR="00FB2034" w:rsidRPr="009754DD">
        <w:t xml:space="preserve"> млрд. рублей или </w:t>
      </w:r>
      <w:r w:rsidR="001F0375">
        <w:t>48,3</w:t>
      </w:r>
      <w:r w:rsidR="00FB2034" w:rsidRPr="009754DD">
        <w:t>% от общей суммы поступления налога на доходы физических лиц.</w:t>
      </w:r>
    </w:p>
    <w:p w:rsidR="00421401" w:rsidRPr="009754DD" w:rsidRDefault="00421401" w:rsidP="00700273">
      <w:pPr>
        <w:ind w:firstLine="720"/>
        <w:jc w:val="both"/>
      </w:pPr>
      <w:r w:rsidRPr="009754DD">
        <w:t xml:space="preserve">Общий объем доходов, полученных местными бюджетами в связи с закреплением субъектами Российской Федерации налога на доходы физических лиц (сверх установленного </w:t>
      </w:r>
      <w:r w:rsidR="000C4DA2" w:rsidRPr="009754DD">
        <w:t xml:space="preserve">статьями 61, 61.1, 61.2 </w:t>
      </w:r>
      <w:r w:rsidRPr="009754DD">
        <w:t>Бюджетн</w:t>
      </w:r>
      <w:r w:rsidR="000C4DA2" w:rsidRPr="009754DD">
        <w:t>ого</w:t>
      </w:r>
      <w:r w:rsidRPr="009754DD">
        <w:t xml:space="preserve"> кодекс</w:t>
      </w:r>
      <w:r w:rsidR="000C4DA2" w:rsidRPr="009754DD">
        <w:t>а</w:t>
      </w:r>
      <w:r w:rsidRPr="009754DD">
        <w:t xml:space="preserve"> Росси</w:t>
      </w:r>
      <w:r w:rsidR="00A215B0" w:rsidRPr="009754DD">
        <w:t xml:space="preserve">йской Федерации), составил </w:t>
      </w:r>
      <w:r w:rsidR="000E6D6A">
        <w:t>378,2</w:t>
      </w:r>
      <w:r w:rsidRPr="009754DD">
        <w:t xml:space="preserve"> млрд. рублей </w:t>
      </w:r>
      <w:r w:rsidR="004A1CE2" w:rsidRPr="009754DD">
        <w:t xml:space="preserve">или </w:t>
      </w:r>
      <w:r w:rsidR="000E6D6A">
        <w:t>21,6</w:t>
      </w:r>
      <w:r w:rsidR="00020C71" w:rsidRPr="009754DD">
        <w:t>%</w:t>
      </w:r>
      <w:r w:rsidRPr="009754DD">
        <w:t xml:space="preserve"> доходов консолидированных бюджетов субъектов Российской Федерации</w:t>
      </w:r>
      <w:r w:rsidR="00E706D3" w:rsidRPr="009754DD">
        <w:t xml:space="preserve"> от указанного налога</w:t>
      </w:r>
      <w:r w:rsidRPr="009754DD">
        <w:t xml:space="preserve"> (без учета Москвы и Санкт-Петербурга).</w:t>
      </w:r>
    </w:p>
    <w:p w:rsidR="00020C71" w:rsidRPr="009754DD" w:rsidRDefault="00421401" w:rsidP="00020C71">
      <w:pPr>
        <w:ind w:firstLine="720"/>
        <w:jc w:val="both"/>
      </w:pPr>
      <w:r w:rsidRPr="009754DD">
        <w:lastRenderedPageBreak/>
        <w:t>Макс</w:t>
      </w:r>
      <w:r w:rsidR="00A66E50" w:rsidRPr="009754DD">
        <w:t>имальный</w:t>
      </w:r>
      <w:r w:rsidR="00F62A3A" w:rsidRPr="009754DD">
        <w:t xml:space="preserve"> уровень дополнительных поступлений</w:t>
      </w:r>
      <w:r w:rsidR="00A66E50" w:rsidRPr="009754DD">
        <w:t xml:space="preserve"> данного налога в местные бюджеты</w:t>
      </w:r>
      <w:r w:rsidR="00A215B0" w:rsidRPr="009754DD">
        <w:t xml:space="preserve"> </w:t>
      </w:r>
      <w:r w:rsidR="00020C71" w:rsidRPr="009754DD">
        <w:t xml:space="preserve">(сверх установленного статьями 61, 61.1, 61.2 и пунктом 3 статьи 58 Бюджетного кодекса Российской Федерации) </w:t>
      </w:r>
      <w:r w:rsidR="00A215B0" w:rsidRPr="009754DD">
        <w:t>в 20</w:t>
      </w:r>
      <w:r w:rsidR="00CC4D31" w:rsidRPr="009754DD">
        <w:t>1</w:t>
      </w:r>
      <w:r w:rsidR="004C6322" w:rsidRPr="009754DD">
        <w:t>3</w:t>
      </w:r>
      <w:r w:rsidR="00A215B0" w:rsidRPr="009754DD">
        <w:t xml:space="preserve"> году</w:t>
      </w:r>
      <w:r w:rsidRPr="009754DD">
        <w:t xml:space="preserve"> отмечается в следующих субъектах Российской Федерации:</w:t>
      </w:r>
    </w:p>
    <w:p w:rsidR="00421401" w:rsidRPr="009754DD" w:rsidRDefault="00421401" w:rsidP="00020C71">
      <w:pPr>
        <w:ind w:firstLine="720"/>
        <w:jc w:val="right"/>
      </w:pPr>
      <w:r w:rsidRPr="009754DD">
        <w:rPr>
          <w:sz w:val="24"/>
        </w:rPr>
        <w:t xml:space="preserve">Таблица </w:t>
      </w:r>
      <w:r w:rsidR="00182A1A" w:rsidRPr="009754DD">
        <w:rPr>
          <w:sz w:val="24"/>
        </w:rPr>
        <w:t>3</w:t>
      </w:r>
    </w:p>
    <w:p w:rsidR="00421401" w:rsidRPr="009754DD" w:rsidRDefault="00421401">
      <w:pPr>
        <w:jc w:val="right"/>
        <w:rPr>
          <w:sz w:val="24"/>
        </w:rPr>
      </w:pPr>
      <w:r w:rsidRPr="009754DD">
        <w:rPr>
          <w:sz w:val="24"/>
        </w:rPr>
        <w:t xml:space="preserve"> (млн.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701"/>
      </w:tblGrid>
      <w:tr w:rsidR="0017274B" w:rsidRPr="009754DD" w:rsidTr="00020C71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B" w:rsidRPr="009754DD" w:rsidRDefault="00731F0B" w:rsidP="00731F0B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Наименование субъекта РФ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B" w:rsidRPr="009754DD" w:rsidRDefault="00020C71" w:rsidP="00731F0B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 xml:space="preserve">Общий объем доходов от </w:t>
            </w:r>
            <w:r w:rsidR="00731F0B" w:rsidRPr="009754DD">
              <w:rPr>
                <w:sz w:val="22"/>
                <w:szCs w:val="22"/>
              </w:rPr>
              <w:t>НДФЛ</w:t>
            </w:r>
          </w:p>
        </w:tc>
      </w:tr>
      <w:tr w:rsidR="0017274B" w:rsidRPr="009754DD" w:rsidTr="00020C71">
        <w:trPr>
          <w:trHeight w:val="12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B" w:rsidRPr="009754DD" w:rsidRDefault="00731F0B" w:rsidP="00731F0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B" w:rsidRPr="009754DD" w:rsidRDefault="00731F0B" w:rsidP="00020C71">
            <w:pPr>
              <w:jc w:val="center"/>
              <w:rPr>
                <w:sz w:val="22"/>
                <w:szCs w:val="22"/>
              </w:rPr>
            </w:pPr>
            <w:proofErr w:type="spellStart"/>
            <w:r w:rsidRPr="009754DD">
              <w:rPr>
                <w:sz w:val="22"/>
                <w:szCs w:val="22"/>
              </w:rPr>
              <w:t>Консолидир</w:t>
            </w:r>
            <w:proofErr w:type="spellEnd"/>
            <w:r w:rsidR="00020C71" w:rsidRPr="009754DD">
              <w:rPr>
                <w:sz w:val="22"/>
                <w:szCs w:val="22"/>
              </w:rPr>
              <w:t>.</w:t>
            </w:r>
            <w:r w:rsidRPr="009754DD">
              <w:rPr>
                <w:sz w:val="22"/>
                <w:szCs w:val="22"/>
              </w:rPr>
              <w:t xml:space="preserve"> бюджет субъекта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B" w:rsidRPr="009754DD" w:rsidRDefault="00731F0B" w:rsidP="00731F0B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B" w:rsidRPr="009754DD" w:rsidRDefault="00020C71" w:rsidP="00020C71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Соотношение,</w:t>
            </w:r>
            <w:r w:rsidR="00731F0B" w:rsidRPr="009754DD">
              <w:rPr>
                <w:sz w:val="22"/>
                <w:szCs w:val="22"/>
              </w:rPr>
              <w:t xml:space="preserve"> %</w:t>
            </w:r>
          </w:p>
        </w:tc>
      </w:tr>
      <w:tr w:rsidR="006C5AF2" w:rsidRPr="009754DD" w:rsidTr="005E607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2F2B41">
            <w:pPr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Ханты-Мансийский автономный округ - Югра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2F2B41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65623,7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2F2B41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2658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2658B1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2F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6C5AF2" w:rsidRPr="009754DD" w:rsidTr="005E607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5E6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5E6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2658B1" w:rsidP="005E6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5E6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2658B1">
              <w:rPr>
                <w:sz w:val="22"/>
                <w:szCs w:val="22"/>
              </w:rPr>
              <w:t>4</w:t>
            </w:r>
          </w:p>
        </w:tc>
      </w:tr>
      <w:tr w:rsidR="006C5AF2" w:rsidRPr="009754DD" w:rsidTr="00020C7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40012A" w:rsidP="002F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40012A" w:rsidP="002F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40012A" w:rsidP="002F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2A" w:rsidRPr="009754DD" w:rsidRDefault="0040012A" w:rsidP="0026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6C5AF2" w:rsidRPr="009754DD" w:rsidTr="00020C7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853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020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6C5AF2" w:rsidP="00020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8B1">
              <w:rPr>
                <w:sz w:val="22"/>
                <w:szCs w:val="22"/>
              </w:rPr>
              <w:t> 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F2" w:rsidRPr="009754DD" w:rsidRDefault="002658B1" w:rsidP="00020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C9533E" w:rsidRPr="009754DD" w:rsidTr="00020C7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3E" w:rsidRPr="009754DD" w:rsidRDefault="00C9533E" w:rsidP="00107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3E" w:rsidRPr="009754DD" w:rsidRDefault="00C9533E" w:rsidP="00107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3E" w:rsidRPr="009754DD" w:rsidRDefault="00C9533E" w:rsidP="00107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3E" w:rsidRPr="009754DD" w:rsidRDefault="00C9533E" w:rsidP="00107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</w:tbl>
    <w:p w:rsidR="00731F0B" w:rsidRPr="009754DD" w:rsidRDefault="00731F0B">
      <w:pPr>
        <w:jc w:val="right"/>
        <w:rPr>
          <w:sz w:val="24"/>
        </w:rPr>
      </w:pPr>
    </w:p>
    <w:p w:rsidR="007F5F20" w:rsidRPr="009754DD" w:rsidRDefault="00E475CB" w:rsidP="00E475CB">
      <w:pPr>
        <w:autoSpaceDE w:val="0"/>
        <w:autoSpaceDN w:val="0"/>
        <w:adjustRightInd w:val="0"/>
        <w:ind w:firstLine="540"/>
        <w:jc w:val="both"/>
        <w:outlineLvl w:val="1"/>
      </w:pPr>
      <w:r w:rsidRPr="009754DD">
        <w:t>П</w:t>
      </w:r>
      <w:r w:rsidR="00EC2FCE" w:rsidRPr="009754DD">
        <w:t>о сравнению с 20</w:t>
      </w:r>
      <w:r w:rsidR="004631B0" w:rsidRPr="009754DD">
        <w:t>1</w:t>
      </w:r>
      <w:r w:rsidR="00EE0C6B" w:rsidRPr="009754DD">
        <w:t>2</w:t>
      </w:r>
      <w:r w:rsidR="00421401" w:rsidRPr="009754DD">
        <w:t xml:space="preserve"> годом </w:t>
      </w:r>
      <w:r w:rsidRPr="009754DD">
        <w:t xml:space="preserve">произошел рост </w:t>
      </w:r>
      <w:r w:rsidR="00421401" w:rsidRPr="009754DD">
        <w:t>по</w:t>
      </w:r>
      <w:r w:rsidR="00EC2FCE" w:rsidRPr="009754DD">
        <w:t>ступ</w:t>
      </w:r>
      <w:r w:rsidR="00B45F8B" w:rsidRPr="009754DD">
        <w:t>лений местных налогов</w:t>
      </w:r>
      <w:r w:rsidR="00EE0C6B" w:rsidRPr="009754DD">
        <w:t xml:space="preserve"> на 12,0</w:t>
      </w:r>
      <w:r w:rsidRPr="009754DD">
        <w:t>%</w:t>
      </w:r>
      <w:r w:rsidR="00B45F8B" w:rsidRPr="009754DD">
        <w:t xml:space="preserve"> с</w:t>
      </w:r>
      <w:r w:rsidR="004631B0" w:rsidRPr="009754DD">
        <w:t xml:space="preserve"> </w:t>
      </w:r>
      <w:r w:rsidR="00D530BA" w:rsidRPr="009754DD">
        <w:t xml:space="preserve"> </w:t>
      </w:r>
      <w:r w:rsidR="00EE0C6B" w:rsidRPr="009754DD">
        <w:t>140,7</w:t>
      </w:r>
      <w:r w:rsidR="00D530BA" w:rsidRPr="009754DD">
        <w:t xml:space="preserve">  </w:t>
      </w:r>
      <w:r w:rsidR="00B45F8B" w:rsidRPr="009754DD">
        <w:t xml:space="preserve"> </w:t>
      </w:r>
      <w:r w:rsidR="00EE0C6B" w:rsidRPr="009754DD">
        <w:t>до 157,6</w:t>
      </w:r>
      <w:r w:rsidRPr="009754DD">
        <w:t xml:space="preserve"> млрд. рублей </w:t>
      </w:r>
      <w:r w:rsidR="00421401" w:rsidRPr="009754DD">
        <w:t>и их удельного веса в налоговы</w:t>
      </w:r>
      <w:r w:rsidR="00EC2FCE" w:rsidRPr="009754DD">
        <w:t>х доход</w:t>
      </w:r>
      <w:r w:rsidR="00B45F8B" w:rsidRPr="009754DD">
        <w:t>ах</w:t>
      </w:r>
      <w:r w:rsidR="00EC2FCE" w:rsidRPr="009754DD">
        <w:t xml:space="preserve"> местных бюджетов с</w:t>
      </w:r>
      <w:r w:rsidR="00EE0C6B" w:rsidRPr="009754DD">
        <w:t xml:space="preserve"> 15,0</w:t>
      </w:r>
      <w:r w:rsidR="004631B0" w:rsidRPr="009754DD">
        <w:t xml:space="preserve">% до </w:t>
      </w:r>
      <w:r w:rsidR="00EE0C6B" w:rsidRPr="009754DD">
        <w:t>15,1</w:t>
      </w:r>
      <w:r w:rsidRPr="009754DD">
        <w:t xml:space="preserve"> </w:t>
      </w:r>
      <w:r w:rsidR="00421401" w:rsidRPr="009754DD">
        <w:t>процент</w:t>
      </w:r>
      <w:r w:rsidR="00EE0C6B" w:rsidRPr="009754DD">
        <w:t>а</w:t>
      </w:r>
      <w:r w:rsidR="00421401" w:rsidRPr="009754DD">
        <w:t>.</w:t>
      </w:r>
      <w:r w:rsidR="00F321DA" w:rsidRPr="009754DD">
        <w:t xml:space="preserve"> Объем поступившего в 20</w:t>
      </w:r>
      <w:r w:rsidR="00B45F8B" w:rsidRPr="009754DD">
        <w:t>1</w:t>
      </w:r>
      <w:r w:rsidR="00EE0C6B" w:rsidRPr="009754DD">
        <w:t>3</w:t>
      </w:r>
      <w:r w:rsidR="00421401" w:rsidRPr="009754DD">
        <w:t xml:space="preserve"> год</w:t>
      </w:r>
      <w:r w:rsidR="00182A1A" w:rsidRPr="009754DD">
        <w:t>у</w:t>
      </w:r>
      <w:r w:rsidR="00421401" w:rsidRPr="009754DD">
        <w:t xml:space="preserve"> в местные бюджеты земельного налога превыша</w:t>
      </w:r>
      <w:r w:rsidR="00F321DA" w:rsidRPr="009754DD">
        <w:t>ет уровень 20</w:t>
      </w:r>
      <w:r w:rsidR="004631B0" w:rsidRPr="009754DD">
        <w:t>1</w:t>
      </w:r>
      <w:r w:rsidR="00EE0C6B" w:rsidRPr="009754DD">
        <w:t>2</w:t>
      </w:r>
      <w:r w:rsidRPr="009754DD">
        <w:t xml:space="preserve"> </w:t>
      </w:r>
      <w:r w:rsidR="00F321DA" w:rsidRPr="009754DD">
        <w:t xml:space="preserve">года на </w:t>
      </w:r>
      <w:r w:rsidR="00EE0C6B" w:rsidRPr="009754DD">
        <w:t>10,4</w:t>
      </w:r>
      <w:r w:rsidR="004631B0" w:rsidRPr="009754DD">
        <w:t>%</w:t>
      </w:r>
      <w:r w:rsidR="00F321DA" w:rsidRPr="009754DD">
        <w:t xml:space="preserve"> и составляет </w:t>
      </w:r>
      <w:r w:rsidR="00EE0C6B" w:rsidRPr="009754DD">
        <w:t>137,8</w:t>
      </w:r>
      <w:r w:rsidR="00421401" w:rsidRPr="009754DD">
        <w:t xml:space="preserve"> млрд. рублей</w:t>
      </w:r>
      <w:r w:rsidR="00B45F8B" w:rsidRPr="009754DD">
        <w:t xml:space="preserve">. Объем </w:t>
      </w:r>
      <w:r w:rsidR="00421401" w:rsidRPr="009754DD">
        <w:t>налога на имущество физичес</w:t>
      </w:r>
      <w:r w:rsidR="00F321DA" w:rsidRPr="009754DD">
        <w:t xml:space="preserve">ких лиц </w:t>
      </w:r>
      <w:r w:rsidR="00EE0C6B" w:rsidRPr="009754DD">
        <w:t>увеличился с 15,8 млрд. рублей до 19,8 млрд. рублей.</w:t>
      </w:r>
    </w:p>
    <w:p w:rsidR="007F5F20" w:rsidRPr="009754DD" w:rsidRDefault="007F5F20" w:rsidP="007F5F20">
      <w:pPr>
        <w:autoSpaceDE w:val="0"/>
        <w:autoSpaceDN w:val="0"/>
        <w:adjustRightInd w:val="0"/>
        <w:ind w:firstLine="540"/>
        <w:jc w:val="both"/>
        <w:outlineLvl w:val="1"/>
      </w:pPr>
      <w:r w:rsidRPr="009754DD">
        <w:t>Удельный вес в налог</w:t>
      </w:r>
      <w:r w:rsidR="00AB75ED" w:rsidRPr="009754DD">
        <w:t>овых доходах</w:t>
      </w:r>
      <w:r w:rsidR="00E778A6" w:rsidRPr="009754DD">
        <w:t xml:space="preserve"> поступлений от земельного налога снизился с</w:t>
      </w:r>
      <w:r w:rsidR="00AB75ED" w:rsidRPr="009754DD">
        <w:t xml:space="preserve"> 13,3</w:t>
      </w:r>
      <w:r w:rsidRPr="009754DD">
        <w:t>% до 1</w:t>
      </w:r>
      <w:r w:rsidR="00AB75ED" w:rsidRPr="009754DD">
        <w:t>3,2</w:t>
      </w:r>
      <w:r w:rsidR="002A3569" w:rsidRPr="009754DD">
        <w:t>%</w:t>
      </w:r>
      <w:r w:rsidRPr="009754DD">
        <w:t>,</w:t>
      </w:r>
      <w:r w:rsidR="00E778A6" w:rsidRPr="009754DD">
        <w:t xml:space="preserve"> </w:t>
      </w:r>
      <w:r w:rsidR="00AB75ED" w:rsidRPr="009754DD">
        <w:t>а</w:t>
      </w:r>
      <w:r w:rsidR="0003620A">
        <w:t xml:space="preserve"> от</w:t>
      </w:r>
      <w:r w:rsidR="00AB75ED" w:rsidRPr="009754DD">
        <w:t xml:space="preserve"> налог</w:t>
      </w:r>
      <w:r w:rsidR="00E778A6" w:rsidRPr="009754DD">
        <w:t>а</w:t>
      </w:r>
      <w:r w:rsidRPr="009754DD">
        <w:t xml:space="preserve"> на имущество физических лиц</w:t>
      </w:r>
      <w:r w:rsidR="00AB75ED" w:rsidRPr="009754DD">
        <w:t xml:space="preserve"> увеличился</w:t>
      </w:r>
      <w:r w:rsidRPr="009754DD">
        <w:t xml:space="preserve"> </w:t>
      </w:r>
      <w:r w:rsidR="00AB75ED" w:rsidRPr="009754DD">
        <w:t>с 1,7% до 1,9</w:t>
      </w:r>
      <w:r w:rsidRPr="009754DD">
        <w:t xml:space="preserve"> процента.</w:t>
      </w:r>
    </w:p>
    <w:p w:rsidR="00421401" w:rsidRPr="009754DD" w:rsidRDefault="00421401">
      <w:pPr>
        <w:ind w:firstLine="720"/>
        <w:jc w:val="both"/>
      </w:pPr>
      <w:proofErr w:type="gramStart"/>
      <w:r w:rsidRPr="009754DD">
        <w:t>Доходы от налогов, предусмотренных специальными налоговыми режимами и закрепленных за бюджетами муниципальных образований Бюджетным кодексом Ро</w:t>
      </w:r>
      <w:r w:rsidR="0099215F" w:rsidRPr="009754DD">
        <w:t xml:space="preserve">ссийской Федерации, составили </w:t>
      </w:r>
      <w:r w:rsidR="006C5AF2">
        <w:t>78,3</w:t>
      </w:r>
      <w:r w:rsidRPr="009754DD">
        <w:t xml:space="preserve"> млрд. рублей, из них </w:t>
      </w:r>
      <w:r w:rsidR="00DE68A2" w:rsidRPr="009754DD">
        <w:t xml:space="preserve">налог на вмененный доход – </w:t>
      </w:r>
      <w:r w:rsidR="00AB75ED" w:rsidRPr="009754DD">
        <w:t>72,8</w:t>
      </w:r>
      <w:r w:rsidR="00DD294C" w:rsidRPr="009754DD">
        <w:t xml:space="preserve"> </w:t>
      </w:r>
      <w:r w:rsidRPr="009754DD">
        <w:t>мл</w:t>
      </w:r>
      <w:r w:rsidR="00DD294C" w:rsidRPr="009754DD">
        <w:t xml:space="preserve">рд. рублей или </w:t>
      </w:r>
      <w:r w:rsidR="00AB75ED" w:rsidRPr="009754DD">
        <w:t>7,0</w:t>
      </w:r>
      <w:r w:rsidRPr="009754DD">
        <w:t xml:space="preserve">% налоговых доходов местных бюджетов, единый </w:t>
      </w:r>
      <w:r w:rsidR="0099215F" w:rsidRPr="009754DD">
        <w:t xml:space="preserve">сельскохозяйственный налог – </w:t>
      </w:r>
      <w:r w:rsidR="00AB75ED" w:rsidRPr="009754DD">
        <w:t>4,0</w:t>
      </w:r>
      <w:r w:rsidRPr="009754DD">
        <w:t xml:space="preserve"> млрд. рублей и</w:t>
      </w:r>
      <w:r w:rsidR="0003620A">
        <w:t>ли</w:t>
      </w:r>
      <w:r w:rsidRPr="009754DD">
        <w:t xml:space="preserve"> 0,</w:t>
      </w:r>
      <w:r w:rsidR="00D530BA" w:rsidRPr="009754DD">
        <w:t>4</w:t>
      </w:r>
      <w:r w:rsidR="00645A9E" w:rsidRPr="009754DD">
        <w:t>% налоговых доходов местных бюджетов, налог, взимаемый в связи с применением патентной системы налогообложения – 1,5 млрд. рублей</w:t>
      </w:r>
      <w:proofErr w:type="gramEnd"/>
      <w:r w:rsidR="00645A9E" w:rsidRPr="009754DD">
        <w:t xml:space="preserve"> и</w:t>
      </w:r>
      <w:r w:rsidR="0003620A">
        <w:t>ли</w:t>
      </w:r>
      <w:r w:rsidR="00645A9E" w:rsidRPr="009754DD">
        <w:t xml:space="preserve"> 0,2 % от налоговых доходов местных бюджетов</w:t>
      </w:r>
      <w:r w:rsidRPr="009754DD">
        <w:t>.</w:t>
      </w:r>
    </w:p>
    <w:p w:rsidR="00421401" w:rsidRPr="009754DD" w:rsidRDefault="00421401">
      <w:pPr>
        <w:jc w:val="both"/>
      </w:pPr>
      <w:r w:rsidRPr="009754DD">
        <w:tab/>
        <w:t>Общий объем доходов, поступивших за счет налогов, нормативы по которым установлены на федеральном уровне (в том числе н</w:t>
      </w:r>
      <w:r w:rsidR="002631DF" w:rsidRPr="009754DD">
        <w:t xml:space="preserve">алоговые доходы по нормативу </w:t>
      </w:r>
      <w:r w:rsidR="00B43A6A" w:rsidRPr="009754DD">
        <w:t>2</w:t>
      </w:r>
      <w:r w:rsidR="002631DF" w:rsidRPr="009754DD">
        <w:t>0</w:t>
      </w:r>
      <w:r w:rsidRPr="009754DD">
        <w:t>% от налога на доходы физи</w:t>
      </w:r>
      <w:r w:rsidR="00464A0A" w:rsidRPr="009754DD">
        <w:t xml:space="preserve">ческих лиц), оценивается в </w:t>
      </w:r>
      <w:r w:rsidR="0010742A">
        <w:t>940,8</w:t>
      </w:r>
      <w:r w:rsidRPr="009754DD">
        <w:t xml:space="preserve"> млрд. рублей. </w:t>
      </w:r>
    </w:p>
    <w:p w:rsidR="00681015" w:rsidRPr="009754DD" w:rsidRDefault="008645EA">
      <w:pPr>
        <w:ind w:firstLine="720"/>
        <w:jc w:val="both"/>
      </w:pPr>
      <w:r w:rsidRPr="009754DD">
        <w:t>В рамках установленных Бюджетным кодексом Российской Федерации</w:t>
      </w:r>
      <w:r w:rsidR="00EB6027" w:rsidRPr="009754DD">
        <w:t xml:space="preserve"> региональных полномочий </w:t>
      </w:r>
      <w:r w:rsidRPr="009754DD">
        <w:t>по межбюджетному регулировани</w:t>
      </w:r>
      <w:r w:rsidR="00681015" w:rsidRPr="009754DD">
        <w:t>ю</w:t>
      </w:r>
      <w:r w:rsidRPr="009754DD">
        <w:t xml:space="preserve"> применяется</w:t>
      </w:r>
      <w:r w:rsidR="00421401" w:rsidRPr="009754DD">
        <w:t xml:space="preserve"> практика дополнительного закрепления субъектами Российской Федерации за местными бюджетами отчислений от </w:t>
      </w:r>
      <w:r w:rsidR="00051F52" w:rsidRPr="009754DD">
        <w:t>федеральных и региональных налогов</w:t>
      </w:r>
      <w:r w:rsidR="00681015" w:rsidRPr="009754DD">
        <w:t>. В 201</w:t>
      </w:r>
      <w:r w:rsidR="003C4E71" w:rsidRPr="009754DD">
        <w:t>3</w:t>
      </w:r>
      <w:r w:rsidR="00681015" w:rsidRPr="009754DD">
        <w:t xml:space="preserve"> году данным правом воспользовались</w:t>
      </w:r>
      <w:r w:rsidR="0091014C" w:rsidRPr="009754DD">
        <w:t xml:space="preserve"> </w:t>
      </w:r>
      <w:r w:rsidR="00D530BA" w:rsidRPr="009754DD">
        <w:t>72</w:t>
      </w:r>
      <w:r w:rsidR="00681015" w:rsidRPr="009754DD">
        <w:t xml:space="preserve"> субъект</w:t>
      </w:r>
      <w:r w:rsidR="00D530BA" w:rsidRPr="009754DD">
        <w:t>а</w:t>
      </w:r>
      <w:r w:rsidR="00681015" w:rsidRPr="009754DD">
        <w:t xml:space="preserve"> Российской Федерации.</w:t>
      </w:r>
    </w:p>
    <w:p w:rsidR="002A3569" w:rsidRPr="009754DD" w:rsidRDefault="00051F52">
      <w:pPr>
        <w:ind w:firstLine="720"/>
        <w:jc w:val="both"/>
      </w:pPr>
      <w:r w:rsidRPr="009754DD">
        <w:lastRenderedPageBreak/>
        <w:t xml:space="preserve"> </w:t>
      </w:r>
      <w:proofErr w:type="gramStart"/>
      <w:r w:rsidR="00421401" w:rsidRPr="009754DD">
        <w:t>Субъекты Российской Федерации</w:t>
      </w:r>
      <w:r w:rsidR="00276047" w:rsidRPr="009754DD">
        <w:t>, помимо отчислений от налога на доходы физических лиц,</w:t>
      </w:r>
      <w:r w:rsidR="00421401" w:rsidRPr="009754DD">
        <w:t xml:space="preserve"> уст</w:t>
      </w:r>
      <w:r w:rsidR="003C51F9" w:rsidRPr="009754DD">
        <w:t xml:space="preserve">ановили </w:t>
      </w:r>
      <w:r w:rsidR="00502AA8" w:rsidRPr="009754DD">
        <w:t xml:space="preserve">на постоянной основе </w:t>
      </w:r>
      <w:r w:rsidR="003C51F9" w:rsidRPr="009754DD">
        <w:t xml:space="preserve">единые </w:t>
      </w:r>
      <w:r w:rsidR="00421401" w:rsidRPr="009754DD">
        <w:t>нормативы отчислений по следующим видам федеральных и региональных налогов и сборов:</w:t>
      </w:r>
      <w:r w:rsidR="00BB6FD6" w:rsidRPr="009754DD">
        <w:t xml:space="preserve"> </w:t>
      </w:r>
      <w:r w:rsidR="00421401" w:rsidRPr="009754DD">
        <w:t>налог на</w:t>
      </w:r>
      <w:r w:rsidR="000B4234" w:rsidRPr="009754DD">
        <w:t xml:space="preserve"> имущество организаций – </w:t>
      </w:r>
      <w:r w:rsidR="00733372" w:rsidRPr="009754DD">
        <w:t>1</w:t>
      </w:r>
      <w:r w:rsidR="003C4E71" w:rsidRPr="009754DD">
        <w:t>2</w:t>
      </w:r>
      <w:r w:rsidR="00733372" w:rsidRPr="009754DD">
        <w:t xml:space="preserve"> </w:t>
      </w:r>
      <w:r w:rsidR="00421401" w:rsidRPr="009754DD">
        <w:t>регионов</w:t>
      </w:r>
      <w:r w:rsidR="00AE325D" w:rsidRPr="009754DD">
        <w:t>;</w:t>
      </w:r>
      <w:r w:rsidR="00421401" w:rsidRPr="009754DD">
        <w:t xml:space="preserve"> налог на прибы</w:t>
      </w:r>
      <w:r w:rsidR="000B4234" w:rsidRPr="009754DD">
        <w:t xml:space="preserve">ль организаций – </w:t>
      </w:r>
      <w:r w:rsidR="003C4E71" w:rsidRPr="009754DD">
        <w:t>8 регионов</w:t>
      </w:r>
      <w:r w:rsidR="00AE325D" w:rsidRPr="009754DD">
        <w:t>;</w:t>
      </w:r>
      <w:r w:rsidR="00BB6FD6" w:rsidRPr="009754DD">
        <w:t xml:space="preserve"> </w:t>
      </w:r>
      <w:r w:rsidR="00421401" w:rsidRPr="009754DD">
        <w:t>транспортный на</w:t>
      </w:r>
      <w:r w:rsidR="000B4234" w:rsidRPr="009754DD">
        <w:t xml:space="preserve">лог – </w:t>
      </w:r>
      <w:r w:rsidR="003C4E71" w:rsidRPr="009754DD">
        <w:t>7</w:t>
      </w:r>
      <w:r w:rsidR="000B4234" w:rsidRPr="009754DD">
        <w:t xml:space="preserve"> регион</w:t>
      </w:r>
      <w:r w:rsidR="00F87688" w:rsidRPr="009754DD">
        <w:t>ов</w:t>
      </w:r>
      <w:r w:rsidR="00AE325D" w:rsidRPr="009754DD">
        <w:t>;</w:t>
      </w:r>
      <w:r w:rsidR="00BB6FD6" w:rsidRPr="009754DD">
        <w:t xml:space="preserve"> </w:t>
      </w:r>
      <w:r w:rsidR="00421401" w:rsidRPr="009754DD">
        <w:t>налог на добычу общераспространенных пол</w:t>
      </w:r>
      <w:r w:rsidR="000B4234" w:rsidRPr="009754DD">
        <w:t>езных ископаемых – 1</w:t>
      </w:r>
      <w:r w:rsidR="00F87688" w:rsidRPr="009754DD">
        <w:t>3</w:t>
      </w:r>
      <w:r w:rsidR="003C51F9" w:rsidRPr="009754DD">
        <w:t xml:space="preserve"> регионов</w:t>
      </w:r>
      <w:r w:rsidR="003C4E71" w:rsidRPr="009754DD">
        <w:t>;</w:t>
      </w:r>
      <w:proofErr w:type="gramEnd"/>
      <w:r w:rsidR="003C4E71" w:rsidRPr="009754DD">
        <w:t xml:space="preserve"> налог на игорный бизнес – 9 регионов</w:t>
      </w:r>
      <w:r w:rsidR="00AE325D" w:rsidRPr="009754DD">
        <w:t>;</w:t>
      </w:r>
      <w:r w:rsidR="00BB6FD6" w:rsidRPr="009754DD">
        <w:t xml:space="preserve"> </w:t>
      </w:r>
      <w:r w:rsidR="00421401" w:rsidRPr="009754DD">
        <w:t>налог, взимаемый в связи с применением упрощенной системы</w:t>
      </w:r>
      <w:r w:rsidR="00BB6FD6" w:rsidRPr="009754DD">
        <w:t xml:space="preserve"> налогообложения – </w:t>
      </w:r>
      <w:r w:rsidR="003C4E71" w:rsidRPr="009754DD">
        <w:t>30</w:t>
      </w:r>
      <w:r w:rsidR="000B4234" w:rsidRPr="009754DD">
        <w:t xml:space="preserve"> регион</w:t>
      </w:r>
      <w:r w:rsidR="00F87688" w:rsidRPr="009754DD">
        <w:t>ов</w:t>
      </w:r>
      <w:r w:rsidR="005E0813" w:rsidRPr="009754DD">
        <w:t>; налог</w:t>
      </w:r>
      <w:r w:rsidR="003C4E71" w:rsidRPr="009754DD">
        <w:t xml:space="preserve"> на добычу прочих полезных ископаемых – 8 регионов</w:t>
      </w:r>
      <w:r w:rsidR="00733372" w:rsidRPr="009754DD">
        <w:t>;</w:t>
      </w:r>
      <w:r w:rsidR="00BB6FD6" w:rsidRPr="009754DD">
        <w:t xml:space="preserve"> </w:t>
      </w:r>
      <w:r w:rsidR="00421401" w:rsidRPr="009754DD">
        <w:t>акциз</w:t>
      </w:r>
      <w:r w:rsidR="003C4E71" w:rsidRPr="009754DD">
        <w:t>ы – 7</w:t>
      </w:r>
      <w:r w:rsidR="003C51F9" w:rsidRPr="009754DD">
        <w:t xml:space="preserve"> регионов</w:t>
      </w:r>
      <w:r w:rsidR="00502AA8" w:rsidRPr="009754DD">
        <w:t>.</w:t>
      </w:r>
    </w:p>
    <w:p w:rsidR="00421401" w:rsidRPr="009754DD" w:rsidRDefault="00421401">
      <w:pPr>
        <w:ind w:firstLine="720"/>
        <w:jc w:val="both"/>
      </w:pPr>
      <w:r w:rsidRPr="009754DD">
        <w:t>Поступления налогов, которые были переданы на муниципальный уровень в соответствии с законами субъектов Российской Федерации, оценивают</w:t>
      </w:r>
      <w:r w:rsidR="00464A0A" w:rsidRPr="009754DD">
        <w:t xml:space="preserve">ся в </w:t>
      </w:r>
      <w:r w:rsidR="0018497A">
        <w:t>91,1</w:t>
      </w:r>
      <w:r w:rsidR="00464A0A" w:rsidRPr="009754DD">
        <w:t xml:space="preserve"> млрд. рублей или </w:t>
      </w:r>
      <w:r w:rsidR="0018497A">
        <w:t>8,7</w:t>
      </w:r>
      <w:r w:rsidRPr="009754DD">
        <w:t>%</w:t>
      </w:r>
      <w:r w:rsidR="00087176" w:rsidRPr="009754DD">
        <w:t xml:space="preserve"> от</w:t>
      </w:r>
      <w:r w:rsidRPr="009754DD">
        <w:t xml:space="preserve"> общего объем</w:t>
      </w:r>
      <w:r w:rsidR="00087176" w:rsidRPr="009754DD">
        <w:t>а</w:t>
      </w:r>
      <w:r w:rsidRPr="009754DD">
        <w:t xml:space="preserve"> налоговых доходов.</w:t>
      </w:r>
    </w:p>
    <w:p w:rsidR="00421401" w:rsidRPr="009754DD" w:rsidRDefault="00421401" w:rsidP="00AA0A8D">
      <w:pPr>
        <w:ind w:firstLine="720"/>
        <w:jc w:val="both"/>
      </w:pPr>
      <w:r w:rsidRPr="009754DD">
        <w:t>Закр</w:t>
      </w:r>
      <w:r w:rsidR="00EB2DF4" w:rsidRPr="009754DD">
        <w:t xml:space="preserve">епление единых </w:t>
      </w:r>
      <w:r w:rsidRPr="009754DD">
        <w:t>нормативов</w:t>
      </w:r>
      <w:r w:rsidR="00EB2DF4" w:rsidRPr="009754DD">
        <w:t xml:space="preserve"> отчислений</w:t>
      </w:r>
      <w:r w:rsidRPr="009754DD">
        <w:t xml:space="preserve"> является реальным инструментом усиления заинтересованности муниципальных образований в расширении налогооблагаемой базы. </w:t>
      </w:r>
      <w:proofErr w:type="gramStart"/>
      <w:r w:rsidRPr="009754DD">
        <w:t xml:space="preserve">Так, </w:t>
      </w:r>
      <w:r w:rsidR="00020C71" w:rsidRPr="009754DD">
        <w:t>установленные</w:t>
      </w:r>
      <w:r w:rsidRPr="009754DD">
        <w:t xml:space="preserve"> субъектами Российской Федерации нормативы отчислений от налога на доходы физических лиц обеспечили дополнительное по</w:t>
      </w:r>
      <w:r w:rsidR="005F4D92" w:rsidRPr="009754DD">
        <w:t xml:space="preserve">ступление в местные бюджеты </w:t>
      </w:r>
      <w:r w:rsidR="008471E7">
        <w:t>27,5</w:t>
      </w:r>
      <w:r w:rsidR="00C44BFE" w:rsidRPr="009754DD">
        <w:t xml:space="preserve"> </w:t>
      </w:r>
      <w:r w:rsidRPr="009754DD">
        <w:t>млрд. рублей, от нало</w:t>
      </w:r>
      <w:r w:rsidR="00264F4B" w:rsidRPr="009754DD">
        <w:t xml:space="preserve">га на прибыль организаций – </w:t>
      </w:r>
      <w:r w:rsidR="002F2B41">
        <w:t>10,2</w:t>
      </w:r>
      <w:r w:rsidRPr="009754DD">
        <w:t xml:space="preserve"> млрд. рублей, налога, взимаемого в связи с применением упрощенно</w:t>
      </w:r>
      <w:r w:rsidR="009A1451" w:rsidRPr="009754DD">
        <w:t>й системы налогообложения –</w:t>
      </w:r>
      <w:r w:rsidR="00B4215D" w:rsidRPr="009754DD">
        <w:t>39,5</w:t>
      </w:r>
      <w:r w:rsidRPr="009754DD">
        <w:t xml:space="preserve"> млрд. рублей, налог</w:t>
      </w:r>
      <w:r w:rsidR="00264F4B" w:rsidRPr="009754DD">
        <w:t xml:space="preserve">а на имущество организаций – </w:t>
      </w:r>
      <w:r w:rsidR="00B4215D" w:rsidRPr="009754DD">
        <w:t>5,6</w:t>
      </w:r>
      <w:r w:rsidRPr="009754DD">
        <w:t xml:space="preserve"> млрд. рублей</w:t>
      </w:r>
      <w:r w:rsidR="00264F4B" w:rsidRPr="009754DD">
        <w:t xml:space="preserve">, транспортного налога – </w:t>
      </w:r>
      <w:r w:rsidR="00B4215D" w:rsidRPr="009754DD">
        <w:t>7,1</w:t>
      </w:r>
      <w:r w:rsidR="00933882" w:rsidRPr="009754DD">
        <w:t xml:space="preserve"> млрд. рублей</w:t>
      </w:r>
      <w:r w:rsidRPr="009754DD">
        <w:t>, налог</w:t>
      </w:r>
      <w:r w:rsidR="00E50917" w:rsidRPr="009754DD">
        <w:t>а</w:t>
      </w:r>
      <w:r w:rsidRPr="009754DD">
        <w:t xml:space="preserve"> на </w:t>
      </w:r>
      <w:r w:rsidR="00264F4B" w:rsidRPr="009754DD">
        <w:t xml:space="preserve">добычу </w:t>
      </w:r>
      <w:r w:rsidR="00F069EE" w:rsidRPr="009754DD">
        <w:t>обще</w:t>
      </w:r>
      <w:r w:rsidR="00264F4B" w:rsidRPr="009754DD">
        <w:t xml:space="preserve">полезных ископаемых – </w:t>
      </w:r>
      <w:r w:rsidR="00F069EE" w:rsidRPr="009754DD">
        <w:t>0,4</w:t>
      </w:r>
      <w:proofErr w:type="gramEnd"/>
      <w:r w:rsidRPr="009754DD">
        <w:t xml:space="preserve"> </w:t>
      </w:r>
      <w:proofErr w:type="gramStart"/>
      <w:r w:rsidRPr="009754DD">
        <w:t>млрд. рублей,</w:t>
      </w:r>
      <w:r w:rsidR="00F069EE" w:rsidRPr="009754DD">
        <w:t xml:space="preserve"> налог на добычу прочих полезных ископаемых – 0,7 млрд. рублей,</w:t>
      </w:r>
      <w:r w:rsidR="00E2572D" w:rsidRPr="009754DD">
        <w:t xml:space="preserve"> акциз</w:t>
      </w:r>
      <w:r w:rsidR="00E50917" w:rsidRPr="009754DD">
        <w:t>ов</w:t>
      </w:r>
      <w:r w:rsidR="00E2572D" w:rsidRPr="009754DD">
        <w:t xml:space="preserve"> – 0,</w:t>
      </w:r>
      <w:r w:rsidR="000227A0" w:rsidRPr="009754DD">
        <w:t>1</w:t>
      </w:r>
      <w:r w:rsidRPr="009754DD">
        <w:t xml:space="preserve"> млрд. рублей.</w:t>
      </w:r>
      <w:proofErr w:type="gramEnd"/>
    </w:p>
    <w:p w:rsidR="00421401" w:rsidRPr="009754DD" w:rsidRDefault="00421401">
      <w:pPr>
        <w:ind w:firstLine="720"/>
        <w:jc w:val="both"/>
      </w:pPr>
      <w:proofErr w:type="gramStart"/>
      <w:r w:rsidRPr="009754DD">
        <w:t xml:space="preserve">В соответствии со статьями 9 и 63 Бюджетного кодекса Российской Федерации к бюджетным полномочиям муниципальных районов отнесено </w:t>
      </w:r>
      <w:r w:rsidRPr="009754DD">
        <w:rPr>
          <w:snapToGrid w:val="0"/>
        </w:rPr>
        <w:t>установление в соответствии с федеральными законами и законами субъектов Российской Федерации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бюджеты мун</w:t>
      </w:r>
      <w:r w:rsidR="005F4D92" w:rsidRPr="009754DD">
        <w:t>иципальных районов.</w:t>
      </w:r>
      <w:proofErr w:type="gramEnd"/>
    </w:p>
    <w:p w:rsidR="00A06DFF" w:rsidRPr="009754DD" w:rsidRDefault="00A06DFF">
      <w:pPr>
        <w:ind w:firstLine="720"/>
        <w:jc w:val="both"/>
      </w:pPr>
      <w:proofErr w:type="gramStart"/>
      <w:r w:rsidRPr="009754DD">
        <w:t>По данным субъектов Российской Федерации отдельные муниципальные районы закрепили за бюджетами поселений нормативы отчислений по налогу на имущество организаций</w:t>
      </w:r>
      <w:r w:rsidR="00F2714F" w:rsidRPr="009754DD">
        <w:t xml:space="preserve"> (в </w:t>
      </w:r>
      <w:r w:rsidR="00A77684" w:rsidRPr="009754DD">
        <w:t>2</w:t>
      </w:r>
      <w:r w:rsidR="00F2714F" w:rsidRPr="009754DD">
        <w:t xml:space="preserve"> субъектах Российской Федерации)</w:t>
      </w:r>
      <w:r w:rsidRPr="009754DD">
        <w:t>, транспортному налогу</w:t>
      </w:r>
      <w:r w:rsidR="00F2714F" w:rsidRPr="009754DD">
        <w:t xml:space="preserve"> (в </w:t>
      </w:r>
      <w:r w:rsidR="001D2B72" w:rsidRPr="009754DD">
        <w:t>3</w:t>
      </w:r>
      <w:r w:rsidR="00F2714F" w:rsidRPr="009754DD">
        <w:t xml:space="preserve"> субъектах Российской Федерации)</w:t>
      </w:r>
      <w:r w:rsidRPr="009754DD">
        <w:t>, налогу на доходы физических лиц</w:t>
      </w:r>
      <w:r w:rsidR="00F2714F" w:rsidRPr="009754DD">
        <w:t xml:space="preserve"> (в </w:t>
      </w:r>
      <w:r w:rsidR="001D2B72" w:rsidRPr="009754DD">
        <w:t>9</w:t>
      </w:r>
      <w:r w:rsidR="00F2714F" w:rsidRPr="009754DD">
        <w:t xml:space="preserve"> субъектах Российской Федерации)</w:t>
      </w:r>
      <w:r w:rsidRPr="009754DD">
        <w:t>, единому налогу, взимаемому в связи с применением упрощенной системы налогообложения</w:t>
      </w:r>
      <w:r w:rsidR="00F2714F" w:rsidRPr="009754DD">
        <w:t xml:space="preserve"> (в </w:t>
      </w:r>
      <w:r w:rsidR="001D2B72" w:rsidRPr="009754DD">
        <w:t>2</w:t>
      </w:r>
      <w:r w:rsidR="00F2714F" w:rsidRPr="009754DD">
        <w:t xml:space="preserve"> субъект</w:t>
      </w:r>
      <w:r w:rsidR="00082E9A" w:rsidRPr="009754DD">
        <w:t>ах</w:t>
      </w:r>
      <w:r w:rsidR="00F2714F" w:rsidRPr="009754DD">
        <w:t xml:space="preserve"> Российской Федерации)</w:t>
      </w:r>
      <w:r w:rsidRPr="009754DD">
        <w:t>, един</w:t>
      </w:r>
      <w:r w:rsidR="00E50917" w:rsidRPr="009754DD">
        <w:t xml:space="preserve">ому </w:t>
      </w:r>
      <w:r w:rsidRPr="009754DD">
        <w:t>сельскохозяйственн</w:t>
      </w:r>
      <w:r w:rsidR="00E50917" w:rsidRPr="009754DD">
        <w:t>ому</w:t>
      </w:r>
      <w:r w:rsidRPr="009754DD">
        <w:t xml:space="preserve"> налог</w:t>
      </w:r>
      <w:r w:rsidR="00E50917" w:rsidRPr="009754DD">
        <w:t>у</w:t>
      </w:r>
      <w:r w:rsidR="00F2714F" w:rsidRPr="009754DD">
        <w:t xml:space="preserve"> (в</w:t>
      </w:r>
      <w:proofErr w:type="gramEnd"/>
      <w:r w:rsidR="00F2714F" w:rsidRPr="009754DD">
        <w:t xml:space="preserve"> </w:t>
      </w:r>
      <w:proofErr w:type="gramStart"/>
      <w:r w:rsidR="001D2B72" w:rsidRPr="009754DD">
        <w:t>4</w:t>
      </w:r>
      <w:r w:rsidR="00922B9E" w:rsidRPr="009754DD">
        <w:t xml:space="preserve"> </w:t>
      </w:r>
      <w:r w:rsidR="00F2714F" w:rsidRPr="009754DD">
        <w:t>субъектах Российской Федерации)</w:t>
      </w:r>
      <w:r w:rsidRPr="009754DD">
        <w:t>, налог</w:t>
      </w:r>
      <w:r w:rsidR="00E50917" w:rsidRPr="009754DD">
        <w:t>у</w:t>
      </w:r>
      <w:r w:rsidRPr="009754DD">
        <w:t xml:space="preserve"> на добычу полезных ископаемых (общераспространенных и прочих)</w:t>
      </w:r>
      <w:r w:rsidR="00F2714F" w:rsidRPr="009754DD">
        <w:t xml:space="preserve"> (в 1 субъекте Российской Федерации)</w:t>
      </w:r>
      <w:r w:rsidRPr="009754DD">
        <w:t xml:space="preserve">. </w:t>
      </w:r>
      <w:proofErr w:type="gramEnd"/>
    </w:p>
    <w:p w:rsidR="0039631A" w:rsidRPr="009754DD" w:rsidRDefault="00182A1A" w:rsidP="0040093C">
      <w:pPr>
        <w:ind w:firstLine="709"/>
        <w:jc w:val="both"/>
        <w:rPr>
          <w:sz w:val="24"/>
        </w:rPr>
      </w:pPr>
      <w:r w:rsidRPr="009754DD">
        <w:t>Выполнение уточненных  плановых показателей налоговых доходов, в том числе по основным видам налогов</w:t>
      </w:r>
      <w:r w:rsidR="00276047" w:rsidRPr="009754DD">
        <w:t>,</w:t>
      </w:r>
      <w:r w:rsidRPr="009754DD">
        <w:t xml:space="preserve"> в 201</w:t>
      </w:r>
      <w:r w:rsidR="003B57F6" w:rsidRPr="009754DD">
        <w:t>3</w:t>
      </w:r>
      <w:r w:rsidRPr="009754DD">
        <w:t xml:space="preserve"> году достигнуто по всем типам муниципальных образований.</w:t>
      </w:r>
    </w:p>
    <w:p w:rsidR="00486DA3" w:rsidRPr="009754DD" w:rsidRDefault="00486DA3" w:rsidP="004367D4">
      <w:pPr>
        <w:rPr>
          <w:sz w:val="24"/>
        </w:rPr>
      </w:pPr>
    </w:p>
    <w:p w:rsidR="00182A1A" w:rsidRPr="009754DD" w:rsidRDefault="00182A1A" w:rsidP="00182A1A">
      <w:pPr>
        <w:ind w:firstLine="709"/>
        <w:jc w:val="right"/>
      </w:pPr>
      <w:r w:rsidRPr="009754DD">
        <w:rPr>
          <w:sz w:val="24"/>
        </w:rPr>
        <w:t>Таблица 4</w:t>
      </w:r>
    </w:p>
    <w:p w:rsidR="00182A1A" w:rsidRPr="009754DD" w:rsidRDefault="00182A1A" w:rsidP="00182A1A">
      <w:pPr>
        <w:jc w:val="right"/>
        <w:rPr>
          <w:sz w:val="24"/>
        </w:rPr>
      </w:pPr>
      <w:r w:rsidRPr="009754DD">
        <w:rPr>
          <w:sz w:val="24"/>
        </w:rPr>
        <w:t xml:space="preserve"> (млрд. руб.)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851"/>
        <w:gridCol w:w="567"/>
        <w:gridCol w:w="567"/>
        <w:gridCol w:w="850"/>
        <w:gridCol w:w="614"/>
        <w:gridCol w:w="710"/>
        <w:gridCol w:w="851"/>
        <w:gridCol w:w="613"/>
        <w:gridCol w:w="614"/>
        <w:gridCol w:w="803"/>
      </w:tblGrid>
      <w:tr w:rsidR="0017274B" w:rsidRPr="009754DD" w:rsidTr="00161FFF">
        <w:trPr>
          <w:cantSplit/>
        </w:trPr>
        <w:tc>
          <w:tcPr>
            <w:tcW w:w="1418" w:type="dxa"/>
            <w:vMerge w:val="restart"/>
          </w:tcPr>
          <w:p w:rsidR="00182A1A" w:rsidRPr="009754DD" w:rsidRDefault="00182A1A" w:rsidP="00AF3943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Виды доходов</w:t>
            </w:r>
          </w:p>
        </w:tc>
        <w:tc>
          <w:tcPr>
            <w:tcW w:w="1985" w:type="dxa"/>
            <w:gridSpan w:val="3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Городские округа</w:t>
            </w:r>
          </w:p>
        </w:tc>
        <w:tc>
          <w:tcPr>
            <w:tcW w:w="1984" w:type="dxa"/>
            <w:gridSpan w:val="3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Муниципальные районы</w:t>
            </w:r>
          </w:p>
        </w:tc>
        <w:tc>
          <w:tcPr>
            <w:tcW w:w="2175" w:type="dxa"/>
            <w:gridSpan w:val="3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Поселения</w:t>
            </w:r>
          </w:p>
        </w:tc>
        <w:tc>
          <w:tcPr>
            <w:tcW w:w="2030" w:type="dxa"/>
            <w:gridSpan w:val="3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Всего</w:t>
            </w:r>
          </w:p>
        </w:tc>
      </w:tr>
      <w:tr w:rsidR="0017274B" w:rsidRPr="009754DD" w:rsidTr="00486DA3">
        <w:trPr>
          <w:cantSplit/>
        </w:trPr>
        <w:tc>
          <w:tcPr>
            <w:tcW w:w="1418" w:type="dxa"/>
            <w:vMerge/>
          </w:tcPr>
          <w:p w:rsidR="00182A1A" w:rsidRPr="009754DD" w:rsidRDefault="00182A1A" w:rsidP="00AF39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п</w:t>
            </w:r>
            <w:r w:rsidR="00182A1A" w:rsidRPr="009754DD">
              <w:rPr>
                <w:b/>
                <w:sz w:val="14"/>
                <w:szCs w:val="14"/>
              </w:rPr>
              <w:t>лан</w:t>
            </w:r>
          </w:p>
        </w:tc>
        <w:tc>
          <w:tcPr>
            <w:tcW w:w="567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ф</w:t>
            </w:r>
            <w:r w:rsidR="00182A1A" w:rsidRPr="009754DD">
              <w:rPr>
                <w:b/>
                <w:sz w:val="14"/>
                <w:szCs w:val="14"/>
              </w:rPr>
              <w:t>акт</w:t>
            </w:r>
          </w:p>
        </w:tc>
        <w:tc>
          <w:tcPr>
            <w:tcW w:w="851" w:type="dxa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9754DD">
              <w:rPr>
                <w:b/>
                <w:sz w:val="14"/>
                <w:szCs w:val="14"/>
              </w:rPr>
              <w:t>испол</w:t>
            </w:r>
            <w:proofErr w:type="spellEnd"/>
            <w:r w:rsidRPr="009754DD">
              <w:rPr>
                <w:b/>
                <w:sz w:val="14"/>
                <w:szCs w:val="14"/>
              </w:rPr>
              <w:t>-нения</w:t>
            </w:r>
            <w:proofErr w:type="gramEnd"/>
          </w:p>
        </w:tc>
        <w:tc>
          <w:tcPr>
            <w:tcW w:w="567" w:type="dxa"/>
            <w:vAlign w:val="center"/>
          </w:tcPr>
          <w:p w:rsidR="00182A1A" w:rsidRPr="009754DD" w:rsidRDefault="00161FFF" w:rsidP="00AF3943">
            <w:pPr>
              <w:pStyle w:val="5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п</w:t>
            </w:r>
            <w:r w:rsidR="00182A1A" w:rsidRPr="009754DD">
              <w:rPr>
                <w:sz w:val="14"/>
                <w:szCs w:val="14"/>
              </w:rPr>
              <w:t>лан</w:t>
            </w:r>
          </w:p>
        </w:tc>
        <w:tc>
          <w:tcPr>
            <w:tcW w:w="567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ф</w:t>
            </w:r>
            <w:r w:rsidR="00182A1A" w:rsidRPr="009754DD">
              <w:rPr>
                <w:b/>
                <w:sz w:val="14"/>
                <w:szCs w:val="14"/>
              </w:rPr>
              <w:t>акт</w:t>
            </w:r>
          </w:p>
        </w:tc>
        <w:tc>
          <w:tcPr>
            <w:tcW w:w="850" w:type="dxa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9754DD">
              <w:rPr>
                <w:b/>
                <w:sz w:val="14"/>
                <w:szCs w:val="14"/>
              </w:rPr>
              <w:t>испол</w:t>
            </w:r>
            <w:proofErr w:type="spellEnd"/>
            <w:r w:rsidRPr="009754DD">
              <w:rPr>
                <w:b/>
                <w:sz w:val="14"/>
                <w:szCs w:val="14"/>
              </w:rPr>
              <w:t>-нения</w:t>
            </w:r>
            <w:proofErr w:type="gramEnd"/>
          </w:p>
        </w:tc>
        <w:tc>
          <w:tcPr>
            <w:tcW w:w="614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п</w:t>
            </w:r>
            <w:r w:rsidR="00182A1A" w:rsidRPr="009754DD">
              <w:rPr>
                <w:b/>
                <w:sz w:val="14"/>
                <w:szCs w:val="14"/>
              </w:rPr>
              <w:t>лан</w:t>
            </w:r>
          </w:p>
        </w:tc>
        <w:tc>
          <w:tcPr>
            <w:tcW w:w="710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ф</w:t>
            </w:r>
            <w:r w:rsidR="00182A1A" w:rsidRPr="009754DD">
              <w:rPr>
                <w:b/>
                <w:sz w:val="14"/>
                <w:szCs w:val="14"/>
              </w:rPr>
              <w:t>акт</w:t>
            </w:r>
          </w:p>
        </w:tc>
        <w:tc>
          <w:tcPr>
            <w:tcW w:w="851" w:type="dxa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9754DD">
              <w:rPr>
                <w:b/>
                <w:sz w:val="14"/>
                <w:szCs w:val="14"/>
              </w:rPr>
              <w:t>испол</w:t>
            </w:r>
            <w:proofErr w:type="spellEnd"/>
            <w:r w:rsidRPr="009754DD">
              <w:rPr>
                <w:b/>
                <w:sz w:val="14"/>
                <w:szCs w:val="14"/>
              </w:rPr>
              <w:t>-нения</w:t>
            </w:r>
            <w:proofErr w:type="gramEnd"/>
          </w:p>
        </w:tc>
        <w:tc>
          <w:tcPr>
            <w:tcW w:w="613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п</w:t>
            </w:r>
            <w:r w:rsidR="00182A1A" w:rsidRPr="009754DD">
              <w:rPr>
                <w:b/>
                <w:sz w:val="14"/>
                <w:szCs w:val="14"/>
              </w:rPr>
              <w:t>лан</w:t>
            </w:r>
          </w:p>
        </w:tc>
        <w:tc>
          <w:tcPr>
            <w:tcW w:w="614" w:type="dxa"/>
            <w:vAlign w:val="center"/>
          </w:tcPr>
          <w:p w:rsidR="00182A1A" w:rsidRPr="009754DD" w:rsidRDefault="00161FFF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>ф</w:t>
            </w:r>
            <w:r w:rsidR="00182A1A" w:rsidRPr="009754DD">
              <w:rPr>
                <w:b/>
                <w:sz w:val="14"/>
                <w:szCs w:val="14"/>
              </w:rPr>
              <w:t>акт</w:t>
            </w:r>
          </w:p>
        </w:tc>
        <w:tc>
          <w:tcPr>
            <w:tcW w:w="803" w:type="dxa"/>
            <w:vAlign w:val="center"/>
          </w:tcPr>
          <w:p w:rsidR="00182A1A" w:rsidRPr="009754DD" w:rsidRDefault="00182A1A" w:rsidP="00AF3943">
            <w:pPr>
              <w:jc w:val="center"/>
              <w:rPr>
                <w:b/>
                <w:sz w:val="14"/>
                <w:szCs w:val="14"/>
              </w:rPr>
            </w:pPr>
            <w:r w:rsidRPr="009754DD">
              <w:rPr>
                <w:b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9754DD">
              <w:rPr>
                <w:b/>
                <w:sz w:val="14"/>
                <w:szCs w:val="14"/>
              </w:rPr>
              <w:t>испол</w:t>
            </w:r>
            <w:proofErr w:type="spellEnd"/>
            <w:r w:rsidRPr="009754DD">
              <w:rPr>
                <w:b/>
                <w:sz w:val="14"/>
                <w:szCs w:val="14"/>
              </w:rPr>
              <w:t>-нения</w:t>
            </w:r>
            <w:proofErr w:type="gramEnd"/>
          </w:p>
        </w:tc>
      </w:tr>
      <w:tr w:rsidR="0017274B" w:rsidRPr="009754DD" w:rsidTr="00486DA3">
        <w:tc>
          <w:tcPr>
            <w:tcW w:w="1418" w:type="dxa"/>
          </w:tcPr>
          <w:p w:rsidR="00182A1A" w:rsidRPr="009754DD" w:rsidRDefault="00182A1A" w:rsidP="00AF3943">
            <w:pPr>
              <w:jc w:val="both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Налоговые доходы, всего</w:t>
            </w:r>
          </w:p>
        </w:tc>
        <w:tc>
          <w:tcPr>
            <w:tcW w:w="567" w:type="dxa"/>
            <w:vAlign w:val="center"/>
          </w:tcPr>
          <w:p w:rsidR="00182A1A" w:rsidRPr="009754DD" w:rsidRDefault="00680EED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5</w:t>
            </w:r>
            <w:r w:rsidR="004367D4" w:rsidRPr="009754DD">
              <w:rPr>
                <w:sz w:val="14"/>
                <w:szCs w:val="14"/>
              </w:rPr>
              <w:t>97,9</w:t>
            </w:r>
          </w:p>
        </w:tc>
        <w:tc>
          <w:tcPr>
            <w:tcW w:w="567" w:type="dxa"/>
            <w:vAlign w:val="center"/>
          </w:tcPr>
          <w:p w:rsidR="00182A1A" w:rsidRPr="009754DD" w:rsidRDefault="00680EED" w:rsidP="00890B4F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629,0</w:t>
            </w:r>
          </w:p>
        </w:tc>
        <w:tc>
          <w:tcPr>
            <w:tcW w:w="851" w:type="dxa"/>
            <w:vAlign w:val="center"/>
          </w:tcPr>
          <w:p w:rsidR="00182A1A" w:rsidRPr="009754DD" w:rsidRDefault="00680EED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367D4" w:rsidRPr="009754DD"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2</w:t>
            </w:r>
            <w:r w:rsidR="00CB47D8" w:rsidRPr="009754DD">
              <w:rPr>
                <w:sz w:val="14"/>
                <w:szCs w:val="14"/>
              </w:rPr>
              <w:t>76,5</w:t>
            </w:r>
          </w:p>
        </w:tc>
        <w:tc>
          <w:tcPr>
            <w:tcW w:w="567" w:type="dxa"/>
            <w:vAlign w:val="center"/>
          </w:tcPr>
          <w:p w:rsidR="00182A1A" w:rsidRPr="009754DD" w:rsidRDefault="00890B4F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2</w:t>
            </w:r>
            <w:r w:rsidR="00F046C8" w:rsidRPr="009754DD">
              <w:rPr>
                <w:sz w:val="14"/>
                <w:szCs w:val="14"/>
              </w:rPr>
              <w:t>96,5</w:t>
            </w:r>
          </w:p>
        </w:tc>
        <w:tc>
          <w:tcPr>
            <w:tcW w:w="850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F046C8" w:rsidRPr="009754DD">
              <w:rPr>
                <w:sz w:val="14"/>
                <w:szCs w:val="14"/>
              </w:rPr>
              <w:t>7,2</w:t>
            </w:r>
          </w:p>
        </w:tc>
        <w:tc>
          <w:tcPr>
            <w:tcW w:w="614" w:type="dxa"/>
            <w:vAlign w:val="center"/>
          </w:tcPr>
          <w:p w:rsidR="00182A1A" w:rsidRPr="009754DD" w:rsidRDefault="00486DA3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102,5</w:t>
            </w:r>
          </w:p>
        </w:tc>
        <w:tc>
          <w:tcPr>
            <w:tcW w:w="710" w:type="dxa"/>
            <w:vAlign w:val="center"/>
          </w:tcPr>
          <w:p w:rsidR="00182A1A" w:rsidRPr="009754DD" w:rsidRDefault="00890B4F" w:rsidP="00A52861">
            <w:pPr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17,2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14,3</w:t>
            </w:r>
          </w:p>
        </w:tc>
        <w:tc>
          <w:tcPr>
            <w:tcW w:w="613" w:type="dxa"/>
            <w:vAlign w:val="center"/>
          </w:tcPr>
          <w:p w:rsidR="00182A1A" w:rsidRPr="009754DD" w:rsidRDefault="00486DA3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976,8</w:t>
            </w:r>
          </w:p>
        </w:tc>
        <w:tc>
          <w:tcPr>
            <w:tcW w:w="614" w:type="dxa"/>
            <w:vAlign w:val="center"/>
          </w:tcPr>
          <w:p w:rsidR="00182A1A" w:rsidRPr="009754DD" w:rsidRDefault="00486DA3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1042,7</w:t>
            </w:r>
          </w:p>
        </w:tc>
        <w:tc>
          <w:tcPr>
            <w:tcW w:w="803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86DA3" w:rsidRPr="009754DD">
              <w:rPr>
                <w:sz w:val="14"/>
                <w:szCs w:val="14"/>
              </w:rPr>
              <w:t>6,7</w:t>
            </w:r>
          </w:p>
        </w:tc>
      </w:tr>
      <w:tr w:rsidR="0017274B" w:rsidRPr="009754DD" w:rsidTr="00486DA3">
        <w:tc>
          <w:tcPr>
            <w:tcW w:w="1418" w:type="dxa"/>
          </w:tcPr>
          <w:p w:rsidR="00182A1A" w:rsidRPr="009754DD" w:rsidRDefault="00182A1A" w:rsidP="00AF3943">
            <w:pPr>
              <w:ind w:left="-108"/>
              <w:jc w:val="both"/>
              <w:rPr>
                <w:i/>
                <w:sz w:val="22"/>
                <w:szCs w:val="22"/>
              </w:rPr>
            </w:pPr>
            <w:r w:rsidRPr="009754DD">
              <w:rPr>
                <w:i/>
                <w:sz w:val="22"/>
                <w:szCs w:val="22"/>
              </w:rPr>
              <w:t>из них:</w:t>
            </w:r>
          </w:p>
          <w:p w:rsidR="00182A1A" w:rsidRPr="009754DD" w:rsidRDefault="00182A1A" w:rsidP="00AF3943">
            <w:pPr>
              <w:ind w:left="-108"/>
              <w:jc w:val="both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367D4" w:rsidRPr="009754DD">
              <w:rPr>
                <w:sz w:val="14"/>
                <w:szCs w:val="14"/>
              </w:rPr>
              <w:t>2,4</w:t>
            </w:r>
          </w:p>
        </w:tc>
        <w:tc>
          <w:tcPr>
            <w:tcW w:w="567" w:type="dxa"/>
            <w:vAlign w:val="center"/>
          </w:tcPr>
          <w:p w:rsidR="00182A1A" w:rsidRPr="009754DD" w:rsidRDefault="00890B4F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680EED" w:rsidRPr="009754DD">
              <w:rPr>
                <w:sz w:val="14"/>
                <w:szCs w:val="14"/>
              </w:rPr>
              <w:t>3,2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367D4" w:rsidRPr="009754DD">
              <w:rPr>
                <w:sz w:val="14"/>
                <w:szCs w:val="14"/>
              </w:rPr>
              <w:t>06,5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82A1A" w:rsidRPr="009754DD" w:rsidRDefault="00890B4F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center"/>
          </w:tcPr>
          <w:p w:rsidR="00182A1A" w:rsidRPr="009754DD" w:rsidRDefault="00486DA3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6</w:t>
            </w:r>
            <w:r w:rsidR="00A608D8" w:rsidRPr="009754DD">
              <w:rPr>
                <w:sz w:val="14"/>
                <w:szCs w:val="14"/>
              </w:rPr>
              <w:t>,1</w:t>
            </w:r>
          </w:p>
        </w:tc>
        <w:tc>
          <w:tcPr>
            <w:tcW w:w="710" w:type="dxa"/>
            <w:vAlign w:val="center"/>
          </w:tcPr>
          <w:p w:rsidR="00182A1A" w:rsidRPr="009754DD" w:rsidRDefault="00486DA3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6,6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86DA3" w:rsidRPr="009754DD">
              <w:rPr>
                <w:sz w:val="14"/>
                <w:szCs w:val="14"/>
              </w:rPr>
              <w:t>8,2</w:t>
            </w:r>
          </w:p>
        </w:tc>
        <w:tc>
          <w:tcPr>
            <w:tcW w:w="613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8,5</w:t>
            </w:r>
          </w:p>
        </w:tc>
        <w:tc>
          <w:tcPr>
            <w:tcW w:w="614" w:type="dxa"/>
            <w:vAlign w:val="center"/>
          </w:tcPr>
          <w:p w:rsidR="00182A1A" w:rsidRPr="009754DD" w:rsidRDefault="00283B29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9,8</w:t>
            </w:r>
          </w:p>
        </w:tc>
        <w:tc>
          <w:tcPr>
            <w:tcW w:w="803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86DA3" w:rsidRPr="009754DD">
              <w:rPr>
                <w:sz w:val="14"/>
                <w:szCs w:val="14"/>
              </w:rPr>
              <w:t>7,0</w:t>
            </w:r>
          </w:p>
        </w:tc>
      </w:tr>
      <w:tr w:rsidR="0017274B" w:rsidRPr="009754DD" w:rsidTr="00486DA3">
        <w:tc>
          <w:tcPr>
            <w:tcW w:w="1418" w:type="dxa"/>
          </w:tcPr>
          <w:p w:rsidR="00182A1A" w:rsidRPr="009754DD" w:rsidRDefault="00182A1A" w:rsidP="00AF3943">
            <w:pPr>
              <w:ind w:left="-108"/>
              <w:jc w:val="both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8</w:t>
            </w:r>
            <w:r w:rsidR="004367D4" w:rsidRPr="009754D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182A1A" w:rsidRPr="009754DD" w:rsidRDefault="00680EED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90,8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367D4" w:rsidRPr="009754DD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182A1A" w:rsidRPr="009754DD" w:rsidRDefault="00CB47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82A1A" w:rsidRPr="009754DD" w:rsidRDefault="00890B4F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0,1</w:t>
            </w:r>
          </w:p>
        </w:tc>
        <w:tc>
          <w:tcPr>
            <w:tcW w:w="850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100,0</w:t>
            </w:r>
          </w:p>
        </w:tc>
        <w:tc>
          <w:tcPr>
            <w:tcW w:w="614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3</w:t>
            </w:r>
            <w:r w:rsidR="00486DA3" w:rsidRPr="009754DD">
              <w:rPr>
                <w:sz w:val="14"/>
                <w:szCs w:val="14"/>
              </w:rPr>
              <w:t>9,2</w:t>
            </w:r>
          </w:p>
        </w:tc>
        <w:tc>
          <w:tcPr>
            <w:tcW w:w="710" w:type="dxa"/>
            <w:vAlign w:val="center"/>
          </w:tcPr>
          <w:p w:rsidR="00182A1A" w:rsidRPr="009754DD" w:rsidRDefault="00486DA3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46,9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19,6</w:t>
            </w:r>
          </w:p>
        </w:tc>
        <w:tc>
          <w:tcPr>
            <w:tcW w:w="613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23,7</w:t>
            </w:r>
          </w:p>
        </w:tc>
        <w:tc>
          <w:tcPr>
            <w:tcW w:w="614" w:type="dxa"/>
            <w:vAlign w:val="center"/>
          </w:tcPr>
          <w:p w:rsidR="00182A1A" w:rsidRPr="009754DD" w:rsidRDefault="00283B29" w:rsidP="006E314B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37,8</w:t>
            </w:r>
          </w:p>
        </w:tc>
        <w:tc>
          <w:tcPr>
            <w:tcW w:w="803" w:type="dxa"/>
            <w:vAlign w:val="center"/>
          </w:tcPr>
          <w:p w:rsidR="00182A1A" w:rsidRPr="009754DD" w:rsidRDefault="00A608D8" w:rsidP="006E314B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A9568D" w:rsidRPr="009754DD">
              <w:rPr>
                <w:sz w:val="14"/>
                <w:szCs w:val="14"/>
              </w:rPr>
              <w:t>11,4</w:t>
            </w:r>
          </w:p>
        </w:tc>
      </w:tr>
      <w:tr w:rsidR="0017274B" w:rsidRPr="009754DD" w:rsidTr="00486DA3">
        <w:tc>
          <w:tcPr>
            <w:tcW w:w="1418" w:type="dxa"/>
          </w:tcPr>
          <w:p w:rsidR="00182A1A" w:rsidRPr="009754DD" w:rsidRDefault="00182A1A" w:rsidP="00AF3943">
            <w:pPr>
              <w:pStyle w:val="1"/>
              <w:ind w:left="-108"/>
              <w:rPr>
                <w:b w:val="0"/>
                <w:sz w:val="22"/>
                <w:szCs w:val="22"/>
              </w:rPr>
            </w:pPr>
            <w:r w:rsidRPr="009754DD">
              <w:rPr>
                <w:b w:val="0"/>
                <w:sz w:val="22"/>
                <w:szCs w:val="22"/>
              </w:rPr>
              <w:t>НДФЛ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3</w:t>
            </w:r>
            <w:r w:rsidR="00680EED" w:rsidRPr="009754DD">
              <w:rPr>
                <w:sz w:val="14"/>
                <w:szCs w:val="14"/>
              </w:rPr>
              <w:t>9</w:t>
            </w:r>
            <w:r w:rsidR="004367D4" w:rsidRPr="009754DD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182A1A" w:rsidRPr="009754DD" w:rsidRDefault="00680EED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422,3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367D4" w:rsidRPr="009754DD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2</w:t>
            </w:r>
            <w:r w:rsidR="00CB47D8" w:rsidRPr="009754DD">
              <w:rPr>
                <w:sz w:val="14"/>
                <w:szCs w:val="14"/>
              </w:rPr>
              <w:t>28,9</w:t>
            </w:r>
          </w:p>
        </w:tc>
        <w:tc>
          <w:tcPr>
            <w:tcW w:w="567" w:type="dxa"/>
            <w:vAlign w:val="center"/>
          </w:tcPr>
          <w:p w:rsidR="00182A1A" w:rsidRPr="009754DD" w:rsidRDefault="00F046C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247,5</w:t>
            </w:r>
          </w:p>
        </w:tc>
        <w:tc>
          <w:tcPr>
            <w:tcW w:w="850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486DA3" w:rsidRPr="009754DD">
              <w:rPr>
                <w:sz w:val="14"/>
                <w:szCs w:val="14"/>
              </w:rPr>
              <w:t>8,1</w:t>
            </w:r>
          </w:p>
        </w:tc>
        <w:tc>
          <w:tcPr>
            <w:tcW w:w="614" w:type="dxa"/>
            <w:vAlign w:val="center"/>
          </w:tcPr>
          <w:p w:rsidR="00182A1A" w:rsidRPr="009754DD" w:rsidRDefault="00A608D8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5</w:t>
            </w:r>
            <w:r w:rsidR="00486DA3" w:rsidRPr="009754DD">
              <w:rPr>
                <w:sz w:val="14"/>
                <w:szCs w:val="14"/>
              </w:rPr>
              <w:t>3,7</w:t>
            </w:r>
          </w:p>
        </w:tc>
        <w:tc>
          <w:tcPr>
            <w:tcW w:w="710" w:type="dxa"/>
            <w:vAlign w:val="center"/>
          </w:tcPr>
          <w:p w:rsidR="00182A1A" w:rsidRPr="009754DD" w:rsidRDefault="00890B4F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5</w:t>
            </w:r>
            <w:r w:rsidR="00486DA3" w:rsidRPr="009754DD">
              <w:rPr>
                <w:sz w:val="14"/>
                <w:szCs w:val="14"/>
              </w:rPr>
              <w:t>9,2</w:t>
            </w:r>
          </w:p>
        </w:tc>
        <w:tc>
          <w:tcPr>
            <w:tcW w:w="851" w:type="dxa"/>
            <w:vAlign w:val="center"/>
          </w:tcPr>
          <w:p w:rsidR="00182A1A" w:rsidRPr="009754DD" w:rsidRDefault="00A608D8" w:rsidP="006E314B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</w:t>
            </w:r>
            <w:r w:rsidR="00486DA3" w:rsidRPr="009754DD">
              <w:rPr>
                <w:sz w:val="14"/>
                <w:szCs w:val="14"/>
              </w:rPr>
              <w:t>10,2</w:t>
            </w:r>
          </w:p>
        </w:tc>
        <w:tc>
          <w:tcPr>
            <w:tcW w:w="613" w:type="dxa"/>
            <w:vAlign w:val="center"/>
          </w:tcPr>
          <w:p w:rsidR="00182A1A" w:rsidRPr="009754DD" w:rsidRDefault="00486DA3" w:rsidP="00AF3943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682,4</w:t>
            </w:r>
          </w:p>
        </w:tc>
        <w:tc>
          <w:tcPr>
            <w:tcW w:w="614" w:type="dxa"/>
            <w:vAlign w:val="center"/>
          </w:tcPr>
          <w:p w:rsidR="00182A1A" w:rsidRPr="009754DD" w:rsidRDefault="00486DA3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729,0</w:t>
            </w:r>
          </w:p>
        </w:tc>
        <w:tc>
          <w:tcPr>
            <w:tcW w:w="803" w:type="dxa"/>
            <w:vAlign w:val="center"/>
          </w:tcPr>
          <w:p w:rsidR="00182A1A" w:rsidRPr="009754DD" w:rsidRDefault="00A608D8" w:rsidP="00A52861">
            <w:pPr>
              <w:jc w:val="center"/>
              <w:rPr>
                <w:sz w:val="14"/>
                <w:szCs w:val="14"/>
              </w:rPr>
            </w:pPr>
            <w:r w:rsidRPr="009754DD">
              <w:rPr>
                <w:sz w:val="14"/>
                <w:szCs w:val="14"/>
              </w:rPr>
              <w:t>10</w:t>
            </w:r>
            <w:r w:rsidR="00A9568D" w:rsidRPr="009754DD">
              <w:rPr>
                <w:sz w:val="14"/>
                <w:szCs w:val="14"/>
              </w:rPr>
              <w:t>6,8</w:t>
            </w:r>
          </w:p>
        </w:tc>
      </w:tr>
    </w:tbl>
    <w:p w:rsidR="00182A1A" w:rsidRPr="009754DD" w:rsidRDefault="00182A1A" w:rsidP="00AA0A8D">
      <w:pPr>
        <w:ind w:firstLine="720"/>
        <w:jc w:val="both"/>
        <w:rPr>
          <w:szCs w:val="28"/>
        </w:rPr>
      </w:pPr>
    </w:p>
    <w:p w:rsidR="00421401" w:rsidRPr="009754DD" w:rsidRDefault="00087176" w:rsidP="00302888">
      <w:pPr>
        <w:ind w:firstLine="720"/>
        <w:jc w:val="both"/>
        <w:rPr>
          <w:rFonts w:ascii="Arial CYR" w:hAnsi="Arial CYR" w:cs="Arial CYR"/>
          <w:sz w:val="20"/>
        </w:rPr>
      </w:pPr>
      <w:r w:rsidRPr="009754DD">
        <w:rPr>
          <w:szCs w:val="28"/>
        </w:rPr>
        <w:t>В 20</w:t>
      </w:r>
      <w:r w:rsidR="00C57D08" w:rsidRPr="009754DD">
        <w:rPr>
          <w:szCs w:val="28"/>
        </w:rPr>
        <w:t>1</w:t>
      </w:r>
      <w:r w:rsidR="00054EDB" w:rsidRPr="009754DD">
        <w:rPr>
          <w:szCs w:val="28"/>
        </w:rPr>
        <w:t>3 году поступления</w:t>
      </w:r>
      <w:r w:rsidR="00421401" w:rsidRPr="009754DD">
        <w:rPr>
          <w:szCs w:val="28"/>
        </w:rPr>
        <w:t xml:space="preserve"> неналоговых доходов</w:t>
      </w:r>
      <w:r w:rsidR="00D919AF" w:rsidRPr="009754DD">
        <w:rPr>
          <w:szCs w:val="28"/>
        </w:rPr>
        <w:t xml:space="preserve"> составили </w:t>
      </w:r>
      <w:r w:rsidR="00C57D08" w:rsidRPr="009754DD">
        <w:rPr>
          <w:szCs w:val="28"/>
        </w:rPr>
        <w:t>2</w:t>
      </w:r>
      <w:r w:rsidR="00054EDB" w:rsidRPr="009754DD">
        <w:rPr>
          <w:szCs w:val="28"/>
        </w:rPr>
        <w:t>75,0</w:t>
      </w:r>
      <w:r w:rsidR="00C57D08" w:rsidRPr="009754DD">
        <w:rPr>
          <w:szCs w:val="28"/>
        </w:rPr>
        <w:t xml:space="preserve"> млрд. рублей, </w:t>
      </w:r>
      <w:r w:rsidR="00D919AF" w:rsidRPr="009754DD">
        <w:rPr>
          <w:szCs w:val="28"/>
        </w:rPr>
        <w:t xml:space="preserve">что </w:t>
      </w:r>
      <w:r w:rsidR="00054EDB" w:rsidRPr="009754DD">
        <w:rPr>
          <w:szCs w:val="28"/>
        </w:rPr>
        <w:t>выше</w:t>
      </w:r>
      <w:r w:rsidR="00D919AF" w:rsidRPr="009754DD">
        <w:rPr>
          <w:szCs w:val="28"/>
        </w:rPr>
        <w:t xml:space="preserve"> уровня 20</w:t>
      </w:r>
      <w:r w:rsidR="00CE524F" w:rsidRPr="009754DD">
        <w:rPr>
          <w:szCs w:val="28"/>
        </w:rPr>
        <w:t>1</w:t>
      </w:r>
      <w:r w:rsidR="00302888" w:rsidRPr="009754DD">
        <w:rPr>
          <w:szCs w:val="28"/>
        </w:rPr>
        <w:t>2</w:t>
      </w:r>
      <w:r w:rsidR="00D919AF" w:rsidRPr="009754DD">
        <w:rPr>
          <w:szCs w:val="28"/>
        </w:rPr>
        <w:t xml:space="preserve"> года на </w:t>
      </w:r>
      <w:r w:rsidR="00054EDB" w:rsidRPr="009754DD">
        <w:rPr>
          <w:szCs w:val="28"/>
        </w:rPr>
        <w:t>4,2</w:t>
      </w:r>
      <w:r w:rsidR="00D919AF" w:rsidRPr="009754DD">
        <w:rPr>
          <w:szCs w:val="28"/>
        </w:rPr>
        <w:t xml:space="preserve">% или </w:t>
      </w:r>
      <w:r w:rsidR="00302888" w:rsidRPr="009754DD">
        <w:rPr>
          <w:szCs w:val="28"/>
        </w:rPr>
        <w:t>11,0</w:t>
      </w:r>
      <w:r w:rsidR="003334C7">
        <w:rPr>
          <w:szCs w:val="28"/>
        </w:rPr>
        <w:t xml:space="preserve"> млрд. рублей, в том числе</w:t>
      </w:r>
      <w:r w:rsidR="00302888" w:rsidRPr="009754DD">
        <w:rPr>
          <w:szCs w:val="28"/>
        </w:rPr>
        <w:t>,</w:t>
      </w:r>
      <w:r w:rsidR="008D6469" w:rsidRPr="009754DD">
        <w:t xml:space="preserve"> доходов от использования имущества, находящегося в государственной и  муниц</w:t>
      </w:r>
      <w:r w:rsidR="00E7754C" w:rsidRPr="009754DD">
        <w:t>ипальной собственности, - на 7,8</w:t>
      </w:r>
      <w:r w:rsidR="008D6469" w:rsidRPr="009754DD">
        <w:t>%,</w:t>
      </w:r>
      <w:r w:rsidR="00E7754C" w:rsidRPr="009754DD">
        <w:t xml:space="preserve"> а</w:t>
      </w:r>
      <w:r w:rsidR="008D6469" w:rsidRPr="009754DD">
        <w:t xml:space="preserve"> д</w:t>
      </w:r>
      <w:r w:rsidR="001548E2" w:rsidRPr="009754DD">
        <w:t>оходов от продажи матери</w:t>
      </w:r>
      <w:r w:rsidR="00E7754C" w:rsidRPr="009754DD">
        <w:t>альных и нематериальных активов сократились на 3,3</w:t>
      </w:r>
      <w:r w:rsidR="001548E2" w:rsidRPr="009754DD">
        <w:t xml:space="preserve">% </w:t>
      </w:r>
      <w:r w:rsidR="00195549" w:rsidRPr="009754DD">
        <w:t>процента</w:t>
      </w:r>
      <w:r w:rsidR="00332CCE" w:rsidRPr="009754DD">
        <w:t>.</w:t>
      </w:r>
      <w:r w:rsidR="000B1DDC" w:rsidRPr="009754DD">
        <w:t xml:space="preserve"> </w:t>
      </w:r>
    </w:p>
    <w:p w:rsidR="00421401" w:rsidRPr="009754DD" w:rsidRDefault="00161FFF">
      <w:pPr>
        <w:pStyle w:val="a8"/>
        <w:ind w:firstLine="720"/>
        <w:jc w:val="both"/>
        <w:rPr>
          <w:b w:val="0"/>
        </w:rPr>
      </w:pPr>
      <w:r w:rsidRPr="009754DD">
        <w:rPr>
          <w:b w:val="0"/>
        </w:rPr>
        <w:t>Р</w:t>
      </w:r>
      <w:r w:rsidR="00421401" w:rsidRPr="009754DD">
        <w:rPr>
          <w:b w:val="0"/>
        </w:rPr>
        <w:t>аспределение неналоговых доходов по типам муниципальных образований осуществляется неравномерно. Основной</w:t>
      </w:r>
      <w:r w:rsidR="00CB7E44" w:rsidRPr="009754DD">
        <w:rPr>
          <w:b w:val="0"/>
        </w:rPr>
        <w:t xml:space="preserve"> объем неналоговых доходов (</w:t>
      </w:r>
      <w:r w:rsidR="000E38A3" w:rsidRPr="009754DD">
        <w:rPr>
          <w:b w:val="0"/>
        </w:rPr>
        <w:t>62,2</w:t>
      </w:r>
      <w:r w:rsidR="00421401" w:rsidRPr="009754DD">
        <w:rPr>
          <w:b w:val="0"/>
        </w:rPr>
        <w:t>%) поступил в бюджеты городских округов, доля неналоговых доходов муниц</w:t>
      </w:r>
      <w:r w:rsidR="00CB7E44" w:rsidRPr="009754DD">
        <w:rPr>
          <w:b w:val="0"/>
        </w:rPr>
        <w:t>ип</w:t>
      </w:r>
      <w:r w:rsidR="00087176" w:rsidRPr="009754DD">
        <w:rPr>
          <w:b w:val="0"/>
        </w:rPr>
        <w:t xml:space="preserve">альных районов составляет </w:t>
      </w:r>
      <w:r w:rsidR="000E38A3" w:rsidRPr="009754DD">
        <w:rPr>
          <w:b w:val="0"/>
        </w:rPr>
        <w:t>24,0</w:t>
      </w:r>
      <w:r w:rsidR="00087176" w:rsidRPr="009754DD">
        <w:rPr>
          <w:b w:val="0"/>
        </w:rPr>
        <w:t>% и</w:t>
      </w:r>
      <w:r w:rsidR="00CB7E44" w:rsidRPr="009754DD">
        <w:rPr>
          <w:b w:val="0"/>
        </w:rPr>
        <w:t xml:space="preserve"> поселений – </w:t>
      </w:r>
      <w:r w:rsidR="000E38A3" w:rsidRPr="009754DD">
        <w:rPr>
          <w:b w:val="0"/>
        </w:rPr>
        <w:t>13,8</w:t>
      </w:r>
      <w:r w:rsidR="00644497" w:rsidRPr="009754DD">
        <w:rPr>
          <w:b w:val="0"/>
        </w:rPr>
        <w:t xml:space="preserve"> процент</w:t>
      </w:r>
      <w:r w:rsidR="00150392" w:rsidRPr="009754DD">
        <w:rPr>
          <w:b w:val="0"/>
        </w:rPr>
        <w:t>а</w:t>
      </w:r>
      <w:r w:rsidR="00421401" w:rsidRPr="009754DD">
        <w:rPr>
          <w:b w:val="0"/>
        </w:rPr>
        <w:t xml:space="preserve">. </w:t>
      </w:r>
    </w:p>
    <w:p w:rsidR="00421401" w:rsidRPr="009754DD" w:rsidRDefault="00421401">
      <w:pPr>
        <w:jc w:val="both"/>
      </w:pPr>
      <w:r w:rsidRPr="009754DD">
        <w:rPr>
          <w:b/>
        </w:rPr>
        <w:tab/>
      </w:r>
      <w:r w:rsidRPr="009754DD">
        <w:t xml:space="preserve">Распределение отдельных </w:t>
      </w:r>
      <w:r w:rsidR="00CB7E44" w:rsidRPr="009754DD">
        <w:t>видов неналоговых доходов в 20</w:t>
      </w:r>
      <w:r w:rsidR="00D767E3" w:rsidRPr="009754DD">
        <w:t>1</w:t>
      </w:r>
      <w:r w:rsidR="000E38A3" w:rsidRPr="009754DD">
        <w:t>3</w:t>
      </w:r>
      <w:r w:rsidR="00785C4D" w:rsidRPr="009754DD">
        <w:t xml:space="preserve"> </w:t>
      </w:r>
      <w:r w:rsidRPr="009754DD">
        <w:t>году по типам муниципальных образований приведен</w:t>
      </w:r>
      <w:r w:rsidR="00E50917" w:rsidRPr="009754DD">
        <w:t>о</w:t>
      </w:r>
      <w:r w:rsidRPr="009754DD">
        <w:t xml:space="preserve"> в следующей таблице.</w:t>
      </w:r>
    </w:p>
    <w:p w:rsidR="00161FFF" w:rsidRPr="009754DD" w:rsidRDefault="00421401">
      <w:pPr>
        <w:jc w:val="right"/>
        <w:rPr>
          <w:sz w:val="24"/>
        </w:rPr>
      </w:pPr>
      <w:r w:rsidRPr="009754DD">
        <w:rPr>
          <w:sz w:val="24"/>
        </w:rPr>
        <w:t>Таблица 5</w:t>
      </w:r>
      <w:r w:rsidR="002013CC" w:rsidRPr="009754DD">
        <w:rPr>
          <w:sz w:val="24"/>
        </w:rPr>
        <w:t xml:space="preserve"> </w:t>
      </w:r>
    </w:p>
    <w:p w:rsidR="00421401" w:rsidRPr="009754DD" w:rsidRDefault="00421401">
      <w:pPr>
        <w:jc w:val="right"/>
        <w:rPr>
          <w:sz w:val="24"/>
        </w:rPr>
      </w:pPr>
      <w:r w:rsidRPr="009754DD">
        <w:rPr>
          <w:sz w:val="24"/>
        </w:rPr>
        <w:t>(млрд. руб.)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992"/>
        <w:gridCol w:w="1134"/>
        <w:gridCol w:w="1276"/>
        <w:gridCol w:w="992"/>
        <w:gridCol w:w="1134"/>
      </w:tblGrid>
      <w:tr w:rsidR="0017274B" w:rsidRPr="009754DD" w:rsidTr="00281B92">
        <w:trPr>
          <w:cantSplit/>
          <w:trHeight w:val="70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Городские округа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Муниципальные районы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7274B" w:rsidRPr="009754DD" w:rsidTr="00281B92">
        <w:trPr>
          <w:trHeight w:val="9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161FFF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 xml:space="preserve">% в </w:t>
            </w:r>
            <w:r w:rsidR="00161FFF" w:rsidRPr="009754DD">
              <w:rPr>
                <w:b/>
                <w:bCs/>
                <w:sz w:val="22"/>
                <w:szCs w:val="22"/>
              </w:rPr>
              <w:t>общем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 xml:space="preserve">% </w:t>
            </w:r>
            <w:r w:rsidR="00161FFF" w:rsidRPr="009754DD">
              <w:rPr>
                <w:b/>
                <w:bCs/>
                <w:sz w:val="22"/>
                <w:szCs w:val="22"/>
              </w:rPr>
              <w:t>в общем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 xml:space="preserve">% </w:t>
            </w:r>
            <w:r w:rsidR="00161FFF" w:rsidRPr="009754DD">
              <w:rPr>
                <w:b/>
                <w:bCs/>
                <w:sz w:val="22"/>
                <w:szCs w:val="22"/>
              </w:rPr>
              <w:t>в общем объеме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74B" w:rsidRPr="009754DD" w:rsidTr="00281B92">
        <w:trPr>
          <w:cantSplit/>
          <w:trHeight w:val="93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  <w:r w:rsidRPr="009754DD">
              <w:rPr>
                <w:sz w:val="20"/>
              </w:rPr>
              <w:t>Доходы от использования имущества</w:t>
            </w:r>
            <w:r w:rsidR="004F7547" w:rsidRPr="009754DD">
              <w:rPr>
                <w:sz w:val="20"/>
              </w:rPr>
              <w:t>,</w:t>
            </w:r>
            <w:r w:rsidRPr="009754DD">
              <w:rPr>
                <w:sz w:val="20"/>
              </w:rPr>
              <w:t xml:space="preserve"> находящегося в </w:t>
            </w:r>
            <w:proofErr w:type="spellStart"/>
            <w:r w:rsidRPr="009754DD">
              <w:rPr>
                <w:sz w:val="20"/>
              </w:rPr>
              <w:t>мун</w:t>
            </w:r>
            <w:proofErr w:type="spellEnd"/>
            <w:r w:rsidRPr="009754DD">
              <w:rPr>
                <w:sz w:val="20"/>
              </w:rPr>
              <w:t>. собственности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101D3E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95,4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68652A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63,6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68652A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20,8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</w:t>
            </w:r>
            <w:r w:rsidR="00122341" w:rsidRPr="009754DD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68652A" w:rsidP="00101D3E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15,6%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0E38A3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150,1</w:t>
            </w:r>
          </w:p>
        </w:tc>
      </w:tr>
      <w:tr w:rsidR="0017274B" w:rsidRPr="009754DD" w:rsidTr="00281B92">
        <w:trPr>
          <w:trHeight w:val="2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74B" w:rsidRPr="009754DD" w:rsidTr="00281B92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55,9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785C4D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</w:t>
            </w:r>
            <w:r w:rsidR="00281B92" w:rsidRPr="009754DD">
              <w:rPr>
                <w:sz w:val="22"/>
                <w:szCs w:val="22"/>
              </w:rPr>
              <w:t>7,2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62,0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68652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52,8%</w:t>
            </w:r>
          </w:p>
        </w:tc>
      </w:tr>
      <w:tr w:rsidR="0017274B" w:rsidRPr="009754DD" w:rsidTr="00281B92">
        <w:trPr>
          <w:cantSplit/>
          <w:trHeight w:val="97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  <w:r w:rsidRPr="009754D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40,3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59,7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68652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11,</w:t>
            </w:r>
            <w:r w:rsidR="00122341" w:rsidRPr="009754D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7274B" w:rsidRPr="009754DD" w:rsidTr="00281B92">
        <w:trPr>
          <w:trHeight w:val="2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74B" w:rsidRPr="009754DD" w:rsidTr="00281B92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2,8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10,7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68652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E4218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4,3%</w:t>
            </w:r>
          </w:p>
        </w:tc>
      </w:tr>
      <w:tr w:rsidR="0017274B" w:rsidRPr="009754DD" w:rsidTr="00281B92">
        <w:trPr>
          <w:cantSplit/>
          <w:trHeight w:val="103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  <w:r w:rsidRPr="009754DD">
              <w:rPr>
                <w:sz w:val="20"/>
              </w:rPr>
              <w:lastRenderedPageBreak/>
              <w:t>Доход от оказания платных услуг и компенсации затрат государства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48,2</w:t>
            </w:r>
            <w:r w:rsidR="0068652A" w:rsidRPr="009754D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E42182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42,9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1,</w:t>
            </w:r>
            <w:r w:rsidR="00122341" w:rsidRPr="009754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E4218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8,9%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1</w:t>
            </w:r>
            <w:r w:rsidR="00122341" w:rsidRPr="009754DD">
              <w:rPr>
                <w:b/>
                <w:bCs/>
                <w:sz w:val="22"/>
                <w:szCs w:val="22"/>
              </w:rPr>
              <w:t>6,8</w:t>
            </w:r>
          </w:p>
        </w:tc>
      </w:tr>
      <w:tr w:rsidR="0017274B" w:rsidRPr="009754DD" w:rsidTr="00281B92">
        <w:trPr>
          <w:trHeight w:val="2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74B" w:rsidRPr="009754DD" w:rsidTr="00281B92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4,7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10,9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E4218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E4218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5,9%</w:t>
            </w:r>
          </w:p>
        </w:tc>
      </w:tr>
      <w:tr w:rsidR="0017274B" w:rsidRPr="009754DD" w:rsidTr="00281B92">
        <w:trPr>
          <w:cantSplit/>
          <w:trHeight w:val="84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  <w:r w:rsidRPr="009754D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</w:t>
            </w:r>
            <w:r w:rsidR="00122341" w:rsidRPr="009754DD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281B92" w:rsidP="001473A2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64,4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122341" w:rsidRPr="009754DD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19,8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122341" w:rsidRPr="009754D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15,8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122341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7274B" w:rsidRPr="009754DD" w:rsidTr="00281B92">
        <w:trPr>
          <w:trHeight w:val="2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CAD" w:rsidRPr="009754DD" w:rsidRDefault="00A52CAD" w:rsidP="00A52C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74B" w:rsidRPr="009754DD" w:rsidTr="00281B92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26,2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20,9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29,0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E4218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27,3%</w:t>
            </w:r>
          </w:p>
        </w:tc>
      </w:tr>
      <w:tr w:rsidR="0017274B" w:rsidRPr="009754DD" w:rsidTr="00281B92">
        <w:trPr>
          <w:cantSplit/>
          <w:trHeight w:val="177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 xml:space="preserve">Другие неналоговые доходы, в </w:t>
            </w:r>
            <w:proofErr w:type="spellStart"/>
            <w:r w:rsidRPr="009754DD">
              <w:rPr>
                <w:sz w:val="20"/>
              </w:rPr>
              <w:t>т.ч</w:t>
            </w:r>
            <w:proofErr w:type="spellEnd"/>
            <w:r w:rsidRPr="009754DD">
              <w:rPr>
                <w:sz w:val="20"/>
              </w:rPr>
              <w:t>.  штрафы, санкции, возмещение ущерба, 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17,</w:t>
            </w:r>
            <w:r w:rsidR="00B8065A" w:rsidRPr="009754D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1473A2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67,1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6,</w:t>
            </w:r>
            <w:r w:rsidR="00C3151C" w:rsidRPr="009754D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25,7</w:t>
            </w:r>
            <w:r w:rsidR="00E42182" w:rsidRPr="009754D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1,</w:t>
            </w:r>
            <w:r w:rsidR="00C3151C" w:rsidRPr="009754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785C4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7,2</w:t>
            </w:r>
            <w:r w:rsidR="00785C4D" w:rsidRPr="009754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center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2</w:t>
            </w:r>
            <w:r w:rsidR="00C3151C" w:rsidRPr="009754DD">
              <w:rPr>
                <w:b/>
                <w:bCs/>
                <w:sz w:val="22"/>
                <w:szCs w:val="22"/>
              </w:rPr>
              <w:t>6,5</w:t>
            </w:r>
            <w:r w:rsidR="00B8065A" w:rsidRPr="009754D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274B" w:rsidRPr="009754DD" w:rsidTr="00281B92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CAD" w:rsidRPr="009754DD" w:rsidRDefault="00A52CAD" w:rsidP="00A52C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785C4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10,4</w:t>
            </w:r>
            <w:r w:rsidR="00785C4D" w:rsidRPr="009754DD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785C4D" w:rsidP="00785C4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10,</w:t>
            </w:r>
            <w:r w:rsidR="00281B92" w:rsidRPr="009754DD">
              <w:rPr>
                <w:sz w:val="22"/>
                <w:szCs w:val="22"/>
              </w:rPr>
              <w:t>3</w:t>
            </w:r>
            <w:r w:rsidRPr="009754DD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CAD" w:rsidRPr="009754DD" w:rsidRDefault="00281B92" w:rsidP="00A52CAD">
            <w:pPr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5,0</w:t>
            </w:r>
            <w:r w:rsidR="00785C4D" w:rsidRPr="009754D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785C4D" w:rsidP="00A52CAD">
            <w:pPr>
              <w:jc w:val="center"/>
              <w:rPr>
                <w:bCs/>
                <w:sz w:val="22"/>
                <w:szCs w:val="22"/>
              </w:rPr>
            </w:pPr>
            <w:r w:rsidRPr="009754DD">
              <w:rPr>
                <w:bCs/>
                <w:sz w:val="22"/>
                <w:szCs w:val="22"/>
              </w:rPr>
              <w:t>9,7%</w:t>
            </w:r>
          </w:p>
        </w:tc>
      </w:tr>
      <w:tr w:rsidR="0017274B" w:rsidRPr="009754DD" w:rsidTr="00281B9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AD" w:rsidRPr="009754DD" w:rsidRDefault="00A52CAD" w:rsidP="00A52CAD">
            <w:pPr>
              <w:jc w:val="both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Всего</w:t>
            </w:r>
            <w:r w:rsidR="00161FFF" w:rsidRPr="009754DD">
              <w:rPr>
                <w:b/>
                <w:bCs/>
                <w:sz w:val="22"/>
                <w:szCs w:val="22"/>
              </w:rPr>
              <w:t xml:space="preserve">  неналоговых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785C4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62,2</w:t>
            </w:r>
            <w:r w:rsidR="001C40D7" w:rsidRPr="009754D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6</w:t>
            </w:r>
            <w:r w:rsidR="00B8065A" w:rsidRPr="009754DD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24,0</w:t>
            </w:r>
            <w:r w:rsidR="001C40D7" w:rsidRPr="009754D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C52DB0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3</w:t>
            </w:r>
            <w:r w:rsidR="00B8065A" w:rsidRPr="009754DD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B8065A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13,8</w:t>
            </w:r>
            <w:r w:rsidR="001C40D7" w:rsidRPr="009754D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AD" w:rsidRPr="009754DD" w:rsidRDefault="00D22EF9" w:rsidP="00A52CAD">
            <w:pPr>
              <w:jc w:val="right"/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2</w:t>
            </w:r>
            <w:r w:rsidR="00B8065A" w:rsidRPr="009754DD">
              <w:rPr>
                <w:b/>
                <w:bCs/>
                <w:sz w:val="22"/>
                <w:szCs w:val="22"/>
              </w:rPr>
              <w:t>75,0</w:t>
            </w:r>
          </w:p>
        </w:tc>
      </w:tr>
    </w:tbl>
    <w:p w:rsidR="00A52CAD" w:rsidRPr="009754DD" w:rsidRDefault="00A52CAD">
      <w:pPr>
        <w:jc w:val="right"/>
        <w:rPr>
          <w:sz w:val="24"/>
        </w:rPr>
      </w:pPr>
    </w:p>
    <w:p w:rsidR="00A52CAD" w:rsidRPr="009754DD" w:rsidRDefault="00A52CAD">
      <w:pPr>
        <w:jc w:val="right"/>
      </w:pPr>
    </w:p>
    <w:p w:rsidR="00421401" w:rsidRPr="009754DD" w:rsidRDefault="00421401">
      <w:pPr>
        <w:pStyle w:val="a8"/>
        <w:ind w:firstLine="720"/>
        <w:jc w:val="both"/>
        <w:rPr>
          <w:b w:val="0"/>
        </w:rPr>
      </w:pPr>
      <w:r w:rsidRPr="009754DD">
        <w:rPr>
          <w:b w:val="0"/>
        </w:rPr>
        <w:t>Как показывает анализ отчетных данных, доходы от использования имущества, находящегося в муниципальной собственности</w:t>
      </w:r>
      <w:r w:rsidR="00876A18" w:rsidRPr="009754DD">
        <w:rPr>
          <w:b w:val="0"/>
        </w:rPr>
        <w:t>, составляют основную долю (</w:t>
      </w:r>
      <w:r w:rsidR="007D3CAC" w:rsidRPr="009754DD">
        <w:rPr>
          <w:b w:val="0"/>
        </w:rPr>
        <w:t>52,8</w:t>
      </w:r>
      <w:r w:rsidRPr="009754DD">
        <w:rPr>
          <w:b w:val="0"/>
        </w:rPr>
        <w:t xml:space="preserve">%) неналоговых доходов муниципальных образований. </w:t>
      </w:r>
      <w:r w:rsidR="00161FFF" w:rsidRPr="009754DD">
        <w:rPr>
          <w:b w:val="0"/>
        </w:rPr>
        <w:t>Д</w:t>
      </w:r>
      <w:r w:rsidRPr="009754DD">
        <w:rPr>
          <w:b w:val="0"/>
        </w:rPr>
        <w:t>оля данного вида дохода в общей сумме нен</w:t>
      </w:r>
      <w:r w:rsidR="00714287" w:rsidRPr="009754DD">
        <w:rPr>
          <w:b w:val="0"/>
        </w:rPr>
        <w:t xml:space="preserve">алоговых доходов </w:t>
      </w:r>
      <w:r w:rsidR="00161FFF" w:rsidRPr="009754DD">
        <w:rPr>
          <w:b w:val="0"/>
        </w:rPr>
        <w:t xml:space="preserve">городских округов </w:t>
      </w:r>
      <w:r w:rsidR="00714287" w:rsidRPr="009754DD">
        <w:rPr>
          <w:b w:val="0"/>
        </w:rPr>
        <w:t xml:space="preserve">составляет </w:t>
      </w:r>
      <w:r w:rsidR="00281B92" w:rsidRPr="009754DD">
        <w:rPr>
          <w:b w:val="0"/>
        </w:rPr>
        <w:t>55,9</w:t>
      </w:r>
      <w:r w:rsidRPr="009754DD">
        <w:rPr>
          <w:b w:val="0"/>
        </w:rPr>
        <w:t>%</w:t>
      </w:r>
      <w:r w:rsidR="00714287" w:rsidRPr="009754DD">
        <w:rPr>
          <w:b w:val="0"/>
        </w:rPr>
        <w:t>, муниципальных район</w:t>
      </w:r>
      <w:r w:rsidR="00161FFF" w:rsidRPr="009754DD">
        <w:rPr>
          <w:b w:val="0"/>
        </w:rPr>
        <w:t>ов</w:t>
      </w:r>
      <w:r w:rsidR="00714287" w:rsidRPr="009754DD">
        <w:rPr>
          <w:b w:val="0"/>
        </w:rPr>
        <w:t xml:space="preserve"> – </w:t>
      </w:r>
      <w:r w:rsidR="00281B92" w:rsidRPr="009754DD">
        <w:rPr>
          <w:b w:val="0"/>
        </w:rPr>
        <w:t>47,2</w:t>
      </w:r>
      <w:r w:rsidR="00714287" w:rsidRPr="009754DD">
        <w:rPr>
          <w:b w:val="0"/>
        </w:rPr>
        <w:t>%, поселени</w:t>
      </w:r>
      <w:r w:rsidR="00161FFF" w:rsidRPr="009754DD">
        <w:rPr>
          <w:b w:val="0"/>
        </w:rPr>
        <w:t>й</w:t>
      </w:r>
      <w:r w:rsidR="00714287" w:rsidRPr="009754DD">
        <w:rPr>
          <w:b w:val="0"/>
        </w:rPr>
        <w:t xml:space="preserve"> – </w:t>
      </w:r>
      <w:r w:rsidR="00A526B4" w:rsidRPr="009754DD">
        <w:rPr>
          <w:b w:val="0"/>
        </w:rPr>
        <w:t>6</w:t>
      </w:r>
      <w:r w:rsidR="00281B92" w:rsidRPr="009754DD">
        <w:rPr>
          <w:b w:val="0"/>
        </w:rPr>
        <w:t>2,0</w:t>
      </w:r>
      <w:r w:rsidR="002927BE" w:rsidRPr="009754DD">
        <w:rPr>
          <w:b w:val="0"/>
        </w:rPr>
        <w:t xml:space="preserve"> процента</w:t>
      </w:r>
      <w:r w:rsidRPr="009754DD">
        <w:rPr>
          <w:b w:val="0"/>
        </w:rPr>
        <w:t xml:space="preserve">. </w:t>
      </w:r>
      <w:r w:rsidR="00A526B4" w:rsidRPr="009754DD">
        <w:rPr>
          <w:b w:val="0"/>
        </w:rPr>
        <w:t xml:space="preserve"> </w:t>
      </w:r>
    </w:p>
    <w:p w:rsidR="00E720FE" w:rsidRPr="009754DD" w:rsidRDefault="00161FFF" w:rsidP="00E720FE">
      <w:pPr>
        <w:pStyle w:val="a8"/>
        <w:ind w:firstLine="720"/>
        <w:jc w:val="both"/>
        <w:rPr>
          <w:b w:val="0"/>
        </w:rPr>
      </w:pPr>
      <w:r w:rsidRPr="009754DD">
        <w:rPr>
          <w:b w:val="0"/>
        </w:rPr>
        <w:t>Наряду</w:t>
      </w:r>
      <w:r w:rsidR="00E720FE" w:rsidRPr="009754DD">
        <w:rPr>
          <w:b w:val="0"/>
        </w:rPr>
        <w:t xml:space="preserve"> с налоговыми и неналоговыми доходами </w:t>
      </w:r>
      <w:r w:rsidRPr="009754DD">
        <w:rPr>
          <w:b w:val="0"/>
        </w:rPr>
        <w:t xml:space="preserve">значительную </w:t>
      </w:r>
      <w:r w:rsidR="00E720FE" w:rsidRPr="009754DD">
        <w:rPr>
          <w:b w:val="0"/>
        </w:rPr>
        <w:t xml:space="preserve">часть доходов местных бюджетов </w:t>
      </w:r>
      <w:r w:rsidRPr="009754DD">
        <w:rPr>
          <w:b w:val="0"/>
        </w:rPr>
        <w:t>составляют</w:t>
      </w:r>
      <w:r w:rsidR="00E720FE" w:rsidRPr="009754DD">
        <w:rPr>
          <w:b w:val="0"/>
        </w:rPr>
        <w:t xml:space="preserve"> межбюджетные трансферты из бюджетов бюджетной системы Российской Федерации, которые предоставляются в форме дотаций, субсидий, субвенций и иных межбюджетных трансфертов.</w:t>
      </w:r>
    </w:p>
    <w:p w:rsidR="00CC68BF" w:rsidRPr="009754DD" w:rsidRDefault="00CC68BF" w:rsidP="00CC68BF">
      <w:pPr>
        <w:pStyle w:val="a8"/>
        <w:ind w:firstLine="720"/>
        <w:jc w:val="both"/>
        <w:rPr>
          <w:b w:val="0"/>
        </w:rPr>
      </w:pPr>
      <w:r w:rsidRPr="009754DD">
        <w:rPr>
          <w:b w:val="0"/>
        </w:rPr>
        <w:t>В общем объем</w:t>
      </w:r>
      <w:r w:rsidR="00335F65" w:rsidRPr="009754DD">
        <w:rPr>
          <w:b w:val="0"/>
        </w:rPr>
        <w:t>е доходов местных бюджетов в 201</w:t>
      </w:r>
      <w:r w:rsidR="00F027D5" w:rsidRPr="009754DD">
        <w:rPr>
          <w:b w:val="0"/>
        </w:rPr>
        <w:t>3</w:t>
      </w:r>
      <w:r w:rsidRPr="009754DD">
        <w:rPr>
          <w:b w:val="0"/>
        </w:rPr>
        <w:t xml:space="preserve"> году доля межбюджетных трансфертов составляет </w:t>
      </w:r>
      <w:r w:rsidR="00F027D5" w:rsidRPr="009754DD">
        <w:rPr>
          <w:b w:val="0"/>
        </w:rPr>
        <w:t>61,1</w:t>
      </w:r>
      <w:r w:rsidRPr="009754DD">
        <w:rPr>
          <w:b w:val="0"/>
        </w:rPr>
        <w:t xml:space="preserve">% или </w:t>
      </w:r>
      <w:r w:rsidR="00F027D5" w:rsidRPr="009754DD">
        <w:rPr>
          <w:b w:val="0"/>
        </w:rPr>
        <w:t>2069</w:t>
      </w:r>
      <w:r w:rsidR="003334C7">
        <w:rPr>
          <w:b w:val="0"/>
        </w:rPr>
        <w:t>,0</w:t>
      </w:r>
      <w:r w:rsidRPr="009754DD">
        <w:rPr>
          <w:b w:val="0"/>
        </w:rPr>
        <w:t xml:space="preserve"> млрд. рублей</w:t>
      </w:r>
      <w:r w:rsidR="00E10605" w:rsidRPr="009754DD">
        <w:rPr>
          <w:b w:val="0"/>
        </w:rPr>
        <w:t xml:space="preserve"> (в  201</w:t>
      </w:r>
      <w:r w:rsidR="00F027D5" w:rsidRPr="009754DD">
        <w:rPr>
          <w:b w:val="0"/>
        </w:rPr>
        <w:t>2</w:t>
      </w:r>
      <w:r w:rsidR="00E10605" w:rsidRPr="009754DD">
        <w:rPr>
          <w:b w:val="0"/>
        </w:rPr>
        <w:t xml:space="preserve"> году данный показатель составлял </w:t>
      </w:r>
      <w:r w:rsidR="00F027D5" w:rsidRPr="009754DD">
        <w:rPr>
          <w:b w:val="0"/>
        </w:rPr>
        <w:t>61,8% или 1938,6</w:t>
      </w:r>
      <w:r w:rsidR="00937697" w:rsidRPr="009754DD">
        <w:rPr>
          <w:b w:val="0"/>
        </w:rPr>
        <w:t xml:space="preserve"> </w:t>
      </w:r>
      <w:r w:rsidR="00E10605" w:rsidRPr="009754DD">
        <w:rPr>
          <w:b w:val="0"/>
        </w:rPr>
        <w:t>млрд. рублей)</w:t>
      </w:r>
      <w:r w:rsidRPr="009754DD">
        <w:rPr>
          <w:b w:val="0"/>
        </w:rPr>
        <w:t xml:space="preserve">. </w:t>
      </w:r>
    </w:p>
    <w:p w:rsidR="00CC68BF" w:rsidRPr="009754DD" w:rsidRDefault="00D505A1" w:rsidP="00FA38FD">
      <w:pPr>
        <w:pStyle w:val="a8"/>
        <w:ind w:firstLine="720"/>
        <w:jc w:val="both"/>
        <w:rPr>
          <w:b w:val="0"/>
        </w:rPr>
      </w:pPr>
      <w:r w:rsidRPr="009754DD">
        <w:rPr>
          <w:b w:val="0"/>
        </w:rPr>
        <w:t>Ст</w:t>
      </w:r>
      <w:r w:rsidR="00CC68BF" w:rsidRPr="009754DD">
        <w:rPr>
          <w:b w:val="0"/>
        </w:rPr>
        <w:t>руктура межбюджетных трансферт</w:t>
      </w:r>
      <w:r w:rsidRPr="009754DD">
        <w:rPr>
          <w:b w:val="0"/>
        </w:rPr>
        <w:t>ов местным бюджетам в 201</w:t>
      </w:r>
      <w:r w:rsidR="00302888" w:rsidRPr="009754DD">
        <w:rPr>
          <w:b w:val="0"/>
        </w:rPr>
        <w:t>3</w:t>
      </w:r>
      <w:r w:rsidRPr="009754DD">
        <w:rPr>
          <w:b w:val="0"/>
        </w:rPr>
        <w:t xml:space="preserve"> году п</w:t>
      </w:r>
      <w:r w:rsidR="00CC68BF" w:rsidRPr="009754DD">
        <w:rPr>
          <w:b w:val="0"/>
        </w:rPr>
        <w:t>редставлена на следующей диаграмме.</w:t>
      </w:r>
    </w:p>
    <w:p w:rsidR="00CC68BF" w:rsidRPr="009754DD" w:rsidRDefault="00374DBF" w:rsidP="00CC68BF">
      <w:pPr>
        <w:pStyle w:val="a8"/>
        <w:ind w:firstLine="720"/>
        <w:jc w:val="both"/>
      </w:pPr>
      <w:r w:rsidRPr="009754DD">
        <w:rPr>
          <w:noProof/>
        </w:rPr>
        <w:lastRenderedPageBreak/>
        <w:drawing>
          <wp:inline distT="0" distB="0" distL="0" distR="0" wp14:anchorId="7D38CF2F" wp14:editId="077132F7">
            <wp:extent cx="5486400" cy="2988860"/>
            <wp:effectExtent l="0" t="0" r="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05A1" w:rsidRPr="009754DD" w:rsidRDefault="00D505A1" w:rsidP="00CC68BF">
      <w:pPr>
        <w:ind w:firstLine="720"/>
        <w:jc w:val="both"/>
      </w:pPr>
    </w:p>
    <w:p w:rsidR="00CC68BF" w:rsidRPr="009754DD" w:rsidRDefault="00CC68BF" w:rsidP="00CC68BF">
      <w:pPr>
        <w:ind w:firstLine="720"/>
        <w:jc w:val="both"/>
      </w:pPr>
      <w:r w:rsidRPr="009754DD">
        <w:t xml:space="preserve"> В структуре межбюджетных трансфертов доля средств, передаваемых с целью финансового обеспечения исполнения органами местного самоуправления отдельных государственных полномочий Российской Федерации и субъектов Российской Федерации в форме субвенций из  региональных </w:t>
      </w:r>
      <w:r w:rsidR="001309D0" w:rsidRPr="009754DD">
        <w:t>бюджетов</w:t>
      </w:r>
      <w:r w:rsidR="00FA38FD" w:rsidRPr="009754DD">
        <w:t>,</w:t>
      </w:r>
      <w:r w:rsidRPr="009754DD">
        <w:t xml:space="preserve"> </w:t>
      </w:r>
      <w:r w:rsidR="00072FE2" w:rsidRPr="009754DD">
        <w:t xml:space="preserve">уменьшилась </w:t>
      </w:r>
      <w:r w:rsidRPr="009754DD">
        <w:t xml:space="preserve">с </w:t>
      </w:r>
      <w:r w:rsidR="00072FE2" w:rsidRPr="009754DD">
        <w:t>46,1</w:t>
      </w:r>
      <w:r w:rsidRPr="009754DD">
        <w:t>% в 20</w:t>
      </w:r>
      <w:r w:rsidR="002B1EBC" w:rsidRPr="009754DD">
        <w:t>1</w:t>
      </w:r>
      <w:r w:rsidR="00072FE2" w:rsidRPr="009754DD">
        <w:t>2</w:t>
      </w:r>
      <w:r w:rsidRPr="009754DD">
        <w:t xml:space="preserve"> году</w:t>
      </w:r>
      <w:r w:rsidR="00943A87" w:rsidRPr="009754DD">
        <w:t xml:space="preserve"> до </w:t>
      </w:r>
      <w:r w:rsidR="00072FE2" w:rsidRPr="009754DD">
        <w:t>45,6</w:t>
      </w:r>
      <w:r w:rsidR="00943A87" w:rsidRPr="009754DD">
        <w:t>% в 201</w:t>
      </w:r>
      <w:r w:rsidR="00072FE2" w:rsidRPr="009754DD">
        <w:t>3</w:t>
      </w:r>
      <w:r w:rsidR="00943A87" w:rsidRPr="009754DD">
        <w:t xml:space="preserve"> году</w:t>
      </w:r>
      <w:r w:rsidR="002B1EBC" w:rsidRPr="009754DD">
        <w:t xml:space="preserve">. </w:t>
      </w:r>
      <w:r w:rsidR="001309D0" w:rsidRPr="009754DD">
        <w:t>О</w:t>
      </w:r>
      <w:r w:rsidR="002B1EBC" w:rsidRPr="009754DD">
        <w:t>бщий объем</w:t>
      </w:r>
      <w:r w:rsidR="001309D0" w:rsidRPr="009754DD">
        <w:t xml:space="preserve"> субвенций</w:t>
      </w:r>
      <w:r w:rsidR="002B1EBC" w:rsidRPr="009754DD">
        <w:t xml:space="preserve"> в 201</w:t>
      </w:r>
      <w:r w:rsidR="00072FE2" w:rsidRPr="009754DD">
        <w:t>3</w:t>
      </w:r>
      <w:r w:rsidRPr="009754DD">
        <w:t xml:space="preserve"> году увеличился по отношению к  20</w:t>
      </w:r>
      <w:r w:rsidR="00943A87" w:rsidRPr="009754DD">
        <w:t>1</w:t>
      </w:r>
      <w:r w:rsidR="00072FE2" w:rsidRPr="009754DD">
        <w:t>2</w:t>
      </w:r>
      <w:r w:rsidR="002B1EBC" w:rsidRPr="009754DD">
        <w:t xml:space="preserve"> году на </w:t>
      </w:r>
      <w:r w:rsidR="00072FE2" w:rsidRPr="009754DD">
        <w:t>5,6</w:t>
      </w:r>
      <w:r w:rsidRPr="009754DD">
        <w:t xml:space="preserve">%  и составил </w:t>
      </w:r>
      <w:r w:rsidR="00072FE2" w:rsidRPr="009754DD">
        <w:t>943,8</w:t>
      </w:r>
      <w:r w:rsidRPr="009754DD">
        <w:t xml:space="preserve"> млрд. рублей. </w:t>
      </w:r>
    </w:p>
    <w:p w:rsidR="00CC68BF" w:rsidRPr="009754DD" w:rsidRDefault="00CC68BF" w:rsidP="00CC68BF">
      <w:pPr>
        <w:pStyle w:val="a4"/>
        <w:ind w:firstLine="720"/>
      </w:pPr>
      <w:r w:rsidRPr="009754DD">
        <w:t>Основной объем субвенций (</w:t>
      </w:r>
      <w:r w:rsidR="00E911CE" w:rsidRPr="009754DD">
        <w:t>56,5</w:t>
      </w:r>
      <w:r w:rsidRPr="009754DD">
        <w:t>%) был предоставлен в 20</w:t>
      </w:r>
      <w:r w:rsidR="00ED78AD" w:rsidRPr="009754DD">
        <w:t>1</w:t>
      </w:r>
      <w:r w:rsidR="00E911CE" w:rsidRPr="009754DD">
        <w:t>3</w:t>
      </w:r>
      <w:r w:rsidRPr="009754DD">
        <w:t xml:space="preserve"> году бюджетам муниципальных районов (</w:t>
      </w:r>
      <w:r w:rsidR="00E911CE" w:rsidRPr="009754DD">
        <w:t>533,4</w:t>
      </w:r>
      <w:r w:rsidRPr="009754DD">
        <w:t xml:space="preserve"> млрд. рублей), в бюджеты городских округов поступило </w:t>
      </w:r>
      <w:r w:rsidR="00E911CE" w:rsidRPr="009754DD">
        <w:t>405,2</w:t>
      </w:r>
      <w:r w:rsidRPr="009754DD">
        <w:t xml:space="preserve"> млрд. рублей или </w:t>
      </w:r>
      <w:r w:rsidR="00E911CE" w:rsidRPr="009754DD">
        <w:t>42,9</w:t>
      </w:r>
      <w:r w:rsidRPr="009754DD">
        <w:t xml:space="preserve">% от общего объема субвенций, в связи с  преимущественным делегированием государственных полномочий на уровень муниципальных районов и городских округов. </w:t>
      </w:r>
      <w:r w:rsidR="001309D0" w:rsidRPr="009754DD">
        <w:t xml:space="preserve">Субвенции </w:t>
      </w:r>
      <w:r w:rsidRPr="009754DD">
        <w:t>бюджета</w:t>
      </w:r>
      <w:r w:rsidR="001309D0" w:rsidRPr="009754DD">
        <w:t>м</w:t>
      </w:r>
      <w:r w:rsidRPr="009754DD">
        <w:t xml:space="preserve"> городских и сельских поселений состав</w:t>
      </w:r>
      <w:r w:rsidR="001309D0" w:rsidRPr="009754DD">
        <w:t>и</w:t>
      </w:r>
      <w:r w:rsidRPr="009754DD">
        <w:t xml:space="preserve">ли </w:t>
      </w:r>
      <w:r w:rsidR="00E911CE" w:rsidRPr="009754DD">
        <w:t>5,2</w:t>
      </w:r>
      <w:r w:rsidRPr="009754DD">
        <w:t xml:space="preserve"> млрд. рублей или </w:t>
      </w:r>
      <w:r w:rsidR="00E911CE" w:rsidRPr="009754DD">
        <w:t>0,6</w:t>
      </w:r>
      <w:r w:rsidRPr="009754DD">
        <w:t xml:space="preserve">% соответственно. </w:t>
      </w:r>
    </w:p>
    <w:p w:rsidR="00DE7251" w:rsidRPr="009754DD" w:rsidRDefault="00DE7251" w:rsidP="00DE7251">
      <w:pPr>
        <w:pStyle w:val="a4"/>
        <w:ind w:firstLine="709"/>
      </w:pPr>
      <w:r w:rsidRPr="009754DD">
        <w:t>Перечень отдельных полномочий органов государственной власти субъектов Российской Федерации, делегируемых на муниципальный уровень, и их динамика в 20</w:t>
      </w:r>
      <w:r w:rsidR="00D14B5B" w:rsidRPr="009754DD">
        <w:t>1</w:t>
      </w:r>
      <w:r w:rsidR="00C74CD2" w:rsidRPr="009754DD">
        <w:t>2</w:t>
      </w:r>
      <w:r w:rsidRPr="009754DD">
        <w:t>-201</w:t>
      </w:r>
      <w:r w:rsidR="00C74CD2" w:rsidRPr="009754DD">
        <w:t>3</w:t>
      </w:r>
      <w:r w:rsidRPr="009754DD">
        <w:t xml:space="preserve"> годах приведены в следующей таблице.</w:t>
      </w:r>
    </w:p>
    <w:p w:rsidR="00DE7251" w:rsidRPr="009754DD" w:rsidRDefault="00DE7251" w:rsidP="00DE7251"/>
    <w:p w:rsidR="00DE7251" w:rsidRPr="009754DD" w:rsidRDefault="00FA38FD" w:rsidP="00FA38FD">
      <w:pPr>
        <w:jc w:val="right"/>
        <w:rPr>
          <w:sz w:val="24"/>
          <w:szCs w:val="24"/>
        </w:rPr>
      </w:pPr>
      <w:r w:rsidRPr="009754DD">
        <w:rPr>
          <w:sz w:val="24"/>
          <w:szCs w:val="24"/>
        </w:rPr>
        <w:t>Таблица 6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6355"/>
        <w:gridCol w:w="1495"/>
        <w:gridCol w:w="1627"/>
      </w:tblGrid>
      <w:tr w:rsidR="0017274B" w:rsidRPr="009754DD" w:rsidTr="00DE68A2">
        <w:trPr>
          <w:trHeight w:val="361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1" w:rsidRPr="009754DD" w:rsidRDefault="00DE7251" w:rsidP="00E4048D">
            <w:pPr>
              <w:jc w:val="center"/>
              <w:rPr>
                <w:b/>
                <w:bCs/>
                <w:szCs w:val="28"/>
              </w:rPr>
            </w:pPr>
            <w:r w:rsidRPr="009754DD">
              <w:rPr>
                <w:b/>
                <w:bCs/>
                <w:szCs w:val="28"/>
              </w:rPr>
              <w:t>Наименование</w:t>
            </w:r>
            <w:r w:rsidR="001309D0" w:rsidRPr="009754DD">
              <w:rPr>
                <w:b/>
                <w:bCs/>
                <w:szCs w:val="28"/>
              </w:rPr>
              <w:t xml:space="preserve"> передаваемого</w:t>
            </w:r>
            <w:r w:rsidRPr="009754DD">
              <w:rPr>
                <w:b/>
                <w:bCs/>
                <w:szCs w:val="28"/>
              </w:rPr>
              <w:t xml:space="preserve"> полномочия субъекта РФ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1" w:rsidRPr="009754DD" w:rsidRDefault="00DE7251" w:rsidP="001309D0">
            <w:pPr>
              <w:jc w:val="center"/>
              <w:rPr>
                <w:b/>
                <w:bCs/>
                <w:szCs w:val="28"/>
              </w:rPr>
            </w:pPr>
            <w:r w:rsidRPr="009754DD">
              <w:rPr>
                <w:b/>
                <w:bCs/>
                <w:szCs w:val="28"/>
              </w:rPr>
              <w:t>Всего субъект</w:t>
            </w:r>
            <w:r w:rsidR="001309D0" w:rsidRPr="009754DD">
              <w:rPr>
                <w:b/>
                <w:bCs/>
                <w:szCs w:val="28"/>
              </w:rPr>
              <w:t>ов</w:t>
            </w:r>
            <w:r w:rsidRPr="009754DD">
              <w:rPr>
                <w:b/>
                <w:bCs/>
                <w:szCs w:val="28"/>
              </w:rPr>
              <w:t xml:space="preserve"> РФ</w:t>
            </w:r>
            <w:r w:rsidR="001309D0" w:rsidRPr="009754DD">
              <w:rPr>
                <w:b/>
                <w:bCs/>
                <w:szCs w:val="28"/>
              </w:rPr>
              <w:t>, передавших полномочия</w:t>
            </w:r>
          </w:p>
        </w:tc>
      </w:tr>
      <w:tr w:rsidR="0017274B" w:rsidRPr="009754DD" w:rsidTr="00DE68A2">
        <w:trPr>
          <w:trHeight w:val="256"/>
        </w:trPr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D2" w:rsidRPr="009754DD" w:rsidRDefault="00C74CD2" w:rsidP="00E4048D">
            <w:pPr>
              <w:rPr>
                <w:b/>
                <w:bCs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b/>
                <w:bCs/>
                <w:szCs w:val="28"/>
              </w:rPr>
            </w:pPr>
            <w:r w:rsidRPr="009754DD">
              <w:rPr>
                <w:b/>
                <w:bCs/>
                <w:szCs w:val="28"/>
              </w:rPr>
              <w:t>2012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626CE9">
            <w:pPr>
              <w:jc w:val="center"/>
              <w:rPr>
                <w:b/>
                <w:bCs/>
                <w:szCs w:val="28"/>
              </w:rPr>
            </w:pPr>
            <w:r w:rsidRPr="009754DD">
              <w:rPr>
                <w:b/>
                <w:bCs/>
                <w:szCs w:val="28"/>
              </w:rPr>
              <w:t>2013</w:t>
            </w:r>
          </w:p>
        </w:tc>
      </w:tr>
      <w:tr w:rsidR="0017274B" w:rsidRPr="009754DD" w:rsidTr="00DE68A2">
        <w:trPr>
          <w:trHeight w:val="512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2518D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77</w:t>
            </w:r>
          </w:p>
        </w:tc>
      </w:tr>
      <w:tr w:rsidR="0017274B" w:rsidRPr="009754DD" w:rsidTr="00DE68A2">
        <w:trPr>
          <w:trHeight w:val="1474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proofErr w:type="gramStart"/>
            <w:r w:rsidRPr="009754DD">
              <w:rPr>
                <w:szCs w:val="28"/>
              </w:rPr>
              <w:lastRenderedPageBreak/>
              <w:t>Социальная</w:t>
            </w:r>
            <w:proofErr w:type="gramEnd"/>
            <w:r w:rsidRPr="009754DD">
              <w:rPr>
                <w:szCs w:val="28"/>
              </w:rPr>
              <w:t xml:space="preserve"> поддержки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68</w:t>
            </w:r>
          </w:p>
        </w:tc>
      </w:tr>
      <w:tr w:rsidR="0017274B" w:rsidRPr="009754DD" w:rsidTr="00DE68A2">
        <w:trPr>
          <w:trHeight w:val="677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65</w:t>
            </w:r>
          </w:p>
        </w:tc>
      </w:tr>
      <w:tr w:rsidR="0017274B" w:rsidRPr="009754DD" w:rsidTr="00DE68A2">
        <w:trPr>
          <w:trHeight w:val="572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Формирование и содержание архивных фондов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2518D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38</w:t>
            </w:r>
          </w:p>
        </w:tc>
      </w:tr>
      <w:tr w:rsidR="0017274B" w:rsidRPr="009754DD" w:rsidTr="00DE68A2">
        <w:trPr>
          <w:trHeight w:val="572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2518D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30</w:t>
            </w:r>
          </w:p>
        </w:tc>
      </w:tr>
      <w:tr w:rsidR="0017274B" w:rsidRPr="009754DD" w:rsidTr="00DE68A2">
        <w:trPr>
          <w:trHeight w:val="873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Организация оказания медицинской помощи, предусмотренной законодательством субъекта РФ для определенных категорий граждан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7</w:t>
            </w:r>
          </w:p>
        </w:tc>
      </w:tr>
      <w:tr w:rsidR="0017274B" w:rsidRPr="009754DD" w:rsidTr="00DE68A2">
        <w:trPr>
          <w:trHeight w:val="1249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5</w:t>
            </w:r>
          </w:p>
        </w:tc>
      </w:tr>
      <w:tr w:rsidR="0017274B" w:rsidRPr="009754DD" w:rsidTr="0029155B">
        <w:trPr>
          <w:trHeight w:val="698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Организация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осуществления регионального государственного контроля в сфере перевозок пассажиров и багажа легковым такси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14</w:t>
            </w:r>
          </w:p>
        </w:tc>
      </w:tr>
      <w:tr w:rsidR="0017274B" w:rsidRPr="009754DD" w:rsidTr="00AC3033">
        <w:trPr>
          <w:trHeight w:val="48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ведении субъекта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46</w:t>
            </w:r>
          </w:p>
        </w:tc>
      </w:tr>
      <w:tr w:rsidR="0017274B" w:rsidRPr="009754DD" w:rsidTr="00AC3033">
        <w:trPr>
          <w:trHeight w:val="1111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B2740E">
            <w:pPr>
              <w:jc w:val="both"/>
              <w:rPr>
                <w:szCs w:val="28"/>
              </w:rPr>
            </w:pPr>
            <w:r w:rsidRPr="009754DD">
              <w:rPr>
                <w:szCs w:val="28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C74CD2" w:rsidP="002769B3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CD2" w:rsidRPr="009754DD" w:rsidRDefault="00965BC3" w:rsidP="00B2740E">
            <w:pPr>
              <w:jc w:val="center"/>
              <w:rPr>
                <w:szCs w:val="28"/>
              </w:rPr>
            </w:pPr>
            <w:r w:rsidRPr="009754DD">
              <w:rPr>
                <w:szCs w:val="28"/>
              </w:rPr>
              <w:t>21</w:t>
            </w:r>
          </w:p>
        </w:tc>
      </w:tr>
    </w:tbl>
    <w:p w:rsidR="00DE68A2" w:rsidRPr="009754DD" w:rsidRDefault="00DE68A2" w:rsidP="00DE7251">
      <w:pPr>
        <w:ind w:firstLine="720"/>
        <w:jc w:val="both"/>
        <w:rPr>
          <w:szCs w:val="28"/>
        </w:rPr>
      </w:pPr>
    </w:p>
    <w:p w:rsidR="00DE7251" w:rsidRPr="009754DD" w:rsidRDefault="00DE7251" w:rsidP="00DE7251">
      <w:pPr>
        <w:ind w:firstLine="720"/>
        <w:jc w:val="both"/>
        <w:rPr>
          <w:szCs w:val="28"/>
        </w:rPr>
      </w:pPr>
      <w:r w:rsidRPr="009754DD">
        <w:rPr>
          <w:szCs w:val="28"/>
        </w:rPr>
        <w:t>Следует отметить различные подходы регионов к передаче государственных полномочий органам местного самоуправления.</w:t>
      </w:r>
    </w:p>
    <w:p w:rsidR="00DE7251" w:rsidRPr="009754DD" w:rsidRDefault="00DE7251" w:rsidP="00DE7251">
      <w:pPr>
        <w:ind w:firstLine="720"/>
        <w:jc w:val="both"/>
        <w:rPr>
          <w:szCs w:val="28"/>
        </w:rPr>
      </w:pPr>
      <w:r w:rsidRPr="009754DD">
        <w:rPr>
          <w:szCs w:val="28"/>
        </w:rPr>
        <w:lastRenderedPageBreak/>
        <w:t xml:space="preserve">Количество передаваемых субъектами Российской Федерации на муниципальный уровень отдельных государственных полномочий остается существенным. Так, более 15 полномочий передано </w:t>
      </w:r>
      <w:r w:rsidR="00B66C8D" w:rsidRPr="009754DD">
        <w:rPr>
          <w:szCs w:val="28"/>
        </w:rPr>
        <w:t>5</w:t>
      </w:r>
      <w:r w:rsidRPr="009754DD">
        <w:rPr>
          <w:szCs w:val="28"/>
        </w:rPr>
        <w:t xml:space="preserve"> субъектами Российской Федерации в 201</w:t>
      </w:r>
      <w:r w:rsidR="00B66C8D" w:rsidRPr="009754DD">
        <w:rPr>
          <w:szCs w:val="28"/>
        </w:rPr>
        <w:t>2</w:t>
      </w:r>
      <w:r w:rsidRPr="009754DD">
        <w:rPr>
          <w:szCs w:val="28"/>
        </w:rPr>
        <w:t xml:space="preserve"> году</w:t>
      </w:r>
      <w:r w:rsidR="00115B91" w:rsidRPr="009754DD">
        <w:rPr>
          <w:szCs w:val="28"/>
        </w:rPr>
        <w:t xml:space="preserve"> и </w:t>
      </w:r>
      <w:r w:rsidR="00B66C8D" w:rsidRPr="009754DD">
        <w:rPr>
          <w:szCs w:val="28"/>
        </w:rPr>
        <w:t>4</w:t>
      </w:r>
      <w:r w:rsidR="00115B91" w:rsidRPr="009754DD">
        <w:rPr>
          <w:szCs w:val="28"/>
        </w:rPr>
        <w:t xml:space="preserve"> субъектами в 201</w:t>
      </w:r>
      <w:r w:rsidR="00B66C8D" w:rsidRPr="009754DD">
        <w:rPr>
          <w:szCs w:val="28"/>
        </w:rPr>
        <w:t>3</w:t>
      </w:r>
      <w:r w:rsidR="00115B91" w:rsidRPr="009754DD">
        <w:rPr>
          <w:szCs w:val="28"/>
        </w:rPr>
        <w:t xml:space="preserve"> году</w:t>
      </w:r>
      <w:r w:rsidR="00725F9C" w:rsidRPr="009754DD">
        <w:rPr>
          <w:szCs w:val="28"/>
        </w:rPr>
        <w:t xml:space="preserve"> (Магаданская область, Пермский край, Забайкальский край, Курганская область)</w:t>
      </w:r>
      <w:r w:rsidRPr="009754DD">
        <w:rPr>
          <w:szCs w:val="28"/>
        </w:rPr>
        <w:t xml:space="preserve">. В </w:t>
      </w:r>
      <w:r w:rsidR="00B66C8D" w:rsidRPr="009754DD">
        <w:rPr>
          <w:szCs w:val="28"/>
        </w:rPr>
        <w:t>Магаданской области</w:t>
      </w:r>
      <w:r w:rsidR="00115B91" w:rsidRPr="009754DD">
        <w:rPr>
          <w:szCs w:val="28"/>
        </w:rPr>
        <w:t xml:space="preserve"> </w:t>
      </w:r>
      <w:r w:rsidRPr="009754DD">
        <w:rPr>
          <w:szCs w:val="28"/>
        </w:rPr>
        <w:t>за рассматриваемые годы количество ежегодно передаваемых полномочий превышало 15.</w:t>
      </w:r>
    </w:p>
    <w:p w:rsidR="00DE7251" w:rsidRPr="009754DD" w:rsidRDefault="00DE7251" w:rsidP="00DE7251">
      <w:pPr>
        <w:ind w:firstLine="720"/>
        <w:jc w:val="both"/>
        <w:rPr>
          <w:szCs w:val="28"/>
        </w:rPr>
      </w:pPr>
      <w:r w:rsidRPr="009754DD">
        <w:rPr>
          <w:szCs w:val="28"/>
        </w:rPr>
        <w:t>В 201</w:t>
      </w:r>
      <w:r w:rsidR="00B66C8D" w:rsidRPr="009754DD">
        <w:rPr>
          <w:szCs w:val="28"/>
        </w:rPr>
        <w:t>3</w:t>
      </w:r>
      <w:r w:rsidRPr="009754DD">
        <w:rPr>
          <w:szCs w:val="28"/>
        </w:rPr>
        <w:t xml:space="preserve"> году </w:t>
      </w:r>
      <w:r w:rsidR="002769B3" w:rsidRPr="009754DD">
        <w:rPr>
          <w:szCs w:val="28"/>
        </w:rPr>
        <w:t>40</w:t>
      </w:r>
      <w:r w:rsidRPr="009754DD">
        <w:rPr>
          <w:szCs w:val="28"/>
        </w:rPr>
        <w:t xml:space="preserve"> субъектов Российской Федерации увеличили количество  переданных на муниципальный уровен</w:t>
      </w:r>
      <w:r w:rsidR="00267F86" w:rsidRPr="009754DD">
        <w:rPr>
          <w:szCs w:val="28"/>
        </w:rPr>
        <w:t xml:space="preserve">ь государственных полномочий и </w:t>
      </w:r>
      <w:r w:rsidR="002769B3" w:rsidRPr="009754DD">
        <w:rPr>
          <w:szCs w:val="28"/>
        </w:rPr>
        <w:t xml:space="preserve">21 </w:t>
      </w:r>
      <w:r w:rsidRPr="009754DD">
        <w:rPr>
          <w:szCs w:val="28"/>
        </w:rPr>
        <w:t>субъект Российск</w:t>
      </w:r>
      <w:r w:rsidR="00F86142" w:rsidRPr="009754DD">
        <w:rPr>
          <w:szCs w:val="28"/>
        </w:rPr>
        <w:t>ой Федерации сократил</w:t>
      </w:r>
      <w:r w:rsidRPr="009754DD">
        <w:rPr>
          <w:szCs w:val="28"/>
        </w:rPr>
        <w:t>. По сравнению с 20</w:t>
      </w:r>
      <w:r w:rsidR="00267F86" w:rsidRPr="009754DD">
        <w:rPr>
          <w:szCs w:val="28"/>
        </w:rPr>
        <w:t>1</w:t>
      </w:r>
      <w:r w:rsidR="00D5692D" w:rsidRPr="009754DD">
        <w:rPr>
          <w:szCs w:val="28"/>
        </w:rPr>
        <w:t>2</w:t>
      </w:r>
      <w:r w:rsidRPr="009754DD">
        <w:rPr>
          <w:szCs w:val="28"/>
        </w:rPr>
        <w:t xml:space="preserve"> годом в 201</w:t>
      </w:r>
      <w:r w:rsidR="00D5692D" w:rsidRPr="009754DD">
        <w:rPr>
          <w:szCs w:val="28"/>
        </w:rPr>
        <w:t>3</w:t>
      </w:r>
      <w:r w:rsidRPr="009754DD">
        <w:rPr>
          <w:szCs w:val="28"/>
        </w:rPr>
        <w:t xml:space="preserve"> году рост количества передаваемых государственных полномочий отмечался в </w:t>
      </w:r>
      <w:r w:rsidR="00D5692D" w:rsidRPr="009754DD">
        <w:rPr>
          <w:szCs w:val="28"/>
        </w:rPr>
        <w:t>Магаданской области</w:t>
      </w:r>
      <w:r w:rsidR="00267F86" w:rsidRPr="009754DD">
        <w:rPr>
          <w:szCs w:val="28"/>
        </w:rPr>
        <w:t xml:space="preserve"> - с </w:t>
      </w:r>
      <w:r w:rsidR="00D5692D" w:rsidRPr="009754DD">
        <w:rPr>
          <w:szCs w:val="28"/>
        </w:rPr>
        <w:t>17</w:t>
      </w:r>
      <w:r w:rsidRPr="009754DD">
        <w:rPr>
          <w:szCs w:val="28"/>
        </w:rPr>
        <w:t xml:space="preserve"> до </w:t>
      </w:r>
      <w:r w:rsidR="00D5692D" w:rsidRPr="009754DD">
        <w:rPr>
          <w:szCs w:val="28"/>
        </w:rPr>
        <w:t>23</w:t>
      </w:r>
      <w:r w:rsidR="00267F86" w:rsidRPr="009754DD">
        <w:rPr>
          <w:szCs w:val="28"/>
        </w:rPr>
        <w:t xml:space="preserve">, в </w:t>
      </w:r>
      <w:r w:rsidR="002769B3" w:rsidRPr="009754DD">
        <w:rPr>
          <w:szCs w:val="28"/>
        </w:rPr>
        <w:t>Курганской области</w:t>
      </w:r>
      <w:r w:rsidR="00267F86" w:rsidRPr="009754DD">
        <w:rPr>
          <w:szCs w:val="28"/>
        </w:rPr>
        <w:t xml:space="preserve"> – с </w:t>
      </w:r>
      <w:r w:rsidR="00432E69" w:rsidRPr="009754DD">
        <w:rPr>
          <w:szCs w:val="28"/>
        </w:rPr>
        <w:t>12</w:t>
      </w:r>
      <w:r w:rsidR="00AA2998" w:rsidRPr="009754DD">
        <w:rPr>
          <w:szCs w:val="28"/>
        </w:rPr>
        <w:t xml:space="preserve"> </w:t>
      </w:r>
      <w:proofErr w:type="gramStart"/>
      <w:r w:rsidR="00AA2998" w:rsidRPr="009754DD">
        <w:rPr>
          <w:szCs w:val="28"/>
        </w:rPr>
        <w:t>до</w:t>
      </w:r>
      <w:proofErr w:type="gramEnd"/>
      <w:r w:rsidR="00AA2998" w:rsidRPr="009754DD">
        <w:rPr>
          <w:szCs w:val="28"/>
        </w:rPr>
        <w:t xml:space="preserve"> </w:t>
      </w:r>
      <w:r w:rsidR="00432E69" w:rsidRPr="009754DD">
        <w:rPr>
          <w:szCs w:val="28"/>
        </w:rPr>
        <w:t>15</w:t>
      </w:r>
      <w:r w:rsidR="00AA2998" w:rsidRPr="009754DD">
        <w:rPr>
          <w:szCs w:val="28"/>
        </w:rPr>
        <w:t xml:space="preserve"> и в </w:t>
      </w:r>
      <w:r w:rsidR="00432E69" w:rsidRPr="009754DD">
        <w:rPr>
          <w:szCs w:val="28"/>
        </w:rPr>
        <w:t xml:space="preserve">Забайкальском крае </w:t>
      </w:r>
      <w:r w:rsidR="00706C43" w:rsidRPr="009754DD">
        <w:rPr>
          <w:szCs w:val="28"/>
        </w:rPr>
        <w:t xml:space="preserve">– с </w:t>
      </w:r>
      <w:r w:rsidR="00432E69" w:rsidRPr="009754DD">
        <w:rPr>
          <w:szCs w:val="28"/>
        </w:rPr>
        <w:t>12</w:t>
      </w:r>
      <w:r w:rsidR="00706C43" w:rsidRPr="009754DD">
        <w:rPr>
          <w:szCs w:val="28"/>
        </w:rPr>
        <w:t xml:space="preserve"> до </w:t>
      </w:r>
      <w:r w:rsidR="00432E69" w:rsidRPr="009754DD">
        <w:rPr>
          <w:szCs w:val="28"/>
        </w:rPr>
        <w:t>16</w:t>
      </w:r>
      <w:r w:rsidRPr="009754DD">
        <w:rPr>
          <w:szCs w:val="28"/>
        </w:rPr>
        <w:t xml:space="preserve">. Снижение произошло в </w:t>
      </w:r>
      <w:r w:rsidR="00432E69" w:rsidRPr="009754DD">
        <w:rPr>
          <w:szCs w:val="28"/>
        </w:rPr>
        <w:t>Самарской области</w:t>
      </w:r>
      <w:r w:rsidRPr="009754DD">
        <w:rPr>
          <w:szCs w:val="28"/>
        </w:rPr>
        <w:t xml:space="preserve"> – с </w:t>
      </w:r>
      <w:r w:rsidR="00432E69" w:rsidRPr="009754DD">
        <w:rPr>
          <w:szCs w:val="28"/>
        </w:rPr>
        <w:t>22</w:t>
      </w:r>
      <w:r w:rsidRPr="009754DD">
        <w:rPr>
          <w:szCs w:val="28"/>
        </w:rPr>
        <w:t xml:space="preserve"> до </w:t>
      </w:r>
      <w:r w:rsidR="00432E69" w:rsidRPr="009754DD">
        <w:rPr>
          <w:szCs w:val="28"/>
        </w:rPr>
        <w:t>10</w:t>
      </w:r>
      <w:r w:rsidRPr="009754DD">
        <w:rPr>
          <w:szCs w:val="28"/>
        </w:rPr>
        <w:t xml:space="preserve">, в </w:t>
      </w:r>
      <w:r w:rsidR="00432E69" w:rsidRPr="009754DD">
        <w:rPr>
          <w:szCs w:val="28"/>
        </w:rPr>
        <w:t>Свердловской области</w:t>
      </w:r>
      <w:r w:rsidR="00F26B0E" w:rsidRPr="009754DD">
        <w:rPr>
          <w:szCs w:val="28"/>
        </w:rPr>
        <w:t xml:space="preserve"> </w:t>
      </w:r>
      <w:r w:rsidRPr="009754DD">
        <w:rPr>
          <w:szCs w:val="28"/>
        </w:rPr>
        <w:t xml:space="preserve">– с </w:t>
      </w:r>
      <w:r w:rsidR="00432E69" w:rsidRPr="009754DD">
        <w:rPr>
          <w:szCs w:val="28"/>
        </w:rPr>
        <w:t>22</w:t>
      </w:r>
      <w:r w:rsidRPr="009754DD">
        <w:rPr>
          <w:szCs w:val="28"/>
        </w:rPr>
        <w:t xml:space="preserve"> до </w:t>
      </w:r>
      <w:r w:rsidR="00432E69" w:rsidRPr="009754DD">
        <w:rPr>
          <w:szCs w:val="28"/>
        </w:rPr>
        <w:t>14</w:t>
      </w:r>
      <w:r w:rsidR="00F26B0E" w:rsidRPr="009754DD">
        <w:rPr>
          <w:szCs w:val="28"/>
        </w:rPr>
        <w:t xml:space="preserve"> и</w:t>
      </w:r>
      <w:r w:rsidRPr="009754DD">
        <w:rPr>
          <w:szCs w:val="28"/>
        </w:rPr>
        <w:t xml:space="preserve"> в </w:t>
      </w:r>
      <w:r w:rsidR="00432E69" w:rsidRPr="009754DD">
        <w:rPr>
          <w:szCs w:val="28"/>
        </w:rPr>
        <w:t>Республике Дагестан</w:t>
      </w:r>
      <w:r w:rsidRPr="009754DD">
        <w:rPr>
          <w:szCs w:val="28"/>
        </w:rPr>
        <w:t xml:space="preserve"> – с </w:t>
      </w:r>
      <w:r w:rsidR="00432E69" w:rsidRPr="009754DD">
        <w:rPr>
          <w:szCs w:val="28"/>
        </w:rPr>
        <w:t>16</w:t>
      </w:r>
      <w:r w:rsidRPr="009754DD">
        <w:rPr>
          <w:szCs w:val="28"/>
        </w:rPr>
        <w:t xml:space="preserve"> </w:t>
      </w:r>
      <w:proofErr w:type="gramStart"/>
      <w:r w:rsidRPr="009754DD">
        <w:rPr>
          <w:szCs w:val="28"/>
        </w:rPr>
        <w:t>до</w:t>
      </w:r>
      <w:proofErr w:type="gramEnd"/>
      <w:r w:rsidRPr="009754DD">
        <w:rPr>
          <w:szCs w:val="28"/>
        </w:rPr>
        <w:t xml:space="preserve"> </w:t>
      </w:r>
      <w:r w:rsidR="00432E69" w:rsidRPr="009754DD">
        <w:rPr>
          <w:szCs w:val="28"/>
        </w:rPr>
        <w:t>11</w:t>
      </w:r>
      <w:r w:rsidRPr="009754DD">
        <w:rPr>
          <w:szCs w:val="28"/>
        </w:rPr>
        <w:t>.</w:t>
      </w:r>
    </w:p>
    <w:p w:rsidR="00CC68BF" w:rsidRPr="009754DD" w:rsidRDefault="00CC68BF" w:rsidP="00CC68BF">
      <w:pPr>
        <w:ind w:firstLine="720"/>
        <w:jc w:val="both"/>
      </w:pPr>
      <w:r w:rsidRPr="009754DD">
        <w:t xml:space="preserve">Межбюджетные трансферты местным бюджетам, связанные с финансовым обеспечением </w:t>
      </w:r>
      <w:r w:rsidR="006E7C3D" w:rsidRPr="009754DD">
        <w:t xml:space="preserve">реализации </w:t>
      </w:r>
      <w:r w:rsidRPr="009754DD">
        <w:t>собственных полномочий органов местного самоуправления по решению вопросов местного значения, в 20</w:t>
      </w:r>
      <w:r w:rsidR="00ED78AD" w:rsidRPr="009754DD">
        <w:t>1</w:t>
      </w:r>
      <w:r w:rsidR="00432E69" w:rsidRPr="009754DD">
        <w:t>3</w:t>
      </w:r>
      <w:r w:rsidRPr="009754DD">
        <w:t xml:space="preserve"> году составили </w:t>
      </w:r>
      <w:r w:rsidR="00432E69" w:rsidRPr="009754DD">
        <w:t>1 125,2</w:t>
      </w:r>
      <w:r w:rsidRPr="009754DD">
        <w:t xml:space="preserve"> млрд. рублей или </w:t>
      </w:r>
      <w:r w:rsidR="00432E69" w:rsidRPr="009754DD">
        <w:t>54,4</w:t>
      </w:r>
      <w:r w:rsidRPr="009754DD">
        <w:t xml:space="preserve">% </w:t>
      </w:r>
      <w:r w:rsidR="006E7C3D" w:rsidRPr="009754DD">
        <w:t xml:space="preserve">от </w:t>
      </w:r>
      <w:r w:rsidRPr="009754DD">
        <w:t xml:space="preserve">общего объема межбюджетных трансфертов и </w:t>
      </w:r>
      <w:r w:rsidR="00432E69" w:rsidRPr="009754DD">
        <w:t>46,1</w:t>
      </w:r>
      <w:r w:rsidRPr="009754DD">
        <w:t xml:space="preserve">% </w:t>
      </w:r>
      <w:r w:rsidR="006E7C3D" w:rsidRPr="009754DD">
        <w:t xml:space="preserve">от </w:t>
      </w:r>
      <w:r w:rsidRPr="009754DD">
        <w:t>объема собственных доходов местных бюджетов. В 20</w:t>
      </w:r>
      <w:r w:rsidR="00E44695" w:rsidRPr="009754DD">
        <w:t>1</w:t>
      </w:r>
      <w:r w:rsidR="00432E69" w:rsidRPr="009754DD">
        <w:t>2</w:t>
      </w:r>
      <w:r w:rsidRPr="009754DD">
        <w:t xml:space="preserve"> году данные межбюджетные трансферты составляли </w:t>
      </w:r>
      <w:r w:rsidR="00432E69" w:rsidRPr="009754DD">
        <w:t>1 045,0</w:t>
      </w:r>
      <w:r w:rsidR="00E44695" w:rsidRPr="009754DD">
        <w:t xml:space="preserve"> </w:t>
      </w:r>
      <w:r w:rsidRPr="009754DD">
        <w:t xml:space="preserve">млрд. рублей или </w:t>
      </w:r>
      <w:r w:rsidR="00432E69" w:rsidRPr="009754DD">
        <w:t>53,9</w:t>
      </w:r>
      <w:r w:rsidRPr="009754DD">
        <w:t xml:space="preserve">% </w:t>
      </w:r>
      <w:r w:rsidR="006E7C3D" w:rsidRPr="009754DD">
        <w:t xml:space="preserve">от </w:t>
      </w:r>
      <w:r w:rsidRPr="009754DD">
        <w:t>общего объема межбюджетных трансфертов и 4</w:t>
      </w:r>
      <w:r w:rsidR="00432E69" w:rsidRPr="009754DD">
        <w:t>6,6</w:t>
      </w:r>
      <w:r w:rsidRPr="009754DD">
        <w:t xml:space="preserve">% </w:t>
      </w:r>
      <w:r w:rsidR="006E7C3D" w:rsidRPr="009754DD">
        <w:t xml:space="preserve">от </w:t>
      </w:r>
      <w:r w:rsidRPr="009754DD">
        <w:t xml:space="preserve">объема собственных доходов местных бюджетов. </w:t>
      </w:r>
    </w:p>
    <w:p w:rsidR="005B382D" w:rsidRPr="009754DD" w:rsidRDefault="00CC68BF" w:rsidP="00726606">
      <w:pPr>
        <w:ind w:firstLine="720"/>
        <w:jc w:val="both"/>
        <w:rPr>
          <w:sz w:val="24"/>
        </w:rPr>
      </w:pPr>
      <w:r w:rsidRPr="009754DD">
        <w:t>Удельный вес</w:t>
      </w:r>
      <w:r w:rsidRPr="009754DD">
        <w:rPr>
          <w:snapToGrid w:val="0"/>
        </w:rPr>
        <w:t xml:space="preserve"> межбюджетных трансфертов (без субвенций</w:t>
      </w:r>
      <w:r w:rsidR="00F86142" w:rsidRPr="009754DD">
        <w:rPr>
          <w:snapToGrid w:val="0"/>
        </w:rPr>
        <w:t>)</w:t>
      </w:r>
      <w:r w:rsidRPr="009754DD">
        <w:rPr>
          <w:snapToGrid w:val="0"/>
        </w:rPr>
        <w:t xml:space="preserve"> в собственных доходах</w:t>
      </w:r>
      <w:r w:rsidRPr="009754DD">
        <w:t xml:space="preserve"> местных бюджетов в разрезе федеральных окру</w:t>
      </w:r>
      <w:r w:rsidR="00367AAA" w:rsidRPr="009754DD">
        <w:t>гов Российской Федерации  в 20</w:t>
      </w:r>
      <w:r w:rsidR="00527BF4" w:rsidRPr="009754DD">
        <w:t>1</w:t>
      </w:r>
      <w:r w:rsidR="00432E69" w:rsidRPr="009754DD">
        <w:t>2</w:t>
      </w:r>
      <w:r w:rsidRPr="009754DD">
        <w:t xml:space="preserve"> и  20</w:t>
      </w:r>
      <w:r w:rsidR="00367AAA" w:rsidRPr="009754DD">
        <w:t>1</w:t>
      </w:r>
      <w:r w:rsidR="00432E69" w:rsidRPr="009754DD">
        <w:t>3</w:t>
      </w:r>
      <w:r w:rsidR="006E314B" w:rsidRPr="009754DD">
        <w:t xml:space="preserve"> </w:t>
      </w:r>
      <w:r w:rsidRPr="009754DD">
        <w:t>годах представлен в таблице:</w:t>
      </w:r>
    </w:p>
    <w:p w:rsidR="005B382D" w:rsidRPr="009754DD" w:rsidRDefault="005B382D" w:rsidP="00CC68BF">
      <w:pPr>
        <w:ind w:firstLine="720"/>
        <w:jc w:val="right"/>
        <w:rPr>
          <w:sz w:val="24"/>
        </w:rPr>
      </w:pPr>
    </w:p>
    <w:p w:rsidR="00CC68BF" w:rsidRPr="009754DD" w:rsidRDefault="00C67912" w:rsidP="00CC68BF">
      <w:pPr>
        <w:ind w:firstLine="720"/>
        <w:jc w:val="right"/>
        <w:rPr>
          <w:sz w:val="24"/>
        </w:rPr>
      </w:pPr>
      <w:r w:rsidRPr="009754DD">
        <w:rPr>
          <w:sz w:val="24"/>
        </w:rPr>
        <w:t>Таблица 7</w:t>
      </w:r>
    </w:p>
    <w:p w:rsidR="005B382D" w:rsidRPr="009754DD" w:rsidRDefault="005B382D" w:rsidP="00CC68BF">
      <w:pPr>
        <w:ind w:firstLine="720"/>
        <w:jc w:val="right"/>
        <w:rPr>
          <w:sz w:val="24"/>
        </w:rPr>
      </w:pPr>
      <w:r w:rsidRPr="009754DD">
        <w:rPr>
          <w:sz w:val="24"/>
        </w:rPr>
        <w:t>(%)</w:t>
      </w:r>
    </w:p>
    <w:p w:rsidR="005B382D" w:rsidRPr="009754DD" w:rsidRDefault="005B382D" w:rsidP="00CC68BF">
      <w:pPr>
        <w:ind w:firstLine="720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5"/>
        <w:gridCol w:w="1984"/>
      </w:tblGrid>
      <w:tr w:rsidR="0017274B" w:rsidRPr="009754DD" w:rsidTr="00553F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B7" w:rsidRPr="009754DD" w:rsidRDefault="003333B7">
            <w:pPr>
              <w:jc w:val="center"/>
              <w:rPr>
                <w:b/>
              </w:rPr>
            </w:pPr>
            <w:r w:rsidRPr="009754DD">
              <w:rPr>
                <w:b/>
              </w:rPr>
              <w:t>Наименование федерального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B7" w:rsidRPr="009754DD" w:rsidRDefault="006D212E" w:rsidP="003333B7">
            <w:pPr>
              <w:jc w:val="center"/>
              <w:rPr>
                <w:b/>
              </w:rPr>
            </w:pPr>
            <w:r w:rsidRPr="009754DD">
              <w:rPr>
                <w:b/>
              </w:rPr>
              <w:t>2012</w:t>
            </w:r>
            <w:r w:rsidR="003333B7" w:rsidRPr="009754DD"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B7" w:rsidRPr="009754DD" w:rsidRDefault="006D212E" w:rsidP="003333B7">
            <w:pPr>
              <w:jc w:val="center"/>
              <w:rPr>
                <w:b/>
              </w:rPr>
            </w:pPr>
            <w:r w:rsidRPr="009754DD">
              <w:rPr>
                <w:b/>
              </w:rPr>
              <w:t>2013</w:t>
            </w:r>
            <w:r w:rsidR="003333B7" w:rsidRPr="009754DD">
              <w:rPr>
                <w:b/>
              </w:rPr>
              <w:t xml:space="preserve"> год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1. Центральный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35,3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34,9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2. Северо-Западный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43,8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 xml:space="preserve">3. Южный ФО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38,2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4. Северо-Кавказский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56,5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4. Приволжский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45,2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5. Уральский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49,9</w:t>
            </w:r>
          </w:p>
        </w:tc>
      </w:tr>
      <w:tr w:rsidR="0017274B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6. Сибирский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rPr>
                <w:b/>
              </w:rPr>
              <w:t>↓</w:t>
            </w:r>
            <w:r w:rsidRPr="009754DD">
              <w:t xml:space="preserve">   49,0</w:t>
            </w:r>
          </w:p>
        </w:tc>
      </w:tr>
      <w:tr w:rsidR="006D212E" w:rsidRPr="009754DD" w:rsidTr="006D212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E" w:rsidRPr="009754DD" w:rsidRDefault="006D212E">
            <w:pPr>
              <w:jc w:val="both"/>
            </w:pPr>
            <w:r w:rsidRPr="009754DD">
              <w:t>7. Дальневосточный 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6D212E">
            <w:pPr>
              <w:jc w:val="center"/>
            </w:pPr>
            <w:r w:rsidRPr="009754DD">
              <w:t>58,3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2E" w:rsidRPr="009754DD" w:rsidRDefault="006D212E" w:rsidP="005B382D">
            <w:pPr>
              <w:jc w:val="center"/>
            </w:pPr>
            <w:r w:rsidRPr="009754DD">
              <w:t>↑   63,1</w:t>
            </w:r>
          </w:p>
        </w:tc>
      </w:tr>
    </w:tbl>
    <w:p w:rsidR="00CC68BF" w:rsidRPr="009754DD" w:rsidRDefault="00CC68BF" w:rsidP="00CC68BF">
      <w:pPr>
        <w:ind w:firstLine="720"/>
        <w:jc w:val="both"/>
      </w:pPr>
    </w:p>
    <w:p w:rsidR="00C81EE1" w:rsidRPr="009754DD" w:rsidRDefault="00C81EE1" w:rsidP="00C81EE1">
      <w:pPr>
        <w:ind w:firstLine="720"/>
        <w:jc w:val="both"/>
      </w:pPr>
      <w:r w:rsidRPr="009754DD">
        <w:t>В 201</w:t>
      </w:r>
      <w:r w:rsidR="002F2B41">
        <w:t>3</w:t>
      </w:r>
      <w:r w:rsidR="00827668" w:rsidRPr="009754DD">
        <w:t xml:space="preserve"> году в  39</w:t>
      </w:r>
      <w:r w:rsidRPr="009754DD">
        <w:t xml:space="preserve"> субъектах Российской Федерации </w:t>
      </w:r>
      <w:r w:rsidR="005B382D" w:rsidRPr="009754DD">
        <w:t>удельный вес данных межбюджетных трансфертов в собственных доходах местных бюджетов</w:t>
      </w:r>
      <w:r w:rsidRPr="009754DD">
        <w:t xml:space="preserve"> превыша</w:t>
      </w:r>
      <w:r w:rsidR="00560EFA" w:rsidRPr="009754DD">
        <w:t>л</w:t>
      </w:r>
      <w:r w:rsidRPr="009754DD">
        <w:t xml:space="preserve"> среднее значение по Российской Федерации, а в </w:t>
      </w:r>
      <w:r w:rsidR="00827668" w:rsidRPr="009754DD">
        <w:t>44</w:t>
      </w:r>
      <w:r w:rsidRPr="009754DD">
        <w:t>-</w:t>
      </w:r>
      <w:r w:rsidR="00827668" w:rsidRPr="009754DD">
        <w:t>х</w:t>
      </w:r>
      <w:r w:rsidRPr="009754DD">
        <w:t xml:space="preserve"> субъектах Российской Федерации он </w:t>
      </w:r>
      <w:r w:rsidR="00560EFA" w:rsidRPr="009754DD">
        <w:t xml:space="preserve">был </w:t>
      </w:r>
      <w:r w:rsidRPr="009754DD">
        <w:t xml:space="preserve">ниже среднего уровня по </w:t>
      </w:r>
      <w:r w:rsidRPr="009754DD">
        <w:lastRenderedPageBreak/>
        <w:t xml:space="preserve">Российской Федерации. Самая высокая доля финансовой помощи отмечается в местных бюджетах </w:t>
      </w:r>
      <w:r w:rsidR="00827668" w:rsidRPr="009754DD">
        <w:t>Сахалинской области (78,3</w:t>
      </w:r>
      <w:r w:rsidR="00F3760E" w:rsidRPr="009754DD">
        <w:t>,</w:t>
      </w:r>
      <w:r w:rsidR="006E314B" w:rsidRPr="009754DD">
        <w:t>0</w:t>
      </w:r>
      <w:r w:rsidR="00F3760E" w:rsidRPr="009754DD">
        <w:t xml:space="preserve">%), </w:t>
      </w:r>
      <w:r w:rsidR="00827668" w:rsidRPr="009754DD">
        <w:t>Чукотском автономном округе (76,3</w:t>
      </w:r>
      <w:r w:rsidR="003A2581" w:rsidRPr="009754DD">
        <w:t xml:space="preserve">%), </w:t>
      </w:r>
      <w:r w:rsidR="00827668" w:rsidRPr="009754DD">
        <w:t>Республике Дагестан (73,8</w:t>
      </w:r>
      <w:r w:rsidR="003A2581" w:rsidRPr="009754DD">
        <w:t xml:space="preserve">%), </w:t>
      </w:r>
      <w:r w:rsidR="00827668" w:rsidRPr="009754DD">
        <w:t>Амурской области (72,6</w:t>
      </w:r>
      <w:r w:rsidR="003A2581" w:rsidRPr="009754DD">
        <w:t>%)</w:t>
      </w:r>
      <w:r w:rsidR="00827668" w:rsidRPr="009754DD">
        <w:t>,</w:t>
      </w:r>
      <w:r w:rsidR="003A2581" w:rsidRPr="009754DD">
        <w:t xml:space="preserve"> </w:t>
      </w:r>
      <w:r w:rsidR="00827668" w:rsidRPr="009754DD">
        <w:t>Ненецком автономном округе</w:t>
      </w:r>
      <w:r w:rsidRPr="009754DD">
        <w:t xml:space="preserve"> (</w:t>
      </w:r>
      <w:r w:rsidR="00827668" w:rsidRPr="009754DD">
        <w:t>72,0%) и Тюменской области (71,9%).</w:t>
      </w:r>
    </w:p>
    <w:p w:rsidR="00C81EE1" w:rsidRPr="009754DD" w:rsidRDefault="00C81EE1" w:rsidP="00C81EE1">
      <w:pPr>
        <w:ind w:firstLine="720"/>
        <w:jc w:val="both"/>
      </w:pPr>
      <w:r w:rsidRPr="009754DD">
        <w:t>В 20</w:t>
      </w:r>
      <w:r w:rsidR="009C67CA" w:rsidRPr="009754DD">
        <w:t>1</w:t>
      </w:r>
      <w:r w:rsidR="004213BA" w:rsidRPr="009754DD">
        <w:t>2</w:t>
      </w:r>
      <w:r w:rsidRPr="009754DD">
        <w:t>-201</w:t>
      </w:r>
      <w:r w:rsidR="004213BA" w:rsidRPr="009754DD">
        <w:t>3</w:t>
      </w:r>
      <w:r w:rsidRPr="009754DD">
        <w:t xml:space="preserve"> годах основными получателями указанных межбюджетных трансфертов являлись бюджеты муниципальных районов: в 20</w:t>
      </w:r>
      <w:r w:rsidR="00C15331" w:rsidRPr="009754DD">
        <w:t>1</w:t>
      </w:r>
      <w:r w:rsidR="004213BA" w:rsidRPr="009754DD">
        <w:t>2</w:t>
      </w:r>
      <w:r w:rsidR="00C15331" w:rsidRPr="009754DD">
        <w:t xml:space="preserve"> году их доля составила</w:t>
      </w:r>
      <w:r w:rsidRPr="009754DD">
        <w:t xml:space="preserve"> </w:t>
      </w:r>
      <w:r w:rsidR="004213BA" w:rsidRPr="009754DD">
        <w:t>44,9</w:t>
      </w:r>
      <w:r w:rsidRPr="009754DD">
        <w:t>%</w:t>
      </w:r>
      <w:r w:rsidR="00C15331" w:rsidRPr="009754DD">
        <w:t>, а в 201</w:t>
      </w:r>
      <w:r w:rsidR="004213BA" w:rsidRPr="009754DD">
        <w:t>3</w:t>
      </w:r>
      <w:r w:rsidR="00C15331" w:rsidRPr="009754DD">
        <w:t xml:space="preserve"> году –</w:t>
      </w:r>
      <w:r w:rsidR="00D9556A" w:rsidRPr="009754DD">
        <w:t xml:space="preserve"> </w:t>
      </w:r>
      <w:r w:rsidR="004213BA" w:rsidRPr="009754DD">
        <w:t>44,8</w:t>
      </w:r>
      <w:r w:rsidR="00C15331" w:rsidRPr="009754DD">
        <w:t xml:space="preserve">% </w:t>
      </w:r>
      <w:r w:rsidRPr="009754DD">
        <w:t xml:space="preserve"> </w:t>
      </w:r>
      <w:r w:rsidR="005B382D" w:rsidRPr="009754DD">
        <w:t xml:space="preserve">от  </w:t>
      </w:r>
      <w:r w:rsidRPr="009754DD">
        <w:t xml:space="preserve">общего объема предоставляемой финансовой помощи местным бюджетам. Бюджеты городских округов и поселений получили в </w:t>
      </w:r>
      <w:r w:rsidR="004213BA" w:rsidRPr="009754DD">
        <w:t>2012</w:t>
      </w:r>
      <w:r w:rsidRPr="009754DD">
        <w:t xml:space="preserve"> году </w:t>
      </w:r>
      <w:r w:rsidR="004213BA" w:rsidRPr="009754DD">
        <w:t>38,1% и 17,0</w:t>
      </w:r>
      <w:r w:rsidR="000E6DD6" w:rsidRPr="009754DD">
        <w:t>%</w:t>
      </w:r>
      <w:r w:rsidRPr="009754DD">
        <w:t>, в 201</w:t>
      </w:r>
      <w:r w:rsidR="004213BA" w:rsidRPr="009754DD">
        <w:t>3</w:t>
      </w:r>
      <w:r w:rsidRPr="009754DD">
        <w:t xml:space="preserve"> году – </w:t>
      </w:r>
      <w:r w:rsidR="004213BA" w:rsidRPr="009754DD">
        <w:t>38,3</w:t>
      </w:r>
      <w:r w:rsidRPr="009754DD">
        <w:t xml:space="preserve">% и </w:t>
      </w:r>
      <w:r w:rsidR="004213BA" w:rsidRPr="009754DD">
        <w:t>16,9</w:t>
      </w:r>
      <w:r w:rsidRPr="009754DD">
        <w:t xml:space="preserve">% соответственно. Основными причинами сложившегося соотношения является низкая налоговая составляющая в собственных доходах бюджетов муниципальных районов, а также необходимость финансового </w:t>
      </w:r>
      <w:proofErr w:type="gramStart"/>
      <w:r w:rsidRPr="009754DD">
        <w:t>обеспечения полномочий органов местного самоуправления муниципальных районов</w:t>
      </w:r>
      <w:proofErr w:type="gramEnd"/>
      <w:r w:rsidRPr="009754DD">
        <w:t xml:space="preserve"> по выравниванию бюджетной обеспеченности поселений, что учитывается при распределении дотаций из региональных фондов финансовой поддержки муниципальных районов (городских округов).</w:t>
      </w:r>
    </w:p>
    <w:p w:rsidR="00CC68BF" w:rsidRPr="009754DD" w:rsidRDefault="00CC68BF" w:rsidP="00CC68BF">
      <w:pPr>
        <w:ind w:firstLine="720"/>
        <w:jc w:val="both"/>
      </w:pPr>
      <w:proofErr w:type="gramStart"/>
      <w:r w:rsidRPr="009754DD">
        <w:t>Из общего количества муниципальных образований, формировавших и исполнявших бюджеты в 20</w:t>
      </w:r>
      <w:r w:rsidR="00EF1B08" w:rsidRPr="009754DD">
        <w:t>1</w:t>
      </w:r>
      <w:r w:rsidR="00B8449D" w:rsidRPr="009754DD">
        <w:t>3</w:t>
      </w:r>
      <w:r w:rsidRPr="009754DD">
        <w:t xml:space="preserve"> году, только в </w:t>
      </w:r>
      <w:r w:rsidR="001D6EC7">
        <w:t>6,4</w:t>
      </w:r>
      <w:r w:rsidRPr="009754DD">
        <w:t>% муниципальных образований доля межбюджетных трансфертов (без субвенций) и доходов, переданных по дополнительным нормативам отчислений от налогов, в собственных доходах местных бюджето</w:t>
      </w:r>
      <w:r w:rsidR="00B8449D" w:rsidRPr="009754DD">
        <w:t>в составляла меньше 10%</w:t>
      </w:r>
      <w:r w:rsidRPr="009754DD">
        <w:t xml:space="preserve">, в </w:t>
      </w:r>
      <w:r w:rsidR="00D02357">
        <w:t>70,3</w:t>
      </w:r>
      <w:r w:rsidRPr="009754DD">
        <w:t xml:space="preserve">% местных бюджетов - более 30%, в том числе в </w:t>
      </w:r>
      <w:r w:rsidR="002D485D" w:rsidRPr="009754DD">
        <w:t>49,7</w:t>
      </w:r>
      <w:r w:rsidRPr="009754DD">
        <w:t xml:space="preserve">% – свыше 70 процентов. </w:t>
      </w:r>
      <w:proofErr w:type="gramEnd"/>
    </w:p>
    <w:p w:rsidR="00CC68BF" w:rsidRPr="009754DD" w:rsidRDefault="00CC68BF" w:rsidP="00CC68BF">
      <w:pPr>
        <w:ind w:firstLine="720"/>
        <w:jc w:val="both"/>
      </w:pPr>
      <w:r w:rsidRPr="009754DD">
        <w:t>Распределение по типам муниципальных образований в зависимости от финансовой самостоятельности в 20</w:t>
      </w:r>
      <w:r w:rsidR="00EF1B08" w:rsidRPr="009754DD">
        <w:t>1</w:t>
      </w:r>
      <w:r w:rsidR="00B8449D" w:rsidRPr="009754DD">
        <w:t>3</w:t>
      </w:r>
      <w:r w:rsidRPr="009754DD">
        <w:t xml:space="preserve"> году  представлено в таблице.</w:t>
      </w:r>
    </w:p>
    <w:p w:rsidR="00CC68BF" w:rsidRPr="009754DD" w:rsidRDefault="00CC68BF" w:rsidP="00CC68BF">
      <w:pPr>
        <w:ind w:firstLine="720"/>
        <w:jc w:val="both"/>
      </w:pPr>
    </w:p>
    <w:p w:rsidR="005B382D" w:rsidRPr="009754DD" w:rsidRDefault="005B382D" w:rsidP="00CC68BF">
      <w:pPr>
        <w:ind w:firstLine="720"/>
        <w:jc w:val="both"/>
      </w:pPr>
    </w:p>
    <w:p w:rsidR="00CC68BF" w:rsidRPr="009754DD" w:rsidRDefault="00C67912" w:rsidP="00CC68BF">
      <w:pPr>
        <w:ind w:firstLine="720"/>
        <w:jc w:val="right"/>
        <w:rPr>
          <w:sz w:val="24"/>
        </w:rPr>
      </w:pPr>
      <w:r w:rsidRPr="009754DD">
        <w:rPr>
          <w:sz w:val="24"/>
        </w:rPr>
        <w:t>Таблица 8</w:t>
      </w:r>
    </w:p>
    <w:p w:rsidR="005B382D" w:rsidRPr="009754DD" w:rsidRDefault="005B382D" w:rsidP="00CC68BF">
      <w:pPr>
        <w:ind w:firstLine="720"/>
        <w:jc w:val="right"/>
        <w:rPr>
          <w:sz w:val="24"/>
        </w:rPr>
      </w:pPr>
      <w:r w:rsidRPr="009754DD">
        <w:rPr>
          <w:sz w:val="24"/>
        </w:rPr>
        <w:t>(%)</w:t>
      </w:r>
    </w:p>
    <w:p w:rsidR="00760C29" w:rsidRPr="009754DD" w:rsidRDefault="00760C29" w:rsidP="00CC68BF">
      <w:pPr>
        <w:ind w:firstLine="720"/>
        <w:jc w:val="right"/>
        <w:rPr>
          <w:sz w:val="24"/>
        </w:rPr>
      </w:pPr>
    </w:p>
    <w:tbl>
      <w:tblPr>
        <w:tblW w:w="921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962"/>
        <w:gridCol w:w="1276"/>
        <w:gridCol w:w="1155"/>
        <w:gridCol w:w="1185"/>
        <w:gridCol w:w="1062"/>
      </w:tblGrid>
      <w:tr w:rsidR="0017274B" w:rsidRPr="009754DD" w:rsidTr="005B382D">
        <w:trPr>
          <w:cantSplit/>
          <w:trHeight w:val="682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68BF" w:rsidRPr="009754DD" w:rsidRDefault="00CC68BF">
            <w:pPr>
              <w:jc w:val="center"/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Доля МБТ (без субвенций) и доходов, переданных по дополнительным нормативам, в собственных доходах местных бюджетов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F" w:rsidRPr="009754DD" w:rsidRDefault="00CC68BF" w:rsidP="005B382D">
            <w:pPr>
              <w:jc w:val="center"/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Доля муниципальных образований</w:t>
            </w:r>
            <w:r w:rsidR="005B382D" w:rsidRPr="009754DD">
              <w:rPr>
                <w:rFonts w:ascii="Times New Roman CYR" w:hAnsi="Times New Roman CYR"/>
                <w:b/>
                <w:snapToGrid w:val="0"/>
                <w:sz w:val="24"/>
              </w:rPr>
              <w:t xml:space="preserve"> с соответствующей долей </w:t>
            </w:r>
            <w:proofErr w:type="gramStart"/>
            <w:r w:rsidR="005B382D" w:rsidRPr="009754DD">
              <w:rPr>
                <w:rFonts w:ascii="Times New Roman CYR" w:hAnsi="Times New Roman CYR"/>
                <w:b/>
                <w:snapToGrid w:val="0"/>
                <w:sz w:val="24"/>
              </w:rPr>
              <w:t>МБТ</w:t>
            </w:r>
            <w:proofErr w:type="gramEnd"/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 xml:space="preserve"> в общем их количестве</w:t>
            </w:r>
          </w:p>
        </w:tc>
      </w:tr>
      <w:tr w:rsidR="0017274B" w:rsidRPr="009754DD" w:rsidTr="005B382D">
        <w:trPr>
          <w:cantSplit/>
          <w:trHeight w:val="546"/>
        </w:trPr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68BF" w:rsidRPr="009754DD" w:rsidRDefault="00CC68BF">
            <w:pPr>
              <w:rPr>
                <w:rFonts w:ascii="Times New Roman CYR" w:hAnsi="Times New Roman CYR"/>
                <w:b/>
                <w:snapToGrid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BF" w:rsidRPr="009754DD" w:rsidRDefault="005B382D" w:rsidP="005B382D">
            <w:pPr>
              <w:jc w:val="center"/>
              <w:rPr>
                <w:rFonts w:ascii="Times New Roman CYR" w:hAnsi="Times New Roman CYR"/>
                <w:b/>
                <w:snapToGrid w:val="0"/>
                <w:sz w:val="20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>в</w:t>
            </w:r>
            <w:r w:rsidR="00CC68BF" w:rsidRPr="009754DD">
              <w:rPr>
                <w:rFonts w:ascii="Times New Roman CYR" w:hAnsi="Times New Roman CYR"/>
                <w:b/>
                <w:snapToGrid w:val="0"/>
                <w:sz w:val="20"/>
              </w:rPr>
              <w:t>се</w:t>
            </w:r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 xml:space="preserve"> муниципальные образования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BF" w:rsidRPr="009754DD" w:rsidRDefault="00CC68BF">
            <w:pPr>
              <w:jc w:val="center"/>
              <w:rPr>
                <w:rFonts w:ascii="Times New Roman CYR" w:hAnsi="Times New Roman CYR"/>
                <w:b/>
                <w:snapToGrid w:val="0"/>
                <w:sz w:val="20"/>
              </w:rPr>
            </w:pPr>
            <w:proofErr w:type="spellStart"/>
            <w:proofErr w:type="gramStart"/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>муници-пальные</w:t>
            </w:r>
            <w:proofErr w:type="spellEnd"/>
            <w:proofErr w:type="gramEnd"/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 xml:space="preserve"> районы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BF" w:rsidRPr="009754DD" w:rsidRDefault="00CC68BF">
            <w:pPr>
              <w:jc w:val="center"/>
              <w:rPr>
                <w:rFonts w:ascii="Times New Roman CYR" w:hAnsi="Times New Roman CYR"/>
                <w:b/>
                <w:snapToGrid w:val="0"/>
                <w:sz w:val="20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>городские округа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BF" w:rsidRPr="009754DD" w:rsidRDefault="00CC68BF">
            <w:pPr>
              <w:jc w:val="center"/>
              <w:rPr>
                <w:rFonts w:ascii="Times New Roman CYR" w:hAnsi="Times New Roman CYR"/>
                <w:b/>
                <w:snapToGrid w:val="0"/>
                <w:sz w:val="20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>городские поселения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BF" w:rsidRPr="009754DD" w:rsidRDefault="00CC68BF">
            <w:pPr>
              <w:jc w:val="center"/>
              <w:rPr>
                <w:rFonts w:ascii="Times New Roman CYR" w:hAnsi="Times New Roman CYR"/>
                <w:b/>
                <w:snapToGrid w:val="0"/>
                <w:sz w:val="20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0"/>
              </w:rPr>
              <w:t>сельские поселения</w:t>
            </w:r>
          </w:p>
        </w:tc>
      </w:tr>
      <w:tr w:rsidR="0017274B" w:rsidRPr="009754DD" w:rsidTr="005B382D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270304">
            <w:pPr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меньше 10%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6,4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0,9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8,8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11,5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5,6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</w:tr>
      <w:tr w:rsidR="0017274B" w:rsidRPr="009754DD" w:rsidTr="005B382D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270304">
            <w:pPr>
              <w:rPr>
                <w:rFonts w:ascii="Times New Roman CYR" w:hAnsi="Times New Roman CYR"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snapToGrid w:val="0"/>
                <w:sz w:val="24"/>
              </w:rPr>
              <w:t>в том числе муниципальные образования, не получающие МБТ (без субвенций) и доходы, переданные по дополнительным нормативам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1,3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9A535A" w:rsidP="009A535A">
            <w:pPr>
              <w:kinsoku w:val="0"/>
              <w:overflowPunct w:val="0"/>
              <w:ind w:left="547" w:hanging="547"/>
              <w:jc w:val="center"/>
              <w:textAlignment w:val="top"/>
              <w:rPr>
                <w:sz w:val="24"/>
                <w:szCs w:val="24"/>
              </w:rPr>
            </w:pPr>
            <w:r w:rsidRPr="009754DD">
              <w:rPr>
                <w:bCs/>
                <w:kern w:val="24"/>
                <w:sz w:val="24"/>
                <w:szCs w:val="24"/>
              </w:rPr>
              <w:t>0%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0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1,3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0,6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</w:tr>
      <w:tr w:rsidR="0017274B" w:rsidRPr="009754DD" w:rsidTr="005B382D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270304">
            <w:pPr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10% - 30%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9,3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7,6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21,8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18,5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8,4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</w:tr>
      <w:tr w:rsidR="0017274B" w:rsidRPr="009754DD" w:rsidTr="005B382D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270304">
            <w:pPr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30% - 70%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34,6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39,8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50,5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48,5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8C017A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bCs/>
                <w:kern w:val="24"/>
                <w:sz w:val="24"/>
                <w:szCs w:val="24"/>
              </w:rPr>
              <w:t>32,5</w:t>
            </w:r>
            <w:r w:rsidR="00270304" w:rsidRPr="009754DD">
              <w:rPr>
                <w:bCs/>
                <w:kern w:val="24"/>
                <w:sz w:val="24"/>
                <w:szCs w:val="24"/>
              </w:rPr>
              <w:t>%</w:t>
            </w:r>
          </w:p>
        </w:tc>
      </w:tr>
      <w:tr w:rsidR="0017274B" w:rsidRPr="009754DD" w:rsidTr="005B382D">
        <w:trPr>
          <w:trHeight w:val="4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270304">
            <w:pPr>
              <w:rPr>
                <w:rFonts w:ascii="Times New Roman CYR" w:hAnsi="Times New Roman CYR"/>
                <w:b/>
                <w:snapToGrid w:val="0"/>
                <w:sz w:val="24"/>
              </w:rPr>
            </w:pPr>
            <w:r w:rsidRPr="009754DD">
              <w:rPr>
                <w:rFonts w:ascii="Times New Roman CYR" w:hAnsi="Times New Roman CYR"/>
                <w:b/>
                <w:snapToGrid w:val="0"/>
                <w:sz w:val="24"/>
              </w:rPr>
              <w:t>свыше 70%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164E57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49,7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164E57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51,7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164E57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18,9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AF1ACD" w:rsidP="00467F0D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21,5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04" w:rsidRPr="009754DD" w:rsidRDefault="00164E57" w:rsidP="00553F52">
            <w:pPr>
              <w:kinsoku w:val="0"/>
              <w:overflowPunct w:val="0"/>
              <w:ind w:left="547" w:hanging="547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53,5</w:t>
            </w:r>
            <w:r w:rsidR="00270304" w:rsidRPr="009754DD">
              <w:rPr>
                <w:rFonts w:ascii="Times New Roman CYR" w:hAnsi="Times New Roman CYR" w:cs="Times New Roman CYR"/>
                <w:bCs/>
                <w:kern w:val="24"/>
                <w:sz w:val="24"/>
                <w:szCs w:val="24"/>
              </w:rPr>
              <w:t>%</w:t>
            </w:r>
          </w:p>
        </w:tc>
      </w:tr>
    </w:tbl>
    <w:p w:rsidR="00CC68BF" w:rsidRPr="009754DD" w:rsidRDefault="009A535A" w:rsidP="00CC68BF">
      <w:pPr>
        <w:ind w:firstLine="720"/>
        <w:jc w:val="both"/>
      </w:pPr>
      <w:r w:rsidRPr="009754DD">
        <w:lastRenderedPageBreak/>
        <w:t xml:space="preserve">  </w:t>
      </w:r>
    </w:p>
    <w:p w:rsidR="00CC68BF" w:rsidRPr="009754DD" w:rsidRDefault="00CC68BF" w:rsidP="00CC68BF">
      <w:pPr>
        <w:ind w:firstLine="720"/>
        <w:jc w:val="both"/>
      </w:pPr>
      <w:proofErr w:type="gramStart"/>
      <w:r w:rsidRPr="009754DD">
        <w:t>Наибольшее увеличение  объема межбюджетных трансфертов (без учета субвенций)</w:t>
      </w:r>
      <w:r w:rsidR="004F7547" w:rsidRPr="009754DD">
        <w:t xml:space="preserve"> </w:t>
      </w:r>
      <w:r w:rsidR="00BA18B2" w:rsidRPr="009754DD">
        <w:t xml:space="preserve">в доходах местных бюджетов </w:t>
      </w:r>
      <w:r w:rsidRPr="009754DD">
        <w:t>в 20</w:t>
      </w:r>
      <w:r w:rsidR="00F16916" w:rsidRPr="009754DD">
        <w:t>1</w:t>
      </w:r>
      <w:r w:rsidR="00842150" w:rsidRPr="009754DD">
        <w:t>3</w:t>
      </w:r>
      <w:r w:rsidRPr="009754DD">
        <w:t xml:space="preserve"> году по сравнению с 20</w:t>
      </w:r>
      <w:r w:rsidR="00F378FA" w:rsidRPr="009754DD">
        <w:t>1</w:t>
      </w:r>
      <w:r w:rsidR="00842150" w:rsidRPr="009754DD">
        <w:t>2</w:t>
      </w:r>
      <w:r w:rsidR="008059A4" w:rsidRPr="009754DD">
        <w:t xml:space="preserve"> годом произошло</w:t>
      </w:r>
      <w:r w:rsidR="004606C7">
        <w:t xml:space="preserve"> в г. Москве на 63,7 % (на 0,8 млрд. рублей),</w:t>
      </w:r>
      <w:r w:rsidR="00B80942" w:rsidRPr="009754DD">
        <w:t xml:space="preserve"> в Свердловской области</w:t>
      </w:r>
      <w:r w:rsidR="00F16916" w:rsidRPr="009754DD">
        <w:t xml:space="preserve"> на </w:t>
      </w:r>
      <w:r w:rsidR="00B80942" w:rsidRPr="009754DD">
        <w:t>53,2</w:t>
      </w:r>
      <w:r w:rsidR="0016182E" w:rsidRPr="009754DD">
        <w:t xml:space="preserve">% (на </w:t>
      </w:r>
      <w:r w:rsidR="00B80942" w:rsidRPr="009754DD">
        <w:t>11,5</w:t>
      </w:r>
      <w:r w:rsidR="0016182E" w:rsidRPr="009754DD">
        <w:t xml:space="preserve"> млрд. рублей), </w:t>
      </w:r>
      <w:r w:rsidR="00B80942" w:rsidRPr="009754DD">
        <w:t>в Сахалинской области</w:t>
      </w:r>
      <w:r w:rsidR="0016182E" w:rsidRPr="009754DD">
        <w:t xml:space="preserve"> на </w:t>
      </w:r>
      <w:r w:rsidR="00B80942" w:rsidRPr="009754DD">
        <w:t>52,3</w:t>
      </w:r>
      <w:r w:rsidR="0016182E" w:rsidRPr="009754DD">
        <w:t xml:space="preserve">% (на </w:t>
      </w:r>
      <w:r w:rsidR="00B80942" w:rsidRPr="009754DD">
        <w:t>11,6</w:t>
      </w:r>
      <w:r w:rsidR="008059A4" w:rsidRPr="009754DD">
        <w:t xml:space="preserve"> млрд. рублей), в </w:t>
      </w:r>
      <w:r w:rsidR="00B80942" w:rsidRPr="009754DD">
        <w:t>Тульской области на 48,2% (3,2</w:t>
      </w:r>
      <w:r w:rsidR="008059A4" w:rsidRPr="009754DD">
        <w:t xml:space="preserve"> млрд. рублей), в </w:t>
      </w:r>
      <w:r w:rsidR="00B80942" w:rsidRPr="009754DD">
        <w:t>Республике Саха (Якутия</w:t>
      </w:r>
      <w:proofErr w:type="gramEnd"/>
      <w:r w:rsidR="00B80942" w:rsidRPr="009754DD">
        <w:t>) на 46,7% (12,5</w:t>
      </w:r>
      <w:r w:rsidR="008059A4" w:rsidRPr="009754DD">
        <w:t xml:space="preserve"> млрд. рублей) и </w:t>
      </w:r>
      <w:r w:rsidR="00B80942" w:rsidRPr="009754DD">
        <w:t>Еврейской автономной области на 42,8% (0,6</w:t>
      </w:r>
      <w:r w:rsidR="008059A4" w:rsidRPr="009754DD">
        <w:t xml:space="preserve"> млрд. рублей). </w:t>
      </w:r>
      <w:r w:rsidR="00F16916" w:rsidRPr="009754DD">
        <w:t xml:space="preserve"> </w:t>
      </w:r>
      <w:proofErr w:type="gramStart"/>
      <w:r w:rsidRPr="009754DD">
        <w:t xml:space="preserve">Вместе с тем произошло значительное снижение объемов финансовой помощи местным бюджетам:  в  </w:t>
      </w:r>
      <w:r w:rsidR="00B80942" w:rsidRPr="009754DD">
        <w:t>Тюменской области</w:t>
      </w:r>
      <w:r w:rsidRPr="009754DD">
        <w:t xml:space="preserve"> на </w:t>
      </w:r>
      <w:r w:rsidR="00B80942" w:rsidRPr="009754DD">
        <w:t>31,5</w:t>
      </w:r>
      <w:r w:rsidRPr="009754DD">
        <w:t xml:space="preserve">% (на </w:t>
      </w:r>
      <w:r w:rsidR="00B80942" w:rsidRPr="009754DD">
        <w:t>18,3</w:t>
      </w:r>
      <w:r w:rsidRPr="009754DD">
        <w:t xml:space="preserve"> млрд. рублей), в </w:t>
      </w:r>
      <w:r w:rsidR="00B80942" w:rsidRPr="009754DD">
        <w:t>Республике Адыгея на 24,7</w:t>
      </w:r>
      <w:r w:rsidRPr="009754DD">
        <w:t xml:space="preserve">% (на </w:t>
      </w:r>
      <w:r w:rsidR="00B80942" w:rsidRPr="009754DD">
        <w:t>0,6</w:t>
      </w:r>
      <w:r w:rsidRPr="009754DD">
        <w:t xml:space="preserve"> млрд. рублей), в </w:t>
      </w:r>
      <w:r w:rsidR="00B80942" w:rsidRPr="009754DD">
        <w:t>Вологодской области</w:t>
      </w:r>
      <w:r w:rsidR="00593C84" w:rsidRPr="009754DD">
        <w:t xml:space="preserve"> </w:t>
      </w:r>
      <w:r w:rsidR="00B80942" w:rsidRPr="009754DD">
        <w:t xml:space="preserve"> на 18,9</w:t>
      </w:r>
      <w:r w:rsidR="00593C84" w:rsidRPr="009754DD">
        <w:t>% (</w:t>
      </w:r>
      <w:r w:rsidR="00B80942" w:rsidRPr="009754DD">
        <w:t>1,2</w:t>
      </w:r>
      <w:r w:rsidR="00593C84" w:rsidRPr="009754DD">
        <w:t xml:space="preserve"> млрд. рублей), в </w:t>
      </w:r>
      <w:r w:rsidR="00B80942" w:rsidRPr="009754DD">
        <w:t>Республике Карелия</w:t>
      </w:r>
      <w:r w:rsidR="0039786B" w:rsidRPr="009754DD">
        <w:t xml:space="preserve"> </w:t>
      </w:r>
      <w:r w:rsidR="00593C84" w:rsidRPr="009754DD">
        <w:t xml:space="preserve">на </w:t>
      </w:r>
      <w:r w:rsidR="004B3A34" w:rsidRPr="009754DD">
        <w:t>18,6</w:t>
      </w:r>
      <w:r w:rsidR="00593C84" w:rsidRPr="009754DD">
        <w:t xml:space="preserve">% (на </w:t>
      </w:r>
      <w:r w:rsidR="004B3A34" w:rsidRPr="009754DD">
        <w:t>0,7</w:t>
      </w:r>
      <w:r w:rsidR="008059A4" w:rsidRPr="009754DD">
        <w:t xml:space="preserve"> млрд. рублей), в </w:t>
      </w:r>
      <w:r w:rsidR="004B3A34" w:rsidRPr="009754DD">
        <w:t>Красноярском крае</w:t>
      </w:r>
      <w:r w:rsidR="008059A4" w:rsidRPr="009754DD">
        <w:t xml:space="preserve"> </w:t>
      </w:r>
      <w:r w:rsidR="0039786B" w:rsidRPr="009754DD">
        <w:t xml:space="preserve"> </w:t>
      </w:r>
      <w:r w:rsidR="00AF0517" w:rsidRPr="009754DD">
        <w:t xml:space="preserve">на </w:t>
      </w:r>
      <w:r w:rsidR="004B3A34" w:rsidRPr="009754DD">
        <w:t>18,1</w:t>
      </w:r>
      <w:r w:rsidR="00AF0517" w:rsidRPr="009754DD">
        <w:t xml:space="preserve">% (на </w:t>
      </w:r>
      <w:r w:rsidR="004B3A34" w:rsidRPr="009754DD">
        <w:t>8,3</w:t>
      </w:r>
      <w:r w:rsidR="00AF0517" w:rsidRPr="009754DD">
        <w:t xml:space="preserve"> млрд. рублей</w:t>
      </w:r>
      <w:r w:rsidR="00AF08D5" w:rsidRPr="009754DD">
        <w:t>)</w:t>
      </w:r>
      <w:r w:rsidR="008059A4" w:rsidRPr="009754DD">
        <w:t xml:space="preserve"> и в </w:t>
      </w:r>
      <w:r w:rsidR="004B3A34" w:rsidRPr="009754DD">
        <w:t>Приморском крае на</w:t>
      </w:r>
      <w:proofErr w:type="gramEnd"/>
      <w:r w:rsidR="004B3A34" w:rsidRPr="009754DD">
        <w:t xml:space="preserve"> 17,2% (на 1,8</w:t>
      </w:r>
      <w:r w:rsidR="008059A4" w:rsidRPr="009754DD">
        <w:t xml:space="preserve"> млрд. рублей)</w:t>
      </w:r>
      <w:r w:rsidRPr="009754DD">
        <w:t>.</w:t>
      </w:r>
    </w:p>
    <w:p w:rsidR="00CC68BF" w:rsidRPr="009754DD" w:rsidRDefault="00CC68BF" w:rsidP="00CC68BF">
      <w:pPr>
        <w:pStyle w:val="a7"/>
      </w:pPr>
      <w:r w:rsidRPr="009754DD">
        <w:t>В составе межбюджетных трансфертов в 20</w:t>
      </w:r>
      <w:r w:rsidR="00367AAA" w:rsidRPr="009754DD">
        <w:t>1</w:t>
      </w:r>
      <w:r w:rsidR="00433335" w:rsidRPr="009754DD">
        <w:t>3</w:t>
      </w:r>
      <w:r w:rsidRPr="009754DD">
        <w:t xml:space="preserve"> году  (без учета субвенций) доля дотаций местным бюджетам </w:t>
      </w:r>
      <w:r w:rsidR="00271823" w:rsidRPr="009754DD">
        <w:t>составляет</w:t>
      </w:r>
      <w:r w:rsidRPr="009754DD">
        <w:t xml:space="preserve"> </w:t>
      </w:r>
      <w:r w:rsidR="00433335" w:rsidRPr="009754DD">
        <w:t>28,0% (в 20</w:t>
      </w:r>
      <w:r w:rsidR="00D90C07" w:rsidRPr="009754DD">
        <w:t>1</w:t>
      </w:r>
      <w:r w:rsidR="00433335" w:rsidRPr="009754DD">
        <w:t>2</w:t>
      </w:r>
      <w:r w:rsidR="00271823" w:rsidRPr="009754DD">
        <w:t xml:space="preserve"> году </w:t>
      </w:r>
      <w:r w:rsidR="00D90C07" w:rsidRPr="009754DD">
        <w:t>–</w:t>
      </w:r>
      <w:r w:rsidR="00271823" w:rsidRPr="009754DD">
        <w:t xml:space="preserve"> </w:t>
      </w:r>
      <w:r w:rsidR="00433335" w:rsidRPr="009754DD">
        <w:t>29,5</w:t>
      </w:r>
      <w:r w:rsidR="00271823" w:rsidRPr="009754DD">
        <w:t xml:space="preserve"> процента)</w:t>
      </w:r>
      <w:r w:rsidR="004125E0" w:rsidRPr="009754DD">
        <w:t>.</w:t>
      </w:r>
      <w:r w:rsidRPr="009754DD">
        <w:t xml:space="preserve"> </w:t>
      </w:r>
      <w:r w:rsidR="00BA18B2" w:rsidRPr="009754DD">
        <w:t>П</w:t>
      </w:r>
      <w:r w:rsidR="00433335" w:rsidRPr="009754DD">
        <w:t>о сравнению с 2012</w:t>
      </w:r>
      <w:r w:rsidR="00BA18B2" w:rsidRPr="009754DD">
        <w:t xml:space="preserve"> годом о</w:t>
      </w:r>
      <w:r w:rsidRPr="009754DD">
        <w:t xml:space="preserve">бъем дотаций </w:t>
      </w:r>
      <w:r w:rsidR="00433335" w:rsidRPr="009754DD">
        <w:t>увеличился</w:t>
      </w:r>
      <w:r w:rsidRPr="009754DD">
        <w:t xml:space="preserve"> на </w:t>
      </w:r>
      <w:r w:rsidR="00433335" w:rsidRPr="009754DD">
        <w:t>1,9</w:t>
      </w:r>
      <w:r w:rsidRPr="009754DD">
        <w:t xml:space="preserve">% и составил </w:t>
      </w:r>
      <w:r w:rsidR="00433335" w:rsidRPr="009754DD">
        <w:t>314,6</w:t>
      </w:r>
      <w:r w:rsidR="00697D7E" w:rsidRPr="009754DD">
        <w:t xml:space="preserve"> </w:t>
      </w:r>
      <w:r w:rsidRPr="009754DD">
        <w:t xml:space="preserve">млрд. рублей, в том числе </w:t>
      </w:r>
      <w:r w:rsidR="00433335" w:rsidRPr="009754DD">
        <w:t>170,3</w:t>
      </w:r>
      <w:r w:rsidRPr="009754DD">
        <w:t xml:space="preserve"> млрд. рублей (</w:t>
      </w:r>
      <w:r w:rsidR="00433335" w:rsidRPr="009754DD">
        <w:t>2,6</w:t>
      </w:r>
      <w:r w:rsidRPr="009754DD">
        <w:t xml:space="preserve">%) поступило в бюджеты муниципальных районов, </w:t>
      </w:r>
      <w:r w:rsidR="00433335" w:rsidRPr="009754DD">
        <w:t>75,6</w:t>
      </w:r>
      <w:r w:rsidR="00CE62C2" w:rsidRPr="009754DD">
        <w:t xml:space="preserve"> </w:t>
      </w:r>
      <w:r w:rsidRPr="009754DD">
        <w:t>млрд. рублей (</w:t>
      </w:r>
      <w:r w:rsidR="00433335" w:rsidRPr="009754DD">
        <w:t>уменьшился на 0,7</w:t>
      </w:r>
      <w:r w:rsidRPr="009754DD">
        <w:t xml:space="preserve">%) – в бюджеты городских округов, </w:t>
      </w:r>
      <w:r w:rsidR="00433335" w:rsidRPr="009754DD">
        <w:t>68,7</w:t>
      </w:r>
      <w:r w:rsidRPr="009754DD">
        <w:t xml:space="preserve"> млрд. рублей (</w:t>
      </w:r>
      <w:r w:rsidR="00433335" w:rsidRPr="009754DD">
        <w:t>3,5</w:t>
      </w:r>
      <w:r w:rsidRPr="009754DD">
        <w:t xml:space="preserve">%) – в бюджеты поселений. </w:t>
      </w:r>
    </w:p>
    <w:p w:rsidR="00CC68BF" w:rsidRPr="009754DD" w:rsidRDefault="00CC68BF" w:rsidP="00CC68BF">
      <w:pPr>
        <w:pStyle w:val="a7"/>
      </w:pPr>
      <w:r w:rsidRPr="009754DD">
        <w:t>Максимальное увеличение объема дотаций местным бюджетам в 20</w:t>
      </w:r>
      <w:r w:rsidR="00FC7E8F" w:rsidRPr="009754DD">
        <w:t>1</w:t>
      </w:r>
      <w:r w:rsidR="00BA6782" w:rsidRPr="009754DD">
        <w:t>3</w:t>
      </w:r>
      <w:r w:rsidRPr="009754DD">
        <w:t xml:space="preserve"> году по сравнению с 20</w:t>
      </w:r>
      <w:r w:rsidR="00916453" w:rsidRPr="009754DD">
        <w:t>1</w:t>
      </w:r>
      <w:r w:rsidR="00BA6782" w:rsidRPr="009754DD">
        <w:t>2</w:t>
      </w:r>
      <w:r w:rsidR="005B4F29" w:rsidRPr="009754DD">
        <w:t xml:space="preserve"> </w:t>
      </w:r>
      <w:r w:rsidRPr="009754DD">
        <w:t xml:space="preserve">годом наблюдалось </w:t>
      </w:r>
      <w:r w:rsidR="00616F88" w:rsidRPr="009754DD">
        <w:t xml:space="preserve">в </w:t>
      </w:r>
      <w:r w:rsidR="00FA22DC" w:rsidRPr="009754DD">
        <w:t>Краснодарском крае</w:t>
      </w:r>
      <w:r w:rsidR="005B4F29" w:rsidRPr="009754DD">
        <w:t xml:space="preserve"> </w:t>
      </w:r>
      <w:r w:rsidR="00616F88" w:rsidRPr="009754DD">
        <w:t xml:space="preserve">– на </w:t>
      </w:r>
      <w:r w:rsidR="00BA6782" w:rsidRPr="009754DD">
        <w:t>130,1</w:t>
      </w:r>
      <w:r w:rsidR="00616F88" w:rsidRPr="009754DD">
        <w:t>% (</w:t>
      </w:r>
      <w:r w:rsidR="00BA6782" w:rsidRPr="009754DD">
        <w:t>4,1</w:t>
      </w:r>
      <w:r w:rsidR="00616F88" w:rsidRPr="009754DD">
        <w:t xml:space="preserve"> млрд. рублей), в </w:t>
      </w:r>
      <w:r w:rsidR="00BA6782" w:rsidRPr="009754DD">
        <w:t>Свердловская область</w:t>
      </w:r>
      <w:r w:rsidR="00616F88" w:rsidRPr="009754DD">
        <w:t xml:space="preserve"> на </w:t>
      </w:r>
      <w:r w:rsidR="00BA6782" w:rsidRPr="009754DD">
        <w:t>66,6</w:t>
      </w:r>
      <w:r w:rsidR="00616F88" w:rsidRPr="009754DD">
        <w:t>% (</w:t>
      </w:r>
      <w:r w:rsidR="00BA6782" w:rsidRPr="009754DD">
        <w:t>2,1</w:t>
      </w:r>
      <w:r w:rsidR="00616F88" w:rsidRPr="009754DD">
        <w:t xml:space="preserve"> млрд. рублей), в </w:t>
      </w:r>
      <w:r w:rsidR="00BA6782" w:rsidRPr="009754DD">
        <w:t>Ярославской области</w:t>
      </w:r>
      <w:r w:rsidR="00616F88" w:rsidRPr="009754DD">
        <w:t xml:space="preserve"> </w:t>
      </w:r>
      <w:r w:rsidR="00916453" w:rsidRPr="009754DD">
        <w:t xml:space="preserve">на </w:t>
      </w:r>
      <w:r w:rsidR="00BA6782" w:rsidRPr="009754DD">
        <w:t>62,6</w:t>
      </w:r>
      <w:r w:rsidR="00916453" w:rsidRPr="009754DD">
        <w:t>% (</w:t>
      </w:r>
      <w:r w:rsidR="00BA6782" w:rsidRPr="009754DD">
        <w:t>1,6</w:t>
      </w:r>
      <w:r w:rsidR="00916453" w:rsidRPr="009754DD">
        <w:t xml:space="preserve"> млрд. рублей) </w:t>
      </w:r>
      <w:r w:rsidR="00616F88" w:rsidRPr="009754DD">
        <w:t xml:space="preserve">и </w:t>
      </w:r>
      <w:r w:rsidR="00BA6782" w:rsidRPr="009754DD">
        <w:t>Амурской области</w:t>
      </w:r>
      <w:r w:rsidR="00616F88" w:rsidRPr="009754DD">
        <w:t xml:space="preserve"> </w:t>
      </w:r>
      <w:r w:rsidR="005B4F29" w:rsidRPr="009754DD">
        <w:t xml:space="preserve">- </w:t>
      </w:r>
      <w:proofErr w:type="gramStart"/>
      <w:r w:rsidR="00616F88" w:rsidRPr="009754DD">
        <w:t>на</w:t>
      </w:r>
      <w:proofErr w:type="gramEnd"/>
      <w:r w:rsidR="00616F88" w:rsidRPr="009754DD">
        <w:t xml:space="preserve"> </w:t>
      </w:r>
      <w:r w:rsidR="00BA6782" w:rsidRPr="009754DD">
        <w:t>40,0</w:t>
      </w:r>
      <w:r w:rsidR="00616F88" w:rsidRPr="009754DD">
        <w:t>% (</w:t>
      </w:r>
      <w:r w:rsidR="00BA6782" w:rsidRPr="009754DD">
        <w:t>1,3</w:t>
      </w:r>
      <w:r w:rsidR="00616F88" w:rsidRPr="009754DD">
        <w:t xml:space="preserve"> млрд. рублей)</w:t>
      </w:r>
      <w:r w:rsidR="00863902" w:rsidRPr="009754DD">
        <w:t>.</w:t>
      </w:r>
      <w:r w:rsidR="00616F88" w:rsidRPr="009754DD">
        <w:t xml:space="preserve"> </w:t>
      </w:r>
      <w:r w:rsidRPr="009754DD">
        <w:t xml:space="preserve">Наиболее значительное снижение объема дотаций отмечается в местных бюджетах </w:t>
      </w:r>
      <w:r w:rsidR="001D6EC7">
        <w:t>Республики</w:t>
      </w:r>
      <w:r w:rsidR="00BA6782" w:rsidRPr="009754DD">
        <w:t xml:space="preserve"> Мордовия</w:t>
      </w:r>
      <w:r w:rsidR="005E20D8" w:rsidRPr="009754DD">
        <w:t xml:space="preserve"> </w:t>
      </w:r>
      <w:r w:rsidRPr="009754DD">
        <w:t xml:space="preserve">на </w:t>
      </w:r>
      <w:r w:rsidR="00BA6782" w:rsidRPr="009754DD">
        <w:t>77,7</w:t>
      </w:r>
      <w:r w:rsidR="005E20D8" w:rsidRPr="009754DD">
        <w:t>% (</w:t>
      </w:r>
      <w:r w:rsidR="00BA6782" w:rsidRPr="009754DD">
        <w:t>0,5</w:t>
      </w:r>
      <w:r w:rsidRPr="009754DD">
        <w:t xml:space="preserve"> млрд. рублей), </w:t>
      </w:r>
      <w:r w:rsidR="00325D3A" w:rsidRPr="009754DD">
        <w:t>Тюменской области</w:t>
      </w:r>
      <w:r w:rsidRPr="009754DD">
        <w:t xml:space="preserve"> на </w:t>
      </w:r>
      <w:r w:rsidR="00325D3A" w:rsidRPr="009754DD">
        <w:t>48,1</w:t>
      </w:r>
      <w:r w:rsidRPr="009754DD">
        <w:t>% (</w:t>
      </w:r>
      <w:r w:rsidR="00325D3A" w:rsidRPr="009754DD">
        <w:t>6,2</w:t>
      </w:r>
      <w:r w:rsidRPr="009754DD">
        <w:t xml:space="preserve"> млрд. рублей), </w:t>
      </w:r>
      <w:r w:rsidR="00325D3A" w:rsidRPr="009754DD">
        <w:t>Калининградской области</w:t>
      </w:r>
      <w:r w:rsidRPr="009754DD">
        <w:t xml:space="preserve"> на </w:t>
      </w:r>
      <w:r w:rsidR="00325D3A" w:rsidRPr="009754DD">
        <w:t>47,2</w:t>
      </w:r>
      <w:r w:rsidRPr="009754DD">
        <w:t>% (</w:t>
      </w:r>
      <w:r w:rsidR="00325D3A" w:rsidRPr="009754DD">
        <w:t>1,2</w:t>
      </w:r>
      <w:r w:rsidRPr="009754DD">
        <w:t xml:space="preserve"> млрд. рублей)</w:t>
      </w:r>
      <w:r w:rsidR="005E20D8" w:rsidRPr="009754DD">
        <w:t xml:space="preserve">, </w:t>
      </w:r>
      <w:r w:rsidR="001D6EC7">
        <w:t>Хабаровского края</w:t>
      </w:r>
      <w:r w:rsidR="005E20D8" w:rsidRPr="009754DD">
        <w:t xml:space="preserve"> на </w:t>
      </w:r>
      <w:r w:rsidR="00325D3A" w:rsidRPr="009754DD">
        <w:t>43,3% (1,5</w:t>
      </w:r>
      <w:r w:rsidR="005E20D8" w:rsidRPr="009754DD">
        <w:t xml:space="preserve"> млрд. рублей) </w:t>
      </w:r>
      <w:r w:rsidRPr="009754DD">
        <w:t xml:space="preserve"> и  </w:t>
      </w:r>
      <w:r w:rsidR="00325D3A" w:rsidRPr="009754DD">
        <w:t>Ханты-Мансийского автономного округа</w:t>
      </w:r>
      <w:r w:rsidR="005E20D8" w:rsidRPr="009754DD">
        <w:t xml:space="preserve"> </w:t>
      </w:r>
      <w:r w:rsidRPr="009754DD">
        <w:t xml:space="preserve">на </w:t>
      </w:r>
      <w:r w:rsidR="00325D3A" w:rsidRPr="009754DD">
        <w:t>31,7</w:t>
      </w:r>
      <w:r w:rsidRPr="009754DD">
        <w:t>% (</w:t>
      </w:r>
      <w:r w:rsidR="00325D3A" w:rsidRPr="009754DD">
        <w:t>5,5</w:t>
      </w:r>
      <w:r w:rsidRPr="009754DD">
        <w:t xml:space="preserve"> млрд. рублей).</w:t>
      </w:r>
    </w:p>
    <w:p w:rsidR="00CC68BF" w:rsidRPr="009754DD" w:rsidRDefault="00CC68BF" w:rsidP="00CC68BF">
      <w:pPr>
        <w:pStyle w:val="a7"/>
      </w:pPr>
      <w:r w:rsidRPr="009754DD">
        <w:t>Структура дотаций, пред</w:t>
      </w:r>
      <w:r w:rsidR="006C77D0" w:rsidRPr="009754DD">
        <w:t>усмотренных в местных бюджетах в</w:t>
      </w:r>
      <w:r w:rsidRPr="009754DD">
        <w:t xml:space="preserve"> 20</w:t>
      </w:r>
      <w:r w:rsidR="00C457E0" w:rsidRPr="009754DD">
        <w:t>1</w:t>
      </w:r>
      <w:r w:rsidR="00325D3A" w:rsidRPr="009754DD">
        <w:t>3</w:t>
      </w:r>
      <w:r w:rsidR="00DE68A2" w:rsidRPr="009754DD">
        <w:t xml:space="preserve"> </w:t>
      </w:r>
      <w:r w:rsidRPr="009754DD">
        <w:t>год</w:t>
      </w:r>
      <w:r w:rsidR="006C77D0" w:rsidRPr="009754DD">
        <w:t>у</w:t>
      </w:r>
      <w:r w:rsidRPr="009754DD">
        <w:t>, приведена на следующей диаграмме.</w:t>
      </w:r>
    </w:p>
    <w:p w:rsidR="001F14A1" w:rsidRPr="009754DD" w:rsidRDefault="001F14A1" w:rsidP="00CC68BF">
      <w:pPr>
        <w:pStyle w:val="a7"/>
      </w:pPr>
    </w:p>
    <w:p w:rsidR="001F14A1" w:rsidRPr="009754DD" w:rsidRDefault="004A1E4D" w:rsidP="00CC68BF">
      <w:pPr>
        <w:pStyle w:val="a7"/>
      </w:pPr>
      <w:r w:rsidRPr="009754DD">
        <w:rPr>
          <w:noProof/>
        </w:rPr>
        <w:lastRenderedPageBreak/>
        <w:drawing>
          <wp:inline distT="0" distB="0" distL="0" distR="0" wp14:anchorId="7963D8CF" wp14:editId="0681684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68BF" w:rsidRPr="009754DD" w:rsidRDefault="00CC68BF" w:rsidP="002013CC">
      <w:pPr>
        <w:jc w:val="both"/>
        <w:rPr>
          <w:b/>
          <w:highlight w:val="red"/>
        </w:rPr>
      </w:pPr>
    </w:p>
    <w:p w:rsidR="00CC68BF" w:rsidRPr="009754DD" w:rsidRDefault="00CC68BF" w:rsidP="00CC68BF">
      <w:pPr>
        <w:jc w:val="both"/>
      </w:pPr>
      <w:r w:rsidRPr="009754DD">
        <w:tab/>
      </w:r>
    </w:p>
    <w:p w:rsidR="00CC68BF" w:rsidRPr="009754DD" w:rsidRDefault="00CC68BF" w:rsidP="00CC68BF">
      <w:pPr>
        <w:ind w:firstLine="709"/>
        <w:jc w:val="both"/>
      </w:pPr>
      <w:r w:rsidRPr="009754DD">
        <w:t xml:space="preserve">Дотации на выравнивание бюджетной обеспеченности  муниципальных образований  составляют </w:t>
      </w:r>
      <w:r w:rsidR="00703154" w:rsidRPr="009754DD">
        <w:t>75,3</w:t>
      </w:r>
      <w:r w:rsidRPr="009754DD">
        <w:t xml:space="preserve">% </w:t>
      </w:r>
      <w:r w:rsidR="00BA18B2" w:rsidRPr="009754DD">
        <w:t>от</w:t>
      </w:r>
      <w:r w:rsidRPr="009754DD">
        <w:t xml:space="preserve"> общего объема дотаций (</w:t>
      </w:r>
      <w:r w:rsidR="00703154" w:rsidRPr="009754DD">
        <w:t>236,8</w:t>
      </w:r>
      <w:r w:rsidRPr="009754DD">
        <w:t xml:space="preserve"> млрд. рублей). По сравнению с 20</w:t>
      </w:r>
      <w:r w:rsidR="00EA4461" w:rsidRPr="009754DD">
        <w:t>1</w:t>
      </w:r>
      <w:r w:rsidR="00703154" w:rsidRPr="009754DD">
        <w:t>2</w:t>
      </w:r>
      <w:r w:rsidRPr="009754DD">
        <w:t xml:space="preserve"> годом объем указанных дотаций </w:t>
      </w:r>
      <w:r w:rsidR="00703154" w:rsidRPr="009754DD">
        <w:t>увеличился</w:t>
      </w:r>
      <w:r w:rsidRPr="009754DD">
        <w:t xml:space="preserve"> на </w:t>
      </w:r>
      <w:r w:rsidR="004606C7">
        <w:t>2</w:t>
      </w:r>
      <w:r w:rsidR="00830EF0" w:rsidRPr="009754DD">
        <w:t>,9</w:t>
      </w:r>
      <w:r w:rsidR="00111C72" w:rsidRPr="009754DD">
        <w:t>% или</w:t>
      </w:r>
      <w:r w:rsidRPr="009754DD">
        <w:t xml:space="preserve"> </w:t>
      </w:r>
      <w:r w:rsidR="00111C72" w:rsidRPr="009754DD">
        <w:t xml:space="preserve">на </w:t>
      </w:r>
      <w:r w:rsidR="00830EF0" w:rsidRPr="009754DD">
        <w:t>6</w:t>
      </w:r>
      <w:r w:rsidR="0018497A">
        <w:t>,6</w:t>
      </w:r>
      <w:r w:rsidRPr="009754DD">
        <w:t xml:space="preserve"> млрд. рублей. </w:t>
      </w:r>
    </w:p>
    <w:p w:rsidR="00CC68BF" w:rsidRPr="009754DD" w:rsidRDefault="00CC68BF" w:rsidP="00CC68BF">
      <w:pPr>
        <w:ind w:firstLine="709"/>
        <w:jc w:val="both"/>
      </w:pPr>
      <w:r w:rsidRPr="009754DD">
        <w:t>В 20</w:t>
      </w:r>
      <w:r w:rsidR="004826F9" w:rsidRPr="009754DD">
        <w:t>1</w:t>
      </w:r>
      <w:r w:rsidR="00624D19" w:rsidRPr="009754DD">
        <w:t>3</w:t>
      </w:r>
      <w:r w:rsidR="004826F9" w:rsidRPr="009754DD">
        <w:t xml:space="preserve"> </w:t>
      </w:r>
      <w:r w:rsidRPr="009754DD">
        <w:t xml:space="preserve">году наименее дотационными являлись городские округа, в бюджетах которых удельный вес дотаций в собственных доходах составил </w:t>
      </w:r>
      <w:r w:rsidR="00FA22DC" w:rsidRPr="009754DD">
        <w:t>6,2</w:t>
      </w:r>
      <w:r w:rsidRPr="009754DD">
        <w:t>%, в бюджетах поселений и муниципальных районов,</w:t>
      </w:r>
      <w:r w:rsidR="00C25A1D" w:rsidRPr="009754DD">
        <w:t xml:space="preserve"> </w:t>
      </w:r>
      <w:r w:rsidRPr="009754DD">
        <w:t xml:space="preserve">соответственно, </w:t>
      </w:r>
      <w:r w:rsidR="00FA22DC" w:rsidRPr="009754DD">
        <w:t>19,9</w:t>
      </w:r>
      <w:r w:rsidR="00922402" w:rsidRPr="009754DD">
        <w:t>% и 19,6</w:t>
      </w:r>
      <w:r w:rsidR="00AF08D5" w:rsidRPr="009754DD">
        <w:t xml:space="preserve"> процента</w:t>
      </w:r>
      <w:r w:rsidRPr="009754DD">
        <w:t xml:space="preserve">. Данное соотношение связано с более высокой бюджетной обеспеченностью бюджетов городских округов по сравнению с бюджетами других типов муниципальных образований, что обусловлено преимущественной концентрацией налоговой базы по основным федеральным и местным налогам в указанных муниципальных образованиях. </w:t>
      </w:r>
    </w:p>
    <w:p w:rsidR="000E70E3" w:rsidRPr="009754DD" w:rsidRDefault="0016002F" w:rsidP="000E70E3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754DD">
        <w:rPr>
          <w:szCs w:val="28"/>
        </w:rPr>
        <w:t xml:space="preserve">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бюджете субъекта Российской Федерации предусматриваются </w:t>
      </w:r>
      <w:proofErr w:type="gramStart"/>
      <w:r w:rsidRPr="009754DD">
        <w:rPr>
          <w:szCs w:val="28"/>
        </w:rPr>
        <w:t>дотации</w:t>
      </w:r>
      <w:proofErr w:type="gramEnd"/>
      <w:r w:rsidRPr="009754DD">
        <w:rPr>
          <w:szCs w:val="28"/>
        </w:rPr>
        <w:t xml:space="preserve"> на выравнивание бюджетной обеспеченности поселений исходя из численности жителей и (или) бюджетной обеспеченности.</w:t>
      </w:r>
      <w:r w:rsidR="000E70E3" w:rsidRPr="009754DD">
        <w:rPr>
          <w:szCs w:val="28"/>
        </w:rPr>
        <w:t xml:space="preserve"> Дотации на выравнивание бюджетной обеспеченности поселений образуют региональный фонд финансовой поддержки поселений.</w:t>
      </w:r>
    </w:p>
    <w:p w:rsidR="0016002F" w:rsidRPr="009754DD" w:rsidRDefault="000E70E3" w:rsidP="006D61D8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 w:rsidRPr="009754DD">
        <w:rPr>
          <w:szCs w:val="28"/>
        </w:rPr>
        <w:t>В 201</w:t>
      </w:r>
      <w:r w:rsidR="00D359D0" w:rsidRPr="009754DD">
        <w:rPr>
          <w:szCs w:val="28"/>
        </w:rPr>
        <w:t>3</w:t>
      </w:r>
      <w:r w:rsidRPr="009754DD">
        <w:rPr>
          <w:szCs w:val="28"/>
        </w:rPr>
        <w:t xml:space="preserve"> году общий объем средств фондов финансовой поддержки поселений составил </w:t>
      </w:r>
      <w:r w:rsidR="000F3F1C" w:rsidRPr="009754DD">
        <w:rPr>
          <w:szCs w:val="28"/>
        </w:rPr>
        <w:t>13,7</w:t>
      </w:r>
      <w:r w:rsidRPr="009754DD">
        <w:rPr>
          <w:szCs w:val="28"/>
        </w:rPr>
        <w:t xml:space="preserve"> млрд. рублей</w:t>
      </w:r>
      <w:r w:rsidR="00C053DB" w:rsidRPr="009754DD">
        <w:rPr>
          <w:szCs w:val="28"/>
        </w:rPr>
        <w:t xml:space="preserve"> (</w:t>
      </w:r>
      <w:r w:rsidR="00BA52A6" w:rsidRPr="009754DD">
        <w:rPr>
          <w:szCs w:val="28"/>
        </w:rPr>
        <w:t>в</w:t>
      </w:r>
      <w:r w:rsidR="00C053DB" w:rsidRPr="009754DD">
        <w:rPr>
          <w:szCs w:val="28"/>
        </w:rPr>
        <w:t xml:space="preserve"> </w:t>
      </w:r>
      <w:r w:rsidR="004E0D20" w:rsidRPr="009754DD">
        <w:rPr>
          <w:szCs w:val="28"/>
        </w:rPr>
        <w:t>5</w:t>
      </w:r>
      <w:r w:rsidR="00723AFF" w:rsidRPr="009754DD">
        <w:rPr>
          <w:szCs w:val="28"/>
        </w:rPr>
        <w:t>7</w:t>
      </w:r>
      <w:r w:rsidR="00C053DB" w:rsidRPr="009754DD">
        <w:rPr>
          <w:szCs w:val="28"/>
        </w:rPr>
        <w:t xml:space="preserve"> субъект</w:t>
      </w:r>
      <w:r w:rsidR="00BA52A6" w:rsidRPr="009754DD">
        <w:rPr>
          <w:szCs w:val="28"/>
        </w:rPr>
        <w:t>ах</w:t>
      </w:r>
      <w:r w:rsidR="00C053DB" w:rsidRPr="009754DD">
        <w:rPr>
          <w:szCs w:val="28"/>
        </w:rPr>
        <w:t xml:space="preserve"> Российской Федерации)</w:t>
      </w:r>
      <w:r w:rsidR="004E0D20" w:rsidRPr="009754DD">
        <w:rPr>
          <w:szCs w:val="28"/>
        </w:rPr>
        <w:t>,</w:t>
      </w:r>
      <w:r w:rsidR="00BA52A6" w:rsidRPr="009754DD">
        <w:rPr>
          <w:szCs w:val="28"/>
        </w:rPr>
        <w:t xml:space="preserve"> в</w:t>
      </w:r>
      <w:r w:rsidRPr="009754DD">
        <w:rPr>
          <w:szCs w:val="28"/>
        </w:rPr>
        <w:t xml:space="preserve"> том числе</w:t>
      </w:r>
      <w:r w:rsidR="00570553" w:rsidRPr="009754DD">
        <w:rPr>
          <w:szCs w:val="28"/>
        </w:rPr>
        <w:t>,</w:t>
      </w:r>
      <w:r w:rsidRPr="009754DD">
        <w:rPr>
          <w:szCs w:val="28"/>
        </w:rPr>
        <w:t xml:space="preserve"> исходя из уровня бюджетной обеспеченности</w:t>
      </w:r>
      <w:r w:rsidR="00865BC3" w:rsidRPr="009754DD">
        <w:rPr>
          <w:szCs w:val="28"/>
        </w:rPr>
        <w:t xml:space="preserve"> (в части городских и сельских поселений)</w:t>
      </w:r>
      <w:r w:rsidRPr="009754DD">
        <w:rPr>
          <w:szCs w:val="28"/>
        </w:rPr>
        <w:t xml:space="preserve"> в размере </w:t>
      </w:r>
      <w:r w:rsidR="000F3F1C" w:rsidRPr="009754DD">
        <w:rPr>
          <w:szCs w:val="28"/>
        </w:rPr>
        <w:t>6,4</w:t>
      </w:r>
      <w:r w:rsidRPr="009754DD">
        <w:rPr>
          <w:szCs w:val="28"/>
        </w:rPr>
        <w:t xml:space="preserve"> млрд. р</w:t>
      </w:r>
      <w:r w:rsidR="00865BC3" w:rsidRPr="009754DD">
        <w:rPr>
          <w:szCs w:val="28"/>
        </w:rPr>
        <w:t>ублей</w:t>
      </w:r>
      <w:r w:rsidR="00C053DB" w:rsidRPr="009754DD">
        <w:rPr>
          <w:szCs w:val="28"/>
        </w:rPr>
        <w:t xml:space="preserve"> (</w:t>
      </w:r>
      <w:r w:rsidR="00BA52A6" w:rsidRPr="009754DD">
        <w:rPr>
          <w:szCs w:val="28"/>
        </w:rPr>
        <w:t>в</w:t>
      </w:r>
      <w:r w:rsidR="00C053DB" w:rsidRPr="009754DD">
        <w:rPr>
          <w:szCs w:val="28"/>
        </w:rPr>
        <w:t xml:space="preserve"> </w:t>
      </w:r>
      <w:r w:rsidR="00D359D0" w:rsidRPr="009754DD">
        <w:rPr>
          <w:szCs w:val="28"/>
        </w:rPr>
        <w:t>14</w:t>
      </w:r>
      <w:r w:rsidR="00C053DB" w:rsidRPr="009754DD">
        <w:rPr>
          <w:szCs w:val="28"/>
        </w:rPr>
        <w:t xml:space="preserve"> субъект</w:t>
      </w:r>
      <w:r w:rsidR="00BA52A6" w:rsidRPr="009754DD">
        <w:rPr>
          <w:szCs w:val="28"/>
        </w:rPr>
        <w:t>ах</w:t>
      </w:r>
      <w:r w:rsidR="00C053DB" w:rsidRPr="009754DD">
        <w:rPr>
          <w:szCs w:val="28"/>
        </w:rPr>
        <w:t xml:space="preserve"> Российской Федерации)</w:t>
      </w:r>
      <w:r w:rsidR="00865BC3" w:rsidRPr="009754DD">
        <w:rPr>
          <w:szCs w:val="28"/>
        </w:rPr>
        <w:t xml:space="preserve">, </w:t>
      </w:r>
      <w:r w:rsidRPr="009754DD">
        <w:rPr>
          <w:szCs w:val="28"/>
        </w:rPr>
        <w:t xml:space="preserve"> исходя из расчета на 1 жителя</w:t>
      </w:r>
      <w:r w:rsidR="00865BC3" w:rsidRPr="009754DD">
        <w:rPr>
          <w:szCs w:val="28"/>
        </w:rPr>
        <w:t xml:space="preserve"> (в части городских и сельских поселений)</w:t>
      </w:r>
      <w:r w:rsidRPr="009754DD">
        <w:rPr>
          <w:szCs w:val="28"/>
        </w:rPr>
        <w:t xml:space="preserve"> – </w:t>
      </w:r>
      <w:r w:rsidR="000F3F1C" w:rsidRPr="009754DD">
        <w:rPr>
          <w:szCs w:val="28"/>
        </w:rPr>
        <w:t>1,9</w:t>
      </w:r>
      <w:r w:rsidRPr="009754DD">
        <w:rPr>
          <w:szCs w:val="28"/>
        </w:rPr>
        <w:t xml:space="preserve"> млрд. рублей</w:t>
      </w:r>
      <w:r w:rsidR="00C053DB" w:rsidRPr="009754DD">
        <w:rPr>
          <w:szCs w:val="28"/>
        </w:rPr>
        <w:t xml:space="preserve"> (</w:t>
      </w:r>
      <w:r w:rsidR="00BA52A6" w:rsidRPr="009754DD">
        <w:rPr>
          <w:szCs w:val="28"/>
        </w:rPr>
        <w:t>в</w:t>
      </w:r>
      <w:r w:rsidR="00D359D0" w:rsidRPr="009754DD">
        <w:rPr>
          <w:szCs w:val="28"/>
        </w:rPr>
        <w:t xml:space="preserve"> 9</w:t>
      </w:r>
      <w:proofErr w:type="gramEnd"/>
      <w:r w:rsidR="00C053DB" w:rsidRPr="009754DD">
        <w:rPr>
          <w:szCs w:val="28"/>
        </w:rPr>
        <w:t xml:space="preserve"> </w:t>
      </w:r>
      <w:proofErr w:type="gramStart"/>
      <w:r w:rsidR="00C053DB" w:rsidRPr="009754DD">
        <w:rPr>
          <w:szCs w:val="28"/>
        </w:rPr>
        <w:t>субъект</w:t>
      </w:r>
      <w:r w:rsidR="00BA52A6" w:rsidRPr="009754DD">
        <w:rPr>
          <w:szCs w:val="28"/>
        </w:rPr>
        <w:t>ах</w:t>
      </w:r>
      <w:proofErr w:type="gramEnd"/>
      <w:r w:rsidR="00C053DB" w:rsidRPr="009754DD">
        <w:rPr>
          <w:szCs w:val="28"/>
        </w:rPr>
        <w:t xml:space="preserve"> Российской Федерации)</w:t>
      </w:r>
      <w:r w:rsidR="00865BC3" w:rsidRPr="009754DD">
        <w:rPr>
          <w:szCs w:val="28"/>
        </w:rPr>
        <w:t xml:space="preserve"> и исходя из расчета на 1 жителя (в части городских округов) – </w:t>
      </w:r>
      <w:r w:rsidR="000F3F1C" w:rsidRPr="009754DD">
        <w:rPr>
          <w:szCs w:val="28"/>
        </w:rPr>
        <w:t>5,4</w:t>
      </w:r>
      <w:r w:rsidR="00865BC3" w:rsidRPr="009754DD">
        <w:rPr>
          <w:szCs w:val="28"/>
        </w:rPr>
        <w:t xml:space="preserve"> млрд. рублей</w:t>
      </w:r>
      <w:r w:rsidR="00C053DB" w:rsidRPr="009754DD">
        <w:rPr>
          <w:szCs w:val="28"/>
        </w:rPr>
        <w:t xml:space="preserve"> (</w:t>
      </w:r>
      <w:r w:rsidR="00BA52A6" w:rsidRPr="009754DD">
        <w:rPr>
          <w:szCs w:val="28"/>
        </w:rPr>
        <w:t>в</w:t>
      </w:r>
      <w:r w:rsidR="00C053DB" w:rsidRPr="009754DD">
        <w:rPr>
          <w:szCs w:val="28"/>
        </w:rPr>
        <w:t xml:space="preserve"> 5</w:t>
      </w:r>
      <w:r w:rsidR="00D359D0" w:rsidRPr="009754DD">
        <w:rPr>
          <w:szCs w:val="28"/>
        </w:rPr>
        <w:t>1</w:t>
      </w:r>
      <w:r w:rsidR="00C053DB" w:rsidRPr="009754DD">
        <w:rPr>
          <w:szCs w:val="28"/>
        </w:rPr>
        <w:t xml:space="preserve"> субъект</w:t>
      </w:r>
      <w:r w:rsidR="00FA22DC" w:rsidRPr="009754DD">
        <w:rPr>
          <w:szCs w:val="28"/>
        </w:rPr>
        <w:t>е</w:t>
      </w:r>
      <w:r w:rsidR="00C053DB" w:rsidRPr="009754DD">
        <w:rPr>
          <w:szCs w:val="28"/>
        </w:rPr>
        <w:t xml:space="preserve"> Российской Федерации</w:t>
      </w:r>
      <w:r w:rsidR="00570553" w:rsidRPr="009754DD">
        <w:rPr>
          <w:szCs w:val="28"/>
        </w:rPr>
        <w:t>)</w:t>
      </w:r>
      <w:r w:rsidRPr="009754DD">
        <w:rPr>
          <w:szCs w:val="28"/>
        </w:rPr>
        <w:t xml:space="preserve">. </w:t>
      </w:r>
      <w:r w:rsidR="004E0D20" w:rsidRPr="009754DD">
        <w:rPr>
          <w:szCs w:val="28"/>
        </w:rPr>
        <w:t xml:space="preserve"> Объем </w:t>
      </w:r>
      <w:r w:rsidR="004E0D20" w:rsidRPr="009754DD">
        <w:rPr>
          <w:szCs w:val="28"/>
        </w:rPr>
        <w:lastRenderedPageBreak/>
        <w:t xml:space="preserve">средств фондов финансовой поддержки поселений </w:t>
      </w:r>
      <w:r w:rsidR="005126CE" w:rsidRPr="009754DD">
        <w:rPr>
          <w:szCs w:val="28"/>
        </w:rPr>
        <w:t xml:space="preserve">увеличился </w:t>
      </w:r>
      <w:r w:rsidR="004E0D20" w:rsidRPr="009754DD">
        <w:rPr>
          <w:szCs w:val="28"/>
        </w:rPr>
        <w:t xml:space="preserve"> на </w:t>
      </w:r>
      <w:r w:rsidR="000F3F1C" w:rsidRPr="009754DD">
        <w:rPr>
          <w:szCs w:val="28"/>
        </w:rPr>
        <w:t>2,2</w:t>
      </w:r>
      <w:r w:rsidR="004E0D20" w:rsidRPr="009754DD">
        <w:rPr>
          <w:szCs w:val="28"/>
        </w:rPr>
        <w:t>% по сравнению с 201</w:t>
      </w:r>
      <w:r w:rsidR="006D61D8" w:rsidRPr="009754DD">
        <w:rPr>
          <w:szCs w:val="28"/>
        </w:rPr>
        <w:t>2</w:t>
      </w:r>
      <w:r w:rsidR="004E0D20" w:rsidRPr="009754DD">
        <w:rPr>
          <w:szCs w:val="28"/>
        </w:rPr>
        <w:t xml:space="preserve"> годом (в 201</w:t>
      </w:r>
      <w:r w:rsidR="006D61D8" w:rsidRPr="009754DD">
        <w:rPr>
          <w:szCs w:val="28"/>
        </w:rPr>
        <w:t>2 году – 13,4</w:t>
      </w:r>
      <w:r w:rsidR="004E0D20" w:rsidRPr="009754DD">
        <w:rPr>
          <w:szCs w:val="28"/>
        </w:rPr>
        <w:t xml:space="preserve"> млрд. рублей в </w:t>
      </w:r>
      <w:r w:rsidR="006D61D8" w:rsidRPr="009754DD">
        <w:rPr>
          <w:szCs w:val="28"/>
        </w:rPr>
        <w:t>57</w:t>
      </w:r>
      <w:r w:rsidR="004E0D20" w:rsidRPr="009754DD">
        <w:rPr>
          <w:szCs w:val="28"/>
        </w:rPr>
        <w:t>-ти субъектах Российской Федерации).</w:t>
      </w:r>
    </w:p>
    <w:p w:rsidR="00934742" w:rsidRPr="009754DD" w:rsidRDefault="00934742" w:rsidP="0093474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754DD">
        <w:rPr>
          <w:szCs w:val="28"/>
        </w:rPr>
        <w:t>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Федерации.</w:t>
      </w:r>
    </w:p>
    <w:p w:rsidR="006F03E6" w:rsidRPr="009754DD" w:rsidRDefault="00B92F41" w:rsidP="00D5237D">
      <w:pPr>
        <w:autoSpaceDE w:val="0"/>
        <w:autoSpaceDN w:val="0"/>
        <w:adjustRightInd w:val="0"/>
        <w:ind w:firstLine="540"/>
        <w:jc w:val="both"/>
        <w:outlineLvl w:val="3"/>
      </w:pPr>
      <w:proofErr w:type="gramStart"/>
      <w:r w:rsidRPr="009754DD">
        <w:rPr>
          <w:szCs w:val="28"/>
        </w:rPr>
        <w:t>В 201</w:t>
      </w:r>
      <w:r w:rsidR="00CD30EB" w:rsidRPr="009754DD">
        <w:rPr>
          <w:szCs w:val="28"/>
        </w:rPr>
        <w:t>3</w:t>
      </w:r>
      <w:r w:rsidRPr="009754DD">
        <w:rPr>
          <w:szCs w:val="28"/>
        </w:rPr>
        <w:t xml:space="preserve"> году из </w:t>
      </w:r>
      <w:r w:rsidR="001A1003" w:rsidRPr="009754DD">
        <w:rPr>
          <w:szCs w:val="28"/>
        </w:rPr>
        <w:t>бюджетов субъектов Российской Федерации</w:t>
      </w:r>
      <w:r w:rsidRPr="009754DD">
        <w:rPr>
          <w:szCs w:val="28"/>
        </w:rPr>
        <w:t xml:space="preserve"> в связи с передачей </w:t>
      </w:r>
      <w:r w:rsidR="00BA52A6" w:rsidRPr="009754DD">
        <w:rPr>
          <w:szCs w:val="28"/>
        </w:rPr>
        <w:t xml:space="preserve"> указанных </w:t>
      </w:r>
      <w:r w:rsidRPr="009754DD">
        <w:rPr>
          <w:szCs w:val="28"/>
        </w:rPr>
        <w:t>полномочий органов государственной власти субъект</w:t>
      </w:r>
      <w:r w:rsidR="00BA52A6" w:rsidRPr="009754DD">
        <w:rPr>
          <w:szCs w:val="28"/>
        </w:rPr>
        <w:t>ов</w:t>
      </w:r>
      <w:r w:rsidRPr="009754DD">
        <w:rPr>
          <w:szCs w:val="28"/>
        </w:rPr>
        <w:t xml:space="preserve"> Российской Федерации муниципальным районам было предоставлено субвенций в объеме</w:t>
      </w:r>
      <w:r w:rsidR="005531C9" w:rsidRPr="009754DD">
        <w:rPr>
          <w:szCs w:val="28"/>
        </w:rPr>
        <w:t xml:space="preserve"> </w:t>
      </w:r>
      <w:r w:rsidR="00CD30EB" w:rsidRPr="009754DD">
        <w:rPr>
          <w:szCs w:val="28"/>
        </w:rPr>
        <w:t>23,5</w:t>
      </w:r>
      <w:r w:rsidR="005C306E" w:rsidRPr="009754DD">
        <w:rPr>
          <w:szCs w:val="28"/>
        </w:rPr>
        <w:t xml:space="preserve"> </w:t>
      </w:r>
      <w:r w:rsidR="005531C9" w:rsidRPr="009754DD">
        <w:rPr>
          <w:szCs w:val="28"/>
        </w:rPr>
        <w:t>млрд. рублей 6</w:t>
      </w:r>
      <w:r w:rsidR="005C306E" w:rsidRPr="009754DD">
        <w:rPr>
          <w:szCs w:val="28"/>
        </w:rPr>
        <w:t>2</w:t>
      </w:r>
      <w:r w:rsidR="005531C9" w:rsidRPr="009754DD">
        <w:rPr>
          <w:szCs w:val="28"/>
        </w:rPr>
        <w:t xml:space="preserve"> субъектами Российской Федерации, что выше объема 201</w:t>
      </w:r>
      <w:r w:rsidR="00EA0289" w:rsidRPr="009754DD">
        <w:rPr>
          <w:szCs w:val="28"/>
        </w:rPr>
        <w:t xml:space="preserve">2 года на </w:t>
      </w:r>
      <w:r w:rsidR="00CD30EB" w:rsidRPr="009754DD">
        <w:rPr>
          <w:szCs w:val="28"/>
        </w:rPr>
        <w:t>13,0</w:t>
      </w:r>
      <w:r w:rsidR="00EA0289" w:rsidRPr="009754DD">
        <w:rPr>
          <w:szCs w:val="28"/>
        </w:rPr>
        <w:t>% (в 2012</w:t>
      </w:r>
      <w:r w:rsidR="005531C9" w:rsidRPr="009754DD">
        <w:rPr>
          <w:szCs w:val="28"/>
        </w:rPr>
        <w:t xml:space="preserve"> году </w:t>
      </w:r>
      <w:r w:rsidR="00EA0289" w:rsidRPr="009754DD">
        <w:rPr>
          <w:szCs w:val="28"/>
        </w:rPr>
        <w:t>–</w:t>
      </w:r>
      <w:r w:rsidR="005531C9" w:rsidRPr="009754DD">
        <w:rPr>
          <w:szCs w:val="28"/>
        </w:rPr>
        <w:t xml:space="preserve"> </w:t>
      </w:r>
      <w:r w:rsidR="00EA0289" w:rsidRPr="009754DD">
        <w:rPr>
          <w:szCs w:val="28"/>
        </w:rPr>
        <w:t>20,8</w:t>
      </w:r>
      <w:r w:rsidRPr="009754DD">
        <w:rPr>
          <w:szCs w:val="28"/>
        </w:rPr>
        <w:t xml:space="preserve"> млрд. рублей</w:t>
      </w:r>
      <w:r w:rsidR="005531C9" w:rsidRPr="009754DD">
        <w:rPr>
          <w:szCs w:val="28"/>
        </w:rPr>
        <w:t xml:space="preserve"> </w:t>
      </w:r>
      <w:r w:rsidRPr="009754DD">
        <w:rPr>
          <w:szCs w:val="28"/>
        </w:rPr>
        <w:t xml:space="preserve"> </w:t>
      </w:r>
      <w:r w:rsidR="00BA52A6" w:rsidRPr="009754DD">
        <w:rPr>
          <w:szCs w:val="28"/>
        </w:rPr>
        <w:t>6</w:t>
      </w:r>
      <w:r w:rsidR="00EA0289" w:rsidRPr="009754DD">
        <w:rPr>
          <w:szCs w:val="28"/>
        </w:rPr>
        <w:t>2</w:t>
      </w:r>
      <w:r w:rsidR="00BA52A6" w:rsidRPr="009754DD">
        <w:rPr>
          <w:szCs w:val="28"/>
        </w:rPr>
        <w:t xml:space="preserve"> субъектами</w:t>
      </w:r>
      <w:r w:rsidRPr="009754DD">
        <w:rPr>
          <w:szCs w:val="28"/>
        </w:rPr>
        <w:t xml:space="preserve"> Российской Федерации</w:t>
      </w:r>
      <w:r w:rsidR="005531C9" w:rsidRPr="009754DD">
        <w:rPr>
          <w:szCs w:val="28"/>
        </w:rPr>
        <w:t>)</w:t>
      </w:r>
      <w:r w:rsidR="00570553" w:rsidRPr="009754DD">
        <w:rPr>
          <w:szCs w:val="28"/>
        </w:rPr>
        <w:t>.</w:t>
      </w:r>
      <w:r w:rsidRPr="009754DD">
        <w:rPr>
          <w:szCs w:val="28"/>
        </w:rPr>
        <w:t xml:space="preserve"> </w:t>
      </w:r>
      <w:proofErr w:type="gramEnd"/>
    </w:p>
    <w:p w:rsidR="00560EFA" w:rsidRPr="009754DD" w:rsidRDefault="00CC68BF" w:rsidP="00560EFA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754DD">
        <w:tab/>
      </w:r>
      <w:r w:rsidR="00560EFA" w:rsidRPr="009754DD">
        <w:rPr>
          <w:szCs w:val="28"/>
        </w:rPr>
        <w:t xml:space="preserve">Из бюджета субъекта Российской Федерации бюджетам муниципальных образований выделяются субсидии в целях </w:t>
      </w:r>
      <w:proofErr w:type="spellStart"/>
      <w:r w:rsidR="00560EFA" w:rsidRPr="009754DD">
        <w:rPr>
          <w:szCs w:val="28"/>
        </w:rPr>
        <w:t>софинансирования</w:t>
      </w:r>
      <w:proofErr w:type="spellEnd"/>
      <w:r w:rsidR="00560EFA" w:rsidRPr="009754DD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60EFA" w:rsidRPr="009754DD" w:rsidRDefault="00560EFA" w:rsidP="00560EFA">
      <w:pPr>
        <w:tabs>
          <w:tab w:val="left" w:pos="-2552"/>
        </w:tabs>
        <w:jc w:val="both"/>
        <w:rPr>
          <w:szCs w:val="28"/>
        </w:rPr>
      </w:pPr>
      <w:r w:rsidRPr="009754DD">
        <w:rPr>
          <w:szCs w:val="28"/>
        </w:rPr>
        <w:tab/>
        <w:t>В 201</w:t>
      </w:r>
      <w:r w:rsidR="00EA0289" w:rsidRPr="009754DD">
        <w:rPr>
          <w:szCs w:val="28"/>
        </w:rPr>
        <w:t>3</w:t>
      </w:r>
      <w:r w:rsidRPr="009754DD">
        <w:rPr>
          <w:szCs w:val="28"/>
        </w:rPr>
        <w:t xml:space="preserve"> году объем </w:t>
      </w:r>
      <w:r w:rsidR="00BA18B2" w:rsidRPr="009754DD">
        <w:rPr>
          <w:szCs w:val="28"/>
        </w:rPr>
        <w:t>указанных субсидий</w:t>
      </w:r>
      <w:r w:rsidRPr="009754DD">
        <w:rPr>
          <w:szCs w:val="28"/>
        </w:rPr>
        <w:t xml:space="preserve"> составил </w:t>
      </w:r>
      <w:r w:rsidR="00EA0289" w:rsidRPr="009754DD">
        <w:rPr>
          <w:szCs w:val="28"/>
        </w:rPr>
        <w:t>666,2</w:t>
      </w:r>
      <w:r w:rsidRPr="009754DD">
        <w:rPr>
          <w:szCs w:val="28"/>
        </w:rPr>
        <w:t xml:space="preserve"> млрд. рублей, что составляет 2</w:t>
      </w:r>
      <w:r w:rsidR="00EA0289" w:rsidRPr="009754DD">
        <w:rPr>
          <w:szCs w:val="28"/>
        </w:rPr>
        <w:t>7,3</w:t>
      </w:r>
      <w:r w:rsidRPr="009754DD">
        <w:rPr>
          <w:szCs w:val="28"/>
        </w:rPr>
        <w:t xml:space="preserve">% собственных доходов местных бюджетов. </w:t>
      </w:r>
    </w:p>
    <w:p w:rsidR="00F62A4A" w:rsidRPr="009754DD" w:rsidRDefault="00560EFA" w:rsidP="00560EFA">
      <w:pPr>
        <w:tabs>
          <w:tab w:val="left" w:pos="-2552"/>
        </w:tabs>
        <w:jc w:val="both"/>
      </w:pPr>
      <w:r w:rsidRPr="009754DD">
        <w:rPr>
          <w:szCs w:val="28"/>
        </w:rPr>
        <w:tab/>
      </w:r>
      <w:r w:rsidR="00CC68BF" w:rsidRPr="009754DD">
        <w:t>Приоритет</w:t>
      </w:r>
      <w:r w:rsidRPr="009754DD">
        <w:t>н</w:t>
      </w:r>
      <w:r w:rsidR="00CC68BF" w:rsidRPr="009754DD">
        <w:t>ы</w:t>
      </w:r>
      <w:r w:rsidRPr="009754DD">
        <w:t>м направлением</w:t>
      </w:r>
      <w:r w:rsidR="00CC68BF" w:rsidRPr="009754DD">
        <w:t xml:space="preserve"> финансовой поддержки муниципальных образований в большинстве регионов в течение рассматриваемого периода был</w:t>
      </w:r>
      <w:r w:rsidRPr="009754DD">
        <w:t>о</w:t>
      </w:r>
      <w:r w:rsidR="00CC68BF" w:rsidRPr="009754DD">
        <w:t xml:space="preserve"> предоставлени</w:t>
      </w:r>
      <w:r w:rsidRPr="009754DD">
        <w:t>е</w:t>
      </w:r>
      <w:r w:rsidR="00CC68BF" w:rsidRPr="009754DD">
        <w:t xml:space="preserve"> обусловленных межбюджетных трансфертов</w:t>
      </w:r>
      <w:r w:rsidRPr="009754DD">
        <w:t xml:space="preserve"> с различным целевым ис</w:t>
      </w:r>
      <w:r w:rsidR="00CC68BF" w:rsidRPr="009754DD">
        <w:t>пользовани</w:t>
      </w:r>
      <w:r w:rsidRPr="009754DD">
        <w:t>ем,</w:t>
      </w:r>
      <w:r w:rsidR="00CC68BF" w:rsidRPr="009754DD">
        <w:t xml:space="preserve"> которы</w:t>
      </w:r>
      <w:r w:rsidRPr="009754DD">
        <w:t>е</w:t>
      </w:r>
      <w:r w:rsidR="00CC68BF" w:rsidRPr="009754DD">
        <w:t xml:space="preserve"> включа</w:t>
      </w:r>
      <w:r w:rsidRPr="009754DD">
        <w:t>ли</w:t>
      </w:r>
      <w:r w:rsidR="00CC68BF" w:rsidRPr="009754DD">
        <w:t xml:space="preserve"> субсидии на реализацию инфраструктурных проектов и </w:t>
      </w:r>
      <w:proofErr w:type="spellStart"/>
      <w:r w:rsidR="00CC68BF" w:rsidRPr="009754DD">
        <w:t>софинансирование</w:t>
      </w:r>
      <w:proofErr w:type="spellEnd"/>
      <w:r w:rsidR="00CC68BF" w:rsidRPr="009754DD">
        <w:t xml:space="preserve"> вопросов местного значения текущего характера. По сравнению с  20</w:t>
      </w:r>
      <w:r w:rsidR="00944067" w:rsidRPr="009754DD">
        <w:t>1</w:t>
      </w:r>
      <w:r w:rsidR="008F14BD" w:rsidRPr="009754DD">
        <w:t>2</w:t>
      </w:r>
      <w:r w:rsidR="00CC68BF" w:rsidRPr="009754DD">
        <w:t xml:space="preserve"> годом объем субсидий местным бюджетам у</w:t>
      </w:r>
      <w:r w:rsidR="009A3866" w:rsidRPr="009754DD">
        <w:t>величился</w:t>
      </w:r>
      <w:r w:rsidR="00CC68BF" w:rsidRPr="009754DD">
        <w:t xml:space="preserve"> на </w:t>
      </w:r>
      <w:r w:rsidR="008F14BD" w:rsidRPr="009754DD">
        <w:t>12,5</w:t>
      </w:r>
      <w:r w:rsidR="00BA18B2" w:rsidRPr="009754DD">
        <w:t xml:space="preserve"> процента</w:t>
      </w:r>
      <w:r w:rsidR="00CC68BF" w:rsidRPr="009754DD">
        <w:t>.</w:t>
      </w:r>
    </w:p>
    <w:p w:rsidR="00CC68BF" w:rsidRPr="009754DD" w:rsidRDefault="00F62A4A" w:rsidP="00560EFA">
      <w:pPr>
        <w:tabs>
          <w:tab w:val="left" w:pos="-2552"/>
        </w:tabs>
        <w:jc w:val="both"/>
      </w:pPr>
      <w:r w:rsidRPr="009754DD">
        <w:tab/>
      </w:r>
      <w:r w:rsidR="009A3866" w:rsidRPr="009754DD">
        <w:t>Основными п</w:t>
      </w:r>
      <w:r w:rsidR="00CC68BF" w:rsidRPr="009754DD">
        <w:t>олучателями субсидий в 20</w:t>
      </w:r>
      <w:r w:rsidR="00944067" w:rsidRPr="009754DD">
        <w:t>1</w:t>
      </w:r>
      <w:r w:rsidR="008F14BD" w:rsidRPr="009754DD">
        <w:t>2</w:t>
      </w:r>
      <w:r w:rsidR="00CC68BF" w:rsidRPr="009754DD">
        <w:t>-20</w:t>
      </w:r>
      <w:r w:rsidR="00B0027D" w:rsidRPr="009754DD">
        <w:t>1</w:t>
      </w:r>
      <w:r w:rsidR="008F14BD" w:rsidRPr="009754DD">
        <w:t>3</w:t>
      </w:r>
      <w:r w:rsidR="00CC68BF" w:rsidRPr="009754DD">
        <w:t xml:space="preserve"> годах являлись бюджеты городских округов (в 20</w:t>
      </w:r>
      <w:r w:rsidR="00180314" w:rsidRPr="009754DD">
        <w:t>1</w:t>
      </w:r>
      <w:r w:rsidR="008F14BD" w:rsidRPr="009754DD">
        <w:t>2</w:t>
      </w:r>
      <w:r w:rsidR="00FA550D" w:rsidRPr="009754DD">
        <w:t xml:space="preserve"> </w:t>
      </w:r>
      <w:r w:rsidR="00B0027D" w:rsidRPr="009754DD">
        <w:t>году</w:t>
      </w:r>
      <w:r w:rsidR="004606C7">
        <w:t xml:space="preserve"> </w:t>
      </w:r>
      <w:r w:rsidR="00CC68BF" w:rsidRPr="009754DD">
        <w:t xml:space="preserve">– </w:t>
      </w:r>
      <w:r w:rsidR="008F14BD" w:rsidRPr="009754DD">
        <w:t>47,3</w:t>
      </w:r>
      <w:r w:rsidR="00FA550D" w:rsidRPr="009754DD">
        <w:t xml:space="preserve">%, </w:t>
      </w:r>
      <w:r w:rsidR="00B0027D" w:rsidRPr="009754DD">
        <w:t>в 201</w:t>
      </w:r>
      <w:r w:rsidR="008F14BD" w:rsidRPr="009754DD">
        <w:t>3</w:t>
      </w:r>
      <w:r w:rsidR="00B0027D" w:rsidRPr="009754DD">
        <w:t xml:space="preserve"> году –</w:t>
      </w:r>
      <w:r w:rsidR="008F14BD" w:rsidRPr="009754DD">
        <w:t xml:space="preserve"> 47,9</w:t>
      </w:r>
      <w:r w:rsidR="00FA550D" w:rsidRPr="009754DD">
        <w:t>%</w:t>
      </w:r>
      <w:r w:rsidR="00CC68BF" w:rsidRPr="009754DD">
        <w:t>) и муниципальных районов (в 20</w:t>
      </w:r>
      <w:r w:rsidR="00180314" w:rsidRPr="009754DD">
        <w:t>1</w:t>
      </w:r>
      <w:r w:rsidR="00036881" w:rsidRPr="009754DD">
        <w:t>2</w:t>
      </w:r>
      <w:r w:rsidR="00CC68BF" w:rsidRPr="009754DD">
        <w:t xml:space="preserve"> году – </w:t>
      </w:r>
      <w:r w:rsidR="00036881" w:rsidRPr="009754DD">
        <w:t>40,9</w:t>
      </w:r>
      <w:r w:rsidR="00FA550D" w:rsidRPr="009754DD">
        <w:t>%</w:t>
      </w:r>
      <w:r w:rsidR="00B0027D" w:rsidRPr="009754DD">
        <w:t>, в 201</w:t>
      </w:r>
      <w:r w:rsidR="00036881" w:rsidRPr="009754DD">
        <w:t>3</w:t>
      </w:r>
      <w:r w:rsidR="00B0027D" w:rsidRPr="009754DD">
        <w:t xml:space="preserve"> году –</w:t>
      </w:r>
      <w:r w:rsidR="00221BBC" w:rsidRPr="009754DD">
        <w:t xml:space="preserve"> 40,3</w:t>
      </w:r>
      <w:r w:rsidR="00FA550D" w:rsidRPr="009754DD">
        <w:t>%</w:t>
      </w:r>
      <w:r w:rsidR="00CC68BF" w:rsidRPr="009754DD">
        <w:t>), что обусловлено широким перечнем закрепленных за ними полномочий по решению вопросов местного значения. На бюджеты поселений в 20</w:t>
      </w:r>
      <w:r w:rsidR="00180314" w:rsidRPr="009754DD">
        <w:t>1</w:t>
      </w:r>
      <w:r w:rsidR="00036881" w:rsidRPr="009754DD">
        <w:t>2</w:t>
      </w:r>
      <w:r w:rsidR="00CC68BF" w:rsidRPr="009754DD">
        <w:t xml:space="preserve"> году приходилось </w:t>
      </w:r>
      <w:r w:rsidR="00036881" w:rsidRPr="009754DD">
        <w:t>11,8</w:t>
      </w:r>
      <w:r w:rsidR="00B0027D" w:rsidRPr="009754DD">
        <w:t xml:space="preserve">% </w:t>
      </w:r>
      <w:r w:rsidR="00CC68BF" w:rsidRPr="009754DD">
        <w:t>от общего объема субсидий, в 20</w:t>
      </w:r>
      <w:r w:rsidR="00B0027D" w:rsidRPr="009754DD">
        <w:t>1</w:t>
      </w:r>
      <w:r w:rsidR="00036881" w:rsidRPr="009754DD">
        <w:t xml:space="preserve">3 году также </w:t>
      </w:r>
      <w:r w:rsidR="00FA550D" w:rsidRPr="009754DD">
        <w:t xml:space="preserve">11,8 </w:t>
      </w:r>
      <w:r w:rsidR="00560EFA" w:rsidRPr="009754DD">
        <w:t>процента.</w:t>
      </w:r>
      <w:r w:rsidR="00CC68BF" w:rsidRPr="009754DD">
        <w:t xml:space="preserve"> </w:t>
      </w:r>
    </w:p>
    <w:p w:rsidR="00A67322" w:rsidRPr="009754DD" w:rsidRDefault="00F15C59" w:rsidP="00F15C59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9754DD">
        <w:rPr>
          <w:szCs w:val="28"/>
        </w:rPr>
        <w:t xml:space="preserve">         </w:t>
      </w:r>
      <w:r w:rsidR="00600063" w:rsidRPr="009754DD">
        <w:rPr>
          <w:szCs w:val="28"/>
        </w:rPr>
        <w:t xml:space="preserve">Кроме того, </w:t>
      </w:r>
      <w:r w:rsidR="00D5626D" w:rsidRPr="009754DD">
        <w:rPr>
          <w:szCs w:val="28"/>
        </w:rPr>
        <w:t>из региональных бюджетов</w:t>
      </w:r>
      <w:r w:rsidR="00BA18B2" w:rsidRPr="009754DD">
        <w:rPr>
          <w:szCs w:val="28"/>
        </w:rPr>
        <w:t xml:space="preserve"> </w:t>
      </w:r>
      <w:proofErr w:type="spellStart"/>
      <w:r w:rsidR="00BA18B2" w:rsidRPr="009754DD">
        <w:rPr>
          <w:szCs w:val="28"/>
        </w:rPr>
        <w:t>софинансируется</w:t>
      </w:r>
      <w:proofErr w:type="spellEnd"/>
      <w:r w:rsidR="00D5626D" w:rsidRPr="009754DD">
        <w:rPr>
          <w:szCs w:val="28"/>
        </w:rPr>
        <w:t xml:space="preserve"> и</w:t>
      </w:r>
      <w:r w:rsidR="00600063" w:rsidRPr="009754DD">
        <w:rPr>
          <w:szCs w:val="28"/>
        </w:rPr>
        <w:t xml:space="preserve"> формирование районных фондов финансовой поддержки поселений</w:t>
      </w:r>
      <w:r w:rsidR="00BA18B2" w:rsidRPr="009754DD">
        <w:rPr>
          <w:szCs w:val="28"/>
        </w:rPr>
        <w:t>.</w:t>
      </w:r>
      <w:r w:rsidR="00D5626D" w:rsidRPr="009754DD">
        <w:rPr>
          <w:szCs w:val="28"/>
        </w:rPr>
        <w:t xml:space="preserve"> </w:t>
      </w:r>
      <w:r w:rsidR="00BA18B2" w:rsidRPr="009754DD">
        <w:rPr>
          <w:szCs w:val="28"/>
        </w:rPr>
        <w:t>Н</w:t>
      </w:r>
      <w:r w:rsidR="00D5626D" w:rsidRPr="009754DD">
        <w:rPr>
          <w:szCs w:val="28"/>
        </w:rPr>
        <w:t>а указанные цели</w:t>
      </w:r>
      <w:r w:rsidR="004C0F27" w:rsidRPr="009754DD">
        <w:rPr>
          <w:szCs w:val="28"/>
        </w:rPr>
        <w:t xml:space="preserve"> в 2013</w:t>
      </w:r>
      <w:r w:rsidR="00BA18B2" w:rsidRPr="009754DD">
        <w:rPr>
          <w:szCs w:val="28"/>
        </w:rPr>
        <w:t xml:space="preserve"> году</w:t>
      </w:r>
      <w:r w:rsidR="00600063" w:rsidRPr="009754DD">
        <w:rPr>
          <w:szCs w:val="28"/>
        </w:rPr>
        <w:t xml:space="preserve"> было выделено</w:t>
      </w:r>
      <w:r w:rsidR="00B86A8E" w:rsidRPr="009754DD">
        <w:rPr>
          <w:szCs w:val="28"/>
        </w:rPr>
        <w:t xml:space="preserve"> </w:t>
      </w:r>
      <w:r w:rsidR="00630C6E" w:rsidRPr="009754DD">
        <w:rPr>
          <w:szCs w:val="28"/>
        </w:rPr>
        <w:t>7,4</w:t>
      </w:r>
      <w:r w:rsidR="00EA01CE" w:rsidRPr="009754DD">
        <w:rPr>
          <w:szCs w:val="28"/>
        </w:rPr>
        <w:t xml:space="preserve"> </w:t>
      </w:r>
      <w:r w:rsidR="00B86A8E" w:rsidRPr="009754DD">
        <w:rPr>
          <w:szCs w:val="28"/>
        </w:rPr>
        <w:t>млрд. рублей в 1</w:t>
      </w:r>
      <w:r w:rsidR="004C0F27" w:rsidRPr="009754DD">
        <w:rPr>
          <w:szCs w:val="28"/>
        </w:rPr>
        <w:t>4</w:t>
      </w:r>
      <w:r w:rsidR="00B86A8E" w:rsidRPr="009754DD">
        <w:rPr>
          <w:szCs w:val="28"/>
        </w:rPr>
        <w:t xml:space="preserve"> субъектах Российской Федерации, что на </w:t>
      </w:r>
      <w:r w:rsidR="00630C6E" w:rsidRPr="009754DD">
        <w:rPr>
          <w:szCs w:val="28"/>
        </w:rPr>
        <w:t>5,7</w:t>
      </w:r>
      <w:r w:rsidR="00B86A8E" w:rsidRPr="009754DD">
        <w:rPr>
          <w:szCs w:val="28"/>
        </w:rPr>
        <w:t xml:space="preserve">% </w:t>
      </w:r>
      <w:r w:rsidR="004C0F27" w:rsidRPr="009754DD">
        <w:rPr>
          <w:szCs w:val="28"/>
        </w:rPr>
        <w:t>больше</w:t>
      </w:r>
      <w:r w:rsidR="00B86A8E" w:rsidRPr="009754DD">
        <w:rPr>
          <w:szCs w:val="28"/>
        </w:rPr>
        <w:t>, чем в 201</w:t>
      </w:r>
      <w:r w:rsidR="004C0F27" w:rsidRPr="009754DD">
        <w:rPr>
          <w:szCs w:val="28"/>
        </w:rPr>
        <w:t>2</w:t>
      </w:r>
      <w:r w:rsidR="00B86A8E" w:rsidRPr="009754DD">
        <w:rPr>
          <w:szCs w:val="28"/>
        </w:rPr>
        <w:t xml:space="preserve"> году (в 201</w:t>
      </w:r>
      <w:r w:rsidR="004C0F27" w:rsidRPr="009754DD">
        <w:rPr>
          <w:szCs w:val="28"/>
        </w:rPr>
        <w:t>2</w:t>
      </w:r>
      <w:r w:rsidR="00B86A8E" w:rsidRPr="009754DD">
        <w:rPr>
          <w:szCs w:val="28"/>
        </w:rPr>
        <w:t xml:space="preserve"> году </w:t>
      </w:r>
      <w:r w:rsidR="002C7F88" w:rsidRPr="009754DD">
        <w:rPr>
          <w:szCs w:val="28"/>
        </w:rPr>
        <w:t>–</w:t>
      </w:r>
      <w:r w:rsidR="00B86A8E" w:rsidRPr="009754DD">
        <w:rPr>
          <w:szCs w:val="28"/>
        </w:rPr>
        <w:t xml:space="preserve"> </w:t>
      </w:r>
      <w:r w:rsidR="004C0F27" w:rsidRPr="009754DD">
        <w:rPr>
          <w:szCs w:val="28"/>
        </w:rPr>
        <w:t>7,0</w:t>
      </w:r>
      <w:r w:rsidR="00600063" w:rsidRPr="009754DD">
        <w:rPr>
          <w:szCs w:val="28"/>
        </w:rPr>
        <w:t xml:space="preserve"> млрд. рублей в </w:t>
      </w:r>
      <w:r w:rsidR="004C0F27" w:rsidRPr="009754DD">
        <w:rPr>
          <w:szCs w:val="28"/>
        </w:rPr>
        <w:t>15</w:t>
      </w:r>
      <w:r w:rsidR="00600063" w:rsidRPr="009754DD">
        <w:rPr>
          <w:szCs w:val="28"/>
        </w:rPr>
        <w:t xml:space="preserve"> субъектах Российской Федерации</w:t>
      </w:r>
      <w:r w:rsidR="00B86A8E" w:rsidRPr="009754DD">
        <w:rPr>
          <w:szCs w:val="28"/>
        </w:rPr>
        <w:t>)</w:t>
      </w:r>
      <w:r w:rsidR="00600063" w:rsidRPr="009754DD">
        <w:rPr>
          <w:szCs w:val="28"/>
        </w:rPr>
        <w:t>. Максимальный объем сре</w:t>
      </w:r>
      <w:proofErr w:type="gramStart"/>
      <w:r w:rsidR="00600063" w:rsidRPr="009754DD">
        <w:rPr>
          <w:szCs w:val="28"/>
        </w:rPr>
        <w:t>дств пр</w:t>
      </w:r>
      <w:proofErr w:type="gramEnd"/>
      <w:r w:rsidR="00600063" w:rsidRPr="009754DD">
        <w:rPr>
          <w:szCs w:val="28"/>
        </w:rPr>
        <w:t xml:space="preserve">едоставлен </w:t>
      </w:r>
      <w:r w:rsidR="00D5626D" w:rsidRPr="009754DD">
        <w:rPr>
          <w:szCs w:val="28"/>
        </w:rPr>
        <w:t xml:space="preserve">из бюджета </w:t>
      </w:r>
      <w:r w:rsidR="00600063" w:rsidRPr="009754DD">
        <w:rPr>
          <w:szCs w:val="28"/>
        </w:rPr>
        <w:t>Ямало-Ненецко</w:t>
      </w:r>
      <w:r w:rsidR="00D5626D" w:rsidRPr="009754DD">
        <w:rPr>
          <w:szCs w:val="28"/>
        </w:rPr>
        <w:t>го автономного</w:t>
      </w:r>
      <w:r w:rsidR="00600063" w:rsidRPr="009754DD">
        <w:rPr>
          <w:szCs w:val="28"/>
        </w:rPr>
        <w:t xml:space="preserve"> округ</w:t>
      </w:r>
      <w:r w:rsidR="00D5626D" w:rsidRPr="009754DD">
        <w:rPr>
          <w:szCs w:val="28"/>
        </w:rPr>
        <w:t>а</w:t>
      </w:r>
      <w:r w:rsidR="0008057F" w:rsidRPr="009754DD">
        <w:rPr>
          <w:szCs w:val="28"/>
        </w:rPr>
        <w:t xml:space="preserve"> – 1,5</w:t>
      </w:r>
      <w:r w:rsidR="00600063" w:rsidRPr="009754DD">
        <w:rPr>
          <w:szCs w:val="28"/>
        </w:rPr>
        <w:t xml:space="preserve"> млрд. рублей</w:t>
      </w:r>
      <w:r w:rsidR="0008057F" w:rsidRPr="009754DD">
        <w:rPr>
          <w:szCs w:val="28"/>
        </w:rPr>
        <w:t>, Республики Татарстан – 1,0</w:t>
      </w:r>
      <w:r w:rsidR="002C7F88" w:rsidRPr="009754DD">
        <w:rPr>
          <w:szCs w:val="28"/>
        </w:rPr>
        <w:t xml:space="preserve"> млрд. рублей</w:t>
      </w:r>
      <w:r w:rsidR="00600063" w:rsidRPr="009754DD">
        <w:rPr>
          <w:szCs w:val="28"/>
        </w:rPr>
        <w:t xml:space="preserve">  и Ставропольско</w:t>
      </w:r>
      <w:r w:rsidR="00D5626D" w:rsidRPr="009754DD">
        <w:rPr>
          <w:szCs w:val="28"/>
        </w:rPr>
        <w:t>го</w:t>
      </w:r>
      <w:r w:rsidR="00600063" w:rsidRPr="009754DD">
        <w:rPr>
          <w:szCs w:val="28"/>
        </w:rPr>
        <w:t xml:space="preserve"> кра</w:t>
      </w:r>
      <w:r w:rsidR="00D5626D" w:rsidRPr="009754DD">
        <w:rPr>
          <w:szCs w:val="28"/>
        </w:rPr>
        <w:t>я</w:t>
      </w:r>
      <w:r w:rsidR="00600063" w:rsidRPr="009754DD">
        <w:rPr>
          <w:szCs w:val="28"/>
        </w:rPr>
        <w:t xml:space="preserve"> – </w:t>
      </w:r>
      <w:r w:rsidR="0008057F" w:rsidRPr="009754DD">
        <w:rPr>
          <w:szCs w:val="28"/>
        </w:rPr>
        <w:t>0,9</w:t>
      </w:r>
      <w:r w:rsidR="00600063" w:rsidRPr="009754DD">
        <w:rPr>
          <w:szCs w:val="28"/>
        </w:rPr>
        <w:t xml:space="preserve"> млрд. рублей.</w:t>
      </w:r>
    </w:p>
    <w:p w:rsidR="00CC68BF" w:rsidRPr="009754DD" w:rsidRDefault="00CC68BF" w:rsidP="00CC68BF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754DD">
        <w:t>В 20</w:t>
      </w:r>
      <w:r w:rsidR="008966B7" w:rsidRPr="009754DD">
        <w:t>1</w:t>
      </w:r>
      <w:r w:rsidR="00716EE0" w:rsidRPr="009754DD">
        <w:t>3</w:t>
      </w:r>
      <w:r w:rsidRPr="009754DD">
        <w:t xml:space="preserve"> году</w:t>
      </w:r>
      <w:r w:rsidR="004B5204" w:rsidRPr="009754DD">
        <w:t xml:space="preserve"> </w:t>
      </w:r>
      <w:r w:rsidR="00F15C59" w:rsidRPr="009754DD">
        <w:t xml:space="preserve">в </w:t>
      </w:r>
      <w:r w:rsidR="004B5204" w:rsidRPr="009754DD">
        <w:t>1</w:t>
      </w:r>
      <w:r w:rsidR="00716EE0" w:rsidRPr="009754DD">
        <w:t>9</w:t>
      </w:r>
      <w:r w:rsidRPr="009754DD">
        <w:t xml:space="preserve"> субъект</w:t>
      </w:r>
      <w:r w:rsidR="00F15C59" w:rsidRPr="009754DD">
        <w:t>ах</w:t>
      </w:r>
      <w:r w:rsidRPr="009754DD">
        <w:t xml:space="preserve"> Российской Федерации </w:t>
      </w:r>
      <w:r w:rsidR="00F15C59" w:rsidRPr="009754DD">
        <w:t xml:space="preserve">из бюджетов муниципальных образований </w:t>
      </w:r>
      <w:r w:rsidRPr="009754DD">
        <w:t>предоставл</w:t>
      </w:r>
      <w:r w:rsidR="00F15C59" w:rsidRPr="009754DD">
        <w:t xml:space="preserve">ялись </w:t>
      </w:r>
      <w:r w:rsidRPr="009754DD">
        <w:t>субсиди</w:t>
      </w:r>
      <w:r w:rsidR="00F15C59" w:rsidRPr="009754DD">
        <w:t>и</w:t>
      </w:r>
      <w:r w:rsidRPr="009754DD">
        <w:t xml:space="preserve"> в бюджеты </w:t>
      </w:r>
      <w:r w:rsidRPr="009754DD">
        <w:lastRenderedPageBreak/>
        <w:t>субъектов Российской Федерации для формирования региональных фондов финансовой подд</w:t>
      </w:r>
      <w:r w:rsidR="00F15C59" w:rsidRPr="009754DD">
        <w:t>ержки муниципальных образований</w:t>
      </w:r>
      <w:r w:rsidRPr="009754DD">
        <w:t xml:space="preserve"> </w:t>
      </w:r>
      <w:r w:rsidR="00F15C59" w:rsidRPr="009754DD">
        <w:t xml:space="preserve">(в </w:t>
      </w:r>
      <w:r w:rsidRPr="009754DD">
        <w:t>20</w:t>
      </w:r>
      <w:r w:rsidR="008966B7" w:rsidRPr="009754DD">
        <w:t>1</w:t>
      </w:r>
      <w:r w:rsidR="00716EE0" w:rsidRPr="009754DD">
        <w:t>2</w:t>
      </w:r>
      <w:r w:rsidR="00F15C59" w:rsidRPr="009754DD">
        <w:t xml:space="preserve"> году - </w:t>
      </w:r>
      <w:r w:rsidRPr="009754DD">
        <w:t xml:space="preserve">в </w:t>
      </w:r>
      <w:r w:rsidR="008966B7" w:rsidRPr="009754DD">
        <w:t>1</w:t>
      </w:r>
      <w:r w:rsidR="00716EE0" w:rsidRPr="009754DD">
        <w:t>8</w:t>
      </w:r>
      <w:r w:rsidR="00B80A73" w:rsidRPr="009754DD">
        <w:t xml:space="preserve"> субъектах Российской Федерации</w:t>
      </w:r>
      <w:r w:rsidR="00F15C59" w:rsidRPr="009754DD">
        <w:t>)</w:t>
      </w:r>
      <w:r w:rsidR="004B5204" w:rsidRPr="009754DD">
        <w:t>.</w:t>
      </w:r>
      <w:r w:rsidR="00542492" w:rsidRPr="009754DD">
        <w:t xml:space="preserve"> </w:t>
      </w:r>
    </w:p>
    <w:p w:rsidR="00CC68BF" w:rsidRPr="009754DD" w:rsidRDefault="00F15C59" w:rsidP="00CC68BF">
      <w:pPr>
        <w:pStyle w:val="a7"/>
      </w:pPr>
      <w:r w:rsidRPr="009754DD">
        <w:t>Общий о</w:t>
      </w:r>
      <w:r w:rsidR="00CC68BF" w:rsidRPr="009754DD">
        <w:t xml:space="preserve">бъем указанных субсидий из местных бюджетов </w:t>
      </w:r>
      <w:r w:rsidR="00873958" w:rsidRPr="009754DD">
        <w:t>не изменился</w:t>
      </w:r>
      <w:r w:rsidR="00CC68BF" w:rsidRPr="009754DD">
        <w:t xml:space="preserve"> по </w:t>
      </w:r>
      <w:r w:rsidR="00873958" w:rsidRPr="009754DD">
        <w:t xml:space="preserve">отношению к </w:t>
      </w:r>
      <w:r w:rsidR="00CC68BF" w:rsidRPr="009754DD">
        <w:t>20</w:t>
      </w:r>
      <w:r w:rsidR="008966B7" w:rsidRPr="009754DD">
        <w:t>1</w:t>
      </w:r>
      <w:r w:rsidR="00716EE0" w:rsidRPr="009754DD">
        <w:t>2</w:t>
      </w:r>
      <w:r w:rsidR="00B80A73" w:rsidRPr="009754DD">
        <w:t xml:space="preserve"> </w:t>
      </w:r>
      <w:r w:rsidR="00873958" w:rsidRPr="009754DD">
        <w:t>году</w:t>
      </w:r>
      <w:r w:rsidR="00CC68BF" w:rsidRPr="009754DD">
        <w:t xml:space="preserve"> и составил </w:t>
      </w:r>
      <w:r w:rsidR="00A5105C" w:rsidRPr="009754DD">
        <w:t>3,7</w:t>
      </w:r>
      <w:r w:rsidR="00CC68BF" w:rsidRPr="009754DD">
        <w:t xml:space="preserve"> млрд. рублей. Максимальный объем указанных сре</w:t>
      </w:r>
      <w:proofErr w:type="gramStart"/>
      <w:r w:rsidR="00CC68BF" w:rsidRPr="009754DD">
        <w:t>дств пр</w:t>
      </w:r>
      <w:proofErr w:type="gramEnd"/>
      <w:r w:rsidR="00CC68BF" w:rsidRPr="009754DD">
        <w:t>иходится на местные бюджеты</w:t>
      </w:r>
      <w:r w:rsidR="00873958" w:rsidRPr="009754DD">
        <w:t xml:space="preserve"> Республики Татарстан (1,3</w:t>
      </w:r>
      <w:r w:rsidR="00194A5E" w:rsidRPr="009754DD">
        <w:t xml:space="preserve"> млрд. рублей),</w:t>
      </w:r>
      <w:r w:rsidR="00873958" w:rsidRPr="009754DD">
        <w:t xml:space="preserve"> Ростовской области (0,7</w:t>
      </w:r>
      <w:r w:rsidR="00716EE0" w:rsidRPr="009754DD">
        <w:t xml:space="preserve"> млр</w:t>
      </w:r>
      <w:r w:rsidR="00873958" w:rsidRPr="009754DD">
        <w:t>д. рублей) и Омской области (0,4</w:t>
      </w:r>
      <w:r w:rsidR="00716EE0" w:rsidRPr="009754DD">
        <w:t xml:space="preserve"> млрд. рублей)</w:t>
      </w:r>
      <w:r w:rsidR="00CC68BF" w:rsidRPr="009754DD">
        <w:t xml:space="preserve">, что свидетельствует о значительной дифференциации </w:t>
      </w:r>
      <w:r w:rsidR="007D1AA1" w:rsidRPr="009754DD">
        <w:t xml:space="preserve">налогового потенциала </w:t>
      </w:r>
      <w:r w:rsidR="00CC68BF" w:rsidRPr="009754DD">
        <w:t xml:space="preserve"> муниципальных образований в данных регионах.</w:t>
      </w:r>
    </w:p>
    <w:p w:rsidR="00C16D6E" w:rsidRPr="009754DD" w:rsidRDefault="00C16D6E" w:rsidP="00C16D6E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 w:rsidRPr="009754DD">
        <w:rPr>
          <w:szCs w:val="28"/>
        </w:rPr>
        <w:t>В</w:t>
      </w:r>
      <w:r w:rsidR="0097269C" w:rsidRPr="009754DD">
        <w:rPr>
          <w:szCs w:val="28"/>
        </w:rPr>
        <w:t xml:space="preserve"> дополнение к выравниванию бюджетной обеспеченности поселений  из региональных бюджетов в</w:t>
      </w:r>
      <w:r w:rsidR="00BA52A6" w:rsidRPr="009754DD">
        <w:rPr>
          <w:szCs w:val="28"/>
        </w:rPr>
        <w:t xml:space="preserve"> соответствии со статье</w:t>
      </w:r>
      <w:r w:rsidRPr="009754DD">
        <w:rPr>
          <w:szCs w:val="28"/>
        </w:rPr>
        <w:t>й</w:t>
      </w:r>
      <w:proofErr w:type="gramEnd"/>
      <w:r w:rsidRPr="009754DD">
        <w:rPr>
          <w:szCs w:val="28"/>
        </w:rPr>
        <w:t xml:space="preserve"> 142.1 Бюджетного кодекса Российской Федерации из бюджет</w:t>
      </w:r>
      <w:r w:rsidR="0097269C" w:rsidRPr="009754DD">
        <w:rPr>
          <w:szCs w:val="28"/>
        </w:rPr>
        <w:t>ов муниципальных</w:t>
      </w:r>
      <w:r w:rsidRPr="009754DD">
        <w:rPr>
          <w:szCs w:val="28"/>
        </w:rPr>
        <w:t xml:space="preserve"> район</w:t>
      </w:r>
      <w:r w:rsidR="0097269C" w:rsidRPr="009754DD">
        <w:rPr>
          <w:szCs w:val="28"/>
        </w:rPr>
        <w:t>ов</w:t>
      </w:r>
      <w:r w:rsidRPr="009754DD">
        <w:rPr>
          <w:szCs w:val="28"/>
        </w:rPr>
        <w:t xml:space="preserve"> поселениям, входящим в</w:t>
      </w:r>
      <w:r w:rsidR="0097269C" w:rsidRPr="009754DD">
        <w:rPr>
          <w:szCs w:val="28"/>
        </w:rPr>
        <w:t xml:space="preserve"> их состав</w:t>
      </w:r>
      <w:r w:rsidRPr="009754DD">
        <w:rPr>
          <w:szCs w:val="28"/>
        </w:rPr>
        <w:t>,  предоставля</w:t>
      </w:r>
      <w:r w:rsidR="0097269C" w:rsidRPr="009754DD">
        <w:rPr>
          <w:szCs w:val="28"/>
        </w:rPr>
        <w:t>лись</w:t>
      </w:r>
      <w:r w:rsidRPr="009754DD">
        <w:rPr>
          <w:szCs w:val="28"/>
        </w:rPr>
        <w:t xml:space="preserve"> дотации на выравнивание бюджетной обеспеченности, которые образ</w:t>
      </w:r>
      <w:r w:rsidR="0097269C" w:rsidRPr="009754DD">
        <w:rPr>
          <w:szCs w:val="28"/>
        </w:rPr>
        <w:t>овывали</w:t>
      </w:r>
      <w:r w:rsidRPr="009754DD">
        <w:rPr>
          <w:szCs w:val="28"/>
        </w:rPr>
        <w:t xml:space="preserve"> районны</w:t>
      </w:r>
      <w:r w:rsidR="00D5626D" w:rsidRPr="009754DD">
        <w:rPr>
          <w:szCs w:val="28"/>
        </w:rPr>
        <w:t>е</w:t>
      </w:r>
      <w:r w:rsidRPr="009754DD">
        <w:rPr>
          <w:szCs w:val="28"/>
        </w:rPr>
        <w:t xml:space="preserve"> фонд</w:t>
      </w:r>
      <w:r w:rsidR="00D5626D" w:rsidRPr="009754DD">
        <w:rPr>
          <w:szCs w:val="28"/>
        </w:rPr>
        <w:t>ы</w:t>
      </w:r>
      <w:r w:rsidRPr="009754DD">
        <w:rPr>
          <w:szCs w:val="28"/>
        </w:rPr>
        <w:t xml:space="preserve"> финансовой поддержки поселений. В </w:t>
      </w:r>
      <w:r w:rsidR="00CC091F" w:rsidRPr="009754DD">
        <w:rPr>
          <w:szCs w:val="28"/>
        </w:rPr>
        <w:t>201</w:t>
      </w:r>
      <w:r w:rsidR="00716EE0" w:rsidRPr="009754DD">
        <w:rPr>
          <w:szCs w:val="28"/>
        </w:rPr>
        <w:t>3</w:t>
      </w:r>
      <w:r w:rsidR="00CC091F" w:rsidRPr="009754DD">
        <w:rPr>
          <w:szCs w:val="28"/>
        </w:rPr>
        <w:t xml:space="preserve"> году объем </w:t>
      </w:r>
      <w:r w:rsidR="00752E0E" w:rsidRPr="009754DD">
        <w:rPr>
          <w:szCs w:val="28"/>
        </w:rPr>
        <w:t>средств</w:t>
      </w:r>
      <w:r w:rsidR="00CC091F" w:rsidRPr="009754DD">
        <w:rPr>
          <w:szCs w:val="28"/>
        </w:rPr>
        <w:t xml:space="preserve"> составил </w:t>
      </w:r>
      <w:r w:rsidR="00C32846" w:rsidRPr="009754DD">
        <w:rPr>
          <w:szCs w:val="28"/>
        </w:rPr>
        <w:t>23,9</w:t>
      </w:r>
      <w:r w:rsidR="00CC091F" w:rsidRPr="009754DD">
        <w:rPr>
          <w:szCs w:val="28"/>
        </w:rPr>
        <w:t xml:space="preserve"> млрд. рублей</w:t>
      </w:r>
      <w:r w:rsidR="00143666" w:rsidRPr="009754DD">
        <w:rPr>
          <w:szCs w:val="28"/>
        </w:rPr>
        <w:t xml:space="preserve"> (в том числе за счет средств бюджетов субъектов Российской Федерации – </w:t>
      </w:r>
      <w:r w:rsidR="00BD0BDC" w:rsidRPr="009754DD">
        <w:rPr>
          <w:szCs w:val="28"/>
        </w:rPr>
        <w:t>7,3</w:t>
      </w:r>
      <w:r w:rsidR="00143666" w:rsidRPr="009754DD">
        <w:rPr>
          <w:szCs w:val="28"/>
        </w:rPr>
        <w:t xml:space="preserve"> млрд. рублей)</w:t>
      </w:r>
      <w:r w:rsidR="00CC091F" w:rsidRPr="009754DD">
        <w:rPr>
          <w:szCs w:val="28"/>
        </w:rPr>
        <w:t xml:space="preserve">, что </w:t>
      </w:r>
      <w:r w:rsidR="008A3F83" w:rsidRPr="009754DD">
        <w:rPr>
          <w:szCs w:val="28"/>
        </w:rPr>
        <w:t>выше</w:t>
      </w:r>
      <w:r w:rsidR="00CC091F" w:rsidRPr="009754DD">
        <w:rPr>
          <w:szCs w:val="28"/>
        </w:rPr>
        <w:t xml:space="preserve"> объема 201</w:t>
      </w:r>
      <w:r w:rsidR="008A3F83" w:rsidRPr="009754DD">
        <w:rPr>
          <w:szCs w:val="28"/>
        </w:rPr>
        <w:t>2 год</w:t>
      </w:r>
      <w:r w:rsidR="00C32846" w:rsidRPr="009754DD">
        <w:rPr>
          <w:szCs w:val="28"/>
        </w:rPr>
        <w:t>а на 6,2</w:t>
      </w:r>
      <w:r w:rsidR="00CC091F" w:rsidRPr="009754DD">
        <w:rPr>
          <w:szCs w:val="28"/>
        </w:rPr>
        <w:t>% (</w:t>
      </w:r>
      <w:r w:rsidRPr="009754DD">
        <w:rPr>
          <w:szCs w:val="28"/>
        </w:rPr>
        <w:t>201</w:t>
      </w:r>
      <w:r w:rsidR="008A3F83" w:rsidRPr="009754DD">
        <w:rPr>
          <w:szCs w:val="28"/>
        </w:rPr>
        <w:t>2</w:t>
      </w:r>
      <w:r w:rsidRPr="009754DD">
        <w:rPr>
          <w:szCs w:val="28"/>
        </w:rPr>
        <w:t xml:space="preserve"> году объем фондов составил </w:t>
      </w:r>
      <w:r w:rsidR="008A3F83" w:rsidRPr="009754DD">
        <w:rPr>
          <w:szCs w:val="28"/>
        </w:rPr>
        <w:t>22,5</w:t>
      </w:r>
      <w:r w:rsidRPr="009754DD">
        <w:rPr>
          <w:szCs w:val="28"/>
        </w:rPr>
        <w:t xml:space="preserve"> млрд. рублей</w:t>
      </w:r>
      <w:r w:rsidR="00CC091F" w:rsidRPr="009754DD">
        <w:rPr>
          <w:szCs w:val="28"/>
        </w:rPr>
        <w:t>)</w:t>
      </w:r>
      <w:r w:rsidRPr="009754DD">
        <w:rPr>
          <w:szCs w:val="28"/>
        </w:rPr>
        <w:t xml:space="preserve">. Максимальный объем </w:t>
      </w:r>
      <w:r w:rsidR="006757EC" w:rsidRPr="009754DD">
        <w:rPr>
          <w:szCs w:val="28"/>
        </w:rPr>
        <w:t>указанных средств</w:t>
      </w:r>
      <w:r w:rsidR="008A3F83" w:rsidRPr="009754DD">
        <w:rPr>
          <w:szCs w:val="28"/>
        </w:rPr>
        <w:t xml:space="preserve"> </w:t>
      </w:r>
      <w:r w:rsidRPr="009754DD">
        <w:rPr>
          <w:szCs w:val="28"/>
        </w:rPr>
        <w:t xml:space="preserve"> в </w:t>
      </w:r>
      <w:r w:rsidR="00752E0E" w:rsidRPr="009754DD">
        <w:rPr>
          <w:szCs w:val="28"/>
        </w:rPr>
        <w:t>Ямало-Ненецком</w:t>
      </w:r>
      <w:r w:rsidRPr="009754DD">
        <w:rPr>
          <w:szCs w:val="28"/>
        </w:rPr>
        <w:t xml:space="preserve"> автономном округе – </w:t>
      </w:r>
      <w:r w:rsidR="00BD0BDC" w:rsidRPr="009754DD">
        <w:rPr>
          <w:szCs w:val="28"/>
        </w:rPr>
        <w:t>1,9</w:t>
      </w:r>
      <w:r w:rsidRPr="009754DD">
        <w:rPr>
          <w:szCs w:val="28"/>
        </w:rPr>
        <w:t xml:space="preserve"> млрд. рублей</w:t>
      </w:r>
      <w:r w:rsidR="00143666" w:rsidRPr="009754DD">
        <w:rPr>
          <w:szCs w:val="28"/>
        </w:rPr>
        <w:t xml:space="preserve"> (за счет средств местных бюджетов)</w:t>
      </w:r>
      <w:r w:rsidR="00BD0BDC" w:rsidRPr="009754DD">
        <w:rPr>
          <w:szCs w:val="28"/>
        </w:rPr>
        <w:t>, в Кемеровской области – 1,8</w:t>
      </w:r>
      <w:r w:rsidR="008A3F83" w:rsidRPr="009754DD">
        <w:rPr>
          <w:szCs w:val="28"/>
        </w:rPr>
        <w:t xml:space="preserve"> млрд. рублей</w:t>
      </w:r>
      <w:r w:rsidR="00E467D7" w:rsidRPr="009754DD">
        <w:rPr>
          <w:szCs w:val="28"/>
        </w:rPr>
        <w:t>, в Тюменской области – 1,6 млрд. рублей</w:t>
      </w:r>
      <w:r w:rsidRPr="009754DD">
        <w:rPr>
          <w:szCs w:val="28"/>
        </w:rPr>
        <w:t xml:space="preserve"> и в </w:t>
      </w:r>
      <w:r w:rsidR="00752E0E" w:rsidRPr="009754DD">
        <w:rPr>
          <w:szCs w:val="28"/>
        </w:rPr>
        <w:t>Пермском</w:t>
      </w:r>
      <w:r w:rsidR="00BD0BDC" w:rsidRPr="009754DD">
        <w:rPr>
          <w:szCs w:val="28"/>
        </w:rPr>
        <w:t xml:space="preserve"> крае – 1,5</w:t>
      </w:r>
      <w:r w:rsidRPr="009754DD">
        <w:rPr>
          <w:szCs w:val="28"/>
        </w:rPr>
        <w:t xml:space="preserve"> млрд. рублей</w:t>
      </w:r>
      <w:r w:rsidR="00752E0E" w:rsidRPr="009754DD">
        <w:rPr>
          <w:szCs w:val="28"/>
        </w:rPr>
        <w:t>.</w:t>
      </w:r>
      <w:r w:rsidR="00143666" w:rsidRPr="009754DD">
        <w:rPr>
          <w:szCs w:val="28"/>
        </w:rPr>
        <w:t xml:space="preserve"> </w:t>
      </w:r>
    </w:p>
    <w:p w:rsidR="00BA18B2" w:rsidRPr="009754DD" w:rsidRDefault="00BA18B2" w:rsidP="00C16D6E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421401" w:rsidRPr="009754DD" w:rsidRDefault="00421401">
      <w:pPr>
        <w:pStyle w:val="a7"/>
        <w:jc w:val="center"/>
        <w:rPr>
          <w:b/>
        </w:rPr>
      </w:pPr>
      <w:r w:rsidRPr="009754DD">
        <w:rPr>
          <w:b/>
        </w:rPr>
        <w:t>Расходы местных бюджетов</w:t>
      </w:r>
    </w:p>
    <w:p w:rsidR="00160DB8" w:rsidRPr="009754DD" w:rsidRDefault="00160DB8">
      <w:pPr>
        <w:pStyle w:val="a7"/>
        <w:jc w:val="center"/>
        <w:rPr>
          <w:b/>
        </w:rPr>
      </w:pPr>
    </w:p>
    <w:p w:rsidR="008B2F9D" w:rsidRPr="009754DD" w:rsidRDefault="00793CF5" w:rsidP="008B2F9D">
      <w:pPr>
        <w:pStyle w:val="a7"/>
      </w:pPr>
      <w:r w:rsidRPr="009754DD">
        <w:t>С</w:t>
      </w:r>
      <w:r w:rsidR="00421401" w:rsidRPr="009754DD">
        <w:t xml:space="preserve">огласно данным отчетности общий объем </w:t>
      </w:r>
      <w:r w:rsidR="006663EA" w:rsidRPr="009754DD">
        <w:t>расходов местных бюджетов в 20</w:t>
      </w:r>
      <w:r w:rsidR="009173F0" w:rsidRPr="009754DD">
        <w:t>1</w:t>
      </w:r>
      <w:r w:rsidR="002E6815" w:rsidRPr="009754DD">
        <w:t>3</w:t>
      </w:r>
      <w:r w:rsidR="006663EA" w:rsidRPr="009754DD">
        <w:t xml:space="preserve"> </w:t>
      </w:r>
      <w:r w:rsidR="00193209" w:rsidRPr="009754DD">
        <w:t xml:space="preserve">году </w:t>
      </w:r>
      <w:r w:rsidR="006663EA" w:rsidRPr="009754DD">
        <w:t xml:space="preserve">составил </w:t>
      </w:r>
      <w:r w:rsidR="002E6815" w:rsidRPr="009754DD">
        <w:t>3 428,9</w:t>
      </w:r>
      <w:r w:rsidR="00421401" w:rsidRPr="009754DD">
        <w:t xml:space="preserve"> мл</w:t>
      </w:r>
      <w:r w:rsidR="006663EA" w:rsidRPr="009754DD">
        <w:t>рд. рублей</w:t>
      </w:r>
      <w:r w:rsidR="009173F0" w:rsidRPr="009754DD">
        <w:t xml:space="preserve">, что на </w:t>
      </w:r>
      <w:r w:rsidR="002E6815" w:rsidRPr="009754DD">
        <w:t>8,3</w:t>
      </w:r>
      <w:r w:rsidR="009173F0" w:rsidRPr="009754DD">
        <w:t>% больше, чем в 20</w:t>
      </w:r>
      <w:r w:rsidR="006E4F33" w:rsidRPr="009754DD">
        <w:t>1</w:t>
      </w:r>
      <w:r w:rsidR="002E6815" w:rsidRPr="009754DD">
        <w:t>2</w:t>
      </w:r>
      <w:r w:rsidR="009173F0" w:rsidRPr="009754DD">
        <w:t xml:space="preserve"> году</w:t>
      </w:r>
      <w:r w:rsidR="006663EA" w:rsidRPr="009754DD">
        <w:t>. Р</w:t>
      </w:r>
      <w:r w:rsidR="00421401" w:rsidRPr="009754DD">
        <w:t>асходы на реше</w:t>
      </w:r>
      <w:r w:rsidR="006663EA" w:rsidRPr="009754DD">
        <w:t xml:space="preserve">ние вопросов местного значения </w:t>
      </w:r>
      <w:r w:rsidR="009173F0" w:rsidRPr="009754DD">
        <w:t>увеличились</w:t>
      </w:r>
      <w:r w:rsidR="006663EA" w:rsidRPr="009754DD">
        <w:t xml:space="preserve"> по сравнению с 20</w:t>
      </w:r>
      <w:r w:rsidR="006E4F33" w:rsidRPr="009754DD">
        <w:t>1</w:t>
      </w:r>
      <w:r w:rsidR="002E6815" w:rsidRPr="009754DD">
        <w:t>2</w:t>
      </w:r>
      <w:r w:rsidR="006663EA" w:rsidRPr="009754DD">
        <w:t xml:space="preserve"> годом на </w:t>
      </w:r>
      <w:r w:rsidR="002E6815" w:rsidRPr="009754DD">
        <w:t>9,4</w:t>
      </w:r>
      <w:r w:rsidR="006663EA" w:rsidRPr="009754DD">
        <w:t xml:space="preserve">% или </w:t>
      </w:r>
      <w:r w:rsidR="002E6815" w:rsidRPr="009754DD">
        <w:t>212,8</w:t>
      </w:r>
      <w:r w:rsidR="00421401" w:rsidRPr="009754DD">
        <w:t xml:space="preserve"> </w:t>
      </w:r>
      <w:r w:rsidR="006663EA" w:rsidRPr="009754DD">
        <w:t xml:space="preserve">млрд. рублей и составили </w:t>
      </w:r>
      <w:r w:rsidR="002E6815" w:rsidRPr="009754DD">
        <w:t>2 485,1</w:t>
      </w:r>
      <w:r w:rsidR="00421401" w:rsidRPr="009754DD">
        <w:t xml:space="preserve"> млрд. рублей</w:t>
      </w:r>
      <w:r w:rsidR="006663EA" w:rsidRPr="009754DD">
        <w:t>.</w:t>
      </w:r>
      <w:r w:rsidR="00421401" w:rsidRPr="009754DD">
        <w:t xml:space="preserve"> </w:t>
      </w:r>
      <w:r w:rsidR="00876E6E" w:rsidRPr="009754DD">
        <w:t xml:space="preserve">В целом по Российской Федерации данные расходы составляют </w:t>
      </w:r>
      <w:r w:rsidR="00712AB0" w:rsidRPr="009754DD">
        <w:t>72</w:t>
      </w:r>
      <w:r w:rsidR="002E6815" w:rsidRPr="009754DD">
        <w:t>,5</w:t>
      </w:r>
      <w:r w:rsidR="00876E6E" w:rsidRPr="009754DD">
        <w:t>% в общей сумме расходов</w:t>
      </w:r>
      <w:r w:rsidR="005778D0" w:rsidRPr="009754DD">
        <w:t xml:space="preserve"> местных бюджетов</w:t>
      </w:r>
      <w:r w:rsidR="00876E6E" w:rsidRPr="009754DD">
        <w:t>. Расходы на осуществление государственных полномочий в 201</w:t>
      </w:r>
      <w:r w:rsidR="00C901C9">
        <w:t>3</w:t>
      </w:r>
      <w:r w:rsidR="00876E6E" w:rsidRPr="009754DD">
        <w:t xml:space="preserve"> году </w:t>
      </w:r>
      <w:r w:rsidR="00BA18B2" w:rsidRPr="009754DD">
        <w:t xml:space="preserve">составили </w:t>
      </w:r>
      <w:r w:rsidR="00C901C9">
        <w:t>16,5</w:t>
      </w:r>
      <w:r w:rsidR="00876E6E" w:rsidRPr="009754DD">
        <w:t>% от всех расходов. В целом по федеральным округам данная структура расходов сохраняется</w:t>
      </w:r>
      <w:r w:rsidR="0053280E" w:rsidRPr="009754DD">
        <w:t>,</w:t>
      </w:r>
      <w:r w:rsidR="00876E6E" w:rsidRPr="009754DD">
        <w:t xml:space="preserve"> </w:t>
      </w:r>
      <w:r w:rsidR="0053280E" w:rsidRPr="009754DD">
        <w:t>з</w:t>
      </w:r>
      <w:r w:rsidR="00876E6E" w:rsidRPr="009754DD">
        <w:t xml:space="preserve">а исключением </w:t>
      </w:r>
      <w:r w:rsidR="0053280E" w:rsidRPr="009754DD">
        <w:t xml:space="preserve"> бюджетов субъектов </w:t>
      </w:r>
      <w:r w:rsidR="00876E6E" w:rsidRPr="009754DD">
        <w:t xml:space="preserve">Северо-Кавказского федерального округа, где доля расходов на решение вопросов местного значения составляет </w:t>
      </w:r>
      <w:r w:rsidR="004A20B4">
        <w:t>54,5</w:t>
      </w:r>
      <w:r w:rsidR="00D241CD" w:rsidRPr="009754DD">
        <w:t>%,</w:t>
      </w:r>
      <w:r w:rsidR="00876E6E" w:rsidRPr="009754DD">
        <w:t xml:space="preserve"> на осуществление государственных полномочий – </w:t>
      </w:r>
      <w:r w:rsidR="004A20B4">
        <w:t>37,0</w:t>
      </w:r>
      <w:r w:rsidR="00D241CD" w:rsidRPr="009754DD">
        <w:t xml:space="preserve"> процентов</w:t>
      </w:r>
      <w:r w:rsidR="00876E6E" w:rsidRPr="009754DD">
        <w:t>.</w:t>
      </w:r>
    </w:p>
    <w:p w:rsidR="00662E02" w:rsidRDefault="00662E02" w:rsidP="008B2F9D">
      <w:pPr>
        <w:pStyle w:val="a7"/>
      </w:pPr>
    </w:p>
    <w:p w:rsidR="005152CC" w:rsidRDefault="005152CC" w:rsidP="008B2F9D">
      <w:pPr>
        <w:pStyle w:val="a7"/>
      </w:pPr>
    </w:p>
    <w:p w:rsidR="005152CC" w:rsidRDefault="005152CC" w:rsidP="008B2F9D">
      <w:pPr>
        <w:pStyle w:val="a7"/>
      </w:pPr>
    </w:p>
    <w:p w:rsidR="005152CC" w:rsidRDefault="005152CC" w:rsidP="008B2F9D">
      <w:pPr>
        <w:pStyle w:val="a7"/>
      </w:pPr>
    </w:p>
    <w:p w:rsidR="005152CC" w:rsidRDefault="005152CC" w:rsidP="008B2F9D">
      <w:pPr>
        <w:pStyle w:val="a7"/>
      </w:pPr>
    </w:p>
    <w:p w:rsidR="005152CC" w:rsidRPr="009754DD" w:rsidRDefault="005152CC" w:rsidP="008B2F9D">
      <w:pPr>
        <w:pStyle w:val="a7"/>
      </w:pPr>
    </w:p>
    <w:p w:rsidR="00876E6E" w:rsidRPr="009754DD" w:rsidRDefault="00876E6E" w:rsidP="00876E6E">
      <w:pPr>
        <w:pStyle w:val="a7"/>
        <w:jc w:val="right"/>
        <w:rPr>
          <w:sz w:val="24"/>
          <w:szCs w:val="24"/>
        </w:rPr>
      </w:pPr>
      <w:r w:rsidRPr="009754DD">
        <w:rPr>
          <w:sz w:val="24"/>
          <w:szCs w:val="24"/>
        </w:rPr>
        <w:lastRenderedPageBreak/>
        <w:t>Таблица 9</w:t>
      </w:r>
      <w:r w:rsidR="00662E02" w:rsidRPr="009754DD">
        <w:rPr>
          <w:sz w:val="24"/>
          <w:szCs w:val="24"/>
        </w:rPr>
        <w:t>. Структура расходов местных бюджетов в разрезе полномочий и вопросов</w:t>
      </w:r>
    </w:p>
    <w:p w:rsidR="00662E02" w:rsidRPr="009754DD" w:rsidRDefault="00662E02" w:rsidP="00876E6E">
      <w:pPr>
        <w:pStyle w:val="a7"/>
        <w:jc w:val="right"/>
        <w:rPr>
          <w:sz w:val="24"/>
          <w:szCs w:val="24"/>
        </w:rPr>
      </w:pPr>
      <w:r w:rsidRPr="009754DD">
        <w:rPr>
          <w:sz w:val="24"/>
          <w:szCs w:val="24"/>
        </w:rPr>
        <w:t>(%)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559"/>
        <w:gridCol w:w="1843"/>
      </w:tblGrid>
      <w:tr w:rsidR="0017274B" w:rsidRPr="009754DD" w:rsidTr="00A431F0">
        <w:trPr>
          <w:trHeight w:val="7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F0" w:rsidRPr="009754DD" w:rsidRDefault="00A431F0" w:rsidP="00A431F0">
            <w:pPr>
              <w:jc w:val="center"/>
              <w:rPr>
                <w:b/>
                <w:bCs/>
                <w:sz w:val="20"/>
              </w:rPr>
            </w:pPr>
            <w:r w:rsidRPr="009754DD">
              <w:rPr>
                <w:b/>
                <w:bCs/>
                <w:sz w:val="20"/>
              </w:rPr>
              <w:t>Федеральные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jc w:val="center"/>
              <w:rPr>
                <w:b/>
                <w:sz w:val="16"/>
                <w:szCs w:val="16"/>
              </w:rPr>
            </w:pPr>
            <w:r w:rsidRPr="009754DD">
              <w:rPr>
                <w:b/>
                <w:sz w:val="16"/>
                <w:szCs w:val="16"/>
              </w:rPr>
              <w:t>Расходы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jc w:val="center"/>
              <w:rPr>
                <w:b/>
                <w:sz w:val="16"/>
                <w:szCs w:val="16"/>
              </w:rPr>
            </w:pPr>
            <w:r w:rsidRPr="009754DD">
              <w:rPr>
                <w:b/>
                <w:sz w:val="16"/>
                <w:szCs w:val="16"/>
              </w:rPr>
              <w:t>Расходы по осуществлению государственных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jc w:val="center"/>
              <w:rPr>
                <w:b/>
                <w:sz w:val="16"/>
                <w:szCs w:val="16"/>
              </w:rPr>
            </w:pPr>
            <w:r w:rsidRPr="009754DD">
              <w:rPr>
                <w:b/>
                <w:sz w:val="16"/>
                <w:szCs w:val="16"/>
              </w:rPr>
              <w:t>Расходы на решение вопросов, не отнесенных к вопросам местного значения</w:t>
            </w:r>
          </w:p>
        </w:tc>
      </w:tr>
      <w:tr w:rsidR="0017274B" w:rsidRPr="009754DD" w:rsidTr="00A431F0">
        <w:trPr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07F9E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381C95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17274B" w:rsidRPr="009754DD" w:rsidTr="00A431F0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Центральный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5152CC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5CC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  <w:r w:rsidR="00A07F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F25E31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1C95">
              <w:rPr>
                <w:b/>
                <w:sz w:val="24"/>
                <w:szCs w:val="24"/>
              </w:rPr>
              <w:t>2,1</w:t>
            </w:r>
          </w:p>
        </w:tc>
      </w:tr>
      <w:tr w:rsidR="0017274B" w:rsidRPr="009754DD" w:rsidTr="00A431F0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Северо-Западный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5152CC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D85CC3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  <w:r w:rsidR="00A07F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F25E31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381C95">
              <w:rPr>
                <w:b/>
                <w:sz w:val="24"/>
                <w:szCs w:val="24"/>
              </w:rPr>
              <w:t>7</w:t>
            </w:r>
          </w:p>
        </w:tc>
      </w:tr>
      <w:tr w:rsidR="0017274B" w:rsidRPr="009754DD" w:rsidTr="00A431F0">
        <w:trPr>
          <w:trHeight w:val="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Южный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5152CC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85CC3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1C95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F25E31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1C95">
              <w:rPr>
                <w:b/>
                <w:sz w:val="24"/>
                <w:szCs w:val="24"/>
              </w:rPr>
              <w:t>1,6</w:t>
            </w:r>
          </w:p>
        </w:tc>
      </w:tr>
      <w:tr w:rsidR="0017274B" w:rsidRPr="009754DD" w:rsidTr="00A431F0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Северо-Кавказский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5152CC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5CC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381C95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381C95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17274B" w:rsidRPr="009754DD" w:rsidTr="00A431F0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Приволжский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5152CC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5CC3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F25E31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</w:tr>
      <w:tr w:rsidR="0017274B" w:rsidRPr="009754DD" w:rsidTr="00A431F0">
        <w:trPr>
          <w:trHeight w:val="2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Уральский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381C95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381C95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</w:tr>
      <w:tr w:rsidR="0017274B" w:rsidRPr="009754DD" w:rsidTr="00A431F0">
        <w:trPr>
          <w:trHeight w:val="1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Сибирский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381C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B37AEF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="00381C95">
              <w:rPr>
                <w:b/>
                <w:sz w:val="24"/>
                <w:szCs w:val="24"/>
              </w:rPr>
              <w:t>8</w:t>
            </w:r>
          </w:p>
        </w:tc>
      </w:tr>
      <w:tr w:rsidR="0017274B" w:rsidRPr="009754DD" w:rsidTr="00A431F0">
        <w:trPr>
          <w:trHeight w:val="2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A431F0" w:rsidP="00A431F0">
            <w:pPr>
              <w:rPr>
                <w:b/>
                <w:bCs/>
                <w:sz w:val="22"/>
                <w:szCs w:val="22"/>
              </w:rPr>
            </w:pPr>
            <w:r w:rsidRPr="009754DD">
              <w:rPr>
                <w:b/>
                <w:bCs/>
                <w:sz w:val="22"/>
                <w:szCs w:val="22"/>
              </w:rPr>
              <w:t>Дальневосточный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D85CC3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F0" w:rsidRPr="009754DD" w:rsidRDefault="00B37AEF" w:rsidP="00662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  <w:bookmarkStart w:id="0" w:name="_GoBack"/>
            <w:bookmarkEnd w:id="0"/>
          </w:p>
        </w:tc>
      </w:tr>
    </w:tbl>
    <w:p w:rsidR="00662E02" w:rsidRPr="009754DD" w:rsidRDefault="00662E02" w:rsidP="008B2F9D">
      <w:pPr>
        <w:pStyle w:val="a7"/>
      </w:pPr>
    </w:p>
    <w:p w:rsidR="00421401" w:rsidRPr="009754DD" w:rsidRDefault="00476CB5" w:rsidP="008B2F9D">
      <w:pPr>
        <w:pStyle w:val="a7"/>
      </w:pPr>
      <w:r w:rsidRPr="009754DD">
        <w:t>Отраслевая с</w:t>
      </w:r>
      <w:r w:rsidR="00421401" w:rsidRPr="009754DD">
        <w:t>труктура расходов местных бюджетов</w:t>
      </w:r>
      <w:r w:rsidR="00792E2F" w:rsidRPr="009754DD">
        <w:t xml:space="preserve"> в 20</w:t>
      </w:r>
      <w:r w:rsidR="00234638" w:rsidRPr="009754DD">
        <w:t>1</w:t>
      </w:r>
      <w:r w:rsidR="00DF433D" w:rsidRPr="009754DD">
        <w:t>3</w:t>
      </w:r>
      <w:r w:rsidR="00792E2F" w:rsidRPr="009754DD">
        <w:t xml:space="preserve"> году</w:t>
      </w:r>
      <w:r w:rsidR="00421401" w:rsidRPr="009754DD">
        <w:t xml:space="preserve"> представлена на следующей диаграмме.</w:t>
      </w:r>
    </w:p>
    <w:p w:rsidR="00421401" w:rsidRPr="009754DD" w:rsidRDefault="00234638">
      <w:pPr>
        <w:tabs>
          <w:tab w:val="left" w:pos="-2552"/>
        </w:tabs>
        <w:jc w:val="center"/>
      </w:pPr>
      <w:r w:rsidRPr="009754DD">
        <w:rPr>
          <w:noProof/>
        </w:rPr>
        <w:drawing>
          <wp:anchor distT="0" distB="0" distL="114300" distR="114300" simplePos="0" relativeHeight="251658240" behindDoc="0" locked="0" layoutInCell="0" allowOverlap="1" wp14:anchorId="2DFE90B4" wp14:editId="1A022195">
            <wp:simplePos x="0" y="0"/>
            <wp:positionH relativeFrom="column">
              <wp:posOffset>21590</wp:posOffset>
            </wp:positionH>
            <wp:positionV relativeFrom="paragraph">
              <wp:posOffset>316230</wp:posOffset>
            </wp:positionV>
            <wp:extent cx="6162040" cy="3642360"/>
            <wp:effectExtent l="0" t="0" r="0" b="0"/>
            <wp:wrapTopAndBottom/>
            <wp:docPr id="117" name="Объект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9A" w:rsidRPr="009754DD" w:rsidRDefault="00005C9D">
      <w:pPr>
        <w:tabs>
          <w:tab w:val="left" w:pos="-2552"/>
        </w:tabs>
        <w:jc w:val="both"/>
      </w:pPr>
      <w:r w:rsidRPr="009754DD">
        <w:tab/>
        <w:t>По отношению к 20</w:t>
      </w:r>
      <w:r w:rsidR="00F1119E" w:rsidRPr="009754DD">
        <w:t>1</w:t>
      </w:r>
      <w:r w:rsidR="00F75A18" w:rsidRPr="009754DD">
        <w:t>2</w:t>
      </w:r>
      <w:r w:rsidR="00D97715" w:rsidRPr="009754DD">
        <w:t xml:space="preserve"> году структура</w:t>
      </w:r>
      <w:r w:rsidR="00421401" w:rsidRPr="009754DD">
        <w:t xml:space="preserve"> основны</w:t>
      </w:r>
      <w:r w:rsidRPr="009754DD">
        <w:t>х расходов местных бюджетов 20</w:t>
      </w:r>
      <w:r w:rsidR="009173F0" w:rsidRPr="009754DD">
        <w:t>1</w:t>
      </w:r>
      <w:r w:rsidR="00F75A18" w:rsidRPr="009754DD">
        <w:t>3</w:t>
      </w:r>
      <w:r w:rsidR="00B95E38" w:rsidRPr="009754DD">
        <w:t xml:space="preserve"> года изменилась.</w:t>
      </w:r>
      <w:r w:rsidR="00421401" w:rsidRPr="009754DD">
        <w:t xml:space="preserve"> </w:t>
      </w:r>
      <w:r w:rsidR="00F04DBF" w:rsidRPr="009754DD">
        <w:t>Выросла их</w:t>
      </w:r>
      <w:r w:rsidR="00421401" w:rsidRPr="009754DD">
        <w:t xml:space="preserve"> доля </w:t>
      </w:r>
      <w:r w:rsidR="00F21392" w:rsidRPr="009754DD">
        <w:t xml:space="preserve">на </w:t>
      </w:r>
      <w:r w:rsidR="00F1119E" w:rsidRPr="009754DD">
        <w:t>образование (+</w:t>
      </w:r>
      <w:r w:rsidR="00476CB5" w:rsidRPr="009754DD">
        <w:t xml:space="preserve">4,4 </w:t>
      </w:r>
      <w:proofErr w:type="spellStart"/>
      <w:r w:rsidR="00476CB5" w:rsidRPr="009754DD">
        <w:t>п.п</w:t>
      </w:r>
      <w:proofErr w:type="spellEnd"/>
      <w:r w:rsidR="00476CB5" w:rsidRPr="009754DD">
        <w:t>.) и на культуру (+0,2</w:t>
      </w:r>
      <w:r w:rsidR="00F75A18" w:rsidRPr="009754DD">
        <w:t xml:space="preserve"> </w:t>
      </w:r>
      <w:proofErr w:type="spellStart"/>
      <w:r w:rsidR="00F75A18" w:rsidRPr="009754DD">
        <w:t>п.п</w:t>
      </w:r>
      <w:proofErr w:type="spellEnd"/>
      <w:r w:rsidR="00F75A18" w:rsidRPr="009754DD">
        <w:t xml:space="preserve">.) </w:t>
      </w:r>
      <w:r w:rsidR="00010A6C" w:rsidRPr="009754DD">
        <w:t xml:space="preserve">при снижении доли расходов на </w:t>
      </w:r>
      <w:r w:rsidR="00F75A18" w:rsidRPr="009754DD">
        <w:t xml:space="preserve">здравоохранение </w:t>
      </w:r>
      <w:r w:rsidR="00F75A18" w:rsidRPr="009754DD">
        <w:br/>
        <w:t>(-3,7</w:t>
      </w:r>
      <w:r w:rsidR="00F1119E" w:rsidRPr="009754DD">
        <w:t xml:space="preserve"> </w:t>
      </w:r>
      <w:proofErr w:type="spellStart"/>
      <w:r w:rsidR="00F1119E" w:rsidRPr="009754DD">
        <w:t>п.п</w:t>
      </w:r>
      <w:proofErr w:type="spellEnd"/>
      <w:r w:rsidR="00F1119E" w:rsidRPr="009754DD">
        <w:t>.)</w:t>
      </w:r>
      <w:r w:rsidR="00010A6C" w:rsidRPr="009754DD">
        <w:t xml:space="preserve"> и</w:t>
      </w:r>
      <w:r w:rsidR="00F1119E" w:rsidRPr="009754DD">
        <w:t xml:space="preserve"> на ЖКХ (-</w:t>
      </w:r>
      <w:r w:rsidR="00F75A18" w:rsidRPr="009754DD">
        <w:t>1,0</w:t>
      </w:r>
      <w:r w:rsidR="00F1119E" w:rsidRPr="009754DD">
        <w:t xml:space="preserve"> п</w:t>
      </w:r>
      <w:r w:rsidR="00010A6C" w:rsidRPr="009754DD">
        <w:t xml:space="preserve">роцентных </w:t>
      </w:r>
      <w:r w:rsidR="00F1119E" w:rsidRPr="009754DD">
        <w:t>п</w:t>
      </w:r>
      <w:r w:rsidR="00010A6C" w:rsidRPr="009754DD">
        <w:t>ункта</w:t>
      </w:r>
      <w:r w:rsidR="00F1119E" w:rsidRPr="009754DD">
        <w:t>)</w:t>
      </w:r>
      <w:r w:rsidR="00421401" w:rsidRPr="009754DD">
        <w:t>.</w:t>
      </w:r>
    </w:p>
    <w:p w:rsidR="00421401" w:rsidRDefault="00421401">
      <w:pPr>
        <w:tabs>
          <w:tab w:val="left" w:pos="-2552"/>
        </w:tabs>
        <w:jc w:val="both"/>
      </w:pPr>
      <w:r w:rsidRPr="009754DD">
        <w:tab/>
        <w:t xml:space="preserve">Исполнение </w:t>
      </w:r>
      <w:r w:rsidR="0018620E" w:rsidRPr="009754DD">
        <w:t>расходов местных бюджетов в 20</w:t>
      </w:r>
      <w:r w:rsidR="006860AB" w:rsidRPr="009754DD">
        <w:t>1</w:t>
      </w:r>
      <w:r w:rsidR="00D400BC" w:rsidRPr="009754DD">
        <w:t>3</w:t>
      </w:r>
      <w:r w:rsidRPr="009754DD">
        <w:t xml:space="preserve"> году по типам муниципальных образований представлено в следующей таблице.</w:t>
      </w:r>
    </w:p>
    <w:p w:rsidR="005152CC" w:rsidRDefault="005152CC">
      <w:pPr>
        <w:tabs>
          <w:tab w:val="left" w:pos="-2552"/>
        </w:tabs>
        <w:jc w:val="both"/>
      </w:pPr>
    </w:p>
    <w:p w:rsidR="005152CC" w:rsidRDefault="005152CC">
      <w:pPr>
        <w:tabs>
          <w:tab w:val="left" w:pos="-2552"/>
        </w:tabs>
        <w:jc w:val="both"/>
      </w:pPr>
    </w:p>
    <w:p w:rsidR="005152CC" w:rsidRPr="009754DD" w:rsidRDefault="005152CC">
      <w:pPr>
        <w:tabs>
          <w:tab w:val="left" w:pos="-2552"/>
        </w:tabs>
        <w:jc w:val="both"/>
      </w:pPr>
    </w:p>
    <w:p w:rsidR="00421401" w:rsidRPr="009754DD" w:rsidRDefault="00C67912">
      <w:pPr>
        <w:tabs>
          <w:tab w:val="left" w:pos="-2552"/>
        </w:tabs>
        <w:jc w:val="right"/>
        <w:rPr>
          <w:sz w:val="24"/>
        </w:rPr>
      </w:pPr>
      <w:r w:rsidRPr="009754DD">
        <w:rPr>
          <w:sz w:val="24"/>
        </w:rPr>
        <w:lastRenderedPageBreak/>
        <w:t xml:space="preserve">Таблица </w:t>
      </w:r>
      <w:r w:rsidR="00876E6E" w:rsidRPr="009754DD">
        <w:rPr>
          <w:sz w:val="24"/>
        </w:rPr>
        <w:t>10</w:t>
      </w:r>
    </w:p>
    <w:p w:rsidR="00421401" w:rsidRPr="009754DD" w:rsidRDefault="00421401">
      <w:pPr>
        <w:tabs>
          <w:tab w:val="left" w:pos="-2552"/>
        </w:tabs>
        <w:jc w:val="right"/>
        <w:rPr>
          <w:sz w:val="24"/>
        </w:rPr>
      </w:pPr>
      <w:r w:rsidRPr="009754DD">
        <w:rPr>
          <w:sz w:val="24"/>
        </w:rPr>
        <w:t xml:space="preserve"> (млрд. руб.)</w:t>
      </w:r>
    </w:p>
    <w:tbl>
      <w:tblPr>
        <w:tblW w:w="90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134"/>
        <w:gridCol w:w="850"/>
        <w:gridCol w:w="1134"/>
        <w:gridCol w:w="851"/>
        <w:gridCol w:w="1417"/>
        <w:gridCol w:w="1154"/>
      </w:tblGrid>
      <w:tr w:rsidR="0017274B" w:rsidRPr="009754DD" w:rsidTr="00662E02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Виды расходов</w:t>
            </w:r>
          </w:p>
        </w:tc>
        <w:tc>
          <w:tcPr>
            <w:tcW w:w="1984" w:type="dxa"/>
            <w:gridSpan w:val="2"/>
            <w:vAlign w:val="center"/>
          </w:tcPr>
          <w:p w:rsidR="00421401" w:rsidRPr="009754DD" w:rsidRDefault="00421401">
            <w:pPr>
              <w:pStyle w:val="2"/>
              <w:rPr>
                <w:sz w:val="20"/>
              </w:rPr>
            </w:pPr>
            <w:r w:rsidRPr="009754DD">
              <w:rPr>
                <w:sz w:val="20"/>
              </w:rPr>
              <w:t>Городские округа</w:t>
            </w:r>
          </w:p>
        </w:tc>
        <w:tc>
          <w:tcPr>
            <w:tcW w:w="1984" w:type="dxa"/>
            <w:gridSpan w:val="2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Муниципальные районы</w:t>
            </w:r>
          </w:p>
        </w:tc>
        <w:tc>
          <w:tcPr>
            <w:tcW w:w="2268" w:type="dxa"/>
            <w:gridSpan w:val="2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Поселения</w:t>
            </w:r>
          </w:p>
        </w:tc>
        <w:tc>
          <w:tcPr>
            <w:tcW w:w="1154" w:type="dxa"/>
            <w:vMerge w:val="restart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Всего</w:t>
            </w:r>
          </w:p>
        </w:tc>
      </w:tr>
      <w:tr w:rsidR="0017274B" w:rsidRPr="009754DD" w:rsidTr="00662E02">
        <w:trPr>
          <w:cantSplit/>
          <w:trHeight w:val="980"/>
          <w:jc w:val="center"/>
        </w:trPr>
        <w:tc>
          <w:tcPr>
            <w:tcW w:w="1702" w:type="dxa"/>
            <w:vMerge/>
            <w:vAlign w:val="center"/>
          </w:tcPr>
          <w:p w:rsidR="00421401" w:rsidRPr="009754DD" w:rsidRDefault="00421401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421401" w:rsidRPr="009754DD" w:rsidRDefault="00421401">
            <w:pPr>
              <w:jc w:val="both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662E02" w:rsidRPr="009754DD" w:rsidRDefault="00421401" w:rsidP="00662E02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Уд</w:t>
            </w:r>
            <w:proofErr w:type="gramStart"/>
            <w:r w:rsidRPr="009754DD">
              <w:rPr>
                <w:b/>
                <w:sz w:val="20"/>
              </w:rPr>
              <w:t>.</w:t>
            </w:r>
            <w:proofErr w:type="gramEnd"/>
            <w:r w:rsidRPr="009754DD">
              <w:rPr>
                <w:b/>
                <w:sz w:val="20"/>
              </w:rPr>
              <w:t xml:space="preserve"> </w:t>
            </w:r>
            <w:proofErr w:type="gramStart"/>
            <w:r w:rsidRPr="009754DD">
              <w:rPr>
                <w:b/>
                <w:sz w:val="20"/>
              </w:rPr>
              <w:t>в</w:t>
            </w:r>
            <w:proofErr w:type="gramEnd"/>
            <w:r w:rsidRPr="009754DD">
              <w:rPr>
                <w:b/>
                <w:sz w:val="20"/>
              </w:rPr>
              <w:t>ес в сумме по данному виду расходов</w:t>
            </w:r>
            <w:r w:rsidR="00662E02" w:rsidRPr="009754DD">
              <w:rPr>
                <w:b/>
                <w:sz w:val="20"/>
              </w:rPr>
              <w:t xml:space="preserve"> </w:t>
            </w:r>
          </w:p>
          <w:p w:rsidR="00421401" w:rsidRPr="009754DD" w:rsidRDefault="00662E02" w:rsidP="00662E02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(%)</w:t>
            </w:r>
          </w:p>
        </w:tc>
        <w:tc>
          <w:tcPr>
            <w:tcW w:w="850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21401" w:rsidRPr="009754DD" w:rsidRDefault="00421401" w:rsidP="00662E02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Уд. вес в сумме по данному виду расходов</w:t>
            </w:r>
            <w:proofErr w:type="gramStart"/>
            <w:r w:rsidR="00662E02" w:rsidRPr="009754DD">
              <w:rPr>
                <w:b/>
                <w:sz w:val="20"/>
              </w:rPr>
              <w:t xml:space="preserve">  (%)</w:t>
            </w:r>
            <w:proofErr w:type="gramEnd"/>
          </w:p>
        </w:tc>
        <w:tc>
          <w:tcPr>
            <w:tcW w:w="851" w:type="dxa"/>
            <w:vAlign w:val="center"/>
          </w:tcPr>
          <w:p w:rsidR="00421401" w:rsidRPr="009754DD" w:rsidRDefault="00421401">
            <w:pPr>
              <w:pStyle w:val="6"/>
              <w:rPr>
                <w:sz w:val="20"/>
                <w:szCs w:val="20"/>
              </w:rPr>
            </w:pPr>
            <w:r w:rsidRPr="009754DD">
              <w:rPr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Align w:val="center"/>
          </w:tcPr>
          <w:p w:rsidR="00662E02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Уд</w:t>
            </w:r>
            <w:proofErr w:type="gramStart"/>
            <w:r w:rsidRPr="009754DD">
              <w:rPr>
                <w:b/>
                <w:sz w:val="20"/>
              </w:rPr>
              <w:t>.</w:t>
            </w:r>
            <w:proofErr w:type="gramEnd"/>
            <w:r w:rsidRPr="009754DD">
              <w:rPr>
                <w:b/>
                <w:sz w:val="20"/>
              </w:rPr>
              <w:t xml:space="preserve"> </w:t>
            </w:r>
            <w:proofErr w:type="gramStart"/>
            <w:r w:rsidRPr="009754DD">
              <w:rPr>
                <w:b/>
                <w:sz w:val="20"/>
              </w:rPr>
              <w:t>в</w:t>
            </w:r>
            <w:proofErr w:type="gramEnd"/>
            <w:r w:rsidRPr="009754DD">
              <w:rPr>
                <w:b/>
                <w:sz w:val="20"/>
              </w:rPr>
              <w:t>ес в сумме по данному виду расходов</w:t>
            </w:r>
          </w:p>
          <w:p w:rsidR="00421401" w:rsidRPr="009754DD" w:rsidRDefault="00662E02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 xml:space="preserve"> (%)</w:t>
            </w:r>
          </w:p>
        </w:tc>
        <w:tc>
          <w:tcPr>
            <w:tcW w:w="1154" w:type="dxa"/>
            <w:vMerge/>
          </w:tcPr>
          <w:p w:rsidR="00421401" w:rsidRPr="009754DD" w:rsidRDefault="00421401">
            <w:pPr>
              <w:jc w:val="both"/>
              <w:rPr>
                <w:b/>
                <w:sz w:val="20"/>
              </w:rPr>
            </w:pPr>
          </w:p>
        </w:tc>
      </w:tr>
      <w:tr w:rsidR="0017274B" w:rsidRPr="009754DD" w:rsidTr="00662E02">
        <w:trPr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Управление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129,8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42,2</w:t>
            </w:r>
          </w:p>
        </w:tc>
        <w:tc>
          <w:tcPr>
            <w:tcW w:w="850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33,2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75,5</w:t>
            </w:r>
          </w:p>
        </w:tc>
        <w:tc>
          <w:tcPr>
            <w:tcW w:w="1417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24,6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307,2</w:t>
            </w:r>
          </w:p>
        </w:tc>
      </w:tr>
      <w:tr w:rsidR="0017274B" w:rsidRPr="009754DD" w:rsidTr="00662E02">
        <w:trPr>
          <w:trHeight w:val="201"/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ЖКХ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251,7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52,3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105,7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123,8</w:t>
            </w:r>
          </w:p>
        </w:tc>
        <w:tc>
          <w:tcPr>
            <w:tcW w:w="1417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25,7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481,1</w:t>
            </w:r>
          </w:p>
        </w:tc>
      </w:tr>
      <w:tr w:rsidR="0017274B" w:rsidRPr="009754DD" w:rsidTr="00662E02">
        <w:trPr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785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779,2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49,6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6,1</w:t>
            </w:r>
          </w:p>
        </w:tc>
        <w:tc>
          <w:tcPr>
            <w:tcW w:w="1417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0,4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1 570,3</w:t>
            </w:r>
          </w:p>
        </w:tc>
      </w:tr>
      <w:tr w:rsidR="0017274B" w:rsidRPr="009754DD" w:rsidTr="00514FFA">
        <w:trPr>
          <w:trHeight w:val="90"/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Культура</w:t>
            </w:r>
            <w:r w:rsidR="007B2D4B">
              <w:rPr>
                <w:sz w:val="20"/>
              </w:rPr>
              <w:t>, кинематография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57,7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34,2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35,3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51,5</w:t>
            </w:r>
          </w:p>
        </w:tc>
        <w:tc>
          <w:tcPr>
            <w:tcW w:w="1417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30,5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16</w:t>
            </w:r>
            <w:r w:rsidR="00B143AA" w:rsidRPr="009754DD">
              <w:rPr>
                <w:sz w:val="20"/>
              </w:rPr>
              <w:t>2,4</w:t>
            </w:r>
          </w:p>
        </w:tc>
      </w:tr>
      <w:tr w:rsidR="00514FFA" w:rsidRPr="009754DD" w:rsidTr="00662E02">
        <w:trPr>
          <w:trHeight w:val="135"/>
          <w:jc w:val="center"/>
        </w:trPr>
        <w:tc>
          <w:tcPr>
            <w:tcW w:w="1702" w:type="dxa"/>
          </w:tcPr>
          <w:p w:rsidR="00514FFA" w:rsidRPr="009754DD" w:rsidRDefault="007B2D4B" w:rsidP="00514FF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1134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850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134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417" w:type="dxa"/>
            <w:vAlign w:val="center"/>
          </w:tcPr>
          <w:p w:rsidR="00514FFA" w:rsidRPr="009754DD" w:rsidRDefault="00C21E65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154" w:type="dxa"/>
            <w:vAlign w:val="center"/>
          </w:tcPr>
          <w:p w:rsidR="00514FFA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</w:tr>
      <w:tr w:rsidR="0017274B" w:rsidRPr="009754DD" w:rsidTr="00662E02">
        <w:trPr>
          <w:jc w:val="center"/>
        </w:trPr>
        <w:tc>
          <w:tcPr>
            <w:tcW w:w="1702" w:type="dxa"/>
          </w:tcPr>
          <w:p w:rsidR="00C30A97" w:rsidRPr="009754DD" w:rsidRDefault="00C30A97" w:rsidP="0040608C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34,6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57,5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25,6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42,5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60,2</w:t>
            </w:r>
          </w:p>
        </w:tc>
      </w:tr>
      <w:tr w:rsidR="0017274B" w:rsidRPr="009754DD" w:rsidTr="00662E02">
        <w:trPr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129,8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42,2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33,2</w:t>
            </w:r>
          </w:p>
        </w:tc>
        <w:tc>
          <w:tcPr>
            <w:tcW w:w="851" w:type="dxa"/>
            <w:vAlign w:val="center"/>
          </w:tcPr>
          <w:p w:rsidR="00C30A97" w:rsidRPr="009754DD" w:rsidRDefault="0017509E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75,5</w:t>
            </w:r>
          </w:p>
        </w:tc>
        <w:tc>
          <w:tcPr>
            <w:tcW w:w="1417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24,6</w:t>
            </w:r>
          </w:p>
        </w:tc>
        <w:tc>
          <w:tcPr>
            <w:tcW w:w="1154" w:type="dxa"/>
            <w:vAlign w:val="center"/>
          </w:tcPr>
          <w:p w:rsidR="00C30A97" w:rsidRPr="009754DD" w:rsidRDefault="005472A3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307,2</w:t>
            </w:r>
          </w:p>
        </w:tc>
      </w:tr>
      <w:tr w:rsidR="0017274B" w:rsidRPr="009754DD" w:rsidTr="00662E02">
        <w:trPr>
          <w:jc w:val="center"/>
        </w:trPr>
        <w:tc>
          <w:tcPr>
            <w:tcW w:w="1702" w:type="dxa"/>
          </w:tcPr>
          <w:p w:rsidR="00C30A97" w:rsidRPr="009754DD" w:rsidRDefault="00C30A97">
            <w:pPr>
              <w:jc w:val="both"/>
              <w:rPr>
                <w:sz w:val="20"/>
              </w:rPr>
            </w:pPr>
            <w:r w:rsidRPr="009754DD">
              <w:rPr>
                <w:sz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C30A97" w:rsidRPr="009754DD" w:rsidRDefault="000A1FCF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</w:t>
            </w:r>
            <w:r w:rsidR="00C21E65">
              <w:rPr>
                <w:sz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54,</w:t>
            </w:r>
            <w:r w:rsidR="00C21E65"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30A97" w:rsidRPr="009754DD" w:rsidRDefault="00D400BC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</w:t>
            </w:r>
            <w:r w:rsidR="00C21E65">
              <w:rPr>
                <w:sz w:val="20"/>
              </w:rPr>
              <w:t>16,3</w:t>
            </w:r>
          </w:p>
        </w:tc>
        <w:tc>
          <w:tcPr>
            <w:tcW w:w="1134" w:type="dxa"/>
            <w:vAlign w:val="center"/>
          </w:tcPr>
          <w:p w:rsidR="00C30A97" w:rsidRPr="009754DD" w:rsidRDefault="008556E9" w:rsidP="00662E02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</w:t>
            </w:r>
            <w:r w:rsidR="00C21E65">
              <w:rPr>
                <w:sz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C30A97" w:rsidRPr="009754DD" w:rsidRDefault="00C21E65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17" w:type="dxa"/>
            <w:vAlign w:val="center"/>
          </w:tcPr>
          <w:p w:rsidR="00C30A97" w:rsidRPr="009754DD" w:rsidRDefault="00C21E65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54" w:type="dxa"/>
            <w:vAlign w:val="center"/>
          </w:tcPr>
          <w:p w:rsidR="00C30A97" w:rsidRPr="009754DD" w:rsidRDefault="007B2D4B" w:rsidP="0066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481,9</w:t>
            </w:r>
          </w:p>
        </w:tc>
      </w:tr>
    </w:tbl>
    <w:p w:rsidR="008B2F9D" w:rsidRPr="009754DD" w:rsidRDefault="00421401">
      <w:pPr>
        <w:tabs>
          <w:tab w:val="left" w:pos="-2552"/>
        </w:tabs>
        <w:jc w:val="both"/>
      </w:pPr>
      <w:r w:rsidRPr="009754DD">
        <w:t xml:space="preserve"> </w:t>
      </w:r>
      <w:r w:rsidRPr="009754DD">
        <w:tab/>
      </w:r>
    </w:p>
    <w:p w:rsidR="00082D0A" w:rsidRPr="009754DD" w:rsidRDefault="00421401" w:rsidP="00082D0A">
      <w:pPr>
        <w:shd w:val="clear" w:color="auto" w:fill="FFFFFF"/>
        <w:ind w:right="14" w:firstLine="709"/>
        <w:jc w:val="both"/>
      </w:pPr>
      <w:r w:rsidRPr="009754DD">
        <w:tab/>
        <w:t>Существенным показателем исполнения местных бюджетов является объем обязательств местных бюджетов, к которым относится кредиторская задолженность бюджетных учреждений и долговые обязательства муниципальных образований.</w:t>
      </w:r>
    </w:p>
    <w:p w:rsidR="00793CF5" w:rsidRPr="009754DD" w:rsidRDefault="00472253" w:rsidP="00793CF5">
      <w:pPr>
        <w:pStyle w:val="a7"/>
      </w:pPr>
      <w:r w:rsidRPr="009754DD">
        <w:rPr>
          <w:spacing w:val="-1"/>
        </w:rPr>
        <w:t xml:space="preserve">По </w:t>
      </w:r>
      <w:r w:rsidR="005E6730" w:rsidRPr="009754DD">
        <w:rPr>
          <w:spacing w:val="-1"/>
        </w:rPr>
        <w:t>состоянию</w:t>
      </w:r>
      <w:r w:rsidRPr="009754DD">
        <w:rPr>
          <w:spacing w:val="-1"/>
        </w:rPr>
        <w:t xml:space="preserve"> на </w:t>
      </w:r>
      <w:r w:rsidRPr="009754DD">
        <w:t xml:space="preserve">1 января </w:t>
      </w:r>
      <w:r w:rsidRPr="009754DD">
        <w:rPr>
          <w:spacing w:val="-1"/>
        </w:rPr>
        <w:t xml:space="preserve">2013 года произошло </w:t>
      </w:r>
      <w:r w:rsidR="00AF50A9" w:rsidRPr="009754DD">
        <w:rPr>
          <w:spacing w:val="-1"/>
        </w:rPr>
        <w:t xml:space="preserve">увеличение </w:t>
      </w:r>
      <w:r w:rsidRPr="009754DD">
        <w:rPr>
          <w:spacing w:val="-1"/>
        </w:rPr>
        <w:t>к</w:t>
      </w:r>
      <w:r w:rsidRPr="009754DD">
        <w:rPr>
          <w:spacing w:val="7"/>
        </w:rPr>
        <w:t>р</w:t>
      </w:r>
      <w:r w:rsidR="00AF50A9" w:rsidRPr="009754DD">
        <w:rPr>
          <w:spacing w:val="7"/>
        </w:rPr>
        <w:t>едиторской задолженности на 16,3%  с 13,5</w:t>
      </w:r>
      <w:r w:rsidRPr="009754DD">
        <w:rPr>
          <w:spacing w:val="7"/>
        </w:rPr>
        <w:t xml:space="preserve"> млрд. рублей (по состоянию на 1 янва</w:t>
      </w:r>
      <w:r w:rsidRPr="009754DD">
        <w:t>ря</w:t>
      </w:r>
      <w:r w:rsidR="00AF50A9" w:rsidRPr="009754DD">
        <w:rPr>
          <w:spacing w:val="7"/>
        </w:rPr>
        <w:t xml:space="preserve"> 2012 года) до 15,7</w:t>
      </w:r>
      <w:r w:rsidRPr="009754DD">
        <w:rPr>
          <w:spacing w:val="7"/>
        </w:rPr>
        <w:t xml:space="preserve"> млрд. рублей.</w:t>
      </w:r>
      <w:r w:rsidR="005E6730" w:rsidRPr="009754DD">
        <w:rPr>
          <w:spacing w:val="7"/>
        </w:rPr>
        <w:t xml:space="preserve"> </w:t>
      </w:r>
      <w:r w:rsidR="00793CF5" w:rsidRPr="009754DD">
        <w:t xml:space="preserve">Наибольший объем кредиторской задолженности приходится на местные бюджеты </w:t>
      </w:r>
      <w:r w:rsidR="00A86CB8" w:rsidRPr="009754DD">
        <w:t>Краснодарского края</w:t>
      </w:r>
      <w:r w:rsidR="00793CF5" w:rsidRPr="009754DD">
        <w:t xml:space="preserve"> – </w:t>
      </w:r>
      <w:r w:rsidR="00A86CB8" w:rsidRPr="009754DD">
        <w:t>2,7</w:t>
      </w:r>
      <w:r w:rsidR="00793CF5" w:rsidRPr="009754DD">
        <w:t xml:space="preserve"> млрд. рублей или </w:t>
      </w:r>
      <w:r w:rsidR="00A86CB8" w:rsidRPr="009754DD">
        <w:t>16,9</w:t>
      </w:r>
      <w:r w:rsidR="00793CF5" w:rsidRPr="009754DD">
        <w:t>% от общего объема кредиторской задолженности,</w:t>
      </w:r>
      <w:r w:rsidR="00A86CB8" w:rsidRPr="009754DD">
        <w:t xml:space="preserve"> Московской области – 1,8 млрд. рублей или 11,4% </w:t>
      </w:r>
      <w:r w:rsidR="00BB5486" w:rsidRPr="009754DD">
        <w:t>и</w:t>
      </w:r>
      <w:r w:rsidR="00A86CB8" w:rsidRPr="009754DD">
        <w:t xml:space="preserve"> Ульяновской области – 1,6 млрд. рублей или 10,0 процентов</w:t>
      </w:r>
      <w:r w:rsidR="00793CF5" w:rsidRPr="009754DD">
        <w:t>.</w:t>
      </w:r>
    </w:p>
    <w:p w:rsidR="00421401" w:rsidRPr="009754DD" w:rsidRDefault="00B817BA">
      <w:pPr>
        <w:pStyle w:val="a7"/>
        <w:ind w:firstLine="709"/>
      </w:pPr>
      <w:r w:rsidRPr="009754DD">
        <w:t>Динамика</w:t>
      </w:r>
      <w:r w:rsidR="00421401" w:rsidRPr="009754DD">
        <w:t xml:space="preserve"> кредиторской задолженности в разрезе отдельных ее видов характеризуется показателями следующей таблицы.</w:t>
      </w:r>
    </w:p>
    <w:p w:rsidR="00421401" w:rsidRPr="009754DD" w:rsidRDefault="00C67912">
      <w:pPr>
        <w:pStyle w:val="a7"/>
        <w:ind w:firstLine="709"/>
        <w:jc w:val="right"/>
        <w:rPr>
          <w:sz w:val="24"/>
        </w:rPr>
      </w:pPr>
      <w:r w:rsidRPr="009754DD">
        <w:rPr>
          <w:sz w:val="24"/>
        </w:rPr>
        <w:t>Таблица 1</w:t>
      </w:r>
      <w:r w:rsidR="00876E6E" w:rsidRPr="009754DD">
        <w:rPr>
          <w:sz w:val="24"/>
        </w:rPr>
        <w:t>1</w:t>
      </w:r>
    </w:p>
    <w:p w:rsidR="00421401" w:rsidRPr="009754DD" w:rsidRDefault="00421401">
      <w:pPr>
        <w:pStyle w:val="a7"/>
        <w:ind w:firstLine="0"/>
        <w:jc w:val="right"/>
        <w:rPr>
          <w:b/>
          <w:i/>
          <w:sz w:val="24"/>
        </w:rPr>
      </w:pPr>
      <w:r w:rsidRPr="009754DD">
        <w:rPr>
          <w:sz w:val="24"/>
        </w:rPr>
        <w:t xml:space="preserve"> (млрд. руб.)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895"/>
        <w:gridCol w:w="850"/>
        <w:gridCol w:w="785"/>
        <w:gridCol w:w="930"/>
        <w:gridCol w:w="792"/>
        <w:gridCol w:w="1134"/>
      </w:tblGrid>
      <w:tr w:rsidR="0017274B" w:rsidRPr="009754DD" w:rsidTr="00DB5594">
        <w:trPr>
          <w:cantSplit/>
          <w:jc w:val="center"/>
        </w:trPr>
        <w:tc>
          <w:tcPr>
            <w:tcW w:w="4155" w:type="dxa"/>
            <w:vMerge w:val="restart"/>
            <w:vAlign w:val="center"/>
          </w:tcPr>
          <w:p w:rsidR="00421401" w:rsidRPr="009754DD" w:rsidRDefault="00421401">
            <w:pPr>
              <w:pStyle w:val="2"/>
              <w:rPr>
                <w:b w:val="0"/>
                <w:sz w:val="20"/>
              </w:rPr>
            </w:pPr>
            <w:r w:rsidRPr="009754DD">
              <w:rPr>
                <w:rStyle w:val="aa"/>
                <w:b/>
                <w:sz w:val="20"/>
              </w:rPr>
              <w:t>Наименование</w:t>
            </w:r>
          </w:p>
        </w:tc>
        <w:tc>
          <w:tcPr>
            <w:tcW w:w="1745" w:type="dxa"/>
            <w:gridSpan w:val="2"/>
            <w:vAlign w:val="center"/>
          </w:tcPr>
          <w:p w:rsidR="00421401" w:rsidRPr="009754DD" w:rsidRDefault="004677C8" w:rsidP="00DC65E4">
            <w:pPr>
              <w:jc w:val="center"/>
              <w:rPr>
                <w:b/>
                <w:sz w:val="20"/>
              </w:rPr>
            </w:pPr>
            <w:r w:rsidRPr="009754DD">
              <w:rPr>
                <w:rStyle w:val="aa"/>
                <w:sz w:val="20"/>
              </w:rPr>
              <w:t>На 01.01.2013</w:t>
            </w:r>
          </w:p>
        </w:tc>
        <w:tc>
          <w:tcPr>
            <w:tcW w:w="1715" w:type="dxa"/>
            <w:gridSpan w:val="2"/>
            <w:vAlign w:val="center"/>
          </w:tcPr>
          <w:p w:rsidR="00421401" w:rsidRPr="009754DD" w:rsidRDefault="004677C8" w:rsidP="00DC65E4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На 01.01.2014</w:t>
            </w:r>
          </w:p>
        </w:tc>
        <w:tc>
          <w:tcPr>
            <w:tcW w:w="1926" w:type="dxa"/>
            <w:gridSpan w:val="2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a"/>
                <w:sz w:val="20"/>
              </w:rPr>
              <w:t xml:space="preserve">Изменение </w:t>
            </w:r>
          </w:p>
        </w:tc>
      </w:tr>
      <w:tr w:rsidR="0017274B" w:rsidRPr="009754DD" w:rsidTr="00DB5594">
        <w:trPr>
          <w:cantSplit/>
          <w:jc w:val="center"/>
        </w:trPr>
        <w:tc>
          <w:tcPr>
            <w:tcW w:w="4155" w:type="dxa"/>
            <w:vMerge/>
            <w:vAlign w:val="center"/>
          </w:tcPr>
          <w:p w:rsidR="00421401" w:rsidRPr="009754DD" w:rsidRDefault="00421401">
            <w:pPr>
              <w:tabs>
                <w:tab w:val="left" w:pos="543"/>
              </w:tabs>
              <w:ind w:left="260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a"/>
                <w:sz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b"/>
                <w:b/>
                <w:i w:val="0"/>
                <w:sz w:val="20"/>
              </w:rPr>
              <w:t xml:space="preserve">в % к всего </w:t>
            </w:r>
            <w:proofErr w:type="gramStart"/>
            <w:r w:rsidRPr="009754DD">
              <w:rPr>
                <w:rStyle w:val="ab"/>
                <w:b/>
                <w:i w:val="0"/>
                <w:sz w:val="20"/>
              </w:rPr>
              <w:t>КЗ</w:t>
            </w:r>
            <w:proofErr w:type="gramEnd"/>
          </w:p>
        </w:tc>
        <w:tc>
          <w:tcPr>
            <w:tcW w:w="785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a"/>
                <w:sz w:val="20"/>
              </w:rPr>
              <w:t>Сумма</w:t>
            </w:r>
          </w:p>
        </w:tc>
        <w:tc>
          <w:tcPr>
            <w:tcW w:w="930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b"/>
                <w:b/>
                <w:i w:val="0"/>
                <w:sz w:val="20"/>
              </w:rPr>
              <w:t xml:space="preserve">в % к всего </w:t>
            </w:r>
            <w:proofErr w:type="gramStart"/>
            <w:r w:rsidRPr="009754DD">
              <w:rPr>
                <w:rStyle w:val="ab"/>
                <w:b/>
                <w:i w:val="0"/>
                <w:sz w:val="20"/>
              </w:rPr>
              <w:t>КЗ</w:t>
            </w:r>
            <w:proofErr w:type="gramEnd"/>
          </w:p>
        </w:tc>
        <w:tc>
          <w:tcPr>
            <w:tcW w:w="792" w:type="dxa"/>
            <w:vAlign w:val="center"/>
          </w:tcPr>
          <w:p w:rsidR="00421401" w:rsidRPr="009754DD" w:rsidRDefault="00421401">
            <w:pPr>
              <w:jc w:val="center"/>
              <w:rPr>
                <w:b/>
                <w:sz w:val="20"/>
              </w:rPr>
            </w:pPr>
            <w:r w:rsidRPr="009754DD">
              <w:rPr>
                <w:rStyle w:val="aa"/>
                <w:sz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21401" w:rsidRPr="009754DD" w:rsidRDefault="00421401" w:rsidP="00DC65E4">
            <w:pPr>
              <w:jc w:val="center"/>
              <w:rPr>
                <w:b/>
                <w:sz w:val="20"/>
              </w:rPr>
            </w:pPr>
            <w:r w:rsidRPr="009754DD">
              <w:rPr>
                <w:rStyle w:val="ab"/>
                <w:b/>
                <w:i w:val="0"/>
                <w:sz w:val="20"/>
              </w:rPr>
              <w:t xml:space="preserve">в % к </w:t>
            </w:r>
            <w:proofErr w:type="gramStart"/>
            <w:r w:rsidRPr="009754DD">
              <w:rPr>
                <w:rStyle w:val="ab"/>
                <w:b/>
                <w:i w:val="0"/>
                <w:sz w:val="20"/>
              </w:rPr>
              <w:t>КЗ</w:t>
            </w:r>
            <w:proofErr w:type="gramEnd"/>
            <w:r w:rsidRPr="009754DD">
              <w:rPr>
                <w:rStyle w:val="ab"/>
                <w:b/>
                <w:i w:val="0"/>
                <w:sz w:val="20"/>
              </w:rPr>
              <w:t xml:space="preserve"> на 01.01.20</w:t>
            </w:r>
            <w:r w:rsidR="001847BB" w:rsidRPr="009754DD">
              <w:rPr>
                <w:rStyle w:val="ab"/>
                <w:b/>
                <w:i w:val="0"/>
                <w:sz w:val="20"/>
              </w:rPr>
              <w:t>1</w:t>
            </w:r>
            <w:r w:rsidR="00DC65E4" w:rsidRPr="009754DD">
              <w:rPr>
                <w:rStyle w:val="ab"/>
                <w:b/>
                <w:i w:val="0"/>
                <w:sz w:val="20"/>
              </w:rPr>
              <w:t>2</w:t>
            </w:r>
          </w:p>
        </w:tc>
      </w:tr>
      <w:tr w:rsidR="0017274B" w:rsidRPr="009754DD" w:rsidTr="00DB5594">
        <w:trPr>
          <w:jc w:val="center"/>
        </w:trPr>
        <w:tc>
          <w:tcPr>
            <w:tcW w:w="4155" w:type="dxa"/>
            <w:vAlign w:val="center"/>
          </w:tcPr>
          <w:p w:rsidR="004677C8" w:rsidRPr="009754DD" w:rsidRDefault="004677C8">
            <w:pPr>
              <w:pStyle w:val="a7"/>
              <w:ind w:firstLine="0"/>
              <w:rPr>
                <w:b/>
                <w:i/>
                <w:sz w:val="20"/>
              </w:rPr>
            </w:pPr>
            <w:r w:rsidRPr="009754DD">
              <w:rPr>
                <w:rStyle w:val="ab"/>
                <w:b/>
                <w:i w:val="0"/>
                <w:sz w:val="20"/>
              </w:rPr>
              <w:t>Кредиторская задолженность – всего</w:t>
            </w:r>
          </w:p>
        </w:tc>
        <w:tc>
          <w:tcPr>
            <w:tcW w:w="895" w:type="dxa"/>
            <w:vAlign w:val="center"/>
          </w:tcPr>
          <w:p w:rsidR="004677C8" w:rsidRPr="009754DD" w:rsidRDefault="004677C8" w:rsidP="00064EE5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4677C8" w:rsidRPr="009754DD" w:rsidRDefault="004677C8" w:rsidP="00064EE5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100,0</w:t>
            </w:r>
          </w:p>
        </w:tc>
        <w:tc>
          <w:tcPr>
            <w:tcW w:w="785" w:type="dxa"/>
            <w:vAlign w:val="center"/>
          </w:tcPr>
          <w:p w:rsidR="004677C8" w:rsidRPr="009754DD" w:rsidRDefault="004677C8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15,7</w:t>
            </w:r>
          </w:p>
        </w:tc>
        <w:tc>
          <w:tcPr>
            <w:tcW w:w="930" w:type="dxa"/>
            <w:vAlign w:val="center"/>
          </w:tcPr>
          <w:p w:rsidR="004677C8" w:rsidRPr="009754DD" w:rsidRDefault="004677C8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100,0</w:t>
            </w:r>
          </w:p>
        </w:tc>
        <w:tc>
          <w:tcPr>
            <w:tcW w:w="792" w:type="dxa"/>
            <w:vAlign w:val="center"/>
          </w:tcPr>
          <w:p w:rsidR="004677C8" w:rsidRPr="009754DD" w:rsidRDefault="005E7F18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4677C8" w:rsidRPr="009754DD" w:rsidRDefault="005E7F18">
            <w:pPr>
              <w:jc w:val="center"/>
              <w:rPr>
                <w:b/>
                <w:sz w:val="20"/>
              </w:rPr>
            </w:pPr>
            <w:r w:rsidRPr="009754DD">
              <w:rPr>
                <w:b/>
                <w:sz w:val="20"/>
              </w:rPr>
              <w:t>16,3</w:t>
            </w:r>
          </w:p>
        </w:tc>
      </w:tr>
      <w:tr w:rsidR="0017274B" w:rsidRPr="009754DD" w:rsidTr="00DB5594">
        <w:trPr>
          <w:jc w:val="center"/>
        </w:trPr>
        <w:tc>
          <w:tcPr>
            <w:tcW w:w="4155" w:type="dxa"/>
            <w:vAlign w:val="center"/>
          </w:tcPr>
          <w:p w:rsidR="004677C8" w:rsidRPr="009754DD" w:rsidRDefault="004677C8">
            <w:pPr>
              <w:tabs>
                <w:tab w:val="left" w:pos="543"/>
              </w:tabs>
              <w:rPr>
                <w:i/>
                <w:sz w:val="20"/>
              </w:rPr>
            </w:pPr>
            <w:r w:rsidRPr="009754DD">
              <w:rPr>
                <w:i/>
                <w:sz w:val="20"/>
              </w:rPr>
              <w:t>из нее:</w:t>
            </w:r>
          </w:p>
          <w:p w:rsidR="004677C8" w:rsidRPr="009754DD" w:rsidRDefault="004677C8" w:rsidP="006E314B">
            <w:pPr>
              <w:tabs>
                <w:tab w:val="left" w:pos="543"/>
              </w:tabs>
              <w:rPr>
                <w:sz w:val="20"/>
              </w:rPr>
            </w:pPr>
            <w:r w:rsidRPr="009754DD">
              <w:rPr>
                <w:sz w:val="20"/>
              </w:rPr>
              <w:t xml:space="preserve">Оплата коммунальных услуг </w:t>
            </w:r>
          </w:p>
        </w:tc>
        <w:tc>
          <w:tcPr>
            <w:tcW w:w="895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7,4</w:t>
            </w:r>
          </w:p>
        </w:tc>
        <w:tc>
          <w:tcPr>
            <w:tcW w:w="785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1,1</w:t>
            </w:r>
          </w:p>
        </w:tc>
        <w:tc>
          <w:tcPr>
            <w:tcW w:w="930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4677C8" w:rsidRPr="009754DD" w:rsidRDefault="005E7F1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4677C8" w:rsidRPr="009754DD" w:rsidRDefault="005E7F1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10,0</w:t>
            </w:r>
          </w:p>
        </w:tc>
      </w:tr>
      <w:tr w:rsidR="0017274B" w:rsidRPr="009754DD" w:rsidTr="00DB5594">
        <w:trPr>
          <w:jc w:val="center"/>
        </w:trPr>
        <w:tc>
          <w:tcPr>
            <w:tcW w:w="4155" w:type="dxa"/>
            <w:vAlign w:val="center"/>
          </w:tcPr>
          <w:p w:rsidR="004677C8" w:rsidRPr="009754DD" w:rsidRDefault="004677C8">
            <w:pPr>
              <w:tabs>
                <w:tab w:val="left" w:pos="543"/>
              </w:tabs>
              <w:rPr>
                <w:sz w:val="20"/>
              </w:rPr>
            </w:pPr>
            <w:r w:rsidRPr="009754DD">
              <w:rPr>
                <w:sz w:val="20"/>
              </w:rPr>
              <w:t>Начисления на оплату труда</w:t>
            </w:r>
          </w:p>
        </w:tc>
        <w:tc>
          <w:tcPr>
            <w:tcW w:w="895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5,9</w:t>
            </w:r>
          </w:p>
        </w:tc>
        <w:tc>
          <w:tcPr>
            <w:tcW w:w="785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0,7</w:t>
            </w:r>
          </w:p>
        </w:tc>
        <w:tc>
          <w:tcPr>
            <w:tcW w:w="930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4,5</w:t>
            </w:r>
          </w:p>
        </w:tc>
        <w:tc>
          <w:tcPr>
            <w:tcW w:w="792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-</w:t>
            </w:r>
            <w:r w:rsidR="005E7F18" w:rsidRPr="009754DD">
              <w:rPr>
                <w:sz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-</w:t>
            </w:r>
            <w:r w:rsidR="005E7F18" w:rsidRPr="009754DD">
              <w:rPr>
                <w:sz w:val="20"/>
              </w:rPr>
              <w:t>12,5</w:t>
            </w:r>
          </w:p>
        </w:tc>
      </w:tr>
      <w:tr w:rsidR="0017274B" w:rsidRPr="009754DD" w:rsidTr="00DB5594">
        <w:trPr>
          <w:jc w:val="center"/>
        </w:trPr>
        <w:tc>
          <w:tcPr>
            <w:tcW w:w="4155" w:type="dxa"/>
            <w:vAlign w:val="center"/>
          </w:tcPr>
          <w:p w:rsidR="004677C8" w:rsidRPr="009754DD" w:rsidRDefault="004677C8">
            <w:pPr>
              <w:pStyle w:val="a4"/>
              <w:tabs>
                <w:tab w:val="left" w:pos="543"/>
              </w:tabs>
              <w:jc w:val="left"/>
              <w:rPr>
                <w:sz w:val="20"/>
              </w:rPr>
            </w:pPr>
            <w:r w:rsidRPr="009754DD">
              <w:rPr>
                <w:sz w:val="20"/>
              </w:rPr>
              <w:t xml:space="preserve">Оплата работ, услуг по содержанию имущества </w:t>
            </w:r>
          </w:p>
        </w:tc>
        <w:tc>
          <w:tcPr>
            <w:tcW w:w="895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4677C8" w:rsidRPr="009754DD" w:rsidRDefault="004677C8" w:rsidP="00064EE5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16,3</w:t>
            </w:r>
          </w:p>
        </w:tc>
        <w:tc>
          <w:tcPr>
            <w:tcW w:w="785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3,4</w:t>
            </w:r>
          </w:p>
        </w:tc>
        <w:tc>
          <w:tcPr>
            <w:tcW w:w="930" w:type="dxa"/>
            <w:vAlign w:val="center"/>
          </w:tcPr>
          <w:p w:rsidR="004677C8" w:rsidRPr="009754DD" w:rsidRDefault="004677C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21,6</w:t>
            </w:r>
          </w:p>
        </w:tc>
        <w:tc>
          <w:tcPr>
            <w:tcW w:w="792" w:type="dxa"/>
            <w:vAlign w:val="center"/>
          </w:tcPr>
          <w:p w:rsidR="004677C8" w:rsidRPr="009754DD" w:rsidRDefault="005E7F18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4677C8" w:rsidRPr="009754DD" w:rsidRDefault="005E7F18" w:rsidP="001847BB">
            <w:pPr>
              <w:jc w:val="center"/>
              <w:rPr>
                <w:sz w:val="20"/>
              </w:rPr>
            </w:pPr>
            <w:r w:rsidRPr="009754DD">
              <w:rPr>
                <w:sz w:val="20"/>
              </w:rPr>
              <w:t>54,5</w:t>
            </w:r>
          </w:p>
        </w:tc>
      </w:tr>
    </w:tbl>
    <w:p w:rsidR="00662E02" w:rsidRPr="009754DD" w:rsidRDefault="00662E02">
      <w:pPr>
        <w:pStyle w:val="a7"/>
      </w:pPr>
    </w:p>
    <w:p w:rsidR="00421401" w:rsidRPr="009754DD" w:rsidRDefault="00421401">
      <w:pPr>
        <w:pStyle w:val="a7"/>
      </w:pPr>
      <w:r w:rsidRPr="009754DD">
        <w:t>По отнош</w:t>
      </w:r>
      <w:r w:rsidR="00282290" w:rsidRPr="009754DD">
        <w:t>ению к общему объему произведенных</w:t>
      </w:r>
      <w:r w:rsidRPr="009754DD">
        <w:t xml:space="preserve"> расходов местных бюджетов</w:t>
      </w:r>
      <w:r w:rsidR="00282290" w:rsidRPr="009754DD">
        <w:t xml:space="preserve"> в</w:t>
      </w:r>
      <w:r w:rsidR="004B4F8C" w:rsidRPr="009754DD">
        <w:t xml:space="preserve"> </w:t>
      </w:r>
      <w:r w:rsidR="00282290" w:rsidRPr="009754DD">
        <w:t>целом</w:t>
      </w:r>
      <w:r w:rsidRPr="009754DD">
        <w:t xml:space="preserve"> кредиторская задолженность </w:t>
      </w:r>
      <w:proofErr w:type="gramStart"/>
      <w:r w:rsidRPr="009754DD">
        <w:t xml:space="preserve">на </w:t>
      </w:r>
      <w:r w:rsidR="00282290" w:rsidRPr="009754DD">
        <w:t>конец</w:t>
      </w:r>
      <w:proofErr w:type="gramEnd"/>
      <w:r w:rsidR="00282290" w:rsidRPr="009754DD">
        <w:t xml:space="preserve"> 20</w:t>
      </w:r>
      <w:r w:rsidR="00B91A91" w:rsidRPr="009754DD">
        <w:t>1</w:t>
      </w:r>
      <w:r w:rsidR="005E7F18" w:rsidRPr="009754DD">
        <w:t>3</w:t>
      </w:r>
      <w:r w:rsidR="00282290" w:rsidRPr="009754DD">
        <w:t xml:space="preserve"> года составляет </w:t>
      </w:r>
      <w:r w:rsidR="00E71F22" w:rsidRPr="009754DD">
        <w:t>0,</w:t>
      </w:r>
      <w:r w:rsidR="005E7F18" w:rsidRPr="009754DD">
        <w:t>5</w:t>
      </w:r>
      <w:r w:rsidR="00E71F22" w:rsidRPr="009754DD">
        <w:t>%</w:t>
      </w:r>
      <w:r w:rsidRPr="009754DD">
        <w:t xml:space="preserve">, что можно оценить как допустимый уровень. </w:t>
      </w:r>
    </w:p>
    <w:p w:rsidR="00E26C06" w:rsidRPr="009754DD" w:rsidRDefault="00082D0A" w:rsidP="00E26C06">
      <w:pPr>
        <w:shd w:val="clear" w:color="auto" w:fill="FFFFFF"/>
        <w:ind w:firstLine="709"/>
        <w:jc w:val="both"/>
        <w:rPr>
          <w:rFonts w:eastAsiaTheme="minorHAnsi"/>
          <w:spacing w:val="7"/>
          <w:szCs w:val="28"/>
          <w:lang w:eastAsia="en-US"/>
        </w:rPr>
      </w:pPr>
      <w:r w:rsidRPr="009754DD">
        <w:rPr>
          <w:spacing w:val="7"/>
        </w:rPr>
        <w:t xml:space="preserve">Долговые обязательства муниципальных образований </w:t>
      </w:r>
      <w:r w:rsidR="00804E9B" w:rsidRPr="009754DD">
        <w:rPr>
          <w:spacing w:val="7"/>
        </w:rPr>
        <w:t>в 201</w:t>
      </w:r>
      <w:r w:rsidR="0041446F" w:rsidRPr="009754DD">
        <w:rPr>
          <w:spacing w:val="7"/>
        </w:rPr>
        <w:t>3</w:t>
      </w:r>
      <w:r w:rsidR="00804E9B" w:rsidRPr="009754DD">
        <w:rPr>
          <w:spacing w:val="7"/>
        </w:rPr>
        <w:t xml:space="preserve"> году </w:t>
      </w:r>
      <w:r w:rsidRPr="009754DD">
        <w:rPr>
          <w:spacing w:val="7"/>
        </w:rPr>
        <w:t xml:space="preserve">возросли на </w:t>
      </w:r>
      <w:r w:rsidR="0041446F" w:rsidRPr="009754DD">
        <w:rPr>
          <w:rFonts w:eastAsiaTheme="minorHAnsi"/>
          <w:szCs w:val="28"/>
          <w:lang w:eastAsia="en-US"/>
        </w:rPr>
        <w:t>17,6</w:t>
      </w:r>
      <w:r w:rsidR="00E26C06" w:rsidRPr="009754DD">
        <w:rPr>
          <w:rFonts w:eastAsiaTheme="minorHAnsi"/>
          <w:szCs w:val="28"/>
          <w:lang w:eastAsia="en-US"/>
        </w:rPr>
        <w:t xml:space="preserve">% </w:t>
      </w:r>
      <w:r w:rsidRPr="009754DD">
        <w:rPr>
          <w:spacing w:val="7"/>
        </w:rPr>
        <w:t xml:space="preserve">с </w:t>
      </w:r>
      <w:r w:rsidR="0041446F" w:rsidRPr="009754DD">
        <w:rPr>
          <w:spacing w:val="7"/>
        </w:rPr>
        <w:t>245,3</w:t>
      </w:r>
      <w:r w:rsidRPr="009754DD">
        <w:rPr>
          <w:spacing w:val="7"/>
        </w:rPr>
        <w:t xml:space="preserve"> млрд. рублей (по состоянию на 1 января 201</w:t>
      </w:r>
      <w:r w:rsidR="0041446F" w:rsidRPr="009754DD">
        <w:rPr>
          <w:spacing w:val="7"/>
        </w:rPr>
        <w:t>3</w:t>
      </w:r>
      <w:r w:rsidRPr="009754DD">
        <w:rPr>
          <w:spacing w:val="7"/>
        </w:rPr>
        <w:t xml:space="preserve"> года) до </w:t>
      </w:r>
      <w:r w:rsidR="0041446F" w:rsidRPr="009754DD">
        <w:rPr>
          <w:spacing w:val="7"/>
        </w:rPr>
        <w:t>288,4</w:t>
      </w:r>
      <w:r w:rsidRPr="009754DD">
        <w:rPr>
          <w:spacing w:val="7"/>
        </w:rPr>
        <w:t xml:space="preserve"> млрд. рублей.</w:t>
      </w:r>
      <w:r w:rsidR="007750AF" w:rsidRPr="009754DD">
        <w:rPr>
          <w:spacing w:val="7"/>
        </w:rPr>
        <w:t xml:space="preserve"> </w:t>
      </w:r>
      <w:r w:rsidR="00E26C06" w:rsidRPr="009754DD">
        <w:rPr>
          <w:rFonts w:eastAsiaTheme="minorHAnsi"/>
          <w:spacing w:val="7"/>
          <w:szCs w:val="28"/>
          <w:lang w:eastAsia="en-US"/>
        </w:rPr>
        <w:t>Основной объем долговых обязатель</w:t>
      </w:r>
      <w:proofErr w:type="gramStart"/>
      <w:r w:rsidR="00E26C06" w:rsidRPr="009754DD">
        <w:rPr>
          <w:rFonts w:eastAsiaTheme="minorHAnsi"/>
          <w:spacing w:val="7"/>
          <w:szCs w:val="28"/>
          <w:lang w:eastAsia="en-US"/>
        </w:rPr>
        <w:t xml:space="preserve">ств </w:t>
      </w:r>
      <w:r w:rsidR="00E26C06" w:rsidRPr="009754DD">
        <w:rPr>
          <w:rFonts w:eastAsiaTheme="minorHAnsi"/>
          <w:spacing w:val="7"/>
          <w:szCs w:val="28"/>
          <w:lang w:eastAsia="en-US"/>
        </w:rPr>
        <w:lastRenderedPageBreak/>
        <w:t>пр</w:t>
      </w:r>
      <w:proofErr w:type="gramEnd"/>
      <w:r w:rsidR="00E26C06" w:rsidRPr="009754DD">
        <w:rPr>
          <w:rFonts w:eastAsiaTheme="minorHAnsi"/>
          <w:spacing w:val="7"/>
          <w:szCs w:val="28"/>
          <w:lang w:eastAsia="en-US"/>
        </w:rPr>
        <w:t>иходится на б</w:t>
      </w:r>
      <w:r w:rsidR="0041446F" w:rsidRPr="009754DD">
        <w:rPr>
          <w:rFonts w:eastAsiaTheme="minorHAnsi"/>
          <w:spacing w:val="7"/>
          <w:szCs w:val="28"/>
          <w:lang w:eastAsia="en-US"/>
        </w:rPr>
        <w:t>юджеты городских округов – 235,3</w:t>
      </w:r>
      <w:r w:rsidR="0016105B" w:rsidRPr="009754DD">
        <w:rPr>
          <w:rFonts w:eastAsiaTheme="minorHAnsi"/>
          <w:spacing w:val="7"/>
          <w:szCs w:val="28"/>
          <w:lang w:eastAsia="en-US"/>
        </w:rPr>
        <w:t xml:space="preserve"> млрд. рублей (81,6</w:t>
      </w:r>
      <w:r w:rsidR="00E26C06" w:rsidRPr="009754DD">
        <w:rPr>
          <w:rFonts w:eastAsiaTheme="minorHAnsi"/>
          <w:spacing w:val="7"/>
          <w:szCs w:val="28"/>
          <w:lang w:eastAsia="en-US"/>
        </w:rPr>
        <w:t>% от  местных бюджетов)</w:t>
      </w:r>
      <w:r w:rsidR="00662E02" w:rsidRPr="009754DD">
        <w:rPr>
          <w:rFonts w:eastAsiaTheme="minorHAnsi"/>
          <w:spacing w:val="7"/>
          <w:szCs w:val="28"/>
          <w:lang w:eastAsia="en-US"/>
        </w:rPr>
        <w:t>. Долговые обязательства</w:t>
      </w:r>
      <w:r w:rsidR="00E26C06" w:rsidRPr="009754DD">
        <w:rPr>
          <w:rFonts w:eastAsiaTheme="minorHAnsi"/>
          <w:spacing w:val="7"/>
          <w:szCs w:val="28"/>
          <w:lang w:eastAsia="en-US"/>
        </w:rPr>
        <w:t xml:space="preserve"> муниципальных районов </w:t>
      </w:r>
      <w:r w:rsidR="00662E02" w:rsidRPr="009754DD">
        <w:rPr>
          <w:rFonts w:eastAsiaTheme="minorHAnsi"/>
          <w:spacing w:val="7"/>
          <w:szCs w:val="28"/>
          <w:lang w:eastAsia="en-US"/>
        </w:rPr>
        <w:t xml:space="preserve">составили </w:t>
      </w:r>
      <w:r w:rsidR="0016105B" w:rsidRPr="009754DD">
        <w:rPr>
          <w:rFonts w:eastAsiaTheme="minorHAnsi"/>
          <w:spacing w:val="7"/>
          <w:szCs w:val="28"/>
          <w:lang w:eastAsia="en-US"/>
        </w:rPr>
        <w:t>45,8 млрд. рублей (15,9%) и поселений – 7,3</w:t>
      </w:r>
      <w:r w:rsidR="00E26C06" w:rsidRPr="009754DD">
        <w:rPr>
          <w:rFonts w:eastAsiaTheme="minorHAnsi"/>
          <w:spacing w:val="7"/>
          <w:szCs w:val="28"/>
          <w:lang w:eastAsia="en-US"/>
        </w:rPr>
        <w:t xml:space="preserve"> млрд. рублей</w:t>
      </w:r>
      <w:r w:rsidR="009754DD" w:rsidRPr="009754DD">
        <w:rPr>
          <w:rFonts w:eastAsiaTheme="minorHAnsi"/>
          <w:spacing w:val="7"/>
          <w:szCs w:val="28"/>
          <w:lang w:eastAsia="en-US"/>
        </w:rPr>
        <w:t xml:space="preserve"> (2,5%</w:t>
      </w:r>
      <w:r w:rsidR="00E26C06" w:rsidRPr="009754DD">
        <w:rPr>
          <w:rFonts w:eastAsiaTheme="minorHAnsi"/>
          <w:spacing w:val="7"/>
          <w:szCs w:val="28"/>
          <w:lang w:eastAsia="en-US"/>
        </w:rPr>
        <w:t>).</w:t>
      </w:r>
    </w:p>
    <w:p w:rsidR="00AF1B7F" w:rsidRPr="009754DD" w:rsidRDefault="00C21E65" w:rsidP="00AF1B7F">
      <w:pPr>
        <w:pStyle w:val="20"/>
        <w:ind w:firstLine="709"/>
        <w:rPr>
          <w:szCs w:val="28"/>
        </w:rPr>
      </w:pPr>
      <w:r>
        <w:rPr>
          <w:szCs w:val="28"/>
        </w:rPr>
        <w:t>На 01.01.2014 г.</w:t>
      </w:r>
      <w:r w:rsidR="00AF1B7F" w:rsidRPr="009754DD">
        <w:rPr>
          <w:szCs w:val="28"/>
        </w:rPr>
        <w:t xml:space="preserve"> объем долговых обязательств муниципальных образований составил </w:t>
      </w:r>
      <w:r w:rsidR="0016105B" w:rsidRPr="009754DD">
        <w:rPr>
          <w:szCs w:val="28"/>
        </w:rPr>
        <w:t>11,8</w:t>
      </w:r>
      <w:r w:rsidR="00AF1B7F" w:rsidRPr="009754DD">
        <w:rPr>
          <w:szCs w:val="28"/>
        </w:rPr>
        <w:t xml:space="preserve">% </w:t>
      </w:r>
      <w:r w:rsidR="00662E02" w:rsidRPr="009754DD">
        <w:rPr>
          <w:szCs w:val="28"/>
        </w:rPr>
        <w:t xml:space="preserve"> от </w:t>
      </w:r>
      <w:r w:rsidR="00AF1B7F" w:rsidRPr="009754DD">
        <w:rPr>
          <w:szCs w:val="28"/>
        </w:rPr>
        <w:t>собственных доходов местных бюджетов.</w:t>
      </w:r>
    </w:p>
    <w:p w:rsidR="00421401" w:rsidRPr="009754DD" w:rsidRDefault="00421401" w:rsidP="00AF1B7F">
      <w:pPr>
        <w:pStyle w:val="20"/>
        <w:ind w:firstLine="709"/>
      </w:pPr>
      <w:r w:rsidRPr="009754DD">
        <w:tab/>
      </w:r>
      <w:r w:rsidR="004678B5" w:rsidRPr="009754DD">
        <w:t>Перечень субъектов</w:t>
      </w:r>
      <w:r w:rsidRPr="009754DD">
        <w:t xml:space="preserve"> Российской Федерации с наибольшим и наименьшим объемом долговых обязательств муниципальных образований</w:t>
      </w:r>
      <w:r w:rsidR="00C21E65">
        <w:t xml:space="preserve"> на 01.</w:t>
      </w:r>
      <w:r w:rsidR="00CD79D2">
        <w:t>01.2014 г.</w:t>
      </w:r>
      <w:r w:rsidR="004678B5" w:rsidRPr="009754DD">
        <w:t xml:space="preserve"> представлен</w:t>
      </w:r>
      <w:r w:rsidRPr="009754DD">
        <w:t xml:space="preserve"> в следующей таблице.</w:t>
      </w:r>
    </w:p>
    <w:p w:rsidR="006E314B" w:rsidRPr="009754DD" w:rsidRDefault="006E314B">
      <w:pPr>
        <w:pStyle w:val="1"/>
        <w:jc w:val="right"/>
        <w:rPr>
          <w:b w:val="0"/>
        </w:rPr>
      </w:pPr>
    </w:p>
    <w:p w:rsidR="006E314B" w:rsidRPr="009754DD" w:rsidRDefault="006E314B">
      <w:pPr>
        <w:pStyle w:val="1"/>
        <w:jc w:val="right"/>
        <w:rPr>
          <w:b w:val="0"/>
        </w:rPr>
      </w:pPr>
    </w:p>
    <w:p w:rsidR="00726606" w:rsidRPr="009754DD" w:rsidRDefault="00726606" w:rsidP="00726606"/>
    <w:p w:rsidR="00421401" w:rsidRPr="009754DD" w:rsidRDefault="00C67912">
      <w:pPr>
        <w:pStyle w:val="1"/>
        <w:jc w:val="right"/>
        <w:rPr>
          <w:b w:val="0"/>
        </w:rPr>
      </w:pPr>
      <w:r w:rsidRPr="009754DD">
        <w:rPr>
          <w:b w:val="0"/>
        </w:rPr>
        <w:t>Таблица 1</w:t>
      </w:r>
      <w:r w:rsidR="00876E6E" w:rsidRPr="009754DD">
        <w:rPr>
          <w:b w:val="0"/>
        </w:rPr>
        <w:t>2</w:t>
      </w:r>
    </w:p>
    <w:p w:rsidR="00FF6882" w:rsidRPr="009754DD" w:rsidRDefault="00FF6882" w:rsidP="00FF6882">
      <w:pPr>
        <w:jc w:val="right"/>
        <w:rPr>
          <w:sz w:val="22"/>
          <w:szCs w:val="22"/>
        </w:rPr>
      </w:pPr>
      <w:r w:rsidRPr="009754DD">
        <w:rPr>
          <w:sz w:val="22"/>
          <w:szCs w:val="22"/>
        </w:rPr>
        <w:t xml:space="preserve">  (млн.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2410"/>
        <w:gridCol w:w="1275"/>
        <w:gridCol w:w="993"/>
      </w:tblGrid>
      <w:tr w:rsidR="009754DD" w:rsidRPr="009754DD" w:rsidTr="00DD2E7A">
        <w:trPr>
          <w:cantSplit/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93" w:rsidRPr="009754DD" w:rsidRDefault="00561493" w:rsidP="00F970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>Субъекты РФ с наибольшим объемом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93" w:rsidRPr="009754DD" w:rsidRDefault="00F970C8" w:rsidP="00FF688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 xml:space="preserve">% </w:t>
            </w:r>
            <w:r w:rsidR="00561493" w:rsidRPr="009754DD">
              <w:rPr>
                <w:b/>
                <w:sz w:val="22"/>
                <w:szCs w:val="22"/>
              </w:rPr>
              <w:t xml:space="preserve">к </w:t>
            </w:r>
            <w:proofErr w:type="spellStart"/>
            <w:r w:rsidR="00561493" w:rsidRPr="009754DD">
              <w:rPr>
                <w:b/>
                <w:sz w:val="22"/>
                <w:szCs w:val="22"/>
              </w:rPr>
              <w:t>собст</w:t>
            </w:r>
            <w:proofErr w:type="spellEnd"/>
            <w:r w:rsidR="00561493" w:rsidRPr="009754DD">
              <w:rPr>
                <w:b/>
                <w:sz w:val="22"/>
                <w:szCs w:val="22"/>
              </w:rPr>
              <w:t xml:space="preserve">. </w:t>
            </w:r>
            <w:r w:rsidR="00DD2E7A" w:rsidRPr="009754DD">
              <w:rPr>
                <w:b/>
                <w:sz w:val="22"/>
                <w:szCs w:val="22"/>
              </w:rPr>
              <w:t>Д</w:t>
            </w:r>
            <w:r w:rsidR="00561493" w:rsidRPr="009754DD">
              <w:rPr>
                <w:b/>
                <w:sz w:val="22"/>
                <w:szCs w:val="22"/>
              </w:rPr>
              <w:t>оходам</w:t>
            </w:r>
            <w:r w:rsidR="00DD2E7A" w:rsidRPr="009754DD">
              <w:rPr>
                <w:b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93" w:rsidRPr="009754DD" w:rsidRDefault="00FF6882" w:rsidP="00F970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93" w:rsidRPr="009754DD" w:rsidRDefault="00561493" w:rsidP="00F970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>Субъекты РФ с наименьшим объемом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C8" w:rsidRPr="009754DD" w:rsidRDefault="00561493" w:rsidP="00F970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>%</w:t>
            </w:r>
          </w:p>
          <w:p w:rsidR="00561493" w:rsidRPr="009754DD" w:rsidRDefault="00561493" w:rsidP="00FF688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 xml:space="preserve">к </w:t>
            </w:r>
            <w:proofErr w:type="spellStart"/>
            <w:r w:rsidRPr="009754DD">
              <w:rPr>
                <w:b/>
                <w:sz w:val="22"/>
                <w:szCs w:val="22"/>
              </w:rPr>
              <w:t>собст</w:t>
            </w:r>
            <w:proofErr w:type="spellEnd"/>
            <w:r w:rsidRPr="009754DD">
              <w:rPr>
                <w:b/>
                <w:sz w:val="22"/>
                <w:szCs w:val="22"/>
              </w:rPr>
              <w:t xml:space="preserve">. </w:t>
            </w:r>
            <w:r w:rsidR="00DD2E7A" w:rsidRPr="009754DD">
              <w:rPr>
                <w:b/>
                <w:sz w:val="22"/>
                <w:szCs w:val="22"/>
              </w:rPr>
              <w:t>Д</w:t>
            </w:r>
            <w:r w:rsidRPr="009754DD">
              <w:rPr>
                <w:b/>
                <w:sz w:val="22"/>
                <w:szCs w:val="22"/>
              </w:rPr>
              <w:t>оходам</w:t>
            </w:r>
            <w:r w:rsidR="00DD2E7A" w:rsidRPr="009754DD">
              <w:rPr>
                <w:b/>
                <w:sz w:val="22"/>
                <w:szCs w:val="22"/>
              </w:rPr>
              <w:t xml:space="preserve">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93" w:rsidRPr="009754DD" w:rsidRDefault="00FF6882" w:rsidP="00F970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4DD">
              <w:rPr>
                <w:b/>
                <w:sz w:val="22"/>
                <w:szCs w:val="22"/>
              </w:rPr>
              <w:t>Объем долга</w:t>
            </w:r>
          </w:p>
        </w:tc>
      </w:tr>
      <w:tr w:rsidR="009754DD" w:rsidRPr="009754DD" w:rsidTr="00DD2E7A">
        <w:trPr>
          <w:cantSplit/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56149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Республика Татарстан (Татарстан)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3</w:t>
            </w:r>
            <w:r w:rsidR="00175706" w:rsidRPr="009754DD">
              <w:rPr>
                <w:sz w:val="22"/>
                <w:szCs w:val="22"/>
              </w:rPr>
              <w:t>0 845,5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0,8</w:t>
            </w:r>
          </w:p>
        </w:tc>
      </w:tr>
      <w:tr w:rsidR="009754DD" w:rsidRPr="009754DD" w:rsidTr="00DD2E7A"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175706" w:rsidRPr="009754DD">
              <w:rPr>
                <w:sz w:val="22"/>
                <w:szCs w:val="22"/>
              </w:rPr>
              <w:t>8 369,8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8,0</w:t>
            </w:r>
          </w:p>
        </w:tc>
      </w:tr>
      <w:tr w:rsidR="009754DD" w:rsidRPr="009754DD" w:rsidTr="00DD2E7A">
        <w:trPr>
          <w:cantSplit/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175706" w:rsidRPr="009754DD">
              <w:rPr>
                <w:sz w:val="22"/>
                <w:szCs w:val="22"/>
              </w:rPr>
              <w:t>3 891,9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79,6</w:t>
            </w:r>
          </w:p>
        </w:tc>
      </w:tr>
      <w:tr w:rsidR="009754DD" w:rsidRPr="009754DD" w:rsidTr="00DD2E7A">
        <w:trPr>
          <w:cantSplit/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56149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175706" w:rsidRPr="009754DD">
              <w:rPr>
                <w:sz w:val="22"/>
                <w:szCs w:val="22"/>
              </w:rPr>
              <w:t>3 119,5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561493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 xml:space="preserve">Республика </w:t>
            </w:r>
            <w:r w:rsidR="003A3233" w:rsidRPr="009754DD">
              <w:rPr>
                <w:sz w:val="22"/>
                <w:szCs w:val="22"/>
              </w:rPr>
              <w:t>Калмыкия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85,1</w:t>
            </w:r>
          </w:p>
        </w:tc>
      </w:tr>
      <w:tr w:rsidR="009754DD" w:rsidRPr="009754DD" w:rsidTr="00DD2E7A">
        <w:trPr>
          <w:cantSplit/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B75AEF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175706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10 690,2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</w:t>
            </w:r>
            <w:r w:rsidR="00904000" w:rsidRPr="009754DD">
              <w:rPr>
                <w:sz w:val="22"/>
                <w:szCs w:val="22"/>
              </w:rPr>
              <w:t>28,6</w:t>
            </w:r>
          </w:p>
        </w:tc>
      </w:tr>
      <w:tr w:rsidR="009754DD" w:rsidRPr="009754DD" w:rsidTr="00DD2E7A">
        <w:trPr>
          <w:cantSplit/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E976B4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E976B4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9 474,1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16</w:t>
            </w:r>
            <w:r w:rsidR="00904000" w:rsidRPr="009754DD">
              <w:rPr>
                <w:sz w:val="22"/>
                <w:szCs w:val="22"/>
              </w:rPr>
              <w:t>5,6</w:t>
            </w:r>
          </w:p>
        </w:tc>
      </w:tr>
      <w:tr w:rsidR="009754DD" w:rsidRPr="009754DD" w:rsidTr="00DD2E7A">
        <w:trPr>
          <w:cantSplit/>
          <w:trHeight w:val="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E976B4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E976B4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9 124,5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277,1</w:t>
            </w:r>
          </w:p>
        </w:tc>
      </w:tr>
      <w:tr w:rsidR="009754DD" w:rsidRPr="009754DD" w:rsidTr="00DD2E7A">
        <w:trPr>
          <w:cantSplit/>
          <w:trHeight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DA14EC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DA14EC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8 478,1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904000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423,9</w:t>
            </w:r>
          </w:p>
        </w:tc>
      </w:tr>
      <w:tr w:rsidR="009754DD" w:rsidRPr="009754DD" w:rsidTr="00DD2E7A">
        <w:trPr>
          <w:cantSplit/>
          <w:trHeight w:val="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DA14EC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3A3233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7</w:t>
            </w:r>
            <w:r w:rsidR="00DA14EC" w:rsidRPr="009754DD">
              <w:rPr>
                <w:sz w:val="22"/>
                <w:szCs w:val="22"/>
              </w:rPr>
              <w:t> </w:t>
            </w:r>
            <w:r w:rsidRPr="009754DD">
              <w:rPr>
                <w:sz w:val="22"/>
                <w:szCs w:val="22"/>
              </w:rPr>
              <w:t>5</w:t>
            </w:r>
            <w:r w:rsidR="00DA14EC" w:rsidRPr="009754DD">
              <w:rPr>
                <w:sz w:val="22"/>
                <w:szCs w:val="22"/>
              </w:rPr>
              <w:t>85,0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462,0</w:t>
            </w:r>
          </w:p>
        </w:tc>
      </w:tr>
      <w:tr w:rsidR="009754DD" w:rsidRPr="009754DD" w:rsidTr="00DD2E7A">
        <w:trPr>
          <w:cantSplit/>
          <w:trHeight w:val="2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DA14EC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DA14EC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6 629,4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7B14A0" w:rsidP="00FF6882">
            <w:pPr>
              <w:pStyle w:val="a4"/>
              <w:jc w:val="left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6372CE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93" w:rsidRPr="009754DD" w:rsidRDefault="00FA15D7" w:rsidP="00FF6882">
            <w:pPr>
              <w:pStyle w:val="a4"/>
              <w:jc w:val="center"/>
              <w:rPr>
                <w:sz w:val="22"/>
                <w:szCs w:val="22"/>
              </w:rPr>
            </w:pPr>
            <w:r w:rsidRPr="009754DD">
              <w:rPr>
                <w:sz w:val="22"/>
                <w:szCs w:val="22"/>
              </w:rPr>
              <w:t>565,3</w:t>
            </w:r>
          </w:p>
        </w:tc>
      </w:tr>
    </w:tbl>
    <w:p w:rsidR="000B1E49" w:rsidRPr="009754DD" w:rsidRDefault="000B1E49">
      <w:pPr>
        <w:pStyle w:val="a7"/>
      </w:pPr>
    </w:p>
    <w:p w:rsidR="00DD2A63" w:rsidRPr="009754DD" w:rsidRDefault="00416A09">
      <w:pPr>
        <w:pStyle w:val="a7"/>
      </w:pPr>
      <w:r w:rsidRPr="009754DD">
        <w:t>В 20</w:t>
      </w:r>
      <w:r w:rsidR="00B10893" w:rsidRPr="009754DD">
        <w:t>1</w:t>
      </w:r>
      <w:r w:rsidR="004C4A00" w:rsidRPr="009754DD">
        <w:t>3</w:t>
      </w:r>
      <w:r w:rsidR="00421401" w:rsidRPr="009754DD">
        <w:t xml:space="preserve"> году в целом по Российской Федерации местные бюджеты</w:t>
      </w:r>
      <w:r w:rsidRPr="009754DD">
        <w:t xml:space="preserve"> исполнены с дефицитом. Объем расходов превысил объем поступивших доходов местных бюджетов на </w:t>
      </w:r>
      <w:r w:rsidR="004C4A00" w:rsidRPr="009754DD">
        <w:t>42,2</w:t>
      </w:r>
      <w:r w:rsidR="00421401" w:rsidRPr="009754DD">
        <w:t xml:space="preserve"> млрд. рублей п</w:t>
      </w:r>
      <w:r w:rsidR="000036F0" w:rsidRPr="009754DD">
        <w:t xml:space="preserve">ри запланированном дефиците </w:t>
      </w:r>
      <w:r w:rsidR="004C4A00" w:rsidRPr="009754DD">
        <w:t>98,8</w:t>
      </w:r>
      <w:r w:rsidR="00421401" w:rsidRPr="009754DD">
        <w:t xml:space="preserve"> млрд. руб</w:t>
      </w:r>
      <w:r w:rsidR="000036F0" w:rsidRPr="009754DD">
        <w:t>лей (аналогичные показатели 20</w:t>
      </w:r>
      <w:r w:rsidR="007E6305" w:rsidRPr="009754DD">
        <w:t>1</w:t>
      </w:r>
      <w:r w:rsidR="004C4A00" w:rsidRPr="009754DD">
        <w:t>2</w:t>
      </w:r>
      <w:r w:rsidR="0049254E" w:rsidRPr="009754DD">
        <w:t xml:space="preserve"> </w:t>
      </w:r>
      <w:r w:rsidR="00421401" w:rsidRPr="009754DD">
        <w:t>года со</w:t>
      </w:r>
      <w:r w:rsidR="000036F0" w:rsidRPr="009754DD">
        <w:t xml:space="preserve">ставляли </w:t>
      </w:r>
      <w:r w:rsidR="004C4A00" w:rsidRPr="009754DD">
        <w:t>27,5</w:t>
      </w:r>
      <w:r w:rsidR="000036F0" w:rsidRPr="009754DD">
        <w:t xml:space="preserve"> млрд. рублей и </w:t>
      </w:r>
      <w:r w:rsidR="004C4A00" w:rsidRPr="009754DD">
        <w:t>93,3</w:t>
      </w:r>
      <w:r w:rsidR="00421401" w:rsidRPr="009754DD">
        <w:t xml:space="preserve"> млрд. рублей). </w:t>
      </w:r>
    </w:p>
    <w:p w:rsidR="00421401" w:rsidRPr="009754DD" w:rsidRDefault="006F3188" w:rsidP="0056395A">
      <w:pPr>
        <w:pStyle w:val="a7"/>
        <w:rPr>
          <w:snapToGrid w:val="0"/>
        </w:rPr>
      </w:pPr>
      <w:proofErr w:type="gramStart"/>
      <w:r w:rsidRPr="009754DD">
        <w:t xml:space="preserve">При этом в </w:t>
      </w:r>
      <w:r w:rsidR="003B7094" w:rsidRPr="009754DD">
        <w:t>59</w:t>
      </w:r>
      <w:r w:rsidR="00421401" w:rsidRPr="009754DD">
        <w:t xml:space="preserve"> субъектах Российской Федерации </w:t>
      </w:r>
      <w:r w:rsidR="00570FF9" w:rsidRPr="009754DD">
        <w:t>дефицит</w:t>
      </w:r>
      <w:r w:rsidRPr="009754DD">
        <w:t xml:space="preserve"> местных бюджетов составил </w:t>
      </w:r>
      <w:r w:rsidR="003B7094" w:rsidRPr="009754DD">
        <w:t>56</w:t>
      </w:r>
      <w:r w:rsidR="00F375EC" w:rsidRPr="009754DD">
        <w:t>,6</w:t>
      </w:r>
      <w:r w:rsidR="002C28C1" w:rsidRPr="009754DD">
        <w:t xml:space="preserve"> </w:t>
      </w:r>
      <w:r w:rsidRPr="009754DD">
        <w:t xml:space="preserve">млрд. рублей, </w:t>
      </w:r>
      <w:r w:rsidR="00421401" w:rsidRPr="009754DD">
        <w:t xml:space="preserve">в том числе в местных бюджетах </w:t>
      </w:r>
      <w:r w:rsidR="003B7094" w:rsidRPr="009754DD">
        <w:rPr>
          <w:snapToGrid w:val="0"/>
        </w:rPr>
        <w:t>Ханты-Мансийского</w:t>
      </w:r>
      <w:r w:rsidR="0049254E" w:rsidRPr="009754DD">
        <w:rPr>
          <w:snapToGrid w:val="0"/>
        </w:rPr>
        <w:t xml:space="preserve"> автономного округа</w:t>
      </w:r>
      <w:r w:rsidR="00047AA7" w:rsidRPr="009754DD">
        <w:rPr>
          <w:snapToGrid w:val="0"/>
        </w:rPr>
        <w:t xml:space="preserve"> - Югра</w:t>
      </w:r>
      <w:r w:rsidR="0049254E" w:rsidRPr="009754DD">
        <w:rPr>
          <w:snapToGrid w:val="0"/>
        </w:rPr>
        <w:t xml:space="preserve"> </w:t>
      </w:r>
      <w:r w:rsidR="0056395A" w:rsidRPr="009754DD">
        <w:rPr>
          <w:snapToGrid w:val="0"/>
        </w:rPr>
        <w:t xml:space="preserve">– </w:t>
      </w:r>
      <w:r w:rsidR="003B7094" w:rsidRPr="009754DD">
        <w:rPr>
          <w:snapToGrid w:val="0"/>
        </w:rPr>
        <w:t>6,5</w:t>
      </w:r>
      <w:r w:rsidR="0049254E" w:rsidRPr="009754DD">
        <w:rPr>
          <w:snapToGrid w:val="0"/>
        </w:rPr>
        <w:t xml:space="preserve"> </w:t>
      </w:r>
      <w:r w:rsidR="0056395A" w:rsidRPr="009754DD">
        <w:rPr>
          <w:snapToGrid w:val="0"/>
        </w:rPr>
        <w:t>млрд. рублей,</w:t>
      </w:r>
      <w:r w:rsidR="0049254E" w:rsidRPr="009754DD">
        <w:rPr>
          <w:snapToGrid w:val="0"/>
        </w:rPr>
        <w:t xml:space="preserve"> </w:t>
      </w:r>
      <w:r w:rsidR="003B7094" w:rsidRPr="009754DD">
        <w:rPr>
          <w:snapToGrid w:val="0"/>
        </w:rPr>
        <w:t>Краснодарский край – 4,4</w:t>
      </w:r>
      <w:r w:rsidR="0049254E" w:rsidRPr="009754DD">
        <w:rPr>
          <w:snapToGrid w:val="0"/>
        </w:rPr>
        <w:t xml:space="preserve"> млрд. рублей, </w:t>
      </w:r>
      <w:r w:rsidR="003B7094" w:rsidRPr="009754DD">
        <w:rPr>
          <w:snapToGrid w:val="0"/>
        </w:rPr>
        <w:t>Кемеровской области – 3,5</w:t>
      </w:r>
      <w:r w:rsidR="0049254E" w:rsidRPr="009754DD">
        <w:rPr>
          <w:snapToGrid w:val="0"/>
        </w:rPr>
        <w:t xml:space="preserve"> млрд. рублей,</w:t>
      </w:r>
      <w:r w:rsidR="006B7689" w:rsidRPr="009754DD">
        <w:rPr>
          <w:snapToGrid w:val="0"/>
        </w:rPr>
        <w:t xml:space="preserve"> </w:t>
      </w:r>
      <w:r w:rsidR="00047AA7" w:rsidRPr="009754DD">
        <w:rPr>
          <w:snapToGrid w:val="0"/>
        </w:rPr>
        <w:t>Пермского края – 2,6</w:t>
      </w:r>
      <w:r w:rsidR="006B7689" w:rsidRPr="009754DD">
        <w:rPr>
          <w:snapToGrid w:val="0"/>
        </w:rPr>
        <w:t xml:space="preserve"> млрд. рублей, </w:t>
      </w:r>
      <w:r w:rsidR="00047AA7" w:rsidRPr="009754DD">
        <w:rPr>
          <w:snapToGrid w:val="0"/>
        </w:rPr>
        <w:t>Новосибирской области – 2,4 млрд. рублей</w:t>
      </w:r>
      <w:r w:rsidR="00913860" w:rsidRPr="009754DD">
        <w:rPr>
          <w:snapToGrid w:val="0"/>
        </w:rPr>
        <w:t xml:space="preserve"> и </w:t>
      </w:r>
      <w:r w:rsidR="00047AA7" w:rsidRPr="009754DD">
        <w:rPr>
          <w:snapToGrid w:val="0"/>
        </w:rPr>
        <w:t>Красноярского края – 2,0</w:t>
      </w:r>
      <w:r w:rsidR="006B7689" w:rsidRPr="009754DD">
        <w:rPr>
          <w:snapToGrid w:val="0"/>
        </w:rPr>
        <w:t xml:space="preserve"> млрд. рублей. </w:t>
      </w:r>
      <w:r w:rsidR="0056395A" w:rsidRPr="009754DD">
        <w:rPr>
          <w:snapToGrid w:val="0"/>
        </w:rPr>
        <w:t xml:space="preserve"> </w:t>
      </w:r>
      <w:proofErr w:type="gramEnd"/>
    </w:p>
    <w:p w:rsidR="006372CE" w:rsidRPr="009754DD" w:rsidRDefault="00E520D9" w:rsidP="0017274B">
      <w:pPr>
        <w:pStyle w:val="a7"/>
      </w:pPr>
      <w:proofErr w:type="gramStart"/>
      <w:r w:rsidRPr="009754DD">
        <w:lastRenderedPageBreak/>
        <w:t xml:space="preserve">В </w:t>
      </w:r>
      <w:r w:rsidR="00047AA7" w:rsidRPr="009754DD">
        <w:t>24</w:t>
      </w:r>
      <w:r w:rsidR="00913860" w:rsidRPr="009754DD">
        <w:t xml:space="preserve"> </w:t>
      </w:r>
      <w:r w:rsidR="00421401" w:rsidRPr="009754DD">
        <w:t>субъектах Российской Федерации местные бюджеты исполнены</w:t>
      </w:r>
      <w:r w:rsidRPr="009754DD">
        <w:t xml:space="preserve"> с </w:t>
      </w:r>
      <w:r w:rsidR="00570FF9" w:rsidRPr="009754DD">
        <w:t>профицитом</w:t>
      </w:r>
      <w:r w:rsidRPr="009754DD">
        <w:t xml:space="preserve"> в общем объеме </w:t>
      </w:r>
      <w:r w:rsidR="00047AA7" w:rsidRPr="009754DD">
        <w:t>1</w:t>
      </w:r>
      <w:r w:rsidR="00F375EC" w:rsidRPr="009754DD">
        <w:t>4,0</w:t>
      </w:r>
      <w:r w:rsidR="00421401" w:rsidRPr="009754DD">
        <w:t xml:space="preserve"> млрд. рублей, в том числе </w:t>
      </w:r>
      <w:r w:rsidR="00047AA7" w:rsidRPr="009754DD">
        <w:t>Московской области – 3,9</w:t>
      </w:r>
      <w:r w:rsidR="00913860" w:rsidRPr="009754DD">
        <w:t xml:space="preserve"> млрд. рублей,</w:t>
      </w:r>
      <w:r w:rsidR="0056395A" w:rsidRPr="009754DD">
        <w:t xml:space="preserve"> </w:t>
      </w:r>
      <w:r w:rsidR="00047AA7" w:rsidRPr="009754DD">
        <w:t>Амурской области – 2,1 млрд. рублей, Республике Саха (Якутия) – 1,8</w:t>
      </w:r>
      <w:r w:rsidR="00913860" w:rsidRPr="009754DD">
        <w:t xml:space="preserve"> млрд. рублей, </w:t>
      </w:r>
      <w:r w:rsidR="00047AA7" w:rsidRPr="009754DD">
        <w:t>Республике Бурятия  - 1,4</w:t>
      </w:r>
      <w:r w:rsidR="00913860" w:rsidRPr="009754DD">
        <w:t xml:space="preserve"> млрд. рублей, </w:t>
      </w:r>
      <w:r w:rsidR="00047AA7" w:rsidRPr="009754DD">
        <w:t>Республике Дагестан – 1,0</w:t>
      </w:r>
      <w:r w:rsidR="00913860" w:rsidRPr="009754DD">
        <w:t xml:space="preserve"> млрд. рублей и </w:t>
      </w:r>
      <w:r w:rsidR="00047AA7" w:rsidRPr="009754DD">
        <w:t>Астраханской области – 0,7</w:t>
      </w:r>
      <w:r w:rsidR="00913860" w:rsidRPr="009754DD">
        <w:t xml:space="preserve"> млрд. рублей.</w:t>
      </w:r>
      <w:proofErr w:type="gramEnd"/>
    </w:p>
    <w:p w:rsidR="002013CC" w:rsidRPr="009754DD" w:rsidRDefault="002013CC" w:rsidP="006372CE">
      <w:pPr>
        <w:pStyle w:val="a7"/>
      </w:pPr>
      <w:r w:rsidRPr="009754DD">
        <w:t>По данным субъектов Российской Федерации, в общем количестве муниципальных образований, утвердивших местные бюджеты в 20</w:t>
      </w:r>
      <w:r w:rsidR="00C5354C" w:rsidRPr="009754DD">
        <w:t>1</w:t>
      </w:r>
      <w:r w:rsidR="00CD79D2">
        <w:t>3</w:t>
      </w:r>
      <w:r w:rsidRPr="009754DD">
        <w:t xml:space="preserve"> году,</w:t>
      </w:r>
      <w:r w:rsidR="00C5354C" w:rsidRPr="009754DD">
        <w:t xml:space="preserve"> </w:t>
      </w:r>
      <w:r w:rsidR="007F35E6">
        <w:t>49,7</w:t>
      </w:r>
      <w:r w:rsidR="00047AA7" w:rsidRPr="009754DD">
        <w:t>% исполнены с дефицитом</w:t>
      </w:r>
      <w:r w:rsidR="00C5354C" w:rsidRPr="009754DD">
        <w:t xml:space="preserve">, </w:t>
      </w:r>
      <w:r w:rsidR="007F35E6">
        <w:t>48,1</w:t>
      </w:r>
      <w:r w:rsidR="00C5354C" w:rsidRPr="009754DD">
        <w:t>%</w:t>
      </w:r>
      <w:r w:rsidR="00F375EC" w:rsidRPr="009754DD">
        <w:t xml:space="preserve"> - с профицитом</w:t>
      </w:r>
      <w:r w:rsidR="00560EFA" w:rsidRPr="009754DD">
        <w:t xml:space="preserve">,  у </w:t>
      </w:r>
      <w:r w:rsidR="007F35E6">
        <w:t>2,2</w:t>
      </w:r>
      <w:r w:rsidRPr="009754DD">
        <w:t>%</w:t>
      </w:r>
      <w:r w:rsidR="00560EFA" w:rsidRPr="009754DD">
        <w:t xml:space="preserve"> муниципальных образований – с равенством доходов и расходов</w:t>
      </w:r>
      <w:r w:rsidRPr="009754DD">
        <w:t xml:space="preserve">. Данное соотношение в разрезе федеральных округов представлено в следующей </w:t>
      </w:r>
      <w:r w:rsidR="000B1E49" w:rsidRPr="009754DD">
        <w:t>д</w:t>
      </w:r>
      <w:r w:rsidRPr="009754DD">
        <w:t>иаграмме.</w:t>
      </w:r>
    </w:p>
    <w:p w:rsidR="00FA15D7" w:rsidRPr="0017274B" w:rsidRDefault="00FA15D7" w:rsidP="006372CE">
      <w:pPr>
        <w:pStyle w:val="a7"/>
      </w:pPr>
    </w:p>
    <w:p w:rsidR="00FA15D7" w:rsidRPr="00CD0694" w:rsidRDefault="007D045C" w:rsidP="00FA15D7">
      <w:pPr>
        <w:pStyle w:val="a7"/>
        <w:ind w:left="-993" w:firstLine="142"/>
        <w:rPr>
          <w:b/>
          <w:color w:val="000000" w:themeColor="text1"/>
        </w:rPr>
      </w:pPr>
      <w:r w:rsidRPr="007D045C">
        <w:rPr>
          <w:noProof/>
          <w:color w:val="C2D69B" w:themeColor="accent3" w:themeTint="99"/>
        </w:rPr>
        <w:drawing>
          <wp:inline distT="0" distB="0" distL="0" distR="0" wp14:anchorId="7DE50628" wp14:editId="562A1D4C">
            <wp:extent cx="7019925" cy="5238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A15D7" w:rsidRPr="00CD0694" w:rsidSect="0003620A">
      <w:footerReference w:type="even" r:id="rId14"/>
      <w:footerReference w:type="default" r:id="rId15"/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95" w:rsidRDefault="00563F95">
      <w:r>
        <w:separator/>
      </w:r>
    </w:p>
  </w:endnote>
  <w:endnote w:type="continuationSeparator" w:id="0">
    <w:p w:rsidR="00563F95" w:rsidRDefault="0056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C9" w:rsidRDefault="00C901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1C9" w:rsidRDefault="00C901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C9" w:rsidRDefault="00C901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1F6">
      <w:rPr>
        <w:rStyle w:val="a6"/>
        <w:noProof/>
      </w:rPr>
      <w:t>19</w:t>
    </w:r>
    <w:r>
      <w:rPr>
        <w:rStyle w:val="a6"/>
      </w:rPr>
      <w:fldChar w:fldCharType="end"/>
    </w:r>
  </w:p>
  <w:p w:rsidR="00C901C9" w:rsidRPr="006D44AE" w:rsidRDefault="00C901C9" w:rsidP="0003620A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95" w:rsidRDefault="00563F95">
      <w:r>
        <w:separator/>
      </w:r>
    </w:p>
  </w:footnote>
  <w:footnote w:type="continuationSeparator" w:id="0">
    <w:p w:rsidR="00563F95" w:rsidRDefault="0056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7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4E554A"/>
    <w:multiLevelType w:val="singleLevel"/>
    <w:tmpl w:val="5A90A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095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093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01"/>
    <w:rsid w:val="00002095"/>
    <w:rsid w:val="000036F0"/>
    <w:rsid w:val="00005C8F"/>
    <w:rsid w:val="00005C9D"/>
    <w:rsid w:val="000067D8"/>
    <w:rsid w:val="0000782E"/>
    <w:rsid w:val="00010A6C"/>
    <w:rsid w:val="00011C7D"/>
    <w:rsid w:val="00020C71"/>
    <w:rsid w:val="00021533"/>
    <w:rsid w:val="000221C4"/>
    <w:rsid w:val="000227A0"/>
    <w:rsid w:val="0002549D"/>
    <w:rsid w:val="00026B90"/>
    <w:rsid w:val="00030BD4"/>
    <w:rsid w:val="0003620A"/>
    <w:rsid w:val="00036881"/>
    <w:rsid w:val="00040277"/>
    <w:rsid w:val="00047364"/>
    <w:rsid w:val="00047AA7"/>
    <w:rsid w:val="00051F52"/>
    <w:rsid w:val="00054EDB"/>
    <w:rsid w:val="000574A0"/>
    <w:rsid w:val="00057AAA"/>
    <w:rsid w:val="00060535"/>
    <w:rsid w:val="00063877"/>
    <w:rsid w:val="00064EE5"/>
    <w:rsid w:val="00070986"/>
    <w:rsid w:val="0007239E"/>
    <w:rsid w:val="00072FE2"/>
    <w:rsid w:val="000756DC"/>
    <w:rsid w:val="0008057F"/>
    <w:rsid w:val="00082D0A"/>
    <w:rsid w:val="00082E9A"/>
    <w:rsid w:val="00084766"/>
    <w:rsid w:val="000850F5"/>
    <w:rsid w:val="00087176"/>
    <w:rsid w:val="00087299"/>
    <w:rsid w:val="000872D8"/>
    <w:rsid w:val="0009076F"/>
    <w:rsid w:val="00091B64"/>
    <w:rsid w:val="0009218A"/>
    <w:rsid w:val="000929F1"/>
    <w:rsid w:val="0009351A"/>
    <w:rsid w:val="000972CD"/>
    <w:rsid w:val="000A1FCF"/>
    <w:rsid w:val="000B1939"/>
    <w:rsid w:val="000B1DDC"/>
    <w:rsid w:val="000B1E49"/>
    <w:rsid w:val="000B4234"/>
    <w:rsid w:val="000B63DC"/>
    <w:rsid w:val="000C0E1C"/>
    <w:rsid w:val="000C443A"/>
    <w:rsid w:val="000C4DA2"/>
    <w:rsid w:val="000C53FE"/>
    <w:rsid w:val="000D074D"/>
    <w:rsid w:val="000D124B"/>
    <w:rsid w:val="000D2AE8"/>
    <w:rsid w:val="000D3C38"/>
    <w:rsid w:val="000E08EF"/>
    <w:rsid w:val="000E221B"/>
    <w:rsid w:val="000E319F"/>
    <w:rsid w:val="000E38A3"/>
    <w:rsid w:val="000E6164"/>
    <w:rsid w:val="000E6D6A"/>
    <w:rsid w:val="000E6DD6"/>
    <w:rsid w:val="000E70E3"/>
    <w:rsid w:val="000F11D2"/>
    <w:rsid w:val="000F35F4"/>
    <w:rsid w:val="000F3F1C"/>
    <w:rsid w:val="000F579C"/>
    <w:rsid w:val="0010074A"/>
    <w:rsid w:val="0010181E"/>
    <w:rsid w:val="00101D3E"/>
    <w:rsid w:val="0010742A"/>
    <w:rsid w:val="00111C72"/>
    <w:rsid w:val="00112D39"/>
    <w:rsid w:val="00114F5F"/>
    <w:rsid w:val="00115B91"/>
    <w:rsid w:val="00120210"/>
    <w:rsid w:val="00122341"/>
    <w:rsid w:val="00127380"/>
    <w:rsid w:val="001309D0"/>
    <w:rsid w:val="001315CF"/>
    <w:rsid w:val="001337E6"/>
    <w:rsid w:val="00140D27"/>
    <w:rsid w:val="00141992"/>
    <w:rsid w:val="00142521"/>
    <w:rsid w:val="00143666"/>
    <w:rsid w:val="001461B8"/>
    <w:rsid w:val="001473A2"/>
    <w:rsid w:val="00150392"/>
    <w:rsid w:val="001548E2"/>
    <w:rsid w:val="00156D4F"/>
    <w:rsid w:val="0016002F"/>
    <w:rsid w:val="00160DB8"/>
    <w:rsid w:val="0016105B"/>
    <w:rsid w:val="0016182E"/>
    <w:rsid w:val="00161FFF"/>
    <w:rsid w:val="00162445"/>
    <w:rsid w:val="00164E57"/>
    <w:rsid w:val="00164F1F"/>
    <w:rsid w:val="0017274B"/>
    <w:rsid w:val="00174DD4"/>
    <w:rsid w:val="0017509E"/>
    <w:rsid w:val="001751F1"/>
    <w:rsid w:val="00175706"/>
    <w:rsid w:val="001770BA"/>
    <w:rsid w:val="00180314"/>
    <w:rsid w:val="00180DBC"/>
    <w:rsid w:val="001818E7"/>
    <w:rsid w:val="00181C9E"/>
    <w:rsid w:val="00182A1A"/>
    <w:rsid w:val="001847BB"/>
    <w:rsid w:val="0018497A"/>
    <w:rsid w:val="00184BBB"/>
    <w:rsid w:val="0018620E"/>
    <w:rsid w:val="001878A2"/>
    <w:rsid w:val="00187E1D"/>
    <w:rsid w:val="001918BD"/>
    <w:rsid w:val="00193209"/>
    <w:rsid w:val="00194A5E"/>
    <w:rsid w:val="00195368"/>
    <w:rsid w:val="00195549"/>
    <w:rsid w:val="001A1003"/>
    <w:rsid w:val="001A239B"/>
    <w:rsid w:val="001A49A0"/>
    <w:rsid w:val="001A5632"/>
    <w:rsid w:val="001A6F7A"/>
    <w:rsid w:val="001A7530"/>
    <w:rsid w:val="001B093D"/>
    <w:rsid w:val="001B338A"/>
    <w:rsid w:val="001B57C4"/>
    <w:rsid w:val="001B768C"/>
    <w:rsid w:val="001C0CE3"/>
    <w:rsid w:val="001C40D7"/>
    <w:rsid w:val="001C53CA"/>
    <w:rsid w:val="001C548C"/>
    <w:rsid w:val="001C713B"/>
    <w:rsid w:val="001C7BF1"/>
    <w:rsid w:val="001D06F5"/>
    <w:rsid w:val="001D2B72"/>
    <w:rsid w:val="001D3976"/>
    <w:rsid w:val="001D6EC7"/>
    <w:rsid w:val="001D708F"/>
    <w:rsid w:val="001E07F0"/>
    <w:rsid w:val="001E220A"/>
    <w:rsid w:val="001E720F"/>
    <w:rsid w:val="001F0375"/>
    <w:rsid w:val="001F14A1"/>
    <w:rsid w:val="001F56A6"/>
    <w:rsid w:val="001F69C3"/>
    <w:rsid w:val="002013CC"/>
    <w:rsid w:val="0020236F"/>
    <w:rsid w:val="00202B8D"/>
    <w:rsid w:val="00202F94"/>
    <w:rsid w:val="00206CFF"/>
    <w:rsid w:val="00212E33"/>
    <w:rsid w:val="00217B8D"/>
    <w:rsid w:val="00217CFA"/>
    <w:rsid w:val="002215A2"/>
    <w:rsid w:val="00221BBC"/>
    <w:rsid w:val="002223FC"/>
    <w:rsid w:val="002227FC"/>
    <w:rsid w:val="00224FC2"/>
    <w:rsid w:val="00232471"/>
    <w:rsid w:val="002326E4"/>
    <w:rsid w:val="00234638"/>
    <w:rsid w:val="00234FF5"/>
    <w:rsid w:val="00242123"/>
    <w:rsid w:val="00245CE3"/>
    <w:rsid w:val="002518D3"/>
    <w:rsid w:val="0025241F"/>
    <w:rsid w:val="002535FB"/>
    <w:rsid w:val="0025584F"/>
    <w:rsid w:val="00255CB4"/>
    <w:rsid w:val="00255ECE"/>
    <w:rsid w:val="00261173"/>
    <w:rsid w:val="00261D6A"/>
    <w:rsid w:val="002631DF"/>
    <w:rsid w:val="00264F4B"/>
    <w:rsid w:val="002658B1"/>
    <w:rsid w:val="00267F86"/>
    <w:rsid w:val="00270304"/>
    <w:rsid w:val="00271823"/>
    <w:rsid w:val="00273DA3"/>
    <w:rsid w:val="00276047"/>
    <w:rsid w:val="002769B3"/>
    <w:rsid w:val="00280F40"/>
    <w:rsid w:val="00281818"/>
    <w:rsid w:val="00281B92"/>
    <w:rsid w:val="00282290"/>
    <w:rsid w:val="00283B29"/>
    <w:rsid w:val="00290C92"/>
    <w:rsid w:val="0029155B"/>
    <w:rsid w:val="002927BE"/>
    <w:rsid w:val="002951D0"/>
    <w:rsid w:val="00295372"/>
    <w:rsid w:val="00296C14"/>
    <w:rsid w:val="002A19F0"/>
    <w:rsid w:val="002A293D"/>
    <w:rsid w:val="002A3569"/>
    <w:rsid w:val="002B1EBC"/>
    <w:rsid w:val="002B7964"/>
    <w:rsid w:val="002C28C1"/>
    <w:rsid w:val="002C72EB"/>
    <w:rsid w:val="002C7F88"/>
    <w:rsid w:val="002D2AC2"/>
    <w:rsid w:val="002D348B"/>
    <w:rsid w:val="002D485D"/>
    <w:rsid w:val="002D56CA"/>
    <w:rsid w:val="002E0D91"/>
    <w:rsid w:val="002E0FA0"/>
    <w:rsid w:val="002E6454"/>
    <w:rsid w:val="002E6815"/>
    <w:rsid w:val="002F2B41"/>
    <w:rsid w:val="002F5825"/>
    <w:rsid w:val="00302888"/>
    <w:rsid w:val="00302A1E"/>
    <w:rsid w:val="003055E8"/>
    <w:rsid w:val="00306C97"/>
    <w:rsid w:val="00312717"/>
    <w:rsid w:val="00313EE1"/>
    <w:rsid w:val="0031796A"/>
    <w:rsid w:val="0032160F"/>
    <w:rsid w:val="00324DD3"/>
    <w:rsid w:val="003250A3"/>
    <w:rsid w:val="00325D3A"/>
    <w:rsid w:val="00327010"/>
    <w:rsid w:val="003311FF"/>
    <w:rsid w:val="003317E5"/>
    <w:rsid w:val="00332CCE"/>
    <w:rsid w:val="003333B7"/>
    <w:rsid w:val="003334C7"/>
    <w:rsid w:val="00335F65"/>
    <w:rsid w:val="00346DEA"/>
    <w:rsid w:val="0036190F"/>
    <w:rsid w:val="00362C58"/>
    <w:rsid w:val="00364252"/>
    <w:rsid w:val="00365D9E"/>
    <w:rsid w:val="003667FC"/>
    <w:rsid w:val="00367AAA"/>
    <w:rsid w:val="003721F0"/>
    <w:rsid w:val="003723ED"/>
    <w:rsid w:val="0037399C"/>
    <w:rsid w:val="00374070"/>
    <w:rsid w:val="00374DBF"/>
    <w:rsid w:val="00375EE0"/>
    <w:rsid w:val="00380C41"/>
    <w:rsid w:val="00381824"/>
    <w:rsid w:val="00381C95"/>
    <w:rsid w:val="00385880"/>
    <w:rsid w:val="0039030B"/>
    <w:rsid w:val="00390E30"/>
    <w:rsid w:val="0039235E"/>
    <w:rsid w:val="00393DE9"/>
    <w:rsid w:val="003942CC"/>
    <w:rsid w:val="0039631A"/>
    <w:rsid w:val="0039786B"/>
    <w:rsid w:val="003A1EE8"/>
    <w:rsid w:val="003A2581"/>
    <w:rsid w:val="003A3233"/>
    <w:rsid w:val="003A4081"/>
    <w:rsid w:val="003A675B"/>
    <w:rsid w:val="003A73CB"/>
    <w:rsid w:val="003B0F95"/>
    <w:rsid w:val="003B2F86"/>
    <w:rsid w:val="003B4A8A"/>
    <w:rsid w:val="003B5796"/>
    <w:rsid w:val="003B57F6"/>
    <w:rsid w:val="003B7094"/>
    <w:rsid w:val="003B76EA"/>
    <w:rsid w:val="003C1005"/>
    <w:rsid w:val="003C3101"/>
    <w:rsid w:val="003C4E71"/>
    <w:rsid w:val="003C51F9"/>
    <w:rsid w:val="003D205C"/>
    <w:rsid w:val="003D3BAA"/>
    <w:rsid w:val="003D5667"/>
    <w:rsid w:val="003D5784"/>
    <w:rsid w:val="003D58FA"/>
    <w:rsid w:val="003D626F"/>
    <w:rsid w:val="003D708B"/>
    <w:rsid w:val="003E29B2"/>
    <w:rsid w:val="003F0780"/>
    <w:rsid w:val="003F61F6"/>
    <w:rsid w:val="003F7663"/>
    <w:rsid w:val="003F7CFE"/>
    <w:rsid w:val="0040012A"/>
    <w:rsid w:val="0040093C"/>
    <w:rsid w:val="0040608C"/>
    <w:rsid w:val="00407D8F"/>
    <w:rsid w:val="004114AE"/>
    <w:rsid w:val="004125E0"/>
    <w:rsid w:val="00413101"/>
    <w:rsid w:val="0041446F"/>
    <w:rsid w:val="00415BE0"/>
    <w:rsid w:val="00416A09"/>
    <w:rsid w:val="004213BA"/>
    <w:rsid w:val="00421401"/>
    <w:rsid w:val="00432B36"/>
    <w:rsid w:val="00432E69"/>
    <w:rsid w:val="00433335"/>
    <w:rsid w:val="00435B52"/>
    <w:rsid w:val="004363BE"/>
    <w:rsid w:val="004367D4"/>
    <w:rsid w:val="00436C2B"/>
    <w:rsid w:val="00445820"/>
    <w:rsid w:val="00445D50"/>
    <w:rsid w:val="004507B6"/>
    <w:rsid w:val="00452E86"/>
    <w:rsid w:val="00453B9D"/>
    <w:rsid w:val="00454B04"/>
    <w:rsid w:val="004554AE"/>
    <w:rsid w:val="00457A50"/>
    <w:rsid w:val="004606C7"/>
    <w:rsid w:val="004610ED"/>
    <w:rsid w:val="004631B0"/>
    <w:rsid w:val="0046330E"/>
    <w:rsid w:val="00464A0A"/>
    <w:rsid w:val="004677C8"/>
    <w:rsid w:val="004678B5"/>
    <w:rsid w:val="00467F0D"/>
    <w:rsid w:val="00472253"/>
    <w:rsid w:val="004750CE"/>
    <w:rsid w:val="00476CB5"/>
    <w:rsid w:val="004771A7"/>
    <w:rsid w:val="004778AA"/>
    <w:rsid w:val="0048071E"/>
    <w:rsid w:val="004826F9"/>
    <w:rsid w:val="0048435A"/>
    <w:rsid w:val="00486DA3"/>
    <w:rsid w:val="0049254E"/>
    <w:rsid w:val="00496C94"/>
    <w:rsid w:val="00497427"/>
    <w:rsid w:val="004A1CE2"/>
    <w:rsid w:val="004A1E4D"/>
    <w:rsid w:val="004A20B4"/>
    <w:rsid w:val="004A4BC5"/>
    <w:rsid w:val="004A699A"/>
    <w:rsid w:val="004B14CF"/>
    <w:rsid w:val="004B3A34"/>
    <w:rsid w:val="004B4207"/>
    <w:rsid w:val="004B4F8C"/>
    <w:rsid w:val="004B5204"/>
    <w:rsid w:val="004C0F27"/>
    <w:rsid w:val="004C4A00"/>
    <w:rsid w:val="004C6322"/>
    <w:rsid w:val="004C7C67"/>
    <w:rsid w:val="004D21CF"/>
    <w:rsid w:val="004D5B05"/>
    <w:rsid w:val="004E0D20"/>
    <w:rsid w:val="004E5ACD"/>
    <w:rsid w:val="004F13BB"/>
    <w:rsid w:val="004F1C7F"/>
    <w:rsid w:val="004F3CCA"/>
    <w:rsid w:val="004F51D2"/>
    <w:rsid w:val="004F5E06"/>
    <w:rsid w:val="004F6FAB"/>
    <w:rsid w:val="004F7547"/>
    <w:rsid w:val="004F772A"/>
    <w:rsid w:val="0050037F"/>
    <w:rsid w:val="00501B95"/>
    <w:rsid w:val="00502AA8"/>
    <w:rsid w:val="0050524F"/>
    <w:rsid w:val="005126CE"/>
    <w:rsid w:val="005128D2"/>
    <w:rsid w:val="005130AD"/>
    <w:rsid w:val="00514242"/>
    <w:rsid w:val="00514FFA"/>
    <w:rsid w:val="005152CC"/>
    <w:rsid w:val="005159BC"/>
    <w:rsid w:val="00524DB9"/>
    <w:rsid w:val="00526733"/>
    <w:rsid w:val="005268A7"/>
    <w:rsid w:val="00527BF4"/>
    <w:rsid w:val="0053280E"/>
    <w:rsid w:val="005347E7"/>
    <w:rsid w:val="00534E00"/>
    <w:rsid w:val="005350B3"/>
    <w:rsid w:val="005406B4"/>
    <w:rsid w:val="00542492"/>
    <w:rsid w:val="00542B32"/>
    <w:rsid w:val="005448E5"/>
    <w:rsid w:val="005472A3"/>
    <w:rsid w:val="0055155D"/>
    <w:rsid w:val="005531C9"/>
    <w:rsid w:val="00553F52"/>
    <w:rsid w:val="00560EFA"/>
    <w:rsid w:val="00561493"/>
    <w:rsid w:val="005619A4"/>
    <w:rsid w:val="0056395A"/>
    <w:rsid w:val="00563F95"/>
    <w:rsid w:val="00570553"/>
    <w:rsid w:val="00570FF9"/>
    <w:rsid w:val="005759DE"/>
    <w:rsid w:val="005778D0"/>
    <w:rsid w:val="00581635"/>
    <w:rsid w:val="005821A7"/>
    <w:rsid w:val="005828A5"/>
    <w:rsid w:val="00582D85"/>
    <w:rsid w:val="005849A0"/>
    <w:rsid w:val="005868A3"/>
    <w:rsid w:val="00592EC2"/>
    <w:rsid w:val="00593C84"/>
    <w:rsid w:val="005A1617"/>
    <w:rsid w:val="005A3076"/>
    <w:rsid w:val="005A5F22"/>
    <w:rsid w:val="005B354B"/>
    <w:rsid w:val="005B382D"/>
    <w:rsid w:val="005B4F29"/>
    <w:rsid w:val="005C08E0"/>
    <w:rsid w:val="005C306E"/>
    <w:rsid w:val="005C782B"/>
    <w:rsid w:val="005E0813"/>
    <w:rsid w:val="005E20D8"/>
    <w:rsid w:val="005E30B7"/>
    <w:rsid w:val="005E3135"/>
    <w:rsid w:val="005E49E4"/>
    <w:rsid w:val="005E591D"/>
    <w:rsid w:val="005E5BF0"/>
    <w:rsid w:val="005E607B"/>
    <w:rsid w:val="005E617A"/>
    <w:rsid w:val="005E6730"/>
    <w:rsid w:val="005E741A"/>
    <w:rsid w:val="005E7F18"/>
    <w:rsid w:val="005F1ABE"/>
    <w:rsid w:val="005F2B85"/>
    <w:rsid w:val="005F2CEC"/>
    <w:rsid w:val="005F4D92"/>
    <w:rsid w:val="00600063"/>
    <w:rsid w:val="00600627"/>
    <w:rsid w:val="00602822"/>
    <w:rsid w:val="00605381"/>
    <w:rsid w:val="006071BE"/>
    <w:rsid w:val="006120A9"/>
    <w:rsid w:val="0061497D"/>
    <w:rsid w:val="00615F4E"/>
    <w:rsid w:val="00616F88"/>
    <w:rsid w:val="00623CAE"/>
    <w:rsid w:val="00624D19"/>
    <w:rsid w:val="00624DDE"/>
    <w:rsid w:val="00626CE9"/>
    <w:rsid w:val="00630C6E"/>
    <w:rsid w:val="0063591B"/>
    <w:rsid w:val="006367E8"/>
    <w:rsid w:val="00636F70"/>
    <w:rsid w:val="006372CE"/>
    <w:rsid w:val="006437C8"/>
    <w:rsid w:val="00644497"/>
    <w:rsid w:val="006449B3"/>
    <w:rsid w:val="00645495"/>
    <w:rsid w:val="00645A9E"/>
    <w:rsid w:val="006542B7"/>
    <w:rsid w:val="00656171"/>
    <w:rsid w:val="00662238"/>
    <w:rsid w:val="00662E02"/>
    <w:rsid w:val="006640CB"/>
    <w:rsid w:val="00665A40"/>
    <w:rsid w:val="006663EA"/>
    <w:rsid w:val="00670893"/>
    <w:rsid w:val="006711CF"/>
    <w:rsid w:val="00671EC6"/>
    <w:rsid w:val="006757EC"/>
    <w:rsid w:val="00677632"/>
    <w:rsid w:val="00680EED"/>
    <w:rsid w:val="00681015"/>
    <w:rsid w:val="0068586E"/>
    <w:rsid w:val="006860AB"/>
    <w:rsid w:val="0068652A"/>
    <w:rsid w:val="006938FC"/>
    <w:rsid w:val="00697D7E"/>
    <w:rsid w:val="006A43B3"/>
    <w:rsid w:val="006A6BCA"/>
    <w:rsid w:val="006B4AA5"/>
    <w:rsid w:val="006B717C"/>
    <w:rsid w:val="006B7689"/>
    <w:rsid w:val="006C5AF2"/>
    <w:rsid w:val="006C77D0"/>
    <w:rsid w:val="006D0AD3"/>
    <w:rsid w:val="006D212E"/>
    <w:rsid w:val="006D2CBE"/>
    <w:rsid w:val="006D44AE"/>
    <w:rsid w:val="006D61D8"/>
    <w:rsid w:val="006E18CC"/>
    <w:rsid w:val="006E216F"/>
    <w:rsid w:val="006E2E98"/>
    <w:rsid w:val="006E314B"/>
    <w:rsid w:val="006E32A6"/>
    <w:rsid w:val="006E3861"/>
    <w:rsid w:val="006E4F33"/>
    <w:rsid w:val="006E7C3D"/>
    <w:rsid w:val="006F03E6"/>
    <w:rsid w:val="006F3188"/>
    <w:rsid w:val="006F65E4"/>
    <w:rsid w:val="00700273"/>
    <w:rsid w:val="00701211"/>
    <w:rsid w:val="00701AC3"/>
    <w:rsid w:val="00703154"/>
    <w:rsid w:val="00706C43"/>
    <w:rsid w:val="00710819"/>
    <w:rsid w:val="007118AF"/>
    <w:rsid w:val="00712AB0"/>
    <w:rsid w:val="00713F49"/>
    <w:rsid w:val="00714287"/>
    <w:rsid w:val="0071524D"/>
    <w:rsid w:val="00715E23"/>
    <w:rsid w:val="00716AAA"/>
    <w:rsid w:val="00716EE0"/>
    <w:rsid w:val="00723AFF"/>
    <w:rsid w:val="00725F9C"/>
    <w:rsid w:val="00726606"/>
    <w:rsid w:val="007279B5"/>
    <w:rsid w:val="00731F0B"/>
    <w:rsid w:val="00732D78"/>
    <w:rsid w:val="00733372"/>
    <w:rsid w:val="00736EB9"/>
    <w:rsid w:val="0074067B"/>
    <w:rsid w:val="00744CF0"/>
    <w:rsid w:val="00745CD4"/>
    <w:rsid w:val="00746326"/>
    <w:rsid w:val="00747225"/>
    <w:rsid w:val="0075155D"/>
    <w:rsid w:val="00752E0E"/>
    <w:rsid w:val="007553E2"/>
    <w:rsid w:val="0075559C"/>
    <w:rsid w:val="00760C29"/>
    <w:rsid w:val="0076109C"/>
    <w:rsid w:val="00764270"/>
    <w:rsid w:val="007708F6"/>
    <w:rsid w:val="007750AF"/>
    <w:rsid w:val="0077527B"/>
    <w:rsid w:val="007752D3"/>
    <w:rsid w:val="0077605B"/>
    <w:rsid w:val="00784AA6"/>
    <w:rsid w:val="00785C4D"/>
    <w:rsid w:val="00786F39"/>
    <w:rsid w:val="007901E9"/>
    <w:rsid w:val="00792E2F"/>
    <w:rsid w:val="00792E41"/>
    <w:rsid w:val="00793C81"/>
    <w:rsid w:val="00793CF5"/>
    <w:rsid w:val="00796489"/>
    <w:rsid w:val="007975A7"/>
    <w:rsid w:val="007977FB"/>
    <w:rsid w:val="00797E44"/>
    <w:rsid w:val="007B14A0"/>
    <w:rsid w:val="007B2A0F"/>
    <w:rsid w:val="007B2D4B"/>
    <w:rsid w:val="007B2DA3"/>
    <w:rsid w:val="007C0BBA"/>
    <w:rsid w:val="007C187E"/>
    <w:rsid w:val="007C2B23"/>
    <w:rsid w:val="007C412A"/>
    <w:rsid w:val="007C5139"/>
    <w:rsid w:val="007D045C"/>
    <w:rsid w:val="007D1AA1"/>
    <w:rsid w:val="007D259E"/>
    <w:rsid w:val="007D3CAC"/>
    <w:rsid w:val="007D5B30"/>
    <w:rsid w:val="007E0A86"/>
    <w:rsid w:val="007E0AD9"/>
    <w:rsid w:val="007E26DA"/>
    <w:rsid w:val="007E3CD0"/>
    <w:rsid w:val="007E6305"/>
    <w:rsid w:val="007F35E6"/>
    <w:rsid w:val="007F4CF8"/>
    <w:rsid w:val="007F5F20"/>
    <w:rsid w:val="00802367"/>
    <w:rsid w:val="0080414B"/>
    <w:rsid w:val="00804E9B"/>
    <w:rsid w:val="008059A4"/>
    <w:rsid w:val="00807688"/>
    <w:rsid w:val="0081097A"/>
    <w:rsid w:val="00812E3A"/>
    <w:rsid w:val="00817D5D"/>
    <w:rsid w:val="00821F61"/>
    <w:rsid w:val="008224DD"/>
    <w:rsid w:val="00824C5E"/>
    <w:rsid w:val="00827668"/>
    <w:rsid w:val="00830A50"/>
    <w:rsid w:val="00830EF0"/>
    <w:rsid w:val="008372A0"/>
    <w:rsid w:val="008412C6"/>
    <w:rsid w:val="00841ADE"/>
    <w:rsid w:val="00842150"/>
    <w:rsid w:val="008445C6"/>
    <w:rsid w:val="00844AA0"/>
    <w:rsid w:val="008471E7"/>
    <w:rsid w:val="00853576"/>
    <w:rsid w:val="00853EEF"/>
    <w:rsid w:val="008556E9"/>
    <w:rsid w:val="0085700D"/>
    <w:rsid w:val="008571BD"/>
    <w:rsid w:val="0085781F"/>
    <w:rsid w:val="00863902"/>
    <w:rsid w:val="008645EA"/>
    <w:rsid w:val="00865BC3"/>
    <w:rsid w:val="008675B1"/>
    <w:rsid w:val="00873958"/>
    <w:rsid w:val="00876924"/>
    <w:rsid w:val="00876A18"/>
    <w:rsid w:val="00876E6E"/>
    <w:rsid w:val="008816BA"/>
    <w:rsid w:val="00881787"/>
    <w:rsid w:val="0089038C"/>
    <w:rsid w:val="00890B4F"/>
    <w:rsid w:val="0089168F"/>
    <w:rsid w:val="008966B7"/>
    <w:rsid w:val="00896868"/>
    <w:rsid w:val="008A292F"/>
    <w:rsid w:val="008A3F83"/>
    <w:rsid w:val="008A4053"/>
    <w:rsid w:val="008A5906"/>
    <w:rsid w:val="008A6450"/>
    <w:rsid w:val="008B2F9D"/>
    <w:rsid w:val="008B3907"/>
    <w:rsid w:val="008B79E6"/>
    <w:rsid w:val="008B7ECE"/>
    <w:rsid w:val="008C017A"/>
    <w:rsid w:val="008D5C6F"/>
    <w:rsid w:val="008D6469"/>
    <w:rsid w:val="008E0600"/>
    <w:rsid w:val="008E4EBF"/>
    <w:rsid w:val="008F14BD"/>
    <w:rsid w:val="008F1C48"/>
    <w:rsid w:val="008F71B3"/>
    <w:rsid w:val="00902108"/>
    <w:rsid w:val="00902F03"/>
    <w:rsid w:val="00903716"/>
    <w:rsid w:val="00904000"/>
    <w:rsid w:val="00906921"/>
    <w:rsid w:val="00906E60"/>
    <w:rsid w:val="0091014C"/>
    <w:rsid w:val="00910F0B"/>
    <w:rsid w:val="00913860"/>
    <w:rsid w:val="0091554F"/>
    <w:rsid w:val="00916453"/>
    <w:rsid w:val="009169C9"/>
    <w:rsid w:val="00916D8A"/>
    <w:rsid w:val="009173F0"/>
    <w:rsid w:val="00920C52"/>
    <w:rsid w:val="00921E26"/>
    <w:rsid w:val="00922402"/>
    <w:rsid w:val="00922B9E"/>
    <w:rsid w:val="00925F0A"/>
    <w:rsid w:val="00933882"/>
    <w:rsid w:val="00934742"/>
    <w:rsid w:val="00937697"/>
    <w:rsid w:val="00941E85"/>
    <w:rsid w:val="0094397A"/>
    <w:rsid w:val="00943A87"/>
    <w:rsid w:val="00943E36"/>
    <w:rsid w:val="00944067"/>
    <w:rsid w:val="009450B1"/>
    <w:rsid w:val="009453CC"/>
    <w:rsid w:val="0094758B"/>
    <w:rsid w:val="00947CD5"/>
    <w:rsid w:val="00950E5B"/>
    <w:rsid w:val="009519FE"/>
    <w:rsid w:val="00953751"/>
    <w:rsid w:val="0095394E"/>
    <w:rsid w:val="00957123"/>
    <w:rsid w:val="00962C49"/>
    <w:rsid w:val="0096454F"/>
    <w:rsid w:val="00965BC3"/>
    <w:rsid w:val="009724DA"/>
    <w:rsid w:val="0097269C"/>
    <w:rsid w:val="00973BAD"/>
    <w:rsid w:val="009754DD"/>
    <w:rsid w:val="00982AED"/>
    <w:rsid w:val="0098337D"/>
    <w:rsid w:val="0099215F"/>
    <w:rsid w:val="00994D54"/>
    <w:rsid w:val="009A1451"/>
    <w:rsid w:val="009A3866"/>
    <w:rsid w:val="009A4A57"/>
    <w:rsid w:val="009A535A"/>
    <w:rsid w:val="009A544A"/>
    <w:rsid w:val="009B318A"/>
    <w:rsid w:val="009C176C"/>
    <w:rsid w:val="009C1FCF"/>
    <w:rsid w:val="009C2467"/>
    <w:rsid w:val="009C523F"/>
    <w:rsid w:val="009C67CA"/>
    <w:rsid w:val="009C7F33"/>
    <w:rsid w:val="009D1416"/>
    <w:rsid w:val="009D21BC"/>
    <w:rsid w:val="009D36B5"/>
    <w:rsid w:val="009D761B"/>
    <w:rsid w:val="009D77B8"/>
    <w:rsid w:val="009E7354"/>
    <w:rsid w:val="009F0283"/>
    <w:rsid w:val="009F30FD"/>
    <w:rsid w:val="009F3BFC"/>
    <w:rsid w:val="009F53E7"/>
    <w:rsid w:val="009F57CD"/>
    <w:rsid w:val="009F5824"/>
    <w:rsid w:val="009F7083"/>
    <w:rsid w:val="009F710C"/>
    <w:rsid w:val="00A021FD"/>
    <w:rsid w:val="00A05B3F"/>
    <w:rsid w:val="00A06DFF"/>
    <w:rsid w:val="00A07F9E"/>
    <w:rsid w:val="00A1114C"/>
    <w:rsid w:val="00A211EE"/>
    <w:rsid w:val="00A215B0"/>
    <w:rsid w:val="00A27641"/>
    <w:rsid w:val="00A3085A"/>
    <w:rsid w:val="00A36546"/>
    <w:rsid w:val="00A368DE"/>
    <w:rsid w:val="00A42925"/>
    <w:rsid w:val="00A431F0"/>
    <w:rsid w:val="00A4388B"/>
    <w:rsid w:val="00A45B60"/>
    <w:rsid w:val="00A47063"/>
    <w:rsid w:val="00A5105C"/>
    <w:rsid w:val="00A516A8"/>
    <w:rsid w:val="00A522DC"/>
    <w:rsid w:val="00A526B4"/>
    <w:rsid w:val="00A52861"/>
    <w:rsid w:val="00A52CAD"/>
    <w:rsid w:val="00A608D8"/>
    <w:rsid w:val="00A639E7"/>
    <w:rsid w:val="00A64C9E"/>
    <w:rsid w:val="00A652FA"/>
    <w:rsid w:val="00A66E50"/>
    <w:rsid w:val="00A671CF"/>
    <w:rsid w:val="00A67322"/>
    <w:rsid w:val="00A72D02"/>
    <w:rsid w:val="00A7503E"/>
    <w:rsid w:val="00A754EF"/>
    <w:rsid w:val="00A77134"/>
    <w:rsid w:val="00A775B6"/>
    <w:rsid w:val="00A77684"/>
    <w:rsid w:val="00A77E11"/>
    <w:rsid w:val="00A84454"/>
    <w:rsid w:val="00A85236"/>
    <w:rsid w:val="00A86CB8"/>
    <w:rsid w:val="00A93CDB"/>
    <w:rsid w:val="00A9568D"/>
    <w:rsid w:val="00A977DB"/>
    <w:rsid w:val="00A97DB0"/>
    <w:rsid w:val="00AA0A8D"/>
    <w:rsid w:val="00AA1BCC"/>
    <w:rsid w:val="00AA2998"/>
    <w:rsid w:val="00AA51F9"/>
    <w:rsid w:val="00AB0186"/>
    <w:rsid w:val="00AB75ED"/>
    <w:rsid w:val="00AC0239"/>
    <w:rsid w:val="00AC3033"/>
    <w:rsid w:val="00AC6008"/>
    <w:rsid w:val="00AC6250"/>
    <w:rsid w:val="00AC6A93"/>
    <w:rsid w:val="00AD0F6A"/>
    <w:rsid w:val="00AD2305"/>
    <w:rsid w:val="00AD4D49"/>
    <w:rsid w:val="00AD7DD6"/>
    <w:rsid w:val="00AE20A5"/>
    <w:rsid w:val="00AE325D"/>
    <w:rsid w:val="00AE795B"/>
    <w:rsid w:val="00AE7BE1"/>
    <w:rsid w:val="00AE7D9E"/>
    <w:rsid w:val="00AF0517"/>
    <w:rsid w:val="00AF08D5"/>
    <w:rsid w:val="00AF1ACD"/>
    <w:rsid w:val="00AF1B7F"/>
    <w:rsid w:val="00AF31DA"/>
    <w:rsid w:val="00AF3943"/>
    <w:rsid w:val="00AF50A9"/>
    <w:rsid w:val="00B0027D"/>
    <w:rsid w:val="00B03E93"/>
    <w:rsid w:val="00B04B9F"/>
    <w:rsid w:val="00B0602B"/>
    <w:rsid w:val="00B10893"/>
    <w:rsid w:val="00B10C8E"/>
    <w:rsid w:val="00B129C2"/>
    <w:rsid w:val="00B143AA"/>
    <w:rsid w:val="00B16CB3"/>
    <w:rsid w:val="00B25CB6"/>
    <w:rsid w:val="00B26F95"/>
    <w:rsid w:val="00B2740E"/>
    <w:rsid w:val="00B27903"/>
    <w:rsid w:val="00B3368A"/>
    <w:rsid w:val="00B3544E"/>
    <w:rsid w:val="00B37AEF"/>
    <w:rsid w:val="00B4215D"/>
    <w:rsid w:val="00B43A6A"/>
    <w:rsid w:val="00B45F8B"/>
    <w:rsid w:val="00B50EC8"/>
    <w:rsid w:val="00B51140"/>
    <w:rsid w:val="00B514C2"/>
    <w:rsid w:val="00B51C70"/>
    <w:rsid w:val="00B534D8"/>
    <w:rsid w:val="00B6362A"/>
    <w:rsid w:val="00B66C8D"/>
    <w:rsid w:val="00B71668"/>
    <w:rsid w:val="00B734DF"/>
    <w:rsid w:val="00B75AEF"/>
    <w:rsid w:val="00B76839"/>
    <w:rsid w:val="00B77D5D"/>
    <w:rsid w:val="00B800EA"/>
    <w:rsid w:val="00B8065A"/>
    <w:rsid w:val="00B80942"/>
    <w:rsid w:val="00B80A73"/>
    <w:rsid w:val="00B817BA"/>
    <w:rsid w:val="00B8449D"/>
    <w:rsid w:val="00B86A8E"/>
    <w:rsid w:val="00B86AEB"/>
    <w:rsid w:val="00B86CE6"/>
    <w:rsid w:val="00B91A91"/>
    <w:rsid w:val="00B92F41"/>
    <w:rsid w:val="00B95E38"/>
    <w:rsid w:val="00B9607E"/>
    <w:rsid w:val="00B96172"/>
    <w:rsid w:val="00BA18B2"/>
    <w:rsid w:val="00BA1DB5"/>
    <w:rsid w:val="00BA2FFE"/>
    <w:rsid w:val="00BA4651"/>
    <w:rsid w:val="00BA52A6"/>
    <w:rsid w:val="00BA6782"/>
    <w:rsid w:val="00BB429B"/>
    <w:rsid w:val="00BB5486"/>
    <w:rsid w:val="00BB5BD7"/>
    <w:rsid w:val="00BB6FD6"/>
    <w:rsid w:val="00BC117E"/>
    <w:rsid w:val="00BD0BDC"/>
    <w:rsid w:val="00BD152F"/>
    <w:rsid w:val="00BD2BD2"/>
    <w:rsid w:val="00BD2DEF"/>
    <w:rsid w:val="00BD479B"/>
    <w:rsid w:val="00BD5C5F"/>
    <w:rsid w:val="00BD6A01"/>
    <w:rsid w:val="00BD7721"/>
    <w:rsid w:val="00BE65AC"/>
    <w:rsid w:val="00BF5002"/>
    <w:rsid w:val="00BF7F79"/>
    <w:rsid w:val="00C01628"/>
    <w:rsid w:val="00C053DB"/>
    <w:rsid w:val="00C134DF"/>
    <w:rsid w:val="00C13950"/>
    <w:rsid w:val="00C1506A"/>
    <w:rsid w:val="00C15331"/>
    <w:rsid w:val="00C168CA"/>
    <w:rsid w:val="00C16D6E"/>
    <w:rsid w:val="00C20C91"/>
    <w:rsid w:val="00C21E65"/>
    <w:rsid w:val="00C2339C"/>
    <w:rsid w:val="00C25A1D"/>
    <w:rsid w:val="00C2668D"/>
    <w:rsid w:val="00C274D1"/>
    <w:rsid w:val="00C27CD1"/>
    <w:rsid w:val="00C30A97"/>
    <w:rsid w:val="00C3151C"/>
    <w:rsid w:val="00C31E5A"/>
    <w:rsid w:val="00C31F96"/>
    <w:rsid w:val="00C32846"/>
    <w:rsid w:val="00C3535A"/>
    <w:rsid w:val="00C437BE"/>
    <w:rsid w:val="00C44BFE"/>
    <w:rsid w:val="00C457E0"/>
    <w:rsid w:val="00C50FA8"/>
    <w:rsid w:val="00C51970"/>
    <w:rsid w:val="00C52DB0"/>
    <w:rsid w:val="00C5354C"/>
    <w:rsid w:val="00C57D08"/>
    <w:rsid w:val="00C66CAB"/>
    <w:rsid w:val="00C67430"/>
    <w:rsid w:val="00C67912"/>
    <w:rsid w:val="00C71D92"/>
    <w:rsid w:val="00C74CD2"/>
    <w:rsid w:val="00C807FC"/>
    <w:rsid w:val="00C81EE1"/>
    <w:rsid w:val="00C82DFF"/>
    <w:rsid w:val="00C854C0"/>
    <w:rsid w:val="00C901C9"/>
    <w:rsid w:val="00C91496"/>
    <w:rsid w:val="00C921E6"/>
    <w:rsid w:val="00C94288"/>
    <w:rsid w:val="00C9533E"/>
    <w:rsid w:val="00C97879"/>
    <w:rsid w:val="00CA1D88"/>
    <w:rsid w:val="00CA37F2"/>
    <w:rsid w:val="00CA6E42"/>
    <w:rsid w:val="00CB47D8"/>
    <w:rsid w:val="00CB4E9A"/>
    <w:rsid w:val="00CB6AB5"/>
    <w:rsid w:val="00CB7E44"/>
    <w:rsid w:val="00CC091F"/>
    <w:rsid w:val="00CC168F"/>
    <w:rsid w:val="00CC3ED7"/>
    <w:rsid w:val="00CC4D31"/>
    <w:rsid w:val="00CC68BF"/>
    <w:rsid w:val="00CD0694"/>
    <w:rsid w:val="00CD307C"/>
    <w:rsid w:val="00CD30EB"/>
    <w:rsid w:val="00CD59D4"/>
    <w:rsid w:val="00CD79D2"/>
    <w:rsid w:val="00CE2D30"/>
    <w:rsid w:val="00CE524F"/>
    <w:rsid w:val="00CE62C2"/>
    <w:rsid w:val="00CE7F62"/>
    <w:rsid w:val="00CF4CD4"/>
    <w:rsid w:val="00CF5837"/>
    <w:rsid w:val="00D02357"/>
    <w:rsid w:val="00D0541D"/>
    <w:rsid w:val="00D076D5"/>
    <w:rsid w:val="00D14B5B"/>
    <w:rsid w:val="00D16BF1"/>
    <w:rsid w:val="00D21610"/>
    <w:rsid w:val="00D22EF9"/>
    <w:rsid w:val="00D241CD"/>
    <w:rsid w:val="00D2561F"/>
    <w:rsid w:val="00D25AEC"/>
    <w:rsid w:val="00D26956"/>
    <w:rsid w:val="00D353A7"/>
    <w:rsid w:val="00D359D0"/>
    <w:rsid w:val="00D36B43"/>
    <w:rsid w:val="00D400BC"/>
    <w:rsid w:val="00D41384"/>
    <w:rsid w:val="00D42A94"/>
    <w:rsid w:val="00D45E2A"/>
    <w:rsid w:val="00D505A1"/>
    <w:rsid w:val="00D50E79"/>
    <w:rsid w:val="00D5237D"/>
    <w:rsid w:val="00D530BA"/>
    <w:rsid w:val="00D5626D"/>
    <w:rsid w:val="00D56709"/>
    <w:rsid w:val="00D5692D"/>
    <w:rsid w:val="00D60852"/>
    <w:rsid w:val="00D62369"/>
    <w:rsid w:val="00D623A4"/>
    <w:rsid w:val="00D70889"/>
    <w:rsid w:val="00D70D70"/>
    <w:rsid w:val="00D767E3"/>
    <w:rsid w:val="00D83845"/>
    <w:rsid w:val="00D85543"/>
    <w:rsid w:val="00D85CC3"/>
    <w:rsid w:val="00D90C07"/>
    <w:rsid w:val="00D919AF"/>
    <w:rsid w:val="00D9556A"/>
    <w:rsid w:val="00D97715"/>
    <w:rsid w:val="00DA096B"/>
    <w:rsid w:val="00DA14EC"/>
    <w:rsid w:val="00DA17B4"/>
    <w:rsid w:val="00DA3716"/>
    <w:rsid w:val="00DA615F"/>
    <w:rsid w:val="00DB0635"/>
    <w:rsid w:val="00DB491E"/>
    <w:rsid w:val="00DB50AE"/>
    <w:rsid w:val="00DB5594"/>
    <w:rsid w:val="00DB7FCE"/>
    <w:rsid w:val="00DC207A"/>
    <w:rsid w:val="00DC215D"/>
    <w:rsid w:val="00DC65E4"/>
    <w:rsid w:val="00DD294C"/>
    <w:rsid w:val="00DD2A63"/>
    <w:rsid w:val="00DD2E7A"/>
    <w:rsid w:val="00DD3A56"/>
    <w:rsid w:val="00DD3D48"/>
    <w:rsid w:val="00DD688B"/>
    <w:rsid w:val="00DE09A7"/>
    <w:rsid w:val="00DE609E"/>
    <w:rsid w:val="00DE68A2"/>
    <w:rsid w:val="00DE7251"/>
    <w:rsid w:val="00DF0A1D"/>
    <w:rsid w:val="00DF1186"/>
    <w:rsid w:val="00DF433D"/>
    <w:rsid w:val="00DF5609"/>
    <w:rsid w:val="00E028D5"/>
    <w:rsid w:val="00E10605"/>
    <w:rsid w:val="00E1610A"/>
    <w:rsid w:val="00E2238C"/>
    <w:rsid w:val="00E2244D"/>
    <w:rsid w:val="00E2448A"/>
    <w:rsid w:val="00E2572D"/>
    <w:rsid w:val="00E25E8F"/>
    <w:rsid w:val="00E26C06"/>
    <w:rsid w:val="00E26D25"/>
    <w:rsid w:val="00E36410"/>
    <w:rsid w:val="00E370EC"/>
    <w:rsid w:val="00E37F4A"/>
    <w:rsid w:val="00E4048D"/>
    <w:rsid w:val="00E42182"/>
    <w:rsid w:val="00E44695"/>
    <w:rsid w:val="00E467D7"/>
    <w:rsid w:val="00E475CB"/>
    <w:rsid w:val="00E50917"/>
    <w:rsid w:val="00E520D9"/>
    <w:rsid w:val="00E55297"/>
    <w:rsid w:val="00E6312E"/>
    <w:rsid w:val="00E6490E"/>
    <w:rsid w:val="00E67BA3"/>
    <w:rsid w:val="00E67C49"/>
    <w:rsid w:val="00E706D3"/>
    <w:rsid w:val="00E71F22"/>
    <w:rsid w:val="00E720FE"/>
    <w:rsid w:val="00E72CD2"/>
    <w:rsid w:val="00E732F3"/>
    <w:rsid w:val="00E7754C"/>
    <w:rsid w:val="00E778A6"/>
    <w:rsid w:val="00E85EF6"/>
    <w:rsid w:val="00E911CE"/>
    <w:rsid w:val="00E91652"/>
    <w:rsid w:val="00E92AEC"/>
    <w:rsid w:val="00E976B4"/>
    <w:rsid w:val="00EA01CE"/>
    <w:rsid w:val="00EA0289"/>
    <w:rsid w:val="00EA4461"/>
    <w:rsid w:val="00EA4CD4"/>
    <w:rsid w:val="00EA510D"/>
    <w:rsid w:val="00EA578D"/>
    <w:rsid w:val="00EB1F9D"/>
    <w:rsid w:val="00EB2DF4"/>
    <w:rsid w:val="00EB6027"/>
    <w:rsid w:val="00EB635D"/>
    <w:rsid w:val="00EB71B7"/>
    <w:rsid w:val="00EC14E3"/>
    <w:rsid w:val="00EC2FCE"/>
    <w:rsid w:val="00EC784B"/>
    <w:rsid w:val="00ED59FB"/>
    <w:rsid w:val="00ED5CE3"/>
    <w:rsid w:val="00ED78AD"/>
    <w:rsid w:val="00EE0C6B"/>
    <w:rsid w:val="00EF0D35"/>
    <w:rsid w:val="00EF15A9"/>
    <w:rsid w:val="00EF1B08"/>
    <w:rsid w:val="00EF7C81"/>
    <w:rsid w:val="00F00291"/>
    <w:rsid w:val="00F027D5"/>
    <w:rsid w:val="00F046C8"/>
    <w:rsid w:val="00F04DBF"/>
    <w:rsid w:val="00F0500E"/>
    <w:rsid w:val="00F05D63"/>
    <w:rsid w:val="00F069EE"/>
    <w:rsid w:val="00F0762A"/>
    <w:rsid w:val="00F1119E"/>
    <w:rsid w:val="00F1122E"/>
    <w:rsid w:val="00F12F6F"/>
    <w:rsid w:val="00F1549E"/>
    <w:rsid w:val="00F15C59"/>
    <w:rsid w:val="00F16916"/>
    <w:rsid w:val="00F21392"/>
    <w:rsid w:val="00F2462C"/>
    <w:rsid w:val="00F25E31"/>
    <w:rsid w:val="00F26B0E"/>
    <w:rsid w:val="00F2714F"/>
    <w:rsid w:val="00F321DA"/>
    <w:rsid w:val="00F375EC"/>
    <w:rsid w:val="00F3760E"/>
    <w:rsid w:val="00F378FA"/>
    <w:rsid w:val="00F56DC4"/>
    <w:rsid w:val="00F62A3A"/>
    <w:rsid w:val="00F62A4A"/>
    <w:rsid w:val="00F63CED"/>
    <w:rsid w:val="00F71410"/>
    <w:rsid w:val="00F72E3F"/>
    <w:rsid w:val="00F75A18"/>
    <w:rsid w:val="00F76991"/>
    <w:rsid w:val="00F8414E"/>
    <w:rsid w:val="00F86142"/>
    <w:rsid w:val="00F8669D"/>
    <w:rsid w:val="00F87267"/>
    <w:rsid w:val="00F87688"/>
    <w:rsid w:val="00F917DB"/>
    <w:rsid w:val="00F92A89"/>
    <w:rsid w:val="00F93A5E"/>
    <w:rsid w:val="00F95022"/>
    <w:rsid w:val="00F970C8"/>
    <w:rsid w:val="00F97704"/>
    <w:rsid w:val="00FA157E"/>
    <w:rsid w:val="00FA15D7"/>
    <w:rsid w:val="00FA22DC"/>
    <w:rsid w:val="00FA38FD"/>
    <w:rsid w:val="00FA4025"/>
    <w:rsid w:val="00FA550D"/>
    <w:rsid w:val="00FB2034"/>
    <w:rsid w:val="00FB23D5"/>
    <w:rsid w:val="00FB37C7"/>
    <w:rsid w:val="00FB43D6"/>
    <w:rsid w:val="00FC1684"/>
    <w:rsid w:val="00FC5E1F"/>
    <w:rsid w:val="00FC7E8F"/>
    <w:rsid w:val="00FD3C5C"/>
    <w:rsid w:val="00FE1B45"/>
    <w:rsid w:val="00FE42E7"/>
    <w:rsid w:val="00FE48C2"/>
    <w:rsid w:val="00FE4EF4"/>
    <w:rsid w:val="00FF1C37"/>
    <w:rsid w:val="00FF421E"/>
    <w:rsid w:val="00FF4854"/>
    <w:rsid w:val="00FF4DBF"/>
    <w:rsid w:val="00FF52E3"/>
    <w:rsid w:val="00FF63DA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b/>
      <w:snapToGrid w:val="0"/>
      <w:color w:val="000000"/>
    </w:rPr>
  </w:style>
  <w:style w:type="paragraph" w:styleId="a8">
    <w:name w:val="Title"/>
    <w:basedOn w:val="a"/>
    <w:qFormat/>
    <w:pPr>
      <w:jc w:val="center"/>
    </w:pPr>
    <w:rPr>
      <w:b/>
    </w:rPr>
  </w:style>
  <w:style w:type="paragraph" w:styleId="a9">
    <w:name w:val="Subtitle"/>
    <w:basedOn w:val="a"/>
    <w:qFormat/>
    <w:pPr>
      <w:ind w:firstLine="720"/>
      <w:jc w:val="center"/>
    </w:pPr>
    <w:rPr>
      <w:b/>
    </w:rPr>
  </w:style>
  <w:style w:type="character" w:styleId="aa">
    <w:name w:val="Strong"/>
    <w:qFormat/>
    <w:rPr>
      <w:b/>
    </w:rPr>
  </w:style>
  <w:style w:type="character" w:styleId="ab">
    <w:name w:val="Emphasis"/>
    <w:qFormat/>
    <w:rPr>
      <w:i/>
    </w:rPr>
  </w:style>
  <w:style w:type="paragraph" w:styleId="ac">
    <w:name w:val="Balloon Text"/>
    <w:basedOn w:val="a"/>
    <w:semiHidden/>
    <w:rsid w:val="00CA1D8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A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703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FA15D7"/>
    <w:rPr>
      <w:color w:val="808080"/>
    </w:rPr>
  </w:style>
  <w:style w:type="paragraph" w:styleId="af0">
    <w:name w:val="header"/>
    <w:basedOn w:val="a"/>
    <w:link w:val="af1"/>
    <w:rsid w:val="00080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805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 w:val="0"/>
      <w:color w:val="000000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b/>
      <w:snapToGrid w:val="0"/>
      <w:color w:val="000000"/>
    </w:rPr>
  </w:style>
  <w:style w:type="paragraph" w:styleId="a8">
    <w:name w:val="Title"/>
    <w:basedOn w:val="a"/>
    <w:qFormat/>
    <w:pPr>
      <w:jc w:val="center"/>
    </w:pPr>
    <w:rPr>
      <w:b/>
    </w:rPr>
  </w:style>
  <w:style w:type="paragraph" w:styleId="a9">
    <w:name w:val="Subtitle"/>
    <w:basedOn w:val="a"/>
    <w:qFormat/>
    <w:pPr>
      <w:ind w:firstLine="720"/>
      <w:jc w:val="center"/>
    </w:pPr>
    <w:rPr>
      <w:b/>
    </w:rPr>
  </w:style>
  <w:style w:type="character" w:styleId="aa">
    <w:name w:val="Strong"/>
    <w:qFormat/>
    <w:rPr>
      <w:b/>
    </w:rPr>
  </w:style>
  <w:style w:type="character" w:styleId="ab">
    <w:name w:val="Emphasis"/>
    <w:qFormat/>
    <w:rPr>
      <w:i/>
    </w:rPr>
  </w:style>
  <w:style w:type="paragraph" w:styleId="ac">
    <w:name w:val="Balloon Text"/>
    <w:basedOn w:val="a"/>
    <w:semiHidden/>
    <w:rsid w:val="00CA1D8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A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703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Placeholder Text"/>
    <w:basedOn w:val="a0"/>
    <w:uiPriority w:val="99"/>
    <w:semiHidden/>
    <w:rsid w:val="00FA15D7"/>
    <w:rPr>
      <w:color w:val="808080"/>
    </w:rPr>
  </w:style>
  <w:style w:type="paragraph" w:styleId="af0">
    <w:name w:val="header"/>
    <w:basedOn w:val="a"/>
    <w:link w:val="af1"/>
    <w:rsid w:val="00080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805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8.5097112860892388E-2"/>
          <c:y val="7.3024920510728966E-2"/>
          <c:w val="0.88615384615384618"/>
          <c:h val="0.74400581534073573"/>
        </c:manualLayout>
      </c:layout>
      <c:barChart>
        <c:barDir val="col"/>
        <c:grouping val="percent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Региональный бюджет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0"/>
                  <c:y val="5.637773079633545E-3"/>
                </c:manualLayout>
              </c:layout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 rot="-5400000"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0.48699999999999999</c:v>
                </c:pt>
                <c:pt idx="1">
                  <c:v>0.55800000000000005</c:v>
                </c:pt>
                <c:pt idx="2">
                  <c:v>0.51300000000000001</c:v>
                </c:pt>
                <c:pt idx="3">
                  <c:v>0.63600000000000001</c:v>
                </c:pt>
                <c:pt idx="4">
                  <c:v>0.56200000000000006</c:v>
                </c:pt>
                <c:pt idx="5">
                  <c:v>0.60299999999999998</c:v>
                </c:pt>
                <c:pt idx="6">
                  <c:v>0.60799999999999998</c:v>
                </c:pt>
                <c:pt idx="7">
                  <c:v>0.69699999999999995</c:v>
                </c:pt>
                <c:pt idx="8">
                  <c:v>0.57299999999999995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-3.1623319812296188E-3"/>
                  <c:y val="3.6087074739336228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51,3%  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4.048357591664678E-3"/>
                  <c:y val="3.05396392047188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44,2%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7.4205042551499243E-3"/>
                  <c:y val="4.527642289956884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48,7%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1.5464885071184284E-3"/>
                  <c:y val="1.997991265890918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36,4%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3.9640499483019169E-4"/>
                  <c:y val="5.715880652339176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43,8%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3.5665314562952359E-3"/>
                  <c:y val="3.5989856447648058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39,7%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-2.5871311540602879E-3"/>
                  <c:y val="5.8190696564620753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39,2%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4.048357591664678E-3"/>
                  <c:y val="2.9963876079972061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30,3%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-5.6692913385826777E-4"/>
                  <c:y val="6.6279791136044569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42,7%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ctr"/>
              <c:showLegendKey val="0"/>
              <c:showVal val="0"/>
              <c:showCatName val="1"/>
              <c:showSerName val="1"/>
              <c:showPercent val="1"/>
              <c:showBubbleSize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1"/>
            <c:showBubbleSize val="1"/>
            <c:showLeaderLines val="0"/>
          </c:dLbls>
          <c:cat>
            <c:strRef>
              <c:f>Sheet1!$B$1:$J$1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Sheet1!$B$3:$J$3</c:f>
              <c:numCache>
                <c:formatCode>0.0%</c:formatCode>
                <c:ptCount val="9"/>
                <c:pt idx="0">
                  <c:v>0.51300000000000001</c:v>
                </c:pt>
                <c:pt idx="1">
                  <c:v>0.442</c:v>
                </c:pt>
                <c:pt idx="2">
                  <c:v>0.48699999999999999</c:v>
                </c:pt>
                <c:pt idx="3">
                  <c:v>0.36399999999999999</c:v>
                </c:pt>
                <c:pt idx="4">
                  <c:v>0.438</c:v>
                </c:pt>
                <c:pt idx="5">
                  <c:v>0.39700000000000002</c:v>
                </c:pt>
                <c:pt idx="6">
                  <c:v>0.39200000000000002</c:v>
                </c:pt>
                <c:pt idx="7">
                  <c:v>0.30299999999999999</c:v>
                </c:pt>
                <c:pt idx="8">
                  <c:v>0.42699999999999999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30053632"/>
        <c:axId val="132953984"/>
      </c:barChart>
      <c:catAx>
        <c:axId val="13005363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3295398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3295398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cross"/>
        <c:minorTickMark val="cross"/>
        <c:tickLblPos val="nextTo"/>
        <c:crossAx val="130053632"/>
        <c:crosses val="autoZero"/>
        <c:crossBetween val="between"/>
        <c:majorUnit val="0.2"/>
      </c:valAx>
      <c:spPr>
        <a:noFill/>
        <a:ln w="25399">
          <a:noFill/>
        </a:ln>
      </c:spPr>
    </c:plotArea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26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981481481481483E-2"/>
          <c:y val="0.23277538140286649"/>
          <c:w val="0.702454797317002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межбюджетных трансфертов местным бюджетам в 2012 году</c:v>
                </c:pt>
              </c:strCache>
            </c:strRef>
          </c:tx>
          <c:dPt>
            <c:idx val="0"/>
            <c:bubble3D val="0"/>
            <c:explosion val="6"/>
          </c:dPt>
          <c:dPt>
            <c:idx val="1"/>
            <c:bubble3D val="0"/>
            <c:explosion val="7"/>
          </c:dPt>
          <c:dPt>
            <c:idx val="2"/>
            <c:bubble3D val="0"/>
            <c:explosion val="4"/>
          </c:dPt>
          <c:dPt>
            <c:idx val="3"/>
            <c:bubble3D val="0"/>
            <c:explosion val="7"/>
          </c:dPt>
          <c:dLbls>
            <c:dLbl>
              <c:idx val="0"/>
              <c:layout>
                <c:manualLayout>
                  <c:x val="-7.3693678915135605E-2"/>
                  <c:y val="2.4039265807030107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ru-RU" sz="1400"/>
                      <a:t>5,2</a:t>
                    </a:r>
                    <a:r>
                      <a:rPr lang="en-US" sz="1400"/>
                      <a:t>%</a:t>
                    </a:r>
                    <a:r>
                      <a:rPr lang="ru-RU" sz="1400"/>
                      <a:t>       (</a:t>
                    </a:r>
                    <a:r>
                      <a:rPr lang="en-US" sz="1400" b="1" i="0" u="none" strike="noStrike" baseline="0">
                        <a:effectLst/>
                      </a:rPr>
                      <a:t>3</a:t>
                    </a:r>
                    <a:r>
                      <a:rPr lang="ru-RU" sz="1400" b="1" i="0" u="none" strike="noStrike" baseline="0">
                        <a:effectLst/>
                      </a:rPr>
                      <a:t>14,6 млрд. руб.)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ru-RU" sz="1400"/>
                      <a:t>2,2</a:t>
                    </a:r>
                    <a:r>
                      <a:rPr lang="en-US" sz="1400"/>
                      <a:t>%</a:t>
                    </a:r>
                    <a:r>
                      <a:rPr lang="ru-RU" sz="1400"/>
                      <a:t>        (</a:t>
                    </a:r>
                    <a:r>
                      <a:rPr lang="ru-RU" sz="1400" b="1" i="0" u="none" strike="noStrike" baseline="0">
                        <a:effectLst/>
                      </a:rPr>
                      <a:t>666,2 млрд. руб.)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  <a:r>
                      <a:rPr lang="ru-RU" sz="1400"/>
                      <a:t>5,6</a:t>
                    </a:r>
                    <a:r>
                      <a:rPr lang="en-US" sz="1400"/>
                      <a:t>%</a:t>
                    </a:r>
                    <a:r>
                      <a:rPr lang="ru-RU" sz="1400"/>
                      <a:t>       (</a:t>
                    </a:r>
                    <a:r>
                      <a:rPr lang="ru-RU" sz="1400" b="1" i="0" u="none" strike="noStrike" baseline="0">
                        <a:effectLst/>
                      </a:rPr>
                      <a:t>943,8 млрд. руб.)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233267716535437E-2"/>
                  <c:y val="2.2307836432619795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 i="0" baseline="0">
                        <a:effectLst/>
                      </a:rPr>
                      <a:t>7%</a:t>
                    </a:r>
                    <a:endParaRPr lang="ru-RU" sz="14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/>
                      <a:t>(</a:t>
                    </a:r>
                    <a:r>
                      <a:rPr lang="en-US" sz="1400"/>
                      <a:t>144,</a:t>
                    </a:r>
                    <a:r>
                      <a:rPr lang="ru-RU" sz="1400"/>
                      <a:t>4 млрд. руб.)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314.60000000000002</c:v>
                </c:pt>
                <c:pt idx="1">
                  <c:v>666.2</c:v>
                </c:pt>
                <c:pt idx="2">
                  <c:v>943.8</c:v>
                </c:pt>
                <c:pt idx="3">
                  <c:v>144.4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413E-2"/>
          <c:y val="0.17115766779152605"/>
          <c:w val="0.82407407407407407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explosion val="25"/>
          <c:dPt>
            <c:idx val="0"/>
            <c:bubble3D val="0"/>
            <c:explosion val="19"/>
          </c:dPt>
          <c:dPt>
            <c:idx val="1"/>
            <c:bubble3D val="0"/>
            <c:explosion val="21"/>
          </c:dPt>
          <c:dPt>
            <c:idx val="2"/>
            <c:bubble3D val="0"/>
            <c:explosion val="43"/>
          </c:dPt>
          <c:dLbls>
            <c:dLbl>
              <c:idx val="0"/>
              <c:layout>
                <c:manualLayout>
                  <c:x val="-1.2788531641878098E-2"/>
                  <c:y val="3.6629284453509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5,3</a:t>
                    </a:r>
                    <a:r>
                      <a:rPr lang="en-US"/>
                      <a:t>%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(236,8 млрд.</a:t>
                    </a:r>
                    <a:r>
                      <a:rPr lang="ru-RU" baseline="0"/>
                      <a:t> </a:t>
                    </a:r>
                    <a:r>
                      <a:rPr lang="ru-RU"/>
                      <a:t>руб.)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1209536307961503E-2"/>
                  <c:y val="2.98782040559534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19,7</a:t>
                    </a:r>
                    <a:r>
                      <a:rPr lang="en-US"/>
                      <a:t>%</a:t>
                    </a:r>
                    <a:endParaRPr lang="ru-RU"/>
                  </a:p>
                  <a:p>
                    <a:r>
                      <a:rPr lang="ru-RU"/>
                      <a:t> (62 млрд. руб.)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77910834062409"/>
                  <c:y val="3.921384826896637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5,0</a:t>
                    </a:r>
                    <a:r>
                      <a:rPr lang="en-US"/>
                      <a:t>%</a:t>
                    </a:r>
                    <a:endParaRPr lang="ru-RU"/>
                  </a:p>
                  <a:p>
                    <a:r>
                      <a:rPr lang="ru-RU"/>
                      <a:t> (15,8 млрд. руб.)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дотации на выравнивание бюджетной обеспеченности</c:v>
                </c:pt>
                <c:pt idx="1">
                  <c:v>дотации бюджетам на поддержку мер по обеспечению сбалансированности</c:v>
                </c:pt>
                <c:pt idx="2">
                  <c:v>прочие 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236.8</c:v>
                </c:pt>
                <c:pt idx="1">
                  <c:v>62</c:v>
                </c:pt>
                <c:pt idx="2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2"/>
  <c:chart>
    <c:autoTitleDeleted val="1"/>
    <c:view3D>
      <c:rotX val="30"/>
      <c:rotY val="17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474267364339445E-2"/>
          <c:y val="6.8735730742820494E-2"/>
          <c:w val="0.83146347495701045"/>
          <c:h val="0.568615403200123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44450" prst="relaxedInset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rgbClr val="FFC000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92D050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rgbClr val="FF8080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rgbClr val="0066CC"/>
              </a:solidFill>
              <a:ln w="12687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44450" prst="relaxedIns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1.9317667463181677E-2"/>
                  <c:y val="-1.17923468369274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0079816855750637E-3"/>
                  <c:y val="-0.112234407426645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282021889788643E-2"/>
                  <c:y val="4.64632191584440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0557614711643933E-2"/>
                  <c:y val="-7.96294341492066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214383912551174E-2"/>
                  <c:y val="-4.79870374415460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8571513552110464E-3"/>
                  <c:y val="3.48276437498192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Управление</c:v>
                </c:pt>
                <c:pt idx="1">
                  <c:v>ЖКХ</c:v>
                </c:pt>
                <c:pt idx="2">
                  <c:v>Образование</c:v>
                </c:pt>
                <c:pt idx="3">
                  <c:v>Культура</c:v>
                </c:pt>
                <c:pt idx="4">
                  <c:v>Здравоохранение</c:v>
                </c:pt>
                <c:pt idx="5">
                  <c:v>Социальная политика</c:v>
                </c:pt>
                <c:pt idx="6">
                  <c:v>Прочие расходы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307.2</c:v>
                </c:pt>
                <c:pt idx="1">
                  <c:v>481.1</c:v>
                </c:pt>
                <c:pt idx="2">
                  <c:v>1570.3</c:v>
                </c:pt>
                <c:pt idx="3">
                  <c:v>168.6</c:v>
                </c:pt>
                <c:pt idx="4">
                  <c:v>60.2</c:v>
                </c:pt>
                <c:pt idx="5">
                  <c:v>307.2</c:v>
                </c:pt>
                <c:pt idx="6">
                  <c:v>481.9</c:v>
                </c:pt>
                <c:pt idx="7">
                  <c:v>58.5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0"/>
        </c:dLbls>
      </c:pie3DChart>
    </c:plotArea>
    <c:legend>
      <c:legendPos val="b"/>
      <c:layout>
        <c:manualLayout>
          <c:xMode val="edge"/>
          <c:yMode val="edge"/>
          <c:x val="8.2437274240737286E-3"/>
          <c:y val="0.70437079256306356"/>
          <c:w val="0.95650818472811594"/>
          <c:h val="0.2468954194533215"/>
        </c:manualLayout>
      </c:layout>
      <c:overlay val="1"/>
      <c:spPr>
        <a:noFill/>
        <a:ln w="25374">
          <a:solidFill>
            <a:schemeClr val="bg1"/>
          </a:solidFill>
        </a:ln>
        <a:effectLst/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zero"/>
    <c:showDLblsOverMax val="1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Данные!$AV$30</c:f>
              <c:strCache>
                <c:ptCount val="1"/>
                <c:pt idx="0">
                  <c:v>Профицитные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invertIfNegative val="0"/>
          <c:dLbls>
            <c:dLbl>
              <c:idx val="3"/>
              <c:layout>
                <c:manualLayout>
                  <c:x val="-9.91325898389095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5654688145394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Данные!$AW$29:$BE$29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Данные!$AW$30:$BE$30</c:f>
              <c:numCache>
                <c:formatCode>0.0%</c:formatCode>
                <c:ptCount val="9"/>
                <c:pt idx="0">
                  <c:v>0.47775317092812564</c:v>
                </c:pt>
                <c:pt idx="1">
                  <c:v>0.53056379821958455</c:v>
                </c:pt>
                <c:pt idx="2">
                  <c:v>0.40625</c:v>
                </c:pt>
                <c:pt idx="3">
                  <c:v>0.41004672897196259</c:v>
                </c:pt>
                <c:pt idx="4">
                  <c:v>0.47596312150148173</c:v>
                </c:pt>
                <c:pt idx="5">
                  <c:v>0.52193308550185868</c:v>
                </c:pt>
                <c:pt idx="6">
                  <c:v>0.47602823071306888</c:v>
                </c:pt>
                <c:pt idx="7">
                  <c:v>0.60526315789473684</c:v>
                </c:pt>
                <c:pt idx="8">
                  <c:v>0.48059857316860971</c:v>
                </c:pt>
              </c:numCache>
            </c:numRef>
          </c:val>
        </c:ser>
        <c:ser>
          <c:idx val="1"/>
          <c:order val="1"/>
          <c:tx>
            <c:strRef>
              <c:f>Данные!$AV$31</c:f>
              <c:strCache>
                <c:ptCount val="1"/>
                <c:pt idx="0">
                  <c:v>Дефицитные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5.4274084124830389E-3"/>
                  <c:y val="-1.212121212121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265179677819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69888475836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82225237449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826517967781787E-2"/>
                  <c:y val="-6.3091482649842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Данные!$AW$29:$BE$29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Данные!$AW$31:$BE$31</c:f>
              <c:numCache>
                <c:formatCode>0.0%</c:formatCode>
                <c:ptCount val="9"/>
                <c:pt idx="0">
                  <c:v>0.4972820616066036</c:v>
                </c:pt>
                <c:pt idx="1">
                  <c:v>0.46884272997032639</c:v>
                </c:pt>
                <c:pt idx="2">
                  <c:v>0.58622685185185186</c:v>
                </c:pt>
                <c:pt idx="3">
                  <c:v>0.40478971962616822</c:v>
                </c:pt>
                <c:pt idx="4">
                  <c:v>0.52337833388212052</c:v>
                </c:pt>
                <c:pt idx="5">
                  <c:v>0.47806691449814126</c:v>
                </c:pt>
                <c:pt idx="6">
                  <c:v>0.51180335848138236</c:v>
                </c:pt>
                <c:pt idx="7">
                  <c:v>0.39327485380116961</c:v>
                </c:pt>
                <c:pt idx="8">
                  <c:v>0.49717243779363146</c:v>
                </c:pt>
              </c:numCache>
            </c:numRef>
          </c:val>
        </c:ser>
        <c:ser>
          <c:idx val="2"/>
          <c:order val="2"/>
          <c:tx>
            <c:strRef>
              <c:f>Данные!$AV$32</c:f>
              <c:strCache>
                <c:ptCount val="1"/>
                <c:pt idx="0">
                  <c:v>С нулевым дефицитом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522098306484954E-2"/>
                  <c:y val="-1.655944426505046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74308137133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22098306484923E-2"/>
                  <c:y val="-2.1030494216614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548168249660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132589838909543E-3"/>
                  <c:y val="-2.1030494216614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21767864518794E-2"/>
                  <c:y val="-4.206098843322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869888475836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565468814539447E-2"/>
                  <c:y val="-2.103049421661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391986782321357E-2"/>
                  <c:y val="-2.103049421661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Данные!$AW$29:$BE$29</c:f>
              <c:strCache>
                <c:ptCount val="9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Данные!$AW$32:$BE$32</c:f>
              <c:numCache>
                <c:formatCode>0.0%</c:formatCode>
                <c:ptCount val="9"/>
                <c:pt idx="0">
                  <c:v>2.4964767465270786E-2</c:v>
                </c:pt>
                <c:pt idx="1">
                  <c:v>5.9347181008902075E-4</c:v>
                </c:pt>
                <c:pt idx="2">
                  <c:v>7.5231481481481477E-3</c:v>
                </c:pt>
                <c:pt idx="3">
                  <c:v>0.18516355140186916</c:v>
                </c:pt>
                <c:pt idx="4">
                  <c:v>6.5854461639776091E-4</c:v>
                </c:pt>
                <c:pt idx="5">
                  <c:v>0</c:v>
                </c:pt>
                <c:pt idx="6">
                  <c:v>1.2168410805548795E-2</c:v>
                </c:pt>
                <c:pt idx="7">
                  <c:v>1.4619883040935672E-3</c:v>
                </c:pt>
                <c:pt idx="8">
                  <c:v>2.2228989037758832E-2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4105984"/>
        <c:axId val="74107520"/>
        <c:axId val="0"/>
      </c:bar3DChart>
      <c:catAx>
        <c:axId val="7410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4107520"/>
        <c:crosses val="autoZero"/>
        <c:auto val="1"/>
        <c:lblAlgn val="ctr"/>
        <c:lblOffset val="100"/>
        <c:noMultiLvlLbl val="0"/>
      </c:catAx>
      <c:valAx>
        <c:axId val="7410752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105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0.32576</cdr:x>
      <cdr:y>0.87526</cdr:y>
    </cdr:from>
    <cdr:to>
      <cdr:x>0.35455</cdr:x>
      <cdr:y>0.92337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047875" y="3943350"/>
          <a:ext cx="180975" cy="216711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C226-EED2-458A-B096-A0535667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мониторинга местных бюджетов Российской Федерации по состоянию на 1 января 2007 года</vt:lpstr>
    </vt:vector>
  </TitlesOfParts>
  <Company>minfin</Company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мониторинга местных бюджетов Российской Федерации по состоянию на 1 января 2007 года</dc:title>
  <dc:creator>Администратор</dc:creator>
  <cp:lastModifiedBy>ГУРЬЕВ ИВАН АНДРЕЕВИЧ</cp:lastModifiedBy>
  <cp:revision>38</cp:revision>
  <cp:lastPrinted>2014-08-22T10:25:00Z</cp:lastPrinted>
  <dcterms:created xsi:type="dcterms:W3CDTF">2014-03-20T13:57:00Z</dcterms:created>
  <dcterms:modified xsi:type="dcterms:W3CDTF">2014-08-22T10:37:00Z</dcterms:modified>
</cp:coreProperties>
</file>