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93" w:rsidRPr="007B0F60" w:rsidRDefault="007B0F60" w:rsidP="007B0F60">
      <w:pPr>
        <w:autoSpaceDE w:val="0"/>
        <w:autoSpaceDN w:val="0"/>
        <w:adjustRightInd w:val="0"/>
        <w:ind w:left="-851" w:right="-382" w:firstLine="425"/>
        <w:jc w:val="center"/>
        <w:rPr>
          <w:rFonts w:eastAsia="Calibri"/>
          <w:b/>
          <w:sz w:val="28"/>
          <w:szCs w:val="28"/>
        </w:rPr>
      </w:pPr>
      <w:r w:rsidRPr="007B0F60">
        <w:rPr>
          <w:rFonts w:eastAsia="Calibri"/>
          <w:b/>
          <w:sz w:val="28"/>
          <w:szCs w:val="28"/>
        </w:rPr>
        <w:t>Письмо Департамента налоговой и таможенной политики от 16.06.2017г. № 03-03-РЗ/37488  "О порядке учета для целей налогообложения прибыли организаций стоимости дополнительных сервисных услуг, оказываемых перевозчиками, при оплате проездных билетов".</w:t>
      </w:r>
    </w:p>
    <w:p w:rsidR="00657E93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rFonts w:eastAsia="Calibri"/>
          <w:sz w:val="28"/>
          <w:szCs w:val="28"/>
        </w:rPr>
      </w:pPr>
    </w:p>
    <w:p w:rsidR="00657E93" w:rsidRPr="00C23955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Департамент налоговой и таможенной политики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рассмотрел письмо </w:t>
      </w:r>
      <w:r w:rsidRPr="00157B6B">
        <w:rPr>
          <w:sz w:val="28"/>
          <w:szCs w:val="28"/>
        </w:rPr>
        <w:t>по вопрос</w:t>
      </w:r>
      <w:r>
        <w:rPr>
          <w:sz w:val="28"/>
          <w:szCs w:val="28"/>
        </w:rPr>
        <w:t>ам</w:t>
      </w:r>
      <w:r w:rsidRPr="00157B6B">
        <w:rPr>
          <w:sz w:val="28"/>
          <w:szCs w:val="28"/>
        </w:rPr>
        <w:t xml:space="preserve"> </w:t>
      </w:r>
      <w:r w:rsidRPr="00C23955">
        <w:rPr>
          <w:sz w:val="28"/>
          <w:szCs w:val="28"/>
        </w:rPr>
        <w:t>налогообложения стоимости дополнительных сервисных услуг, оказываемых перевозчиками, при оплате проездных билетов и сообщает следующее.</w:t>
      </w: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proofErr w:type="gramStart"/>
      <w:r w:rsidRPr="00C23955">
        <w:rPr>
          <w:sz w:val="28"/>
          <w:szCs w:val="28"/>
        </w:rPr>
        <w:t xml:space="preserve">В соответствии со статьей 3 Федерального закона от 10.01.2003г. № 18-ФЗ «Устав железнодорожного транспорта Российской Федерации» постановлением Правительства Российской Федерации от 02.03.2005г.  № 111 утверждены Правила оказания услуг по перевозкам на железнодорожном транспорте пассажиров, а также грузов, багажа и </w:t>
      </w:r>
      <w:proofErr w:type="spellStart"/>
      <w:r w:rsidRPr="00C23955">
        <w:rPr>
          <w:sz w:val="28"/>
          <w:szCs w:val="28"/>
        </w:rPr>
        <w:t>грузобагажа</w:t>
      </w:r>
      <w:proofErr w:type="spellEnd"/>
      <w:r w:rsidRPr="00C23955">
        <w:rPr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на основании </w:t>
      </w:r>
      <w:hyperlink r:id="rId7" w:history="1">
        <w:r w:rsidRPr="00C23955">
          <w:rPr>
            <w:sz w:val="28"/>
            <w:szCs w:val="28"/>
          </w:rPr>
          <w:t>пункта 33</w:t>
        </w:r>
      </w:hyperlink>
      <w:r w:rsidRPr="00C23955">
        <w:rPr>
          <w:sz w:val="28"/>
          <w:szCs w:val="28"/>
        </w:rPr>
        <w:t xml:space="preserve"> которых в поезде</w:t>
      </w:r>
      <w:proofErr w:type="gramEnd"/>
      <w:r w:rsidRPr="00C23955">
        <w:rPr>
          <w:sz w:val="28"/>
          <w:szCs w:val="28"/>
        </w:rPr>
        <w:t xml:space="preserve"> </w:t>
      </w:r>
      <w:proofErr w:type="gramStart"/>
      <w:r w:rsidRPr="00C23955">
        <w:rPr>
          <w:sz w:val="28"/>
          <w:szCs w:val="28"/>
        </w:rPr>
        <w:t>дальнего следования, имеющем в составе вагоны повышенной комфортности, пассажиру предоставляется платное сервисное обслуживание, стоимость которого включается в стоимость проезда.</w:t>
      </w:r>
      <w:proofErr w:type="gramEnd"/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 xml:space="preserve">Согласно данной норме </w:t>
      </w:r>
      <w:hyperlink r:id="rId8" w:history="1">
        <w:r w:rsidRPr="00C23955">
          <w:rPr>
            <w:sz w:val="28"/>
            <w:szCs w:val="28"/>
          </w:rPr>
          <w:t>порядок</w:t>
        </w:r>
      </w:hyperlink>
      <w:r w:rsidRPr="00C23955">
        <w:rPr>
          <w:sz w:val="28"/>
          <w:szCs w:val="28"/>
        </w:rPr>
        <w:t xml:space="preserve"> предоставления пассажирам комплекса услуг, стоимость которых включается в стоимость проезда в вагонах повышенной комфортности, устанавливается Минтрансом России, а состав комплекса услуг определяется перевозчиком.</w:t>
      </w:r>
    </w:p>
    <w:p w:rsidR="00657E93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 xml:space="preserve">В соответствии с </w:t>
      </w:r>
      <w:hyperlink r:id="rId9" w:history="1">
        <w:r w:rsidRPr="00C23955">
          <w:rPr>
            <w:sz w:val="28"/>
            <w:szCs w:val="28"/>
          </w:rPr>
          <w:t>пунктом 3</w:t>
        </w:r>
      </w:hyperlink>
      <w:r w:rsidRPr="00C23955">
        <w:rPr>
          <w:sz w:val="28"/>
          <w:szCs w:val="28"/>
        </w:rPr>
        <w:t xml:space="preserve"> Порядка предоставления пассажирам комплекса услуг, стоимость которых включается в стоимость проезда в вагонах повышенной комфортности, утвержденного Приказом Минтранса России от 09.07.2007г.  № 89, при приобретении проездного документа (билета) пассажиром </w:t>
      </w:r>
      <w:proofErr w:type="gramStart"/>
      <w:r w:rsidRPr="00C23955">
        <w:rPr>
          <w:sz w:val="28"/>
          <w:szCs w:val="28"/>
        </w:rPr>
        <w:t>оплачивается стоимость проезда</w:t>
      </w:r>
      <w:proofErr w:type="gramEnd"/>
      <w:r w:rsidRPr="00C23955">
        <w:rPr>
          <w:sz w:val="28"/>
          <w:szCs w:val="28"/>
        </w:rPr>
        <w:t>, в состав которой включается стоимость услуг, оказываемых в вагонах повышенной комфортности.</w:t>
      </w: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>По вопросу обложения налогом на доходы физических лиц сумм оплаты организацией командированным сотрудникам стоимости сервисных услуг, предоставляемых в вагонах повышенной комфортности</w:t>
      </w:r>
      <w:r>
        <w:rPr>
          <w:sz w:val="28"/>
          <w:szCs w:val="28"/>
        </w:rPr>
        <w:t xml:space="preserve">, </w:t>
      </w:r>
      <w:r w:rsidRPr="00C23955">
        <w:rPr>
          <w:sz w:val="28"/>
          <w:szCs w:val="28"/>
        </w:rPr>
        <w:t>сообщае</w:t>
      </w:r>
      <w:r>
        <w:rPr>
          <w:sz w:val="28"/>
          <w:szCs w:val="28"/>
        </w:rPr>
        <w:t>м</w:t>
      </w:r>
      <w:r w:rsidRPr="00C23955">
        <w:rPr>
          <w:sz w:val="28"/>
          <w:szCs w:val="28"/>
        </w:rPr>
        <w:t>.</w:t>
      </w:r>
    </w:p>
    <w:p w:rsidR="00657E93" w:rsidRPr="00C23955" w:rsidRDefault="008828B0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hyperlink r:id="rId10" w:history="1">
        <w:r w:rsidR="00657E93" w:rsidRPr="00C23955">
          <w:rPr>
            <w:sz w:val="28"/>
            <w:szCs w:val="28"/>
          </w:rPr>
          <w:t>Пунктом 3 статьи 217</w:t>
        </w:r>
      </w:hyperlink>
      <w:r w:rsidR="00657E93" w:rsidRPr="00C23955">
        <w:rPr>
          <w:sz w:val="28"/>
          <w:szCs w:val="28"/>
        </w:rPr>
        <w:t xml:space="preserve"> Кодекса предусмотрено, что к освобождаемым от налогообложения доходам относятся все виды установленных действующим законодательством Российской Федерации компенсационных выплат (в пределах норм, установленных в соответствии с законодательством Российской Федерации), связанных, в частности, с исполнением налогоплательщиком трудовых обязанностей (включая возмещение командировочных расходов).</w:t>
      </w: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proofErr w:type="gramStart"/>
      <w:r w:rsidRPr="00C23955">
        <w:rPr>
          <w:sz w:val="28"/>
          <w:szCs w:val="28"/>
        </w:rPr>
        <w:t xml:space="preserve">В </w:t>
      </w:r>
      <w:hyperlink r:id="rId11" w:history="1">
        <w:r w:rsidRPr="00C23955">
          <w:rPr>
            <w:sz w:val="28"/>
            <w:szCs w:val="28"/>
          </w:rPr>
          <w:t>абзаце двенадцатом данного пункта</w:t>
        </w:r>
      </w:hyperlink>
      <w:r w:rsidRPr="00C23955">
        <w:rPr>
          <w:sz w:val="28"/>
          <w:szCs w:val="28"/>
        </w:rPr>
        <w:t xml:space="preserve"> дополнительно указано, что при оплате работодателем налогоплательщику расходов на командировки как внутри страны, так и за ее пределы в доход, подлежащий налогообложению, не включаются суточные, выплачиваемые в пределах норм, установленных в соответствии с действующим законодательством, а также фактически произведенные и </w:t>
      </w:r>
      <w:r w:rsidRPr="00C23955">
        <w:rPr>
          <w:sz w:val="28"/>
          <w:szCs w:val="28"/>
        </w:rPr>
        <w:lastRenderedPageBreak/>
        <w:t>документально подтвержденные целевые расходы на проезд до места назначения и обратно, сборы за услуги аэропортов</w:t>
      </w:r>
      <w:proofErr w:type="gramEnd"/>
      <w:r w:rsidRPr="00C23955">
        <w:rPr>
          <w:sz w:val="28"/>
          <w:szCs w:val="28"/>
        </w:rPr>
        <w:t xml:space="preserve">, </w:t>
      </w:r>
      <w:proofErr w:type="gramStart"/>
      <w:r w:rsidRPr="00C23955">
        <w:rPr>
          <w:sz w:val="28"/>
          <w:szCs w:val="28"/>
        </w:rPr>
        <w:t>комиссионные сборы, расходы на проезд в аэропорт или на вокзал в местах отправления, назначения или пересадок, на провоз багажа, расходы по найму жилого помещения, оплате услуг связи, получению и регистрации служебного заграничного паспорта, получению виз, а также расходы, связанные с обменом наличной валюты или чека в банке на наличную иностранную валюту.</w:t>
      </w:r>
      <w:proofErr w:type="gramEnd"/>
    </w:p>
    <w:p w:rsidR="00657E93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>Таким образом, суммы оплаты работодателем командированным сотрудникам стоимости проезда в вагонах повышенной комфортности с включенной в нее стоимостью сервисных услуг, предоставляемых в таких вагонах, освобождаются от обложения налогом на доходы физических лиц на основании указанной нормы Кодекса.</w:t>
      </w: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</w:p>
    <w:p w:rsidR="00657E93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учета для целей налогообложения прибыли организаций стоимости дополнительных сервисных услуг, включенных в стоимость проездного документа, сообщаем следующее.</w:t>
      </w:r>
    </w:p>
    <w:p w:rsidR="00657E93" w:rsidRPr="00C23955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</w:t>
      </w:r>
      <w:r w:rsidRPr="00C23955">
        <w:rPr>
          <w:sz w:val="28"/>
          <w:szCs w:val="28"/>
        </w:rPr>
        <w:t xml:space="preserve"> </w:t>
      </w:r>
      <w:hyperlink r:id="rId12" w:history="1">
        <w:r w:rsidRPr="00C2395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23955">
          <w:rPr>
            <w:sz w:val="28"/>
            <w:szCs w:val="28"/>
          </w:rPr>
          <w:t xml:space="preserve"> 1 статьи 252</w:t>
        </w:r>
      </w:hyperlink>
      <w:r w:rsidRPr="00C23955">
        <w:rPr>
          <w:sz w:val="28"/>
          <w:szCs w:val="28"/>
        </w:rPr>
        <w:t xml:space="preserve"> Налогового кодекса Российской Федерации (далее - Кодекс) в целях налогообложения прибыли организаций расходами признаются экономически оправданные и документально подтвержденные затраты, произведенные для осуществления деятельности, направленной на получение дохода. Расходы, не соответствующие указанным требованиям, согласно </w:t>
      </w:r>
      <w:hyperlink r:id="rId13" w:history="1">
        <w:r w:rsidRPr="00C23955">
          <w:rPr>
            <w:sz w:val="28"/>
            <w:szCs w:val="28"/>
          </w:rPr>
          <w:t>пункту 49 статьи 270</w:t>
        </w:r>
      </w:hyperlink>
      <w:r w:rsidRPr="00C23955">
        <w:rPr>
          <w:sz w:val="28"/>
          <w:szCs w:val="28"/>
        </w:rPr>
        <w:t xml:space="preserve"> Кодекса, в целях налогообложения прибыли организаций не учитываются.</w:t>
      </w:r>
    </w:p>
    <w:p w:rsidR="00657E93" w:rsidRPr="00C23955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 xml:space="preserve">Согласно </w:t>
      </w:r>
      <w:hyperlink r:id="rId14" w:history="1">
        <w:r w:rsidRPr="00C23955">
          <w:rPr>
            <w:sz w:val="28"/>
            <w:szCs w:val="28"/>
          </w:rPr>
          <w:t>подпункту 12 пункта 1 статьи 264</w:t>
        </w:r>
      </w:hyperlink>
      <w:r w:rsidRPr="00C23955">
        <w:rPr>
          <w:sz w:val="28"/>
          <w:szCs w:val="28"/>
        </w:rPr>
        <w:t xml:space="preserve"> Кодекса к прочим расходам, связанным с производством и реализацией, относятся расходы на командировки, в частности на проезд работника к месту командировки и обратно к месту постоянной работы.</w:t>
      </w:r>
    </w:p>
    <w:p w:rsidR="00657E93" w:rsidRPr="00C23955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>При этом перевозчики для проезда в вагонах повышенной комфортности в стоимость железнодорожных билетов включают стоимость дополнительных сервисных услуг (набор питания, предметы первой необходимости и гигиены, включая постельные принадлежности, печатная продукция).</w:t>
      </w:r>
    </w:p>
    <w:p w:rsidR="00657E93" w:rsidRPr="00C23955" w:rsidRDefault="00657E93" w:rsidP="00657E93">
      <w:pPr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>Поскольку стоимость дополнительных сервисных услуг формирует единую стоимость услуги по проезду по железной дороге, по мнению Департамента, для целей налогообложения прибыли организаций стоимость железнодорожного билета может быть учтена полностью</w:t>
      </w:r>
      <w:r>
        <w:rPr>
          <w:sz w:val="28"/>
          <w:szCs w:val="28"/>
        </w:rPr>
        <w:t xml:space="preserve">, </w:t>
      </w:r>
      <w:r w:rsidRPr="00C23955">
        <w:rPr>
          <w:sz w:val="28"/>
          <w:szCs w:val="28"/>
        </w:rPr>
        <w:t>включая стоимость</w:t>
      </w:r>
      <w:r>
        <w:rPr>
          <w:sz w:val="28"/>
          <w:szCs w:val="28"/>
        </w:rPr>
        <w:t xml:space="preserve"> дополнительных сервисных услуг</w:t>
      </w:r>
      <w:r w:rsidRPr="00C23955">
        <w:rPr>
          <w:sz w:val="28"/>
          <w:szCs w:val="28"/>
        </w:rPr>
        <w:t>.</w:t>
      </w: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части</w:t>
      </w:r>
      <w:r w:rsidRPr="00C23955">
        <w:rPr>
          <w:sz w:val="28"/>
          <w:szCs w:val="28"/>
        </w:rPr>
        <w:t xml:space="preserve"> принятия к вычету сумм налога на добавленную стоимость, выделенных отдельной строкой в железнодорожном билете, предъявленных в отношении дополнительных сборов и сервисных услуг, в стоимость которых включена плата за пользование постельными принадлежностями и услуги по предоставлению питания, сообщаем следующее.</w:t>
      </w:r>
    </w:p>
    <w:p w:rsidR="00657E93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 w:rsidRPr="00C23955">
        <w:rPr>
          <w:sz w:val="28"/>
          <w:szCs w:val="28"/>
        </w:rPr>
        <w:t xml:space="preserve">В соответствии с пунктом 7 статьи 171 Кодекса вычетам подлежат суммы </w:t>
      </w:r>
      <w:r w:rsidRPr="00C23955">
        <w:rPr>
          <w:sz w:val="28"/>
          <w:szCs w:val="28"/>
        </w:rPr>
        <w:lastRenderedPageBreak/>
        <w:t>налога, уплаченные по расходам на командировки (расходам по проезду к месту служебной командировки и обратно, включая расходы на пользование в поездах постельными принадлежностями, а также расходам на наем жилого помещения), принимаемым к вычету при исчислении налога на прибыль организаций. При этом вычеты сумм налога на добавленную стоимость, предъявленных в отношении услуг по предоставлению питания, данным пунктом Кодекса не предусмотрен</w:t>
      </w:r>
      <w:r>
        <w:rPr>
          <w:sz w:val="28"/>
          <w:szCs w:val="28"/>
        </w:rPr>
        <w:t>ы</w:t>
      </w:r>
      <w:r w:rsidRPr="00C23955">
        <w:rPr>
          <w:sz w:val="28"/>
          <w:szCs w:val="28"/>
        </w:rPr>
        <w:t>.</w:t>
      </w:r>
    </w:p>
    <w:p w:rsidR="00657E93" w:rsidRPr="00C23955" w:rsidRDefault="00657E93" w:rsidP="00657E93">
      <w:pPr>
        <w:widowControl w:val="0"/>
        <w:suppressAutoHyphens/>
        <w:autoSpaceDE w:val="0"/>
        <w:autoSpaceDN w:val="0"/>
        <w:adjustRightInd w:val="0"/>
        <w:ind w:left="-851" w:right="-382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сумма налога на добавленную стоимость, предъявленная в отношении дополнительных сборов и сервисных услуг в случае, если стоимость этих сборов и услуг сформирована с учетом стоимости услуг по предоставлению питания, вычету не подлежит.</w:t>
      </w:r>
    </w:p>
    <w:p w:rsidR="00657E93" w:rsidRPr="00C23955" w:rsidRDefault="00657E93" w:rsidP="00657E93">
      <w:pPr>
        <w:pStyle w:val="ConsPlusNormal"/>
        <w:ind w:left="-851" w:right="-382" w:firstLine="425"/>
        <w:jc w:val="both"/>
        <w:rPr>
          <w:rFonts w:ascii="Times New Roman" w:hAnsi="Times New Roman"/>
          <w:sz w:val="28"/>
          <w:szCs w:val="28"/>
        </w:rPr>
      </w:pPr>
    </w:p>
    <w:p w:rsidR="00657E93" w:rsidRPr="00C23955" w:rsidRDefault="00657E93" w:rsidP="00657E93">
      <w:pPr>
        <w:pStyle w:val="ConsPlusNormal"/>
        <w:ind w:left="-851" w:right="-382" w:firstLine="425"/>
        <w:jc w:val="both"/>
        <w:rPr>
          <w:rFonts w:ascii="Times New Roman" w:hAnsi="Times New Roman"/>
          <w:sz w:val="28"/>
          <w:szCs w:val="28"/>
        </w:rPr>
      </w:pPr>
    </w:p>
    <w:p w:rsidR="00657E93" w:rsidRPr="00336BB0" w:rsidRDefault="00657E93" w:rsidP="00657E93">
      <w:pPr>
        <w:pStyle w:val="a3"/>
        <w:ind w:left="-851" w:right="-382" w:firstLine="425"/>
        <w:jc w:val="both"/>
        <w:rPr>
          <w:szCs w:val="28"/>
        </w:rPr>
      </w:pPr>
      <w:r>
        <w:rPr>
          <w:szCs w:val="28"/>
        </w:rPr>
        <w:t>Директор Департамента                                                                        А.В. Сазанов</w:t>
      </w:r>
    </w:p>
    <w:p w:rsidR="003D42F1" w:rsidRDefault="003D42F1"/>
    <w:sectPr w:rsidR="003D42F1" w:rsidSect="00E13E10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440" w:right="1274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B0" w:rsidRDefault="008828B0">
      <w:r>
        <w:separator/>
      </w:r>
    </w:p>
  </w:endnote>
  <w:endnote w:type="continuationSeparator" w:id="0">
    <w:p w:rsidR="008828B0" w:rsidRDefault="008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44" w:rsidRDefault="00657E93">
    <w:pPr>
      <w:pStyle w:val="a7"/>
    </w:pPr>
    <w:r>
      <w:t xml:space="preserve">Исп.: </w:t>
    </w:r>
    <w:proofErr w:type="spellStart"/>
    <w:r>
      <w:t>Бахвалова</w:t>
    </w:r>
    <w:proofErr w:type="spellEnd"/>
    <w:r>
      <w:t xml:space="preserve"> А.С.</w:t>
    </w:r>
  </w:p>
  <w:p w:rsidR="00E95D44" w:rsidRDefault="00657E93">
    <w:pPr>
      <w:pStyle w:val="a7"/>
    </w:pPr>
    <w:r>
      <w:t>Тел.: 225-43-24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A5" w:rsidRDefault="00657E93">
    <w:pPr>
      <w:pStyle w:val="a7"/>
    </w:pPr>
    <w:r>
      <w:t xml:space="preserve">Исп. </w:t>
    </w:r>
    <w:proofErr w:type="spellStart"/>
    <w:r>
      <w:t>Бахвалова</w:t>
    </w:r>
    <w:proofErr w:type="spellEnd"/>
    <w:r>
      <w:t xml:space="preserve"> А.С.</w:t>
    </w:r>
  </w:p>
  <w:p w:rsidR="00C311A5" w:rsidRDefault="00657E93">
    <w:pPr>
      <w:pStyle w:val="a7"/>
    </w:pPr>
    <w:r>
      <w:t>Тел. 225-43-24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B0" w:rsidRDefault="008828B0">
      <w:r>
        <w:separator/>
      </w:r>
    </w:p>
  </w:footnote>
  <w:footnote w:type="continuationSeparator" w:id="0">
    <w:p w:rsidR="008828B0" w:rsidRDefault="0088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10" w:rsidRDefault="00657E93" w:rsidP="00FC3F2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E10" w:rsidRDefault="008828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10" w:rsidRDefault="00657E93" w:rsidP="00FC3F2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0F60">
      <w:rPr>
        <w:rStyle w:val="a9"/>
        <w:noProof/>
      </w:rPr>
      <w:t>3</w:t>
    </w:r>
    <w:r>
      <w:rPr>
        <w:rStyle w:val="a9"/>
      </w:rPr>
      <w:fldChar w:fldCharType="end"/>
    </w:r>
  </w:p>
  <w:p w:rsidR="00E13E10" w:rsidRDefault="00882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93"/>
    <w:rsid w:val="000240FF"/>
    <w:rsid w:val="000C55F5"/>
    <w:rsid w:val="000E7F1B"/>
    <w:rsid w:val="00111668"/>
    <w:rsid w:val="0019604F"/>
    <w:rsid w:val="001D6E72"/>
    <w:rsid w:val="002578A2"/>
    <w:rsid w:val="0026445B"/>
    <w:rsid w:val="00292E3A"/>
    <w:rsid w:val="002E5DB3"/>
    <w:rsid w:val="002F04CE"/>
    <w:rsid w:val="00335E8B"/>
    <w:rsid w:val="003927C0"/>
    <w:rsid w:val="003C5F83"/>
    <w:rsid w:val="003D42F1"/>
    <w:rsid w:val="0046594C"/>
    <w:rsid w:val="00472D2F"/>
    <w:rsid w:val="004C3278"/>
    <w:rsid w:val="004E5CB8"/>
    <w:rsid w:val="005538DF"/>
    <w:rsid w:val="005C06BD"/>
    <w:rsid w:val="00657E93"/>
    <w:rsid w:val="00705BDF"/>
    <w:rsid w:val="007B0F60"/>
    <w:rsid w:val="007B58D3"/>
    <w:rsid w:val="00845B9B"/>
    <w:rsid w:val="008828B0"/>
    <w:rsid w:val="009A4872"/>
    <w:rsid w:val="00A40113"/>
    <w:rsid w:val="00A6017B"/>
    <w:rsid w:val="00A75406"/>
    <w:rsid w:val="00AA3181"/>
    <w:rsid w:val="00AE7CC2"/>
    <w:rsid w:val="00B30684"/>
    <w:rsid w:val="00B4183B"/>
    <w:rsid w:val="00B84E2B"/>
    <w:rsid w:val="00BA449A"/>
    <w:rsid w:val="00CF4A5D"/>
    <w:rsid w:val="00D66128"/>
    <w:rsid w:val="00F4150C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E93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57E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7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57E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57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7E9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page number"/>
    <w:basedOn w:val="a0"/>
    <w:rsid w:val="0065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E93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57E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7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57E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57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7E9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page number"/>
    <w:basedOn w:val="a0"/>
    <w:rsid w:val="0065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AE3135845BEED651AC3483062E5346BF618988C0D177C38D6FF09F02BC11533ECD2ADD457ABJ1i9L" TargetMode="External"/><Relationship Id="rId13" Type="http://schemas.openxmlformats.org/officeDocument/2006/relationships/hyperlink" Target="consultantplus://offline/ref=1C77DEE82420F05305EA13A2AC0F8341361B00B62135EC773E0C0777689FCDD4CC8F8EE1875D23A9e7lF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AE3135845BEED651AC3483062E5346BFA149C840D177C38D6FF09F02BC11533ECD2ADD456ABJ1i9L" TargetMode="External"/><Relationship Id="rId12" Type="http://schemas.openxmlformats.org/officeDocument/2006/relationships/hyperlink" Target="consultantplus://offline/ref=1C77DEE82420F05305EA13A2AC0F8341361B00B62135EC773E0C0777689FCDD4CC8F8EE1875E2EAEe7lB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6327DA49769EB36361F22A2C7BB47A46FF8614F4A085824513457C2CBC665517D0275138913AnBi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6327DA49769EB36361F22A2C7BB47A46FF8614F4A085824513457C2CBC665517D0275138913AnBiD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AE3135845BEED651AC3483062E5346BF618988C0D177C38D6FF09F02BC11533ECD2ADD457ABJ1iAL" TargetMode="External"/><Relationship Id="rId14" Type="http://schemas.openxmlformats.org/officeDocument/2006/relationships/hyperlink" Target="consultantplus://offline/ref=1C77DEE82420F05305EA13A2AC0F8341361B00B62135EC773E0C0777689FCDD4CC8F8EE1875D25AAe7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БАХВАЛОВА АЛЕКСАНДРА СЕРГЕЕВНА</dc:creator>
  <cp:lastModifiedBy>БАХВАЛОВА АЛЕКСАНДРА СЕРГЕЕВНА</cp:lastModifiedBy>
  <cp:revision>2</cp:revision>
  <dcterms:created xsi:type="dcterms:W3CDTF">2017-06-16T07:33:00Z</dcterms:created>
  <dcterms:modified xsi:type="dcterms:W3CDTF">2017-06-20T12:45:00Z</dcterms:modified>
</cp:coreProperties>
</file>