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0E4" w:rsidRPr="00D040F9" w:rsidRDefault="001830E4" w:rsidP="00AF0B97">
      <w:pPr>
        <w:pStyle w:val="a3"/>
        <w:ind w:left="-426"/>
        <w:rPr>
          <w:szCs w:val="28"/>
          <w:u w:val="none"/>
        </w:rPr>
      </w:pPr>
      <w:r w:rsidRPr="00D040F9">
        <w:rPr>
          <w:szCs w:val="28"/>
          <w:u w:val="none"/>
        </w:rPr>
        <w:t>ПОЯСНИТЕЛЬНАЯ ЗАПИСКА</w:t>
      </w:r>
    </w:p>
    <w:p w:rsidR="001830E4" w:rsidRPr="00D040F9" w:rsidRDefault="001830E4" w:rsidP="00AF0B97">
      <w:pPr>
        <w:pStyle w:val="a3"/>
        <w:ind w:left="-426"/>
        <w:rPr>
          <w:szCs w:val="28"/>
          <w:u w:val="none"/>
        </w:rPr>
      </w:pPr>
    </w:p>
    <w:p w:rsidR="001830E4" w:rsidRPr="00D040F9" w:rsidRDefault="00BC61E9" w:rsidP="00AF0B97">
      <w:pPr>
        <w:ind w:left="-426"/>
        <w:jc w:val="center"/>
        <w:rPr>
          <w:b/>
          <w:color w:val="000000"/>
          <w:sz w:val="28"/>
          <w:szCs w:val="28"/>
        </w:rPr>
      </w:pPr>
      <w:r w:rsidRPr="00D040F9">
        <w:rPr>
          <w:b/>
          <w:sz w:val="28"/>
          <w:szCs w:val="28"/>
        </w:rPr>
        <w:t xml:space="preserve">к проекту распоряжения Правительства Российской Федерации </w:t>
      </w:r>
      <w:r w:rsidR="008E7211" w:rsidRPr="00D040F9">
        <w:rPr>
          <w:b/>
          <w:sz w:val="28"/>
          <w:szCs w:val="28"/>
        </w:rPr>
        <w:t xml:space="preserve">об утверждении Национальной стратегии повышения финансовой грамотности в Российской Федерации на период </w:t>
      </w:r>
      <w:r w:rsidR="00AF0B97" w:rsidRPr="00D040F9">
        <w:rPr>
          <w:b/>
          <w:sz w:val="28"/>
          <w:szCs w:val="28"/>
        </w:rPr>
        <w:t>2017-2023 гг.</w:t>
      </w:r>
      <w:r w:rsidRPr="00D040F9">
        <w:rPr>
          <w:b/>
          <w:sz w:val="28"/>
          <w:szCs w:val="28"/>
        </w:rPr>
        <w:t xml:space="preserve"> </w:t>
      </w:r>
    </w:p>
    <w:p w:rsidR="001830E4" w:rsidRPr="00D040F9" w:rsidRDefault="001830E4" w:rsidP="001830E4">
      <w:pPr>
        <w:spacing w:line="360" w:lineRule="auto"/>
        <w:ind w:firstLine="709"/>
        <w:jc w:val="both"/>
        <w:rPr>
          <w:sz w:val="28"/>
          <w:szCs w:val="28"/>
        </w:rPr>
      </w:pPr>
    </w:p>
    <w:p w:rsidR="008E7211" w:rsidRPr="00D040F9" w:rsidRDefault="008E7211" w:rsidP="00AF0B97">
      <w:pPr>
        <w:pStyle w:val="2"/>
        <w:ind w:left="-426" w:firstLine="567"/>
        <w:rPr>
          <w:szCs w:val="28"/>
        </w:rPr>
      </w:pPr>
      <w:proofErr w:type="gramStart"/>
      <w:r w:rsidRPr="00D040F9">
        <w:rPr>
          <w:szCs w:val="28"/>
        </w:rPr>
        <w:t xml:space="preserve">Проект распоряжения </w:t>
      </w:r>
      <w:r w:rsidR="00AF0B97" w:rsidRPr="00D040F9">
        <w:rPr>
          <w:szCs w:val="28"/>
        </w:rPr>
        <w:t xml:space="preserve">Правительства Российской Федерации по утверждению Национальной стратегии повышения финансовой грамотности на период 2017-2013 гг. </w:t>
      </w:r>
      <w:r w:rsidR="00DC3832" w:rsidRPr="00D040F9">
        <w:rPr>
          <w:szCs w:val="28"/>
        </w:rPr>
        <w:t xml:space="preserve">(далее - Стратегия) </w:t>
      </w:r>
      <w:r w:rsidRPr="00D040F9">
        <w:rPr>
          <w:szCs w:val="28"/>
        </w:rPr>
        <w:t>подготовлен</w:t>
      </w:r>
      <w:r w:rsidR="00AF0B97" w:rsidRPr="00D040F9">
        <w:rPr>
          <w:szCs w:val="28"/>
        </w:rPr>
        <w:t xml:space="preserve"> во исполнение распоряжения Правительства Российской Федерации от</w:t>
      </w:r>
      <w:r w:rsidR="00DC3832" w:rsidRPr="00D040F9">
        <w:rPr>
          <w:szCs w:val="28"/>
        </w:rPr>
        <w:t xml:space="preserve"> 12 февраля 2011 г. № 180-р</w:t>
      </w:r>
      <w:r w:rsidRPr="00D040F9">
        <w:rPr>
          <w:szCs w:val="28"/>
        </w:rPr>
        <w:t xml:space="preserve"> </w:t>
      </w:r>
      <w:r w:rsidR="00DC3832" w:rsidRPr="00D040F9">
        <w:rPr>
          <w:szCs w:val="28"/>
        </w:rPr>
        <w:t xml:space="preserve">«О реализации Проекта «Содействие повышению уровня финансовой грамотности населения и развитию финансового образования в Российской Федерации»» </w:t>
      </w:r>
      <w:r w:rsidRPr="00D040F9">
        <w:rPr>
          <w:szCs w:val="28"/>
        </w:rPr>
        <w:t>в соответствии с Федеральным законом Российской Федерации от 28 июня 2014 г. № 172-ФЗ</w:t>
      </w:r>
      <w:proofErr w:type="gramEnd"/>
      <w:r w:rsidRPr="00D040F9">
        <w:rPr>
          <w:szCs w:val="28"/>
        </w:rPr>
        <w:t xml:space="preserve"> «О стратегическом планировании в Российской федерации».</w:t>
      </w:r>
    </w:p>
    <w:p w:rsidR="008E7211" w:rsidRDefault="008E7211" w:rsidP="00AF0B97">
      <w:pPr>
        <w:pStyle w:val="2"/>
        <w:ind w:left="-426" w:firstLine="567"/>
        <w:rPr>
          <w:szCs w:val="28"/>
        </w:rPr>
      </w:pPr>
      <w:proofErr w:type="gramStart"/>
      <w:r w:rsidRPr="00D040F9">
        <w:rPr>
          <w:szCs w:val="28"/>
        </w:rPr>
        <w:t>Стратегия</w:t>
      </w:r>
      <w:r w:rsidR="00142058" w:rsidRPr="00D040F9">
        <w:rPr>
          <w:szCs w:val="28"/>
        </w:rPr>
        <w:t xml:space="preserve"> </w:t>
      </w:r>
      <w:r w:rsidRPr="00D040F9">
        <w:rPr>
          <w:szCs w:val="28"/>
        </w:rPr>
        <w:t>учитывает принятые документы, сопряженные с вопросами повышения уровня финансовой грамотности населения, развития финансового просвещения</w:t>
      </w:r>
      <w:r w:rsidR="00142058" w:rsidRPr="00D040F9">
        <w:rPr>
          <w:szCs w:val="28"/>
        </w:rPr>
        <w:t xml:space="preserve"> </w:t>
      </w:r>
      <w:r w:rsidRPr="00D040F9">
        <w:rPr>
          <w:szCs w:val="28"/>
        </w:rPr>
        <w:t>в Российской Федерации, в том числе Стратегию развития финансового рынка Российской Федерации на период до 2020 года, Стратегию развития банковского сектора Российской Федерации, Стратегию инновационного развития Российской Федерации на период до 2020 года, Стратегию</w:t>
      </w:r>
      <w:r w:rsidR="00142058" w:rsidRPr="00D040F9">
        <w:rPr>
          <w:szCs w:val="28"/>
        </w:rPr>
        <w:t xml:space="preserve"> </w:t>
      </w:r>
      <w:r w:rsidRPr="00D040F9">
        <w:rPr>
          <w:szCs w:val="28"/>
        </w:rPr>
        <w:t>развития страховой деятельности в Российской Федерации до 2020 года, Стратегию долгосрочного</w:t>
      </w:r>
      <w:proofErr w:type="gramEnd"/>
      <w:r w:rsidRPr="00D040F9">
        <w:rPr>
          <w:szCs w:val="28"/>
        </w:rPr>
        <w:t xml:space="preserve"> развития пенсионной системы Российской Федерации, Стратегию развития национальной платежной системы, Основные направления развития финансового рынка Российской Федер</w:t>
      </w:r>
      <w:r w:rsidR="00142058" w:rsidRPr="00D040F9">
        <w:rPr>
          <w:szCs w:val="28"/>
        </w:rPr>
        <w:t>ации на период 2016–2018 годов</w:t>
      </w:r>
      <w:r w:rsidRPr="00D040F9">
        <w:rPr>
          <w:szCs w:val="28"/>
        </w:rPr>
        <w:t>, и ряд других документов стратегического характера.</w:t>
      </w:r>
    </w:p>
    <w:p w:rsidR="00575881" w:rsidRPr="00D040F9" w:rsidRDefault="00575881" w:rsidP="00AF0B97">
      <w:pPr>
        <w:pStyle w:val="2"/>
        <w:ind w:left="-426" w:firstLine="567"/>
        <w:rPr>
          <w:szCs w:val="28"/>
        </w:rPr>
      </w:pPr>
      <w:r w:rsidRPr="00575881">
        <w:rPr>
          <w:szCs w:val="28"/>
        </w:rPr>
        <w:t xml:space="preserve">При разработке Стратегии приняты во внимание одобренные Российской Федерацией Руководящие принципы Организации Объединенных Наций (ООН) для защиты интересов потребителей, </w:t>
      </w:r>
      <w:r>
        <w:rPr>
          <w:szCs w:val="28"/>
        </w:rPr>
        <w:t xml:space="preserve">а также документы «Группы двадцати» в указанной области, в том числе: </w:t>
      </w:r>
      <w:proofErr w:type="gramStart"/>
      <w:r w:rsidRPr="00575881">
        <w:rPr>
          <w:szCs w:val="28"/>
        </w:rPr>
        <w:t xml:space="preserve">Принципы высокого уровня «Группы двадцати» по защите прав потребителей финансовых услуг, разработанные Организацией экономического сотрудничества и развития (ОЭСР), Принципы высокого уровня ОЭСР/Сети по финансовому образованию (INFE) по национальным стратегиям </w:t>
      </w:r>
      <w:r w:rsidRPr="00575881">
        <w:rPr>
          <w:szCs w:val="28"/>
        </w:rPr>
        <w:lastRenderedPageBreak/>
        <w:t>финансового образования</w:t>
      </w:r>
      <w:r>
        <w:rPr>
          <w:szCs w:val="28"/>
        </w:rPr>
        <w:t xml:space="preserve"> и</w:t>
      </w:r>
      <w:r w:rsidRPr="00575881">
        <w:rPr>
          <w:szCs w:val="28"/>
        </w:rPr>
        <w:t xml:space="preserve"> Руководство ОЭСР/INFE для частных и некоммерческих заинтересованных сторон в области финансового образования.</w:t>
      </w:r>
      <w:proofErr w:type="gramEnd"/>
    </w:p>
    <w:p w:rsidR="00DC3832" w:rsidRPr="00D040F9" w:rsidRDefault="00DC3832" w:rsidP="00AF0B97">
      <w:pPr>
        <w:pStyle w:val="2"/>
        <w:ind w:left="-426" w:firstLine="567"/>
        <w:rPr>
          <w:szCs w:val="28"/>
        </w:rPr>
      </w:pPr>
      <w:r w:rsidRPr="00D040F9">
        <w:rPr>
          <w:szCs w:val="28"/>
        </w:rPr>
        <w:t>Стратегия является основополагающим документом, определяющим основные направления государственной политики в области повышения финансовой грамотности на среднесрочный период. Стратегия направлена на консолидацию усилий федеральных органов исполнительной власти, Банка России, органов государственной власти субъектов Российской Федерации, органов местного самоуправления, институтов гражданского общества</w:t>
      </w:r>
      <w:r w:rsidR="00D040F9">
        <w:rPr>
          <w:szCs w:val="28"/>
        </w:rPr>
        <w:t>, финансовых организаций</w:t>
      </w:r>
      <w:r w:rsidRPr="00D040F9">
        <w:rPr>
          <w:szCs w:val="28"/>
        </w:rPr>
        <w:t xml:space="preserve"> по обеспечению повышения финансовой грамотности и защиты прав потребителей финансовых услуг.</w:t>
      </w:r>
    </w:p>
    <w:p w:rsidR="0081714F" w:rsidRPr="00D040F9" w:rsidRDefault="0081714F" w:rsidP="00AF0B97">
      <w:pPr>
        <w:pStyle w:val="2"/>
        <w:ind w:left="-426" w:firstLine="567"/>
        <w:rPr>
          <w:szCs w:val="28"/>
        </w:rPr>
      </w:pPr>
      <w:r w:rsidRPr="00D040F9">
        <w:rPr>
          <w:szCs w:val="28"/>
        </w:rPr>
        <w:t>Принятие Стратегии, как направления государственной политики, обуславливается необходимостью рационального использования населением финансовых средств, улучшения их финансовых знаний, а также получения доступа к достоверной и надежной информации о финансовых услугах и защите своих прав в качестве потребителей финансовых услуг.</w:t>
      </w:r>
    </w:p>
    <w:p w:rsidR="00142058" w:rsidRPr="00D040F9" w:rsidRDefault="00142058" w:rsidP="00AF0B97">
      <w:pPr>
        <w:pStyle w:val="2"/>
        <w:ind w:left="-426" w:firstLine="567"/>
        <w:rPr>
          <w:szCs w:val="28"/>
        </w:rPr>
      </w:pPr>
      <w:r w:rsidRPr="00D040F9">
        <w:rPr>
          <w:szCs w:val="28"/>
        </w:rPr>
        <w:t>Цель</w:t>
      </w:r>
      <w:r w:rsidR="00DC3832" w:rsidRPr="00D040F9">
        <w:rPr>
          <w:szCs w:val="28"/>
        </w:rPr>
        <w:t>ю Стратегии является</w:t>
      </w:r>
      <w:r w:rsidRPr="00D040F9">
        <w:rPr>
          <w:szCs w:val="28"/>
        </w:rPr>
        <w:t xml:space="preserve"> </w:t>
      </w:r>
      <w:r w:rsidR="00915D7D" w:rsidRPr="00915D7D">
        <w:rPr>
          <w:szCs w:val="28"/>
        </w:rPr>
        <w:t>создание основ для формирования финансово грамотного поведения населения, как необходимого условия повышения уровня и качества жизни граждан, в том числе за счет использования финансовых продуктов и услуг надлежащего качества</w:t>
      </w:r>
      <w:r w:rsidRPr="00D040F9">
        <w:rPr>
          <w:szCs w:val="28"/>
        </w:rPr>
        <w:t>.</w:t>
      </w:r>
    </w:p>
    <w:p w:rsidR="00142058" w:rsidRPr="00D040F9" w:rsidRDefault="00142058" w:rsidP="00AF0B97">
      <w:pPr>
        <w:pStyle w:val="2"/>
        <w:ind w:left="-426" w:firstLine="567"/>
        <w:rPr>
          <w:szCs w:val="28"/>
        </w:rPr>
      </w:pPr>
      <w:r w:rsidRPr="00D040F9">
        <w:rPr>
          <w:szCs w:val="28"/>
        </w:rPr>
        <w:t>Для достижения поставленной цели стратегии предполагается решение следующих задач:</w:t>
      </w:r>
    </w:p>
    <w:p w:rsidR="00142058" w:rsidRPr="00D040F9" w:rsidRDefault="00646FB3" w:rsidP="00AF0B97">
      <w:pPr>
        <w:pStyle w:val="2"/>
        <w:ind w:left="-426" w:firstLine="567"/>
        <w:rPr>
          <w:szCs w:val="28"/>
        </w:rPr>
      </w:pPr>
      <w:r w:rsidRPr="00D040F9">
        <w:rPr>
          <w:szCs w:val="28"/>
        </w:rPr>
        <w:t xml:space="preserve">- </w:t>
      </w:r>
      <w:r w:rsidR="00915D7D">
        <w:rPr>
          <w:szCs w:val="28"/>
        </w:rPr>
        <w:t>п</w:t>
      </w:r>
      <w:r w:rsidR="00915D7D" w:rsidRPr="00915D7D">
        <w:rPr>
          <w:color w:val="000000" w:themeColor="text1"/>
          <w:szCs w:val="28"/>
        </w:rPr>
        <w:t>овышение охвата и качества финансового образования и информирования населения в данной области, а также обеспечение необходимой институциональной базы и методических ресурсов образовательного сообщества</w:t>
      </w:r>
      <w:r w:rsidR="00142058" w:rsidRPr="00D040F9">
        <w:rPr>
          <w:szCs w:val="28"/>
        </w:rPr>
        <w:t>;</w:t>
      </w:r>
    </w:p>
    <w:p w:rsidR="00915D7D" w:rsidRDefault="00646FB3" w:rsidP="00AF0B97">
      <w:pPr>
        <w:pStyle w:val="2"/>
        <w:ind w:left="-426" w:firstLine="567"/>
        <w:rPr>
          <w:szCs w:val="28"/>
        </w:rPr>
      </w:pPr>
      <w:r w:rsidRPr="00D040F9">
        <w:rPr>
          <w:szCs w:val="28"/>
        </w:rPr>
        <w:t xml:space="preserve">- </w:t>
      </w:r>
      <w:r w:rsidR="00915D7D">
        <w:rPr>
          <w:szCs w:val="28"/>
        </w:rPr>
        <w:t>р</w:t>
      </w:r>
      <w:r w:rsidR="00915D7D" w:rsidRPr="00915D7D">
        <w:rPr>
          <w:szCs w:val="28"/>
        </w:rPr>
        <w:t>азработка механизмов взаимодействия государства и общества, обеспечивающих повышение финансовой грамотности населения, в том числе в части информирования о правах потребителей финансовых услуг и способах их защиты, а также формирования социально ответственного поведения участников финансового рынка</w:t>
      </w:r>
      <w:r w:rsidR="00915D7D">
        <w:rPr>
          <w:szCs w:val="28"/>
        </w:rPr>
        <w:t>;</w:t>
      </w:r>
    </w:p>
    <w:p w:rsidR="00142058" w:rsidRDefault="00915D7D" w:rsidP="00AF0B97">
      <w:pPr>
        <w:pStyle w:val="2"/>
        <w:ind w:left="-426" w:firstLine="567"/>
        <w:rPr>
          <w:szCs w:val="28"/>
        </w:rPr>
      </w:pPr>
      <w:r>
        <w:rPr>
          <w:szCs w:val="28"/>
        </w:rPr>
        <w:lastRenderedPageBreak/>
        <w:t>- п</w:t>
      </w:r>
      <w:r w:rsidRPr="00915D7D">
        <w:rPr>
          <w:szCs w:val="28"/>
        </w:rPr>
        <w:t>одготовка граждан к жизни в старости</w:t>
      </w:r>
      <w:r w:rsidR="00D040F9" w:rsidRPr="00D040F9">
        <w:rPr>
          <w:szCs w:val="28"/>
        </w:rPr>
        <w:t>.</w:t>
      </w:r>
    </w:p>
    <w:p w:rsidR="00D040F9" w:rsidRDefault="00D040F9" w:rsidP="00AF0B97">
      <w:pPr>
        <w:pStyle w:val="2"/>
        <w:ind w:left="-426" w:firstLine="567"/>
        <w:rPr>
          <w:szCs w:val="28"/>
        </w:rPr>
      </w:pPr>
      <w:r>
        <w:rPr>
          <w:szCs w:val="28"/>
        </w:rPr>
        <w:t>Реализация Стратегии будет осуществляться в период 2017-2023 годы.</w:t>
      </w:r>
    </w:p>
    <w:p w:rsidR="006074DA" w:rsidRDefault="00D040F9" w:rsidP="00AF0B97">
      <w:pPr>
        <w:pStyle w:val="2"/>
        <w:ind w:left="-426" w:firstLine="567"/>
        <w:rPr>
          <w:szCs w:val="28"/>
        </w:rPr>
      </w:pPr>
      <w:r>
        <w:rPr>
          <w:szCs w:val="28"/>
        </w:rPr>
        <w:t>На первом этапе (2017-2019 годы) будет разработан план действий по реализации Стратегии, включающий в себя комплекс мероприятий, направленных на реализацию основных задач государственной политики в области повышения финансовой грамотности</w:t>
      </w:r>
      <w:r w:rsidR="00575881">
        <w:rPr>
          <w:szCs w:val="28"/>
        </w:rPr>
        <w:t>, и осуществлена его реализация</w:t>
      </w:r>
      <w:r w:rsidR="006074DA">
        <w:rPr>
          <w:szCs w:val="28"/>
        </w:rPr>
        <w:t>.</w:t>
      </w:r>
      <w:r>
        <w:rPr>
          <w:szCs w:val="28"/>
        </w:rPr>
        <w:t xml:space="preserve"> </w:t>
      </w:r>
    </w:p>
    <w:p w:rsidR="006074DA" w:rsidRDefault="00D040F9" w:rsidP="00AF0B97">
      <w:pPr>
        <w:pStyle w:val="2"/>
        <w:ind w:left="-426" w:firstLine="567"/>
        <w:rPr>
          <w:szCs w:val="28"/>
        </w:rPr>
      </w:pPr>
      <w:r w:rsidRPr="00D040F9">
        <w:rPr>
          <w:szCs w:val="28"/>
        </w:rPr>
        <w:t xml:space="preserve">По итогам первого этапа реализации Стратегии будет проведен комплексный анализ результатов реализации плана мероприятий Стратегии, утвержденного Правительством Российской Федерации, на предмет достижения поставленных в Стратегии цели, задач и ожидаемых </w:t>
      </w:r>
      <w:bookmarkStart w:id="0" w:name="_GoBack"/>
      <w:bookmarkEnd w:id="0"/>
      <w:r w:rsidRPr="00D040F9">
        <w:rPr>
          <w:szCs w:val="28"/>
        </w:rPr>
        <w:t xml:space="preserve">результатов. При необходимости цель, задачи и направления Стратегии будут скорректированы с учетом проведенных мероприятий. </w:t>
      </w:r>
    </w:p>
    <w:p w:rsidR="00D040F9" w:rsidRDefault="006074DA" w:rsidP="00AF0B97">
      <w:pPr>
        <w:pStyle w:val="2"/>
        <w:ind w:left="-426" w:firstLine="567"/>
        <w:rPr>
          <w:szCs w:val="28"/>
        </w:rPr>
      </w:pPr>
      <w:r>
        <w:rPr>
          <w:szCs w:val="28"/>
        </w:rPr>
        <w:t>На втором этапе (2020-2023 гг.)</w:t>
      </w:r>
      <w:r w:rsidR="00D040F9" w:rsidRPr="00D040F9">
        <w:rPr>
          <w:szCs w:val="28"/>
        </w:rPr>
        <w:t xml:space="preserve"> </w:t>
      </w:r>
      <w:r>
        <w:rPr>
          <w:szCs w:val="28"/>
        </w:rPr>
        <w:t>будет продолжено осуществление мероприятий по повышени</w:t>
      </w:r>
      <w:r w:rsidR="005203C4">
        <w:rPr>
          <w:szCs w:val="28"/>
        </w:rPr>
        <w:t>ю</w:t>
      </w:r>
      <w:r>
        <w:rPr>
          <w:szCs w:val="28"/>
        </w:rPr>
        <w:t xml:space="preserve"> уровня финансового грамотности населения Российской Федерации в соответствии с целевыми показателями.</w:t>
      </w:r>
    </w:p>
    <w:p w:rsidR="006074DA" w:rsidRPr="00D040F9" w:rsidRDefault="006074DA" w:rsidP="00AF0B97">
      <w:pPr>
        <w:pStyle w:val="2"/>
        <w:ind w:left="-426" w:firstLine="567"/>
        <w:rPr>
          <w:szCs w:val="28"/>
        </w:rPr>
      </w:pPr>
      <w:r>
        <w:rPr>
          <w:szCs w:val="28"/>
        </w:rPr>
        <w:t>Мероприятия Стратегии будут осуществляться в рамках имеющихся полномочий федеральными органами исполнительной власти, Банком России, органами исполнительной власти субъектов Российской Федерации, иными органами и организациями по согласованию.</w:t>
      </w:r>
    </w:p>
    <w:p w:rsidR="00CF7070" w:rsidRPr="006074DA" w:rsidRDefault="00CF7070" w:rsidP="00AF0B97">
      <w:pPr>
        <w:spacing w:line="360" w:lineRule="auto"/>
        <w:ind w:left="-426" w:firstLine="567"/>
        <w:jc w:val="both"/>
        <w:rPr>
          <w:sz w:val="28"/>
          <w:szCs w:val="28"/>
        </w:rPr>
      </w:pPr>
      <w:r w:rsidRPr="006074DA">
        <w:rPr>
          <w:sz w:val="28"/>
          <w:szCs w:val="28"/>
        </w:rPr>
        <w:t xml:space="preserve">Настоящий проект </w:t>
      </w:r>
      <w:r w:rsidR="00320F3E" w:rsidRPr="006074DA">
        <w:rPr>
          <w:sz w:val="28"/>
          <w:szCs w:val="28"/>
        </w:rPr>
        <w:t>распоряжения</w:t>
      </w:r>
      <w:r w:rsidRPr="006074DA">
        <w:rPr>
          <w:sz w:val="28"/>
          <w:szCs w:val="28"/>
        </w:rPr>
        <w:t xml:space="preserve"> Правительства Российской Федерации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sectPr w:rsidR="00CF7070" w:rsidRPr="006074DA" w:rsidSect="00CF7070">
      <w:headerReference w:type="default" r:id="rId9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815" w:rsidRDefault="00456815" w:rsidP="00B37744">
      <w:r>
        <w:separator/>
      </w:r>
    </w:p>
  </w:endnote>
  <w:endnote w:type="continuationSeparator" w:id="0">
    <w:p w:rsidR="00456815" w:rsidRDefault="00456815" w:rsidP="00B3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815" w:rsidRDefault="00456815" w:rsidP="00B37744">
      <w:r>
        <w:separator/>
      </w:r>
    </w:p>
  </w:footnote>
  <w:footnote w:type="continuationSeparator" w:id="0">
    <w:p w:rsidR="00456815" w:rsidRDefault="00456815" w:rsidP="00B37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2182353"/>
      <w:docPartObj>
        <w:docPartGallery w:val="Page Numbers (Top of Page)"/>
        <w:docPartUnique/>
      </w:docPartObj>
    </w:sdtPr>
    <w:sdtEndPr/>
    <w:sdtContent>
      <w:p w:rsidR="007136C9" w:rsidRDefault="00816749">
        <w:pPr>
          <w:pStyle w:val="ac"/>
          <w:jc w:val="center"/>
        </w:pPr>
        <w:r>
          <w:fldChar w:fldCharType="begin"/>
        </w:r>
        <w:r w:rsidR="007136C9">
          <w:instrText>PAGE   \* MERGEFORMAT</w:instrText>
        </w:r>
        <w:r>
          <w:fldChar w:fldCharType="separate"/>
        </w:r>
        <w:r w:rsidR="00915D7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136C9" w:rsidRDefault="007136C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44248"/>
    <w:multiLevelType w:val="hybridMultilevel"/>
    <w:tmpl w:val="EA8EEB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E240693"/>
    <w:multiLevelType w:val="hybridMultilevel"/>
    <w:tmpl w:val="B3009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92B45"/>
    <w:multiLevelType w:val="hybridMultilevel"/>
    <w:tmpl w:val="5DA62D1A"/>
    <w:lvl w:ilvl="0" w:tplc="0419000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E4"/>
    <w:rsid w:val="0002723C"/>
    <w:rsid w:val="000406A8"/>
    <w:rsid w:val="0004242A"/>
    <w:rsid w:val="0004315B"/>
    <w:rsid w:val="00052E53"/>
    <w:rsid w:val="00056544"/>
    <w:rsid w:val="00061C7A"/>
    <w:rsid w:val="00067542"/>
    <w:rsid w:val="000A4F79"/>
    <w:rsid w:val="000B1942"/>
    <w:rsid w:val="000B4F35"/>
    <w:rsid w:val="000C7A69"/>
    <w:rsid w:val="00102152"/>
    <w:rsid w:val="00126BC7"/>
    <w:rsid w:val="00141075"/>
    <w:rsid w:val="00142058"/>
    <w:rsid w:val="00142AA0"/>
    <w:rsid w:val="0016057D"/>
    <w:rsid w:val="001830E4"/>
    <w:rsid w:val="00185563"/>
    <w:rsid w:val="001A584E"/>
    <w:rsid w:val="001A75E2"/>
    <w:rsid w:val="001B54F6"/>
    <w:rsid w:val="001D6FC5"/>
    <w:rsid w:val="001E27F3"/>
    <w:rsid w:val="001E3B73"/>
    <w:rsid w:val="001F307F"/>
    <w:rsid w:val="00206A0B"/>
    <w:rsid w:val="00214D24"/>
    <w:rsid w:val="00220618"/>
    <w:rsid w:val="00264A8A"/>
    <w:rsid w:val="0026721F"/>
    <w:rsid w:val="00270DA5"/>
    <w:rsid w:val="002942D3"/>
    <w:rsid w:val="002B128C"/>
    <w:rsid w:val="003202E2"/>
    <w:rsid w:val="00320F3E"/>
    <w:rsid w:val="0032504B"/>
    <w:rsid w:val="00331434"/>
    <w:rsid w:val="00360102"/>
    <w:rsid w:val="00363B8E"/>
    <w:rsid w:val="00372151"/>
    <w:rsid w:val="00386F41"/>
    <w:rsid w:val="00391278"/>
    <w:rsid w:val="00391E7C"/>
    <w:rsid w:val="00394B4A"/>
    <w:rsid w:val="003B7825"/>
    <w:rsid w:val="003C4768"/>
    <w:rsid w:val="003D563C"/>
    <w:rsid w:val="0040051A"/>
    <w:rsid w:val="00417943"/>
    <w:rsid w:val="00421F5A"/>
    <w:rsid w:val="00456815"/>
    <w:rsid w:val="0046781E"/>
    <w:rsid w:val="004737A8"/>
    <w:rsid w:val="00474512"/>
    <w:rsid w:val="004C3067"/>
    <w:rsid w:val="004D7210"/>
    <w:rsid w:val="004F0877"/>
    <w:rsid w:val="004F17FD"/>
    <w:rsid w:val="004F45E8"/>
    <w:rsid w:val="005203C4"/>
    <w:rsid w:val="00561927"/>
    <w:rsid w:val="00575881"/>
    <w:rsid w:val="005763E8"/>
    <w:rsid w:val="005B5127"/>
    <w:rsid w:val="005E0F49"/>
    <w:rsid w:val="005F3FDF"/>
    <w:rsid w:val="006064E2"/>
    <w:rsid w:val="006074DA"/>
    <w:rsid w:val="00625400"/>
    <w:rsid w:val="006410E7"/>
    <w:rsid w:val="00644783"/>
    <w:rsid w:val="0064501E"/>
    <w:rsid w:val="00646FB3"/>
    <w:rsid w:val="00650357"/>
    <w:rsid w:val="00675624"/>
    <w:rsid w:val="00690BCF"/>
    <w:rsid w:val="00692C93"/>
    <w:rsid w:val="006D5198"/>
    <w:rsid w:val="006D73C0"/>
    <w:rsid w:val="006E534E"/>
    <w:rsid w:val="006F1D41"/>
    <w:rsid w:val="00700471"/>
    <w:rsid w:val="007136C9"/>
    <w:rsid w:val="00715CDC"/>
    <w:rsid w:val="00721384"/>
    <w:rsid w:val="007323A7"/>
    <w:rsid w:val="007365AE"/>
    <w:rsid w:val="007A526A"/>
    <w:rsid w:val="007B1B9F"/>
    <w:rsid w:val="007B34C1"/>
    <w:rsid w:val="007C45F5"/>
    <w:rsid w:val="007E386F"/>
    <w:rsid w:val="007F1D28"/>
    <w:rsid w:val="00816749"/>
    <w:rsid w:val="0081714F"/>
    <w:rsid w:val="008304A1"/>
    <w:rsid w:val="008458F0"/>
    <w:rsid w:val="008477A9"/>
    <w:rsid w:val="00853D2A"/>
    <w:rsid w:val="00855B0A"/>
    <w:rsid w:val="00873CFA"/>
    <w:rsid w:val="0087761B"/>
    <w:rsid w:val="00885AF6"/>
    <w:rsid w:val="008C428A"/>
    <w:rsid w:val="008C6C01"/>
    <w:rsid w:val="008E4A03"/>
    <w:rsid w:val="008E5068"/>
    <w:rsid w:val="008E7211"/>
    <w:rsid w:val="00915D7D"/>
    <w:rsid w:val="009208B7"/>
    <w:rsid w:val="00921D89"/>
    <w:rsid w:val="00940CD8"/>
    <w:rsid w:val="009671F9"/>
    <w:rsid w:val="00982329"/>
    <w:rsid w:val="009935BF"/>
    <w:rsid w:val="00994D2E"/>
    <w:rsid w:val="009B2BEC"/>
    <w:rsid w:val="009C10F2"/>
    <w:rsid w:val="009D003B"/>
    <w:rsid w:val="009D03CC"/>
    <w:rsid w:val="009D09FE"/>
    <w:rsid w:val="00A125F4"/>
    <w:rsid w:val="00A12B96"/>
    <w:rsid w:val="00A14990"/>
    <w:rsid w:val="00A216F8"/>
    <w:rsid w:val="00A34B14"/>
    <w:rsid w:val="00A3743C"/>
    <w:rsid w:val="00A40707"/>
    <w:rsid w:val="00A41683"/>
    <w:rsid w:val="00A60FAF"/>
    <w:rsid w:val="00A62F50"/>
    <w:rsid w:val="00AA0D93"/>
    <w:rsid w:val="00AB61C7"/>
    <w:rsid w:val="00AE0FEF"/>
    <w:rsid w:val="00AF0B97"/>
    <w:rsid w:val="00B14121"/>
    <w:rsid w:val="00B3494D"/>
    <w:rsid w:val="00B374FE"/>
    <w:rsid w:val="00B37744"/>
    <w:rsid w:val="00B431C4"/>
    <w:rsid w:val="00B720AF"/>
    <w:rsid w:val="00B8569B"/>
    <w:rsid w:val="00B91617"/>
    <w:rsid w:val="00B965A3"/>
    <w:rsid w:val="00BB7BB7"/>
    <w:rsid w:val="00BC3188"/>
    <w:rsid w:val="00BC61E9"/>
    <w:rsid w:val="00BD3541"/>
    <w:rsid w:val="00BE11BA"/>
    <w:rsid w:val="00BE22F8"/>
    <w:rsid w:val="00C03CDD"/>
    <w:rsid w:val="00C055B9"/>
    <w:rsid w:val="00C310F7"/>
    <w:rsid w:val="00C36304"/>
    <w:rsid w:val="00C46645"/>
    <w:rsid w:val="00C570DA"/>
    <w:rsid w:val="00C63319"/>
    <w:rsid w:val="00C67CF5"/>
    <w:rsid w:val="00C749D2"/>
    <w:rsid w:val="00CA2882"/>
    <w:rsid w:val="00CD15B8"/>
    <w:rsid w:val="00CF618A"/>
    <w:rsid w:val="00CF7070"/>
    <w:rsid w:val="00D040F9"/>
    <w:rsid w:val="00D34D11"/>
    <w:rsid w:val="00D357AA"/>
    <w:rsid w:val="00D40233"/>
    <w:rsid w:val="00D6191A"/>
    <w:rsid w:val="00D824F9"/>
    <w:rsid w:val="00D95382"/>
    <w:rsid w:val="00DC3832"/>
    <w:rsid w:val="00DD5307"/>
    <w:rsid w:val="00DD6B54"/>
    <w:rsid w:val="00DE48AE"/>
    <w:rsid w:val="00DF6812"/>
    <w:rsid w:val="00E47BBE"/>
    <w:rsid w:val="00E57B81"/>
    <w:rsid w:val="00E672B7"/>
    <w:rsid w:val="00E81CBD"/>
    <w:rsid w:val="00EA4C32"/>
    <w:rsid w:val="00EA652B"/>
    <w:rsid w:val="00EC12CF"/>
    <w:rsid w:val="00EC1E10"/>
    <w:rsid w:val="00EC3123"/>
    <w:rsid w:val="00EC3401"/>
    <w:rsid w:val="00ED3AAA"/>
    <w:rsid w:val="00F01DEA"/>
    <w:rsid w:val="00F049A4"/>
    <w:rsid w:val="00F37F52"/>
    <w:rsid w:val="00F519A8"/>
    <w:rsid w:val="00F62E25"/>
    <w:rsid w:val="00F67407"/>
    <w:rsid w:val="00F86E60"/>
    <w:rsid w:val="00FA1C6C"/>
    <w:rsid w:val="00FB5640"/>
    <w:rsid w:val="00FC01A0"/>
    <w:rsid w:val="00FC03E8"/>
    <w:rsid w:val="00FE37E2"/>
    <w:rsid w:val="00FF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30E4"/>
    <w:pPr>
      <w:jc w:val="center"/>
    </w:pPr>
    <w:rPr>
      <w:b/>
      <w:sz w:val="28"/>
      <w:szCs w:val="20"/>
      <w:u w:val="single"/>
    </w:rPr>
  </w:style>
  <w:style w:type="character" w:customStyle="1" w:styleId="a4">
    <w:name w:val="Название Знак"/>
    <w:basedOn w:val="a0"/>
    <w:link w:val="a3"/>
    <w:rsid w:val="001830E4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5">
    <w:name w:val="footnote text"/>
    <w:basedOn w:val="a"/>
    <w:link w:val="a6"/>
    <w:semiHidden/>
    <w:rsid w:val="00B37744"/>
    <w:rPr>
      <w:sz w:val="20"/>
    </w:rPr>
  </w:style>
  <w:style w:type="character" w:customStyle="1" w:styleId="a6">
    <w:name w:val="Текст сноски Знак"/>
    <w:basedOn w:val="a0"/>
    <w:link w:val="a5"/>
    <w:semiHidden/>
    <w:rsid w:val="00B3774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footnote reference"/>
    <w:basedOn w:val="a0"/>
    <w:semiHidden/>
    <w:rsid w:val="00B37744"/>
    <w:rPr>
      <w:vertAlign w:val="superscript"/>
    </w:rPr>
  </w:style>
  <w:style w:type="paragraph" w:styleId="2">
    <w:name w:val="Body Text Indent 2"/>
    <w:basedOn w:val="a"/>
    <w:link w:val="20"/>
    <w:rsid w:val="00B37744"/>
    <w:pPr>
      <w:spacing w:line="360" w:lineRule="auto"/>
      <w:ind w:firstLine="35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377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C6C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C6C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C42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C4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A62F5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62F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619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61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E0F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0F4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458F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45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458F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45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A12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30E4"/>
    <w:pPr>
      <w:jc w:val="center"/>
    </w:pPr>
    <w:rPr>
      <w:b/>
      <w:sz w:val="28"/>
      <w:szCs w:val="20"/>
      <w:u w:val="single"/>
    </w:rPr>
  </w:style>
  <w:style w:type="character" w:customStyle="1" w:styleId="a4">
    <w:name w:val="Название Знак"/>
    <w:basedOn w:val="a0"/>
    <w:link w:val="a3"/>
    <w:rsid w:val="001830E4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5">
    <w:name w:val="footnote text"/>
    <w:basedOn w:val="a"/>
    <w:link w:val="a6"/>
    <w:semiHidden/>
    <w:rsid w:val="00B37744"/>
    <w:rPr>
      <w:sz w:val="20"/>
    </w:rPr>
  </w:style>
  <w:style w:type="character" w:customStyle="1" w:styleId="a6">
    <w:name w:val="Текст сноски Знак"/>
    <w:basedOn w:val="a0"/>
    <w:link w:val="a5"/>
    <w:semiHidden/>
    <w:rsid w:val="00B3774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footnote reference"/>
    <w:basedOn w:val="a0"/>
    <w:semiHidden/>
    <w:rsid w:val="00B37744"/>
    <w:rPr>
      <w:vertAlign w:val="superscript"/>
    </w:rPr>
  </w:style>
  <w:style w:type="paragraph" w:styleId="2">
    <w:name w:val="Body Text Indent 2"/>
    <w:basedOn w:val="a"/>
    <w:link w:val="20"/>
    <w:rsid w:val="00B37744"/>
    <w:pPr>
      <w:spacing w:line="360" w:lineRule="auto"/>
      <w:ind w:firstLine="35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377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C6C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C6C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C42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C4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A62F5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62F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619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61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E0F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0F4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458F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45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458F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45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A12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8B8CE-BA46-4304-9988-5892E50E9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World Bank Group</Company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ИЛЬИНА ЕЛЕНА СЕРГЕЕВНА</cp:lastModifiedBy>
  <cp:revision>3</cp:revision>
  <cp:lastPrinted>2017-04-18T08:16:00Z</cp:lastPrinted>
  <dcterms:created xsi:type="dcterms:W3CDTF">2017-02-09T15:37:00Z</dcterms:created>
  <dcterms:modified xsi:type="dcterms:W3CDTF">2017-04-18T08:16:00Z</dcterms:modified>
</cp:coreProperties>
</file>