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C" w:rsidRPr="0086155C" w:rsidRDefault="0086155C" w:rsidP="0086155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5C">
        <w:rPr>
          <w:rFonts w:ascii="Times New Roman" w:hAnsi="Times New Roman" w:cs="Times New Roman"/>
          <w:b/>
          <w:bCs/>
          <w:sz w:val="28"/>
          <w:szCs w:val="28"/>
        </w:rPr>
        <w:t>О применении Международных стандартов финансовой отчетности</w:t>
      </w:r>
    </w:p>
    <w:p w:rsidR="0086155C" w:rsidRPr="0086155C" w:rsidRDefault="0086155C" w:rsidP="0086155C">
      <w:pPr>
        <w:spacing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A34" w:rsidRDefault="00F47A34" w:rsidP="00F47A34">
      <w:pPr>
        <w:rPr>
          <w:rFonts w:ascii="Times New Roman" w:eastAsia="Calibri" w:hAnsi="Times New Roman" w:cs="Times New Roman"/>
          <w:sz w:val="28"/>
          <w:szCs w:val="28"/>
        </w:rPr>
      </w:pPr>
      <w:r w:rsidRPr="00F47A34"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отчетности (далее – МСФО), и сообщает следующее.</w:t>
      </w:r>
    </w:p>
    <w:p w:rsidR="00883DD5" w:rsidRDefault="00883DD5" w:rsidP="00F47A34">
      <w:pPr>
        <w:rPr>
          <w:rFonts w:ascii="Times New Roman" w:eastAsia="Calibri" w:hAnsi="Times New Roman" w:cs="Times New Roman"/>
          <w:sz w:val="28"/>
          <w:szCs w:val="28"/>
        </w:rPr>
      </w:pPr>
    </w:p>
    <w:p w:rsidR="0099290D" w:rsidRDefault="0099290D" w:rsidP="0099290D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3DD5" w:rsidRDefault="00883DD5" w:rsidP="006172FC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6172FC" w:rsidRPr="0061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онсолидированн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="006172FC" w:rsidRPr="0061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="006172FC" w:rsidRPr="0061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6172FC" w:rsidRPr="0061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случае </w:t>
      </w:r>
    </w:p>
    <w:p w:rsidR="006172FC" w:rsidRDefault="006172FC" w:rsidP="006172FC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реорганизации юридического лица в форме преобразования</w:t>
      </w:r>
    </w:p>
    <w:p w:rsidR="006172FC" w:rsidRPr="006172FC" w:rsidRDefault="006172FC" w:rsidP="006172FC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2FC" w:rsidRPr="006172FC" w:rsidRDefault="006172FC" w:rsidP="006172F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пункту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статьи 58 Гражданско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кодекса Российской Федерации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</w:t>
      </w:r>
    </w:p>
    <w:p w:rsidR="006172FC" w:rsidRPr="006172FC" w:rsidRDefault="006172FC" w:rsidP="006172F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составления консолидированной финансовой отчетности организация, возникшая в результате реорганизации в форме преобразования, не рассматривается 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вновь созданн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организации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рассматривается как 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организация, 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>ющая деятельность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реорганизованной организации-предшественника.</w:t>
      </w:r>
    </w:p>
    <w:p w:rsidR="006172FC" w:rsidRPr="006172FC" w:rsidRDefault="006172FC" w:rsidP="006172F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Организация, возникшая в результате реорганизации в форме преобразования, составляет консолидированную финансовую отчетность за период, в котором произошла реорганизация, как если бы она существовала непрерывно с момента создания реорганизованной организации-предшественника, продолж</w:t>
      </w:r>
      <w:r w:rsidR="007B0615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</w:t>
      </w:r>
      <w:r w:rsidR="007B06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организации-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предшественника.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отсутствует необходимость в составлении консолидированной финансовой отчетности реорганизованной организации-предшественника на д</w:t>
      </w:r>
      <w:r w:rsidR="00C200DE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ень, предшествующий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дате государственной регистрации организации, возникшей в результате реорганизации.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Кроме того, т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акже отсутствует необходимость в составлении консолидированной финансовой отчетности организации, возникшей в результате реорганизации в форме преобразования, на дату ее государственной регистрации.</w:t>
      </w:r>
      <w:bookmarkStart w:id="0" w:name="_GoBack"/>
      <w:bookmarkEnd w:id="0"/>
    </w:p>
    <w:p w:rsidR="006172FC" w:rsidRPr="006172FC" w:rsidRDefault="006172FC" w:rsidP="006172F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Организация, возникшая в результате реорганизации в форме преобразования, не является </w:t>
      </w:r>
      <w:r w:rsidR="007F2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организацией, впервые применяющей МСФО, в смысле 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МС</w:t>
      </w:r>
      <w:r w:rsidR="00AC3EFA">
        <w:rPr>
          <w:rFonts w:ascii="Times New Roman" w:eastAsia="Times New Roman" w:hAnsi="Times New Roman" w:cs="Times New Roman"/>
          <w:sz w:val="28"/>
          <w:szCs w:val="24"/>
          <w:lang w:eastAsia="ru-RU"/>
        </w:rPr>
        <w:t>ФО (IFRS) 1 «Первое применение м</w:t>
      </w: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>еждународных стандартов финансовой отчетности», если реорганизованная организация-предшественник представляла финансовую отчетность по МСФО за период, предшествующий тому, в котором произошла реорганизация.</w:t>
      </w:r>
    </w:p>
    <w:p w:rsidR="006172FC" w:rsidRPr="006172FC" w:rsidRDefault="006172FC" w:rsidP="007B0615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Консолидированная финансовая отчетность организации, возникшей в результате реорганизации, должна содержать информацию об имевшем место факте реорганизации. </w:t>
      </w:r>
    </w:p>
    <w:p w:rsidR="00BC5611" w:rsidRDefault="00BC5611" w:rsidP="006172FC">
      <w:pPr>
        <w:pStyle w:val="ConsPlusNormal"/>
        <w:jc w:val="center"/>
        <w:outlineLvl w:val="0"/>
        <w:rPr>
          <w:b/>
        </w:rPr>
      </w:pPr>
    </w:p>
    <w:p w:rsidR="00883DD5" w:rsidRDefault="00883DD5" w:rsidP="006172F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</w:t>
      </w:r>
      <w:r w:rsidR="006172FC" w:rsidRPr="006172FC">
        <w:rPr>
          <w:rFonts w:ascii="Times New Roman" w:hAnsi="Times New Roman" w:cs="Times New Roman"/>
          <w:b/>
          <w:sz w:val="28"/>
        </w:rPr>
        <w:t>онсолидированн</w:t>
      </w:r>
      <w:r>
        <w:rPr>
          <w:rFonts w:ascii="Times New Roman" w:hAnsi="Times New Roman" w:cs="Times New Roman"/>
          <w:b/>
          <w:sz w:val="28"/>
        </w:rPr>
        <w:t>ая</w:t>
      </w:r>
      <w:r w:rsidR="006172FC" w:rsidRPr="006172FC">
        <w:rPr>
          <w:rFonts w:ascii="Times New Roman" w:hAnsi="Times New Roman" w:cs="Times New Roman"/>
          <w:b/>
          <w:sz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</w:rPr>
        <w:t>ая отчетность</w:t>
      </w:r>
      <w:r w:rsidR="006172FC" w:rsidRPr="006172FC">
        <w:rPr>
          <w:rFonts w:ascii="Times New Roman" w:hAnsi="Times New Roman" w:cs="Times New Roman"/>
          <w:b/>
          <w:sz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</w:rPr>
        <w:t>и</w:t>
      </w:r>
      <w:r w:rsidR="006172FC" w:rsidRPr="006172FC">
        <w:rPr>
          <w:rFonts w:ascii="Times New Roman" w:hAnsi="Times New Roman" w:cs="Times New Roman"/>
          <w:b/>
          <w:sz w:val="28"/>
        </w:rPr>
        <w:t xml:space="preserve">, возникшей </w:t>
      </w:r>
    </w:p>
    <w:p w:rsidR="006172FC" w:rsidRDefault="006172FC" w:rsidP="006172F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172FC">
        <w:rPr>
          <w:rFonts w:ascii="Times New Roman" w:hAnsi="Times New Roman" w:cs="Times New Roman"/>
          <w:b/>
          <w:sz w:val="28"/>
        </w:rPr>
        <w:t>в результате реорганизации в форме слияния или присоединения</w:t>
      </w:r>
    </w:p>
    <w:p w:rsidR="00A818A6" w:rsidRPr="006172FC" w:rsidRDefault="00A818A6" w:rsidP="006172FC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6172FC" w:rsidRPr="006172FC" w:rsidRDefault="00A818A6" w:rsidP="0061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2FC" w:rsidRPr="006172F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172FC">
        <w:rPr>
          <w:rFonts w:ascii="Times New Roman" w:hAnsi="Times New Roman" w:cs="Times New Roman"/>
          <w:sz w:val="28"/>
          <w:szCs w:val="28"/>
        </w:rPr>
        <w:t>пункту</w:t>
      </w:r>
      <w:r w:rsidR="006172FC" w:rsidRPr="006172FC">
        <w:rPr>
          <w:rFonts w:ascii="Times New Roman" w:hAnsi="Times New Roman" w:cs="Times New Roman"/>
          <w:sz w:val="28"/>
          <w:szCs w:val="28"/>
        </w:rPr>
        <w:t xml:space="preserve"> 1 статьи 58 Гражданского кодекса Российской Федерации при слиянии юридических лиц права и обязанности каждого из них переходят к вновь возникшему юридическому лицу.</w:t>
      </w:r>
      <w:r w:rsidR="007F269E">
        <w:rPr>
          <w:rFonts w:ascii="Times New Roman" w:hAnsi="Times New Roman" w:cs="Times New Roman"/>
          <w:sz w:val="28"/>
          <w:szCs w:val="28"/>
        </w:rPr>
        <w:t xml:space="preserve"> </w:t>
      </w:r>
      <w:r w:rsidR="006172FC" w:rsidRPr="006172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72FC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6172FC" w:rsidRPr="006172FC">
        <w:rPr>
          <w:rFonts w:ascii="Times New Roman" w:hAnsi="Times New Roman" w:cs="Times New Roman"/>
          <w:sz w:val="28"/>
          <w:szCs w:val="28"/>
        </w:rPr>
        <w:t>2 статьи 58 Гражданского кодекса Российской Федерации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6172FC" w:rsidRPr="006172FC" w:rsidRDefault="006172FC" w:rsidP="006172FC">
      <w:pPr>
        <w:rPr>
          <w:rFonts w:ascii="Times New Roman" w:hAnsi="Times New Roman" w:cs="Times New Roman"/>
          <w:sz w:val="28"/>
          <w:szCs w:val="28"/>
        </w:rPr>
      </w:pPr>
      <w:r w:rsidRPr="006172FC">
        <w:rPr>
          <w:rFonts w:ascii="Times New Roman" w:hAnsi="Times New Roman" w:cs="Times New Roman"/>
          <w:sz w:val="28"/>
          <w:szCs w:val="28"/>
        </w:rPr>
        <w:t xml:space="preserve">В зависимости от условий реорганизации и условий, существовавших до ее проведения, возможны </w:t>
      </w:r>
      <w:r w:rsidR="00BC5611">
        <w:rPr>
          <w:rFonts w:ascii="Times New Roman" w:hAnsi="Times New Roman" w:cs="Times New Roman"/>
          <w:sz w:val="28"/>
          <w:szCs w:val="28"/>
        </w:rPr>
        <w:t>различные варианты</w:t>
      </w:r>
      <w:r w:rsidRPr="006172FC">
        <w:rPr>
          <w:rFonts w:ascii="Times New Roman" w:hAnsi="Times New Roman" w:cs="Times New Roman"/>
          <w:sz w:val="28"/>
          <w:szCs w:val="28"/>
        </w:rPr>
        <w:t xml:space="preserve"> составления консолидированной финансовой отчетности по МСФО организацией-правопреемником, возникшей в результате реорганизации в форме слияния или присоединения.</w:t>
      </w:r>
      <w:r w:rsidR="007F2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9E">
        <w:rPr>
          <w:rFonts w:ascii="Times New Roman" w:hAnsi="Times New Roman" w:cs="Times New Roman"/>
          <w:sz w:val="28"/>
          <w:szCs w:val="28"/>
        </w:rPr>
        <w:t>В</w:t>
      </w:r>
      <w:r w:rsidRPr="006172FC">
        <w:rPr>
          <w:rFonts w:ascii="Times New Roman" w:hAnsi="Times New Roman" w:cs="Times New Roman"/>
          <w:sz w:val="28"/>
          <w:szCs w:val="28"/>
        </w:rPr>
        <w:t>ыбор варианта составления консолидированной финансовой отчетности зависит</w:t>
      </w:r>
      <w:r w:rsidR="00A818A6">
        <w:rPr>
          <w:rFonts w:ascii="Times New Roman" w:hAnsi="Times New Roman" w:cs="Times New Roman"/>
          <w:sz w:val="28"/>
          <w:szCs w:val="28"/>
        </w:rPr>
        <w:t>,</w:t>
      </w:r>
      <w:r w:rsidRPr="006172FC">
        <w:rPr>
          <w:rFonts w:ascii="Times New Roman" w:hAnsi="Times New Roman" w:cs="Times New Roman"/>
          <w:sz w:val="28"/>
          <w:szCs w:val="28"/>
        </w:rPr>
        <w:t xml:space="preserve"> </w:t>
      </w:r>
      <w:r w:rsidR="00BC561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172FC">
        <w:rPr>
          <w:rFonts w:ascii="Times New Roman" w:hAnsi="Times New Roman" w:cs="Times New Roman"/>
          <w:sz w:val="28"/>
          <w:szCs w:val="28"/>
        </w:rPr>
        <w:t xml:space="preserve">от того, осуществляла ли организация-правопреемник контроль согласно МСФО (IFRS) 10 «Консолидированная финансовая отчетность» </w:t>
      </w:r>
      <w:r w:rsidR="007F269E">
        <w:rPr>
          <w:rFonts w:ascii="Times New Roman" w:hAnsi="Times New Roman" w:cs="Times New Roman"/>
          <w:sz w:val="28"/>
          <w:szCs w:val="28"/>
        </w:rPr>
        <w:t>в отношении ор</w:t>
      </w:r>
      <w:r w:rsidRPr="006172FC">
        <w:rPr>
          <w:rFonts w:ascii="Times New Roman" w:hAnsi="Times New Roman" w:cs="Times New Roman"/>
          <w:sz w:val="28"/>
          <w:szCs w:val="28"/>
        </w:rPr>
        <w:t>ганизаци</w:t>
      </w:r>
      <w:r w:rsidR="007F269E">
        <w:rPr>
          <w:rFonts w:ascii="Times New Roman" w:hAnsi="Times New Roman" w:cs="Times New Roman"/>
          <w:sz w:val="28"/>
          <w:szCs w:val="28"/>
        </w:rPr>
        <w:t>и</w:t>
      </w:r>
      <w:r w:rsidRPr="006172FC">
        <w:rPr>
          <w:rFonts w:ascii="Times New Roman" w:hAnsi="Times New Roman" w:cs="Times New Roman"/>
          <w:sz w:val="28"/>
          <w:szCs w:val="28"/>
        </w:rPr>
        <w:t>, которая к ней присоединяется или с ней сливается, до реорганизации, а также от того, продолжают ли эти организации находиться под контролем одних и тех же лиц.</w:t>
      </w:r>
      <w:proofErr w:type="gramEnd"/>
    </w:p>
    <w:p w:rsidR="00F053D1" w:rsidRDefault="006172FC" w:rsidP="006172FC">
      <w:pPr>
        <w:rPr>
          <w:rFonts w:ascii="Times New Roman" w:hAnsi="Times New Roman" w:cs="Times New Roman"/>
          <w:sz w:val="28"/>
          <w:szCs w:val="28"/>
        </w:rPr>
      </w:pPr>
      <w:r w:rsidRPr="006172FC">
        <w:rPr>
          <w:rFonts w:ascii="Times New Roman" w:hAnsi="Times New Roman" w:cs="Times New Roman"/>
          <w:sz w:val="28"/>
          <w:szCs w:val="28"/>
        </w:rPr>
        <w:t xml:space="preserve">Независимо от варианта составления консолидированной финансовой отчетности отсутствует необходимость в составлении консолидированной финансовой отчетности организации-правопреемника, а также организации, которая к ней присоединяется или с ней сливается, на </w:t>
      </w:r>
      <w:r w:rsidR="00834223">
        <w:rPr>
          <w:rFonts w:ascii="Times New Roman" w:hAnsi="Times New Roman" w:cs="Times New Roman"/>
          <w:sz w:val="28"/>
          <w:szCs w:val="28"/>
        </w:rPr>
        <w:t>день</w:t>
      </w:r>
      <w:r w:rsidRPr="006172FC">
        <w:rPr>
          <w:rFonts w:ascii="Times New Roman" w:hAnsi="Times New Roman" w:cs="Times New Roman"/>
          <w:sz w:val="28"/>
          <w:szCs w:val="28"/>
        </w:rPr>
        <w:t>, предшествующ</w:t>
      </w:r>
      <w:r w:rsidR="00834223">
        <w:rPr>
          <w:rFonts w:ascii="Times New Roman" w:hAnsi="Times New Roman" w:cs="Times New Roman"/>
          <w:sz w:val="28"/>
          <w:szCs w:val="28"/>
        </w:rPr>
        <w:t>ий</w:t>
      </w:r>
      <w:r w:rsidRPr="006172FC">
        <w:rPr>
          <w:rFonts w:ascii="Times New Roman" w:hAnsi="Times New Roman" w:cs="Times New Roman"/>
          <w:sz w:val="28"/>
          <w:szCs w:val="28"/>
        </w:rPr>
        <w:t xml:space="preserve"> дате государственной регистрации такой реорганизации.</w:t>
      </w:r>
      <w:r w:rsidR="007F269E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Pr="006172FC">
        <w:rPr>
          <w:rFonts w:ascii="Times New Roman" w:hAnsi="Times New Roman" w:cs="Times New Roman"/>
          <w:sz w:val="28"/>
          <w:szCs w:val="28"/>
        </w:rPr>
        <w:t xml:space="preserve"> отсутствует необходимость в составлении консолидированной финансовой отчетности организации-правопреемника, возникшей в результате реорганизации в форме слияния, на дату ее государственной регистрации.</w:t>
      </w:r>
    </w:p>
    <w:p w:rsidR="006172FC" w:rsidRDefault="006172FC" w:rsidP="006172FC">
      <w:pPr>
        <w:rPr>
          <w:rFonts w:ascii="Times New Roman" w:hAnsi="Times New Roman" w:cs="Times New Roman"/>
          <w:sz w:val="28"/>
          <w:szCs w:val="28"/>
        </w:rPr>
      </w:pPr>
      <w:r w:rsidRPr="006172FC">
        <w:rPr>
          <w:rFonts w:ascii="Times New Roman" w:hAnsi="Times New Roman" w:cs="Times New Roman"/>
          <w:sz w:val="28"/>
          <w:szCs w:val="28"/>
        </w:rPr>
        <w:t>Консолидированная финансовая отчетность организации-правопре</w:t>
      </w:r>
      <w:r w:rsidR="007F269E">
        <w:rPr>
          <w:rFonts w:ascii="Times New Roman" w:hAnsi="Times New Roman" w:cs="Times New Roman"/>
          <w:sz w:val="28"/>
          <w:szCs w:val="28"/>
        </w:rPr>
        <w:t>емника</w:t>
      </w:r>
      <w:r w:rsidRPr="006172FC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об имевшем место факте реорганизации.</w:t>
      </w:r>
    </w:p>
    <w:p w:rsidR="002F13A3" w:rsidRDefault="002F13A3" w:rsidP="00A818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8A6" w:rsidRPr="00A818A6" w:rsidRDefault="00A818A6" w:rsidP="00A818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A6">
        <w:rPr>
          <w:rFonts w:ascii="Times New Roman" w:hAnsi="Times New Roman" w:cs="Times New Roman"/>
          <w:b/>
          <w:sz w:val="28"/>
          <w:szCs w:val="28"/>
          <w:lang w:eastAsia="ru-RU"/>
        </w:rPr>
        <w:t>Актуарн</w:t>
      </w:r>
      <w:r w:rsidR="00834223">
        <w:rPr>
          <w:rFonts w:ascii="Times New Roman" w:hAnsi="Times New Roman" w:cs="Times New Roman"/>
          <w:b/>
          <w:sz w:val="28"/>
          <w:szCs w:val="28"/>
          <w:lang w:eastAsia="ru-RU"/>
        </w:rPr>
        <w:t>ые</w:t>
      </w:r>
      <w:r w:rsidRPr="00A818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223">
        <w:rPr>
          <w:rFonts w:ascii="Times New Roman" w:hAnsi="Times New Roman" w:cs="Times New Roman"/>
          <w:b/>
          <w:sz w:val="28"/>
          <w:szCs w:val="28"/>
          <w:lang w:eastAsia="ru-RU"/>
        </w:rPr>
        <w:t>расчеты</w:t>
      </w:r>
      <w:r w:rsidRPr="00A818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целей </w:t>
      </w:r>
      <w:r w:rsidRPr="00A818A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МСФО (IAS) 19 «Вознаграждения работникам»</w:t>
      </w:r>
    </w:p>
    <w:p w:rsidR="00A818A6" w:rsidRPr="00A818A6" w:rsidRDefault="00A818A6" w:rsidP="00A818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69E" w:rsidRDefault="00A818A6" w:rsidP="00A818A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18A6">
        <w:rPr>
          <w:rFonts w:ascii="Times New Roman" w:hAnsi="Times New Roman" w:cs="Times New Roman"/>
          <w:sz w:val="28"/>
          <w:szCs w:val="28"/>
          <w:lang w:eastAsia="ru-RU"/>
        </w:rPr>
        <w:t>МСФО (IAS) 19 «Вознаграждения работникам» рекомендует</w:t>
      </w:r>
      <w:r w:rsidR="007F269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818A6">
        <w:rPr>
          <w:rFonts w:ascii="Times New Roman" w:hAnsi="Times New Roman" w:cs="Times New Roman"/>
          <w:sz w:val="28"/>
          <w:szCs w:val="28"/>
          <w:lang w:eastAsia="ru-RU"/>
        </w:rPr>
        <w:t>но не требует</w:t>
      </w:r>
      <w:r w:rsidR="007F269E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A818A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организация привлекала квалифицированного актуария для оценки всех существенных обязательств</w:t>
      </w:r>
      <w:r w:rsidR="00A74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467A" w:rsidRPr="00A7467A">
        <w:rPr>
          <w:rFonts w:ascii="Times New Roman" w:hAnsi="Times New Roman" w:cs="Times New Roman"/>
          <w:sz w:val="28"/>
          <w:szCs w:val="28"/>
          <w:lang w:eastAsia="ru-RU"/>
        </w:rPr>
        <w:t>по программе вознаграждений по окончании трудовой деятельности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 xml:space="preserve"> (пункт 59)</w:t>
      </w:r>
      <w:r w:rsidR="00A746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269E" w:rsidRDefault="00861015" w:rsidP="007F269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7F269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7 статьи 2 Федерального</w:t>
      </w:r>
      <w:r w:rsidRPr="00861015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61015">
        <w:rPr>
          <w:rFonts w:ascii="Times New Roman" w:hAnsi="Times New Roman" w:cs="Times New Roman"/>
          <w:sz w:val="28"/>
          <w:szCs w:val="28"/>
          <w:lang w:eastAsia="ru-RU"/>
        </w:rPr>
        <w:t>«Об актуарной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объектом актуарной деятельности является деятельность органов и организаций в части финансовых рисков и (или) выполнения обусловленных наличием рисков финансовых обязательств, которая подлежит актуарному оцениванию или в отношении которой осуществляется иной вид актуарной деятельности.</w:t>
      </w:r>
      <w:proofErr w:type="gramEnd"/>
      <w:r w:rsidR="0062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Указанный Федеральный закон не устанавливает требование проведени</w:t>
      </w:r>
      <w:r w:rsidR="007F26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обязательного актуарного оценивания в отношении объектов, предусмотренных </w:t>
      </w:r>
      <w:r w:rsidRPr="00861015">
        <w:rPr>
          <w:rFonts w:ascii="Times New Roman" w:hAnsi="Times New Roman" w:cs="Times New Roman"/>
          <w:sz w:val="28"/>
          <w:szCs w:val="28"/>
          <w:lang w:eastAsia="ru-RU"/>
        </w:rPr>
        <w:t>МСФО (IAS) 19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269E" w:rsidRPr="007F2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269E" w:rsidRPr="007F269E" w:rsidRDefault="007F269E" w:rsidP="007F269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269E">
        <w:rPr>
          <w:rFonts w:ascii="Times New Roman" w:hAnsi="Times New Roman" w:cs="Times New Roman"/>
          <w:sz w:val="28"/>
          <w:szCs w:val="28"/>
          <w:lang w:eastAsia="ru-RU"/>
        </w:rPr>
        <w:t>В связи с этим организация, осуществляющая деятельность, не отвечающую критериям объекта обязательного актуарного оценивания, предусмотренным Федеральным законом «Об актуарной деятельности в Российской Федерации», не обязана привлекать для указанной цели</w:t>
      </w:r>
      <w:r w:rsidRPr="007F26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269E">
        <w:rPr>
          <w:rFonts w:ascii="Times New Roman" w:hAnsi="Times New Roman" w:cs="Times New Roman"/>
          <w:sz w:val="28"/>
          <w:szCs w:val="28"/>
          <w:lang w:eastAsia="ru-RU"/>
        </w:rPr>
        <w:t>ответственного актуария, осуществляющего деятельность в соответствии с указанным Федеральным законом.</w:t>
      </w:r>
      <w:proofErr w:type="gramEnd"/>
    </w:p>
    <w:p w:rsidR="00861015" w:rsidRDefault="00923683" w:rsidP="00A8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то же время</w:t>
      </w:r>
      <w:r w:rsidR="007A2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46A">
        <w:rPr>
          <w:rFonts w:ascii="Times New Roman" w:hAnsi="Times New Roman" w:cs="Times New Roman"/>
          <w:sz w:val="28"/>
          <w:szCs w:val="28"/>
          <w:lang w:eastAsia="ru-RU"/>
        </w:rPr>
        <w:t xml:space="preserve">при раскрытии информации об </w:t>
      </w:r>
      <w:r w:rsidR="003B046A" w:rsidRPr="003B046A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3B046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3B046A" w:rsidRPr="003B046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 вознаграждений по окончании трудовой деятельности</w:t>
      </w:r>
      <w:r w:rsidR="003B046A">
        <w:rPr>
          <w:rFonts w:ascii="Times New Roman" w:hAnsi="Times New Roman" w:cs="Times New Roman"/>
          <w:sz w:val="28"/>
          <w:szCs w:val="28"/>
          <w:lang w:eastAsia="ru-RU"/>
        </w:rPr>
        <w:t xml:space="preserve"> указ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="0062030B" w:rsidRPr="0062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составителя консолидированной финансовой отчетности 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B046A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B0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>актуарных расчетов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 xml:space="preserve"> привле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чением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 xml:space="preserve"> актуария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 xml:space="preserve"> явля</w:t>
      </w:r>
      <w:r w:rsidR="001571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тся обоснованным только в том случае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 xml:space="preserve"> такой актуарий соответств</w:t>
      </w:r>
      <w:r w:rsidR="0062030B">
        <w:rPr>
          <w:rFonts w:ascii="Times New Roman" w:hAnsi="Times New Roman" w:cs="Times New Roman"/>
          <w:sz w:val="28"/>
          <w:szCs w:val="28"/>
          <w:lang w:eastAsia="ru-RU"/>
        </w:rPr>
        <w:t>ует требованиям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A4F" w:rsidRPr="00EF6A4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«Об актуарной деятельности в Российской Федерации»</w:t>
      </w:r>
      <w:r w:rsidR="00EF6A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015" w:rsidRDefault="00861015" w:rsidP="00A818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683" w:rsidRDefault="002F13A3" w:rsidP="0092368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Проверка промежуточной консолидированной финансовой </w:t>
      </w:r>
    </w:p>
    <w:p w:rsidR="002F13A3" w:rsidRDefault="002F13A3" w:rsidP="0092368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отчетности, </w:t>
      </w:r>
      <w:proofErr w:type="gramStart"/>
      <w:r w:rsidRPr="002F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проводимая</w:t>
      </w:r>
      <w:proofErr w:type="gramEnd"/>
      <w:r w:rsidRPr="002F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аудиторской организацией</w:t>
      </w:r>
    </w:p>
    <w:p w:rsidR="002F13A3" w:rsidRPr="002F13A3" w:rsidRDefault="002F13A3" w:rsidP="002F13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13A3" w:rsidRPr="002F13A3" w:rsidRDefault="002F13A3" w:rsidP="002F13A3">
      <w:pPr>
        <w:rPr>
          <w:rFonts w:ascii="Times New Roman" w:eastAsia="Times New Roman" w:hAnsi="Times New Roman" w:cs="Times New Roman"/>
          <w:sz w:val="28"/>
          <w:szCs w:val="28"/>
        </w:rPr>
      </w:pP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5 Федерального закона «О консолидированной финансовой отчетности» консолидированная финансовая отчетность за первое полугодие отчетного года, раскрытие которой предусмотрено </w:t>
      </w:r>
      <w:r w:rsidR="00923683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или другими федеральными законами, подлежит аудиту либо проводимой аудиторской организацией проверке, вид и порядок проведения которой устанавливаются </w:t>
      </w:r>
      <w:hyperlink r:id="rId9" w:history="1">
        <w:r w:rsidRPr="002F13A3">
          <w:rPr>
            <w:rFonts w:ascii="Times New Roman" w:eastAsia="Times New Roman" w:hAnsi="Times New Roman" w:cs="Times New Roman"/>
            <w:sz w:val="28"/>
            <w:szCs w:val="28"/>
          </w:rPr>
          <w:t>стандартами</w:t>
        </w:r>
      </w:hyperlink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 аудиторской деятельности. </w:t>
      </w:r>
    </w:p>
    <w:p w:rsidR="002F13A3" w:rsidRPr="002F13A3" w:rsidRDefault="002F13A3" w:rsidP="002F13A3">
      <w:pPr>
        <w:rPr>
          <w:rFonts w:ascii="Times New Roman" w:eastAsia="Times New Roman" w:hAnsi="Times New Roman" w:cs="Times New Roman"/>
          <w:sz w:val="28"/>
          <w:szCs w:val="28"/>
        </w:rPr>
      </w:pPr>
      <w:r w:rsidRPr="002F13A3">
        <w:rPr>
          <w:rFonts w:ascii="Times New Roman" w:eastAsia="Times New Roman" w:hAnsi="Times New Roman" w:cs="Times New Roman"/>
          <w:sz w:val="28"/>
          <w:szCs w:val="28"/>
        </w:rPr>
        <w:t>Приказом Мин</w:t>
      </w:r>
      <w:r w:rsidR="00923683">
        <w:rPr>
          <w:rFonts w:ascii="Times New Roman" w:eastAsia="Times New Roman" w:hAnsi="Times New Roman" w:cs="Times New Roman"/>
          <w:sz w:val="28"/>
          <w:szCs w:val="28"/>
        </w:rPr>
        <w:t>фина России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7DED">
        <w:rPr>
          <w:rFonts w:ascii="Times New Roman" w:eastAsia="Times New Roman" w:hAnsi="Times New Roman" w:cs="Times New Roman"/>
          <w:sz w:val="28"/>
          <w:szCs w:val="28"/>
        </w:rPr>
        <w:t xml:space="preserve"> 24.10.2016 №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 192н «О введении в действие международных стандартов аудита на территории Российской Федерации», на территории Российской Федерации были введены в действие международные стандарты аудита, предусматривающие следующие виды проверок финансовой информации прошедших периодов: аудит фин</w:t>
      </w:r>
      <w:r w:rsidR="00923683">
        <w:rPr>
          <w:rFonts w:ascii="Times New Roman" w:eastAsia="Times New Roman" w:hAnsi="Times New Roman" w:cs="Times New Roman"/>
          <w:sz w:val="28"/>
          <w:szCs w:val="28"/>
        </w:rPr>
        <w:t xml:space="preserve">ансовой информации, 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>обзорная проверка финансовой информации.</w:t>
      </w:r>
    </w:p>
    <w:p w:rsidR="002F13A3" w:rsidRPr="002F13A3" w:rsidRDefault="002F13A3" w:rsidP="002F13A3">
      <w:pPr>
        <w:rPr>
          <w:rFonts w:ascii="Times New Roman" w:eastAsia="Times New Roman" w:hAnsi="Times New Roman" w:cs="Times New Roman"/>
          <w:sz w:val="28"/>
          <w:szCs w:val="28"/>
        </w:rPr>
      </w:pPr>
      <w:r w:rsidRPr="002F13A3">
        <w:rPr>
          <w:rFonts w:ascii="Times New Roman" w:eastAsia="Times New Roman" w:hAnsi="Times New Roman" w:cs="Times New Roman"/>
          <w:sz w:val="28"/>
          <w:szCs w:val="28"/>
        </w:rPr>
        <w:t>Обзорная проверка финансовой информации прошедших периодов проводится в соответствии с Международным стандартом обзорных проверок 2400 (</w:t>
      </w:r>
      <w:proofErr w:type="gramStart"/>
      <w:r w:rsidRPr="002F13A3">
        <w:rPr>
          <w:rFonts w:ascii="Times New Roman" w:eastAsia="Times New Roman" w:hAnsi="Times New Roman" w:cs="Times New Roman"/>
          <w:sz w:val="28"/>
          <w:szCs w:val="28"/>
        </w:rPr>
        <w:t>пересмотренный</w:t>
      </w:r>
      <w:proofErr w:type="gramEnd"/>
      <w:r w:rsidRPr="002F13A3">
        <w:rPr>
          <w:rFonts w:ascii="Times New Roman" w:eastAsia="Times New Roman" w:hAnsi="Times New Roman" w:cs="Times New Roman"/>
          <w:sz w:val="28"/>
          <w:szCs w:val="28"/>
        </w:rPr>
        <w:t>) «Задания по обзорной проверке финансовой отчетности прошедших периодов» (далее</w:t>
      </w:r>
      <w:r w:rsidR="001B7D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>МСОП 2400) или Международным стандартом обзорных проверок 2410 «Обзорная проверка промежуточной финансовой информации, выполняемая независимым аудитором организации» (далее</w:t>
      </w:r>
      <w:r w:rsidR="001B7D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>МСОП 2410).</w:t>
      </w:r>
    </w:p>
    <w:p w:rsidR="00883DD5" w:rsidRPr="002F13A3" w:rsidRDefault="002F13A3" w:rsidP="0083422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3A3">
        <w:rPr>
          <w:rFonts w:ascii="Times New Roman" w:eastAsia="Times New Roman" w:hAnsi="Times New Roman" w:cs="Times New Roman"/>
          <w:sz w:val="28"/>
          <w:szCs w:val="28"/>
        </w:rPr>
        <w:t>В связи с изложенным, промежуточная консолидированная отчетность за первое полугодие отчетного года, раскрытие которой предусмотрено Федеральным законом «О консолидированной финансовой отчетности» или другими федеральными законами, подлежит аудиту</w:t>
      </w:r>
      <w:r w:rsidR="0092368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 обзорной проверке</w:t>
      </w:r>
      <w:r w:rsidR="00923683">
        <w:rPr>
          <w:rFonts w:ascii="Times New Roman" w:eastAsia="Times New Roman" w:hAnsi="Times New Roman" w:cs="Times New Roman"/>
          <w:sz w:val="28"/>
          <w:szCs w:val="28"/>
        </w:rPr>
        <w:t>, проводимой</w:t>
      </w:r>
      <w:r w:rsidRPr="002F13A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МСОП 2400 либо МСОП 2410.</w:t>
      </w:r>
      <w:proofErr w:type="gramEnd"/>
    </w:p>
    <w:sectPr w:rsidR="00883DD5" w:rsidRPr="002F13A3" w:rsidSect="00841EE1"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9E" w:rsidRDefault="005A4B9E" w:rsidP="00F557D1">
      <w:r>
        <w:separator/>
      </w:r>
    </w:p>
  </w:endnote>
  <w:endnote w:type="continuationSeparator" w:id="0">
    <w:p w:rsidR="005A4B9E" w:rsidRDefault="005A4B9E" w:rsidP="00F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9E" w:rsidRDefault="005A4B9E" w:rsidP="00F557D1">
      <w:r>
        <w:separator/>
      </w:r>
    </w:p>
  </w:footnote>
  <w:footnote w:type="continuationSeparator" w:id="0">
    <w:p w:rsidR="005A4B9E" w:rsidRDefault="005A4B9E" w:rsidP="00F5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79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3FD9" w:rsidRPr="003A1EE4" w:rsidRDefault="00363FD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3A1EE4">
          <w:rPr>
            <w:rFonts w:ascii="Times New Roman" w:hAnsi="Times New Roman" w:cs="Times New Roman"/>
            <w:sz w:val="28"/>
          </w:rPr>
          <w:fldChar w:fldCharType="begin"/>
        </w:r>
        <w:r w:rsidRPr="003A1EE4">
          <w:rPr>
            <w:rFonts w:ascii="Times New Roman" w:hAnsi="Times New Roman" w:cs="Times New Roman"/>
            <w:sz w:val="28"/>
          </w:rPr>
          <w:instrText>PAGE   \* MERGEFORMAT</w:instrText>
        </w:r>
        <w:r w:rsidRPr="003A1EE4">
          <w:rPr>
            <w:rFonts w:ascii="Times New Roman" w:hAnsi="Times New Roman" w:cs="Times New Roman"/>
            <w:sz w:val="28"/>
          </w:rPr>
          <w:fldChar w:fldCharType="separate"/>
        </w:r>
        <w:r w:rsidR="00C200DE">
          <w:rPr>
            <w:rFonts w:ascii="Times New Roman" w:hAnsi="Times New Roman" w:cs="Times New Roman"/>
            <w:noProof/>
            <w:sz w:val="28"/>
          </w:rPr>
          <w:t>2</w:t>
        </w:r>
        <w:r w:rsidRPr="003A1EE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3FD9" w:rsidRDefault="00363F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7FA"/>
    <w:multiLevelType w:val="hybridMultilevel"/>
    <w:tmpl w:val="5508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06030"/>
    <w:multiLevelType w:val="hybridMultilevel"/>
    <w:tmpl w:val="CA42CB5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221B"/>
    <w:multiLevelType w:val="hybridMultilevel"/>
    <w:tmpl w:val="05FC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D"/>
    <w:rsid w:val="00002A8A"/>
    <w:rsid w:val="00003FB6"/>
    <w:rsid w:val="00005F4E"/>
    <w:rsid w:val="000113F1"/>
    <w:rsid w:val="00017D72"/>
    <w:rsid w:val="00025144"/>
    <w:rsid w:val="000266B6"/>
    <w:rsid w:val="0003627C"/>
    <w:rsid w:val="00043648"/>
    <w:rsid w:val="000455C2"/>
    <w:rsid w:val="00050C7B"/>
    <w:rsid w:val="00052B9A"/>
    <w:rsid w:val="0005733D"/>
    <w:rsid w:val="00063637"/>
    <w:rsid w:val="00073358"/>
    <w:rsid w:val="00073786"/>
    <w:rsid w:val="00076C0F"/>
    <w:rsid w:val="00090F56"/>
    <w:rsid w:val="000925A6"/>
    <w:rsid w:val="000B02EB"/>
    <w:rsid w:val="000B1FA1"/>
    <w:rsid w:val="000B34BC"/>
    <w:rsid w:val="000B4B2F"/>
    <w:rsid w:val="000C097C"/>
    <w:rsid w:val="000C40B0"/>
    <w:rsid w:val="000C508A"/>
    <w:rsid w:val="000C5C8D"/>
    <w:rsid w:val="000E39B5"/>
    <w:rsid w:val="000E5509"/>
    <w:rsid w:val="000F2135"/>
    <w:rsid w:val="00106908"/>
    <w:rsid w:val="00120C01"/>
    <w:rsid w:val="0012389B"/>
    <w:rsid w:val="001250C2"/>
    <w:rsid w:val="00127CAF"/>
    <w:rsid w:val="0013051A"/>
    <w:rsid w:val="001422AC"/>
    <w:rsid w:val="00143CE1"/>
    <w:rsid w:val="00145C36"/>
    <w:rsid w:val="00153DC3"/>
    <w:rsid w:val="0015556B"/>
    <w:rsid w:val="00155C30"/>
    <w:rsid w:val="001571A5"/>
    <w:rsid w:val="001676DF"/>
    <w:rsid w:val="00185E76"/>
    <w:rsid w:val="001869F0"/>
    <w:rsid w:val="00191ECC"/>
    <w:rsid w:val="00194D47"/>
    <w:rsid w:val="001A5232"/>
    <w:rsid w:val="001B7DED"/>
    <w:rsid w:val="001C3469"/>
    <w:rsid w:val="001D6C00"/>
    <w:rsid w:val="001E2B9F"/>
    <w:rsid w:val="001F6E9E"/>
    <w:rsid w:val="002040C1"/>
    <w:rsid w:val="00212233"/>
    <w:rsid w:val="00223216"/>
    <w:rsid w:val="00225919"/>
    <w:rsid w:val="002328EA"/>
    <w:rsid w:val="002331E9"/>
    <w:rsid w:val="00236F26"/>
    <w:rsid w:val="002378CE"/>
    <w:rsid w:val="0024247C"/>
    <w:rsid w:val="002709ED"/>
    <w:rsid w:val="00283CAF"/>
    <w:rsid w:val="002A1254"/>
    <w:rsid w:val="002A2D93"/>
    <w:rsid w:val="002A3361"/>
    <w:rsid w:val="002A46FA"/>
    <w:rsid w:val="002A5F9A"/>
    <w:rsid w:val="002C0361"/>
    <w:rsid w:val="002C4C53"/>
    <w:rsid w:val="002D4927"/>
    <w:rsid w:val="002F13A3"/>
    <w:rsid w:val="002F3856"/>
    <w:rsid w:val="0030000C"/>
    <w:rsid w:val="00302F39"/>
    <w:rsid w:val="00307F46"/>
    <w:rsid w:val="003110D7"/>
    <w:rsid w:val="003119AB"/>
    <w:rsid w:val="00311D2C"/>
    <w:rsid w:val="003135F2"/>
    <w:rsid w:val="003217AD"/>
    <w:rsid w:val="00322E1F"/>
    <w:rsid w:val="00347C97"/>
    <w:rsid w:val="003510BE"/>
    <w:rsid w:val="00357B64"/>
    <w:rsid w:val="00363FD9"/>
    <w:rsid w:val="00366174"/>
    <w:rsid w:val="003705B7"/>
    <w:rsid w:val="00372402"/>
    <w:rsid w:val="00373AF3"/>
    <w:rsid w:val="00384E57"/>
    <w:rsid w:val="00385DEC"/>
    <w:rsid w:val="00391919"/>
    <w:rsid w:val="00393F73"/>
    <w:rsid w:val="003949B6"/>
    <w:rsid w:val="003A1EE4"/>
    <w:rsid w:val="003B046A"/>
    <w:rsid w:val="003B1F1B"/>
    <w:rsid w:val="003B365E"/>
    <w:rsid w:val="003B5D21"/>
    <w:rsid w:val="003B74FB"/>
    <w:rsid w:val="003C08E6"/>
    <w:rsid w:val="003D663E"/>
    <w:rsid w:val="003E1E51"/>
    <w:rsid w:val="003E20A0"/>
    <w:rsid w:val="003E2864"/>
    <w:rsid w:val="003E3E71"/>
    <w:rsid w:val="003F060D"/>
    <w:rsid w:val="003F7B44"/>
    <w:rsid w:val="004038B7"/>
    <w:rsid w:val="00404FAD"/>
    <w:rsid w:val="00420511"/>
    <w:rsid w:val="00420927"/>
    <w:rsid w:val="00422978"/>
    <w:rsid w:val="00422981"/>
    <w:rsid w:val="0043019C"/>
    <w:rsid w:val="00432250"/>
    <w:rsid w:val="0044197B"/>
    <w:rsid w:val="00447703"/>
    <w:rsid w:val="00465D63"/>
    <w:rsid w:val="00474B85"/>
    <w:rsid w:val="004A2DF2"/>
    <w:rsid w:val="004B0829"/>
    <w:rsid w:val="004B1A66"/>
    <w:rsid w:val="004B6D5B"/>
    <w:rsid w:val="004C140B"/>
    <w:rsid w:val="004C1EA7"/>
    <w:rsid w:val="004C37B9"/>
    <w:rsid w:val="004C4AD3"/>
    <w:rsid w:val="004C4C44"/>
    <w:rsid w:val="004D1E96"/>
    <w:rsid w:val="004D46FE"/>
    <w:rsid w:val="004E232D"/>
    <w:rsid w:val="004F46B8"/>
    <w:rsid w:val="00530250"/>
    <w:rsid w:val="00535D74"/>
    <w:rsid w:val="00543A4C"/>
    <w:rsid w:val="005469A8"/>
    <w:rsid w:val="005477A6"/>
    <w:rsid w:val="005537BF"/>
    <w:rsid w:val="00560B3A"/>
    <w:rsid w:val="005620E8"/>
    <w:rsid w:val="0059326E"/>
    <w:rsid w:val="005938A0"/>
    <w:rsid w:val="00597608"/>
    <w:rsid w:val="005A4B9E"/>
    <w:rsid w:val="005D5451"/>
    <w:rsid w:val="005E041E"/>
    <w:rsid w:val="00602B59"/>
    <w:rsid w:val="0060433E"/>
    <w:rsid w:val="006172FC"/>
    <w:rsid w:val="0062030B"/>
    <w:rsid w:val="006262C3"/>
    <w:rsid w:val="006273CF"/>
    <w:rsid w:val="00634EE6"/>
    <w:rsid w:val="00643D38"/>
    <w:rsid w:val="00644C48"/>
    <w:rsid w:val="00652DD0"/>
    <w:rsid w:val="00663AD5"/>
    <w:rsid w:val="00666C9C"/>
    <w:rsid w:val="00671BD6"/>
    <w:rsid w:val="006979FD"/>
    <w:rsid w:val="006A3359"/>
    <w:rsid w:val="006A7DA3"/>
    <w:rsid w:val="006B0B04"/>
    <w:rsid w:val="006B77AA"/>
    <w:rsid w:val="006C10BE"/>
    <w:rsid w:val="006C1590"/>
    <w:rsid w:val="006C26CA"/>
    <w:rsid w:val="006C4350"/>
    <w:rsid w:val="006D069F"/>
    <w:rsid w:val="006D3474"/>
    <w:rsid w:val="006E432B"/>
    <w:rsid w:val="006F4E36"/>
    <w:rsid w:val="0070583E"/>
    <w:rsid w:val="00712FFF"/>
    <w:rsid w:val="00714B0D"/>
    <w:rsid w:val="007263D4"/>
    <w:rsid w:val="007753BE"/>
    <w:rsid w:val="00791D5A"/>
    <w:rsid w:val="0079472C"/>
    <w:rsid w:val="007A2BE2"/>
    <w:rsid w:val="007B00C0"/>
    <w:rsid w:val="007B0615"/>
    <w:rsid w:val="007B1442"/>
    <w:rsid w:val="007C03CD"/>
    <w:rsid w:val="007C1985"/>
    <w:rsid w:val="007D10D0"/>
    <w:rsid w:val="007E0855"/>
    <w:rsid w:val="007E0B3E"/>
    <w:rsid w:val="007E242D"/>
    <w:rsid w:val="007E5F5A"/>
    <w:rsid w:val="007E6655"/>
    <w:rsid w:val="007F13CE"/>
    <w:rsid w:val="007F269E"/>
    <w:rsid w:val="007F31E6"/>
    <w:rsid w:val="007F398C"/>
    <w:rsid w:val="007F779C"/>
    <w:rsid w:val="0080240E"/>
    <w:rsid w:val="00814D97"/>
    <w:rsid w:val="00821CB1"/>
    <w:rsid w:val="00823171"/>
    <w:rsid w:val="00831442"/>
    <w:rsid w:val="00834223"/>
    <w:rsid w:val="00841EE1"/>
    <w:rsid w:val="00842C31"/>
    <w:rsid w:val="00844384"/>
    <w:rsid w:val="00852C77"/>
    <w:rsid w:val="008558C9"/>
    <w:rsid w:val="00861015"/>
    <w:rsid w:val="0086155C"/>
    <w:rsid w:val="00861E3C"/>
    <w:rsid w:val="0086333F"/>
    <w:rsid w:val="00881CC3"/>
    <w:rsid w:val="00883DD5"/>
    <w:rsid w:val="00884A1C"/>
    <w:rsid w:val="008B1CEB"/>
    <w:rsid w:val="008B7244"/>
    <w:rsid w:val="008D2087"/>
    <w:rsid w:val="008E4B45"/>
    <w:rsid w:val="008F2085"/>
    <w:rsid w:val="008F69BD"/>
    <w:rsid w:val="008F7813"/>
    <w:rsid w:val="00907AFD"/>
    <w:rsid w:val="00923683"/>
    <w:rsid w:val="00923796"/>
    <w:rsid w:val="009267D3"/>
    <w:rsid w:val="00933A83"/>
    <w:rsid w:val="00935C7E"/>
    <w:rsid w:val="00940CE8"/>
    <w:rsid w:val="009540FD"/>
    <w:rsid w:val="009556E0"/>
    <w:rsid w:val="009737F0"/>
    <w:rsid w:val="009764C3"/>
    <w:rsid w:val="00980F98"/>
    <w:rsid w:val="00990E5F"/>
    <w:rsid w:val="00991DAF"/>
    <w:rsid w:val="0099290D"/>
    <w:rsid w:val="009933B7"/>
    <w:rsid w:val="00993743"/>
    <w:rsid w:val="009A4783"/>
    <w:rsid w:val="009B2D9E"/>
    <w:rsid w:val="009B65C6"/>
    <w:rsid w:val="009C66B3"/>
    <w:rsid w:val="009C691B"/>
    <w:rsid w:val="009D47C3"/>
    <w:rsid w:val="009E6AFF"/>
    <w:rsid w:val="009F7A2E"/>
    <w:rsid w:val="00A0069F"/>
    <w:rsid w:val="00A06310"/>
    <w:rsid w:val="00A10DD3"/>
    <w:rsid w:val="00A20631"/>
    <w:rsid w:val="00A30BB4"/>
    <w:rsid w:val="00A30DA5"/>
    <w:rsid w:val="00A325C9"/>
    <w:rsid w:val="00A34FF5"/>
    <w:rsid w:val="00A36944"/>
    <w:rsid w:val="00A409D8"/>
    <w:rsid w:val="00A62F76"/>
    <w:rsid w:val="00A70440"/>
    <w:rsid w:val="00A72BC2"/>
    <w:rsid w:val="00A7467A"/>
    <w:rsid w:val="00A748FB"/>
    <w:rsid w:val="00A818A6"/>
    <w:rsid w:val="00A85637"/>
    <w:rsid w:val="00A85E0F"/>
    <w:rsid w:val="00A868EC"/>
    <w:rsid w:val="00A90F6C"/>
    <w:rsid w:val="00A94036"/>
    <w:rsid w:val="00AA1A02"/>
    <w:rsid w:val="00AB682A"/>
    <w:rsid w:val="00AC3EFA"/>
    <w:rsid w:val="00AC4226"/>
    <w:rsid w:val="00AD5DFD"/>
    <w:rsid w:val="00AE198C"/>
    <w:rsid w:val="00AF03DD"/>
    <w:rsid w:val="00AF423B"/>
    <w:rsid w:val="00AF6456"/>
    <w:rsid w:val="00B074B5"/>
    <w:rsid w:val="00B130D0"/>
    <w:rsid w:val="00B30000"/>
    <w:rsid w:val="00B31D8A"/>
    <w:rsid w:val="00B3431C"/>
    <w:rsid w:val="00B445F8"/>
    <w:rsid w:val="00B55D43"/>
    <w:rsid w:val="00B57E17"/>
    <w:rsid w:val="00B61F84"/>
    <w:rsid w:val="00B6336E"/>
    <w:rsid w:val="00B773F2"/>
    <w:rsid w:val="00B81A1A"/>
    <w:rsid w:val="00BA267C"/>
    <w:rsid w:val="00BA75C3"/>
    <w:rsid w:val="00BB5F59"/>
    <w:rsid w:val="00BC4E73"/>
    <w:rsid w:val="00BC5611"/>
    <w:rsid w:val="00BE0CB9"/>
    <w:rsid w:val="00BE5470"/>
    <w:rsid w:val="00BF5C83"/>
    <w:rsid w:val="00C055BA"/>
    <w:rsid w:val="00C100C0"/>
    <w:rsid w:val="00C16D90"/>
    <w:rsid w:val="00C200DE"/>
    <w:rsid w:val="00C26D0E"/>
    <w:rsid w:val="00C37053"/>
    <w:rsid w:val="00C42A78"/>
    <w:rsid w:val="00C75BCA"/>
    <w:rsid w:val="00C77AF4"/>
    <w:rsid w:val="00C87569"/>
    <w:rsid w:val="00C97040"/>
    <w:rsid w:val="00C977EE"/>
    <w:rsid w:val="00CA316A"/>
    <w:rsid w:val="00CB0546"/>
    <w:rsid w:val="00CB1812"/>
    <w:rsid w:val="00CB6F73"/>
    <w:rsid w:val="00CC5A5D"/>
    <w:rsid w:val="00CC7BB8"/>
    <w:rsid w:val="00CD229A"/>
    <w:rsid w:val="00CD6564"/>
    <w:rsid w:val="00CE7637"/>
    <w:rsid w:val="00CF1B87"/>
    <w:rsid w:val="00CF54B8"/>
    <w:rsid w:val="00D0694C"/>
    <w:rsid w:val="00D137BC"/>
    <w:rsid w:val="00D13996"/>
    <w:rsid w:val="00D15F73"/>
    <w:rsid w:val="00D175E6"/>
    <w:rsid w:val="00D265E1"/>
    <w:rsid w:val="00D3067F"/>
    <w:rsid w:val="00D44DFD"/>
    <w:rsid w:val="00D45A42"/>
    <w:rsid w:val="00D4622D"/>
    <w:rsid w:val="00D47BD3"/>
    <w:rsid w:val="00D5607D"/>
    <w:rsid w:val="00D64426"/>
    <w:rsid w:val="00D6569E"/>
    <w:rsid w:val="00D71A4E"/>
    <w:rsid w:val="00D727C3"/>
    <w:rsid w:val="00D9210E"/>
    <w:rsid w:val="00D94948"/>
    <w:rsid w:val="00DA49CE"/>
    <w:rsid w:val="00DB2D7C"/>
    <w:rsid w:val="00DB5F5B"/>
    <w:rsid w:val="00DC264D"/>
    <w:rsid w:val="00DC3CA5"/>
    <w:rsid w:val="00DC4794"/>
    <w:rsid w:val="00DD18FC"/>
    <w:rsid w:val="00DE2080"/>
    <w:rsid w:val="00DF0D77"/>
    <w:rsid w:val="00DF2579"/>
    <w:rsid w:val="00DF60EB"/>
    <w:rsid w:val="00E01861"/>
    <w:rsid w:val="00E02887"/>
    <w:rsid w:val="00E02B05"/>
    <w:rsid w:val="00E13BF9"/>
    <w:rsid w:val="00E26044"/>
    <w:rsid w:val="00E303AA"/>
    <w:rsid w:val="00E31DC2"/>
    <w:rsid w:val="00E32EE9"/>
    <w:rsid w:val="00E37459"/>
    <w:rsid w:val="00E51E46"/>
    <w:rsid w:val="00E5252E"/>
    <w:rsid w:val="00E978E8"/>
    <w:rsid w:val="00EA4725"/>
    <w:rsid w:val="00EC09D1"/>
    <w:rsid w:val="00EC1F7F"/>
    <w:rsid w:val="00ED50D7"/>
    <w:rsid w:val="00EE04CA"/>
    <w:rsid w:val="00EE2D49"/>
    <w:rsid w:val="00EE3ACB"/>
    <w:rsid w:val="00EF0009"/>
    <w:rsid w:val="00EF6A4F"/>
    <w:rsid w:val="00F0238E"/>
    <w:rsid w:val="00F04140"/>
    <w:rsid w:val="00F053D1"/>
    <w:rsid w:val="00F11264"/>
    <w:rsid w:val="00F13E22"/>
    <w:rsid w:val="00F22595"/>
    <w:rsid w:val="00F24523"/>
    <w:rsid w:val="00F261D4"/>
    <w:rsid w:val="00F27644"/>
    <w:rsid w:val="00F36D8E"/>
    <w:rsid w:val="00F37F73"/>
    <w:rsid w:val="00F47A34"/>
    <w:rsid w:val="00F50FE6"/>
    <w:rsid w:val="00F557D1"/>
    <w:rsid w:val="00F6407F"/>
    <w:rsid w:val="00F67A1B"/>
    <w:rsid w:val="00F807B9"/>
    <w:rsid w:val="00F80E2E"/>
    <w:rsid w:val="00F85301"/>
    <w:rsid w:val="00F85BAD"/>
    <w:rsid w:val="00F942CE"/>
    <w:rsid w:val="00FA4CF1"/>
    <w:rsid w:val="00FC196D"/>
    <w:rsid w:val="00FD1B42"/>
    <w:rsid w:val="00FD2B5D"/>
    <w:rsid w:val="00FE050A"/>
    <w:rsid w:val="00FE0C93"/>
    <w:rsid w:val="00FF2AB0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57D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57D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557D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D9"/>
  </w:style>
  <w:style w:type="paragraph" w:styleId="a8">
    <w:name w:val="footer"/>
    <w:basedOn w:val="a"/>
    <w:link w:val="a9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D9"/>
  </w:style>
  <w:style w:type="paragraph" w:styleId="aa">
    <w:name w:val="Balloon Text"/>
    <w:basedOn w:val="a"/>
    <w:link w:val="ab"/>
    <w:uiPriority w:val="99"/>
    <w:semiHidden/>
    <w:unhideWhenUsed/>
    <w:rsid w:val="00363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E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68EC"/>
    <w:rPr>
      <w:color w:val="0000FF" w:themeColor="hyperlink"/>
      <w:u w:val="single"/>
    </w:rPr>
  </w:style>
  <w:style w:type="paragraph" w:customStyle="1" w:styleId="1">
    <w:name w:val="Знак1 Знак Знак Знак Знак"/>
    <w:basedOn w:val="a"/>
    <w:rsid w:val="007753BE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2040C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qFormat/>
    <w:rsid w:val="00B3431C"/>
    <w:pPr>
      <w:spacing w:after="240" w:line="240" w:lineRule="atLeast"/>
      <w:ind w:firstLine="0"/>
      <w:jc w:val="left"/>
    </w:pPr>
    <w:rPr>
      <w:rFonts w:ascii="Georgia" w:hAnsi="Georgia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B3431C"/>
    <w:rPr>
      <w:rFonts w:ascii="Georgia" w:hAnsi="Georgia"/>
      <w:sz w:val="20"/>
      <w:szCs w:val="20"/>
      <w:lang w:val="en-GB"/>
    </w:rPr>
  </w:style>
  <w:style w:type="paragraph" w:customStyle="1" w:styleId="ConsPlusNormal">
    <w:name w:val="ConsPlusNormal"/>
    <w:rsid w:val="0042051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57D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57D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557D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D9"/>
  </w:style>
  <w:style w:type="paragraph" w:styleId="a8">
    <w:name w:val="footer"/>
    <w:basedOn w:val="a"/>
    <w:link w:val="a9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D9"/>
  </w:style>
  <w:style w:type="paragraph" w:styleId="aa">
    <w:name w:val="Balloon Text"/>
    <w:basedOn w:val="a"/>
    <w:link w:val="ab"/>
    <w:uiPriority w:val="99"/>
    <w:semiHidden/>
    <w:unhideWhenUsed/>
    <w:rsid w:val="00363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E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68EC"/>
    <w:rPr>
      <w:color w:val="0000FF" w:themeColor="hyperlink"/>
      <w:u w:val="single"/>
    </w:rPr>
  </w:style>
  <w:style w:type="paragraph" w:customStyle="1" w:styleId="1">
    <w:name w:val="Знак1 Знак Знак Знак Знак"/>
    <w:basedOn w:val="a"/>
    <w:rsid w:val="007753BE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2040C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qFormat/>
    <w:rsid w:val="00B3431C"/>
    <w:pPr>
      <w:spacing w:after="240" w:line="240" w:lineRule="atLeast"/>
      <w:ind w:firstLine="0"/>
      <w:jc w:val="left"/>
    </w:pPr>
    <w:rPr>
      <w:rFonts w:ascii="Georgia" w:hAnsi="Georgia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B3431C"/>
    <w:rPr>
      <w:rFonts w:ascii="Georgia" w:hAnsi="Georgia"/>
      <w:sz w:val="20"/>
      <w:szCs w:val="20"/>
      <w:lang w:val="en-GB"/>
    </w:rPr>
  </w:style>
  <w:style w:type="paragraph" w:customStyle="1" w:styleId="ConsPlusNormal">
    <w:name w:val="ConsPlusNormal"/>
    <w:rsid w:val="0042051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71765&amp;rnd=244973.255438822&amp;dst=1000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B86E-33D4-43F7-8A29-074F25A4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БАКУЛИНА ТАТЬЯНА СЕРГЕЕВНА</cp:lastModifiedBy>
  <cp:revision>26</cp:revision>
  <cp:lastPrinted>2017-04-24T09:09:00Z</cp:lastPrinted>
  <dcterms:created xsi:type="dcterms:W3CDTF">2016-12-06T08:56:00Z</dcterms:created>
  <dcterms:modified xsi:type="dcterms:W3CDTF">2017-04-25T16:27:00Z</dcterms:modified>
</cp:coreProperties>
</file>