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35" w:rsidRPr="00953580" w:rsidRDefault="00953580" w:rsidP="00A70549">
      <w:pPr>
        <w:pStyle w:val="IASBTitle"/>
        <w:rPr>
          <w:lang w:val="ru-RU"/>
        </w:rPr>
      </w:pPr>
      <w:bookmarkStart w:id="0" w:name="F31740161"/>
      <w:r>
        <w:rPr>
          <w:b/>
          <w:lang w:val="ru-RU"/>
        </w:rPr>
        <w:t>Разъяснен</w:t>
      </w:r>
      <w:bookmarkStart w:id="1" w:name="_GoBack"/>
      <w:bookmarkEnd w:id="1"/>
      <w:r>
        <w:rPr>
          <w:b/>
          <w:lang w:val="ru-RU"/>
        </w:rPr>
        <w:t>ие</w:t>
      </w:r>
      <w:r w:rsidRPr="00953580">
        <w:rPr>
          <w:b/>
          <w:lang w:val="ru-RU"/>
        </w:rPr>
        <w:t xml:space="preserve"> </w:t>
      </w:r>
      <w:r>
        <w:rPr>
          <w:b/>
          <w:lang w:val="ru-RU"/>
        </w:rPr>
        <w:t>допустимых</w:t>
      </w:r>
      <w:r w:rsidRPr="00953580">
        <w:rPr>
          <w:b/>
          <w:lang w:val="ru-RU"/>
        </w:rPr>
        <w:t xml:space="preserve"> </w:t>
      </w:r>
      <w:r>
        <w:rPr>
          <w:b/>
          <w:lang w:val="ru-RU"/>
        </w:rPr>
        <w:t>методов</w:t>
      </w:r>
      <w:r w:rsidRPr="00953580">
        <w:rPr>
          <w:b/>
          <w:lang w:val="ru-RU"/>
        </w:rPr>
        <w:t xml:space="preserve"> </w:t>
      </w:r>
      <w:r>
        <w:rPr>
          <w:b/>
          <w:lang w:val="ru-RU"/>
        </w:rPr>
        <w:t>амортизации</w:t>
      </w:r>
      <w:r w:rsidR="00715519">
        <w:rPr>
          <w:lang w:val="ru-RU"/>
        </w:rPr>
        <w:t xml:space="preserve"> </w:t>
      </w:r>
      <w:r w:rsidR="00F61559" w:rsidRPr="00953580">
        <w:rPr>
          <w:lang w:val="ru-RU"/>
        </w:rPr>
        <w:br/>
        <w:t>(</w:t>
      </w:r>
      <w:r>
        <w:rPr>
          <w:lang w:val="ru-RU"/>
        </w:rPr>
        <w:t xml:space="preserve">Поправки к </w:t>
      </w:r>
      <w:r w:rsidR="00CB787C">
        <w:rPr>
          <w:lang w:val="ru-RU"/>
        </w:rPr>
        <w:t xml:space="preserve">Международному стандарту финансовой отчетности </w:t>
      </w:r>
      <w:r>
        <w:rPr>
          <w:lang w:val="ru-RU"/>
        </w:rPr>
        <w:t>(IAS) </w:t>
      </w:r>
      <w:r w:rsidR="00F61559" w:rsidRPr="00953580">
        <w:rPr>
          <w:lang w:val="ru-RU"/>
        </w:rPr>
        <w:t xml:space="preserve">16 </w:t>
      </w:r>
      <w:r>
        <w:rPr>
          <w:lang w:val="ru-RU"/>
        </w:rPr>
        <w:t xml:space="preserve">и </w:t>
      </w:r>
      <w:r w:rsidR="00CB787C">
        <w:rPr>
          <w:lang w:val="ru-RU"/>
        </w:rPr>
        <w:t xml:space="preserve">Международному стандарту финансовой отчетности </w:t>
      </w:r>
      <w:r>
        <w:rPr>
          <w:lang w:val="ru-RU"/>
        </w:rPr>
        <w:t>(IAS) </w:t>
      </w:r>
      <w:r w:rsidR="00F61559" w:rsidRPr="00953580">
        <w:rPr>
          <w:lang w:val="ru-RU"/>
        </w:rPr>
        <w:t>38)</w:t>
      </w:r>
      <w:bookmarkEnd w:id="0"/>
    </w:p>
    <w:p w:rsidR="00752A35" w:rsidRPr="00953580" w:rsidRDefault="00953580">
      <w:pPr>
        <w:pStyle w:val="IASBSectionTitle1NonInd"/>
        <w:pBdr>
          <w:bottom w:val="none" w:sz="0" w:space="0" w:color="auto"/>
        </w:pBdr>
        <w:rPr>
          <w:lang w:val="ru-RU"/>
        </w:rPr>
      </w:pPr>
      <w:bookmarkStart w:id="2" w:name="F31740653"/>
      <w:r>
        <w:rPr>
          <w:lang w:val="ru-RU"/>
        </w:rPr>
        <w:t>Поправки</w:t>
      </w:r>
      <w:r w:rsidRPr="00953580">
        <w:rPr>
          <w:lang w:val="ru-RU"/>
        </w:rPr>
        <w:t xml:space="preserve"> </w:t>
      </w:r>
      <w:r>
        <w:rPr>
          <w:lang w:val="ru-RU"/>
        </w:rPr>
        <w:t>к</w:t>
      </w:r>
      <w:r w:rsidR="00715519">
        <w:rPr>
          <w:lang w:val="ru-RU"/>
        </w:rPr>
        <w:t xml:space="preserve"> </w:t>
      </w:r>
      <w:r>
        <w:rPr>
          <w:lang w:val="ru-RU"/>
        </w:rPr>
        <w:t>МСФО</w:t>
      </w:r>
      <w:r w:rsidRPr="00953580">
        <w:t> </w:t>
      </w:r>
      <w:r w:rsidRPr="00953580">
        <w:rPr>
          <w:lang w:val="ru-RU"/>
        </w:rPr>
        <w:t>(</w:t>
      </w:r>
      <w:r w:rsidRPr="00953580">
        <w:t>IAS</w:t>
      </w:r>
      <w:r w:rsidRPr="00953580">
        <w:rPr>
          <w:lang w:val="ru-RU"/>
        </w:rPr>
        <w:t>)</w:t>
      </w:r>
      <w:r w:rsidRPr="00953580">
        <w:t> </w:t>
      </w:r>
      <w:r w:rsidR="00F61559" w:rsidRPr="00953580">
        <w:rPr>
          <w:lang w:val="ru-RU"/>
        </w:rPr>
        <w:t xml:space="preserve">16 </w:t>
      </w:r>
      <w:r>
        <w:rPr>
          <w:i/>
          <w:lang w:val="ru-RU"/>
        </w:rPr>
        <w:t>«Основные средства»</w:t>
      </w:r>
      <w:bookmarkEnd w:id="2"/>
    </w:p>
    <w:p w:rsidR="00715519" w:rsidRDefault="00715519" w:rsidP="00715519">
      <w:pPr>
        <w:pStyle w:val="IASBNormal"/>
        <w:tabs>
          <w:tab w:val="left" w:pos="9214"/>
        </w:tabs>
        <w:ind w:right="-187"/>
        <w:rPr>
          <w:lang w:val="ru-RU"/>
        </w:rPr>
      </w:pPr>
      <w:r>
        <w:rPr>
          <w:lang w:val="ru-RU"/>
        </w:rPr>
        <w:t>В подпункт (с) пункта 56 включить предложение следующего содержания:</w:t>
      </w:r>
    </w:p>
    <w:p w:rsidR="00752A35" w:rsidRPr="00715519" w:rsidRDefault="00715519" w:rsidP="00715519">
      <w:pPr>
        <w:pStyle w:val="IASBNormalnparaL1"/>
        <w:ind w:left="2410"/>
        <w:rPr>
          <w:lang w:val="ru-RU"/>
        </w:rPr>
      </w:pPr>
      <w:bookmarkStart w:id="3" w:name="F31741203"/>
      <w:r w:rsidRPr="00715519">
        <w:rPr>
          <w:lang w:val="ru-RU"/>
        </w:rPr>
        <w:tab/>
      </w:r>
      <w:r w:rsidR="00F32D63" w:rsidRPr="00715519">
        <w:rPr>
          <w:lang w:val="ru-RU"/>
        </w:rPr>
        <w:t>Ожидаемое будущее уменьшение</w:t>
      </w:r>
      <w:r w:rsidR="0040509E" w:rsidRPr="00715519">
        <w:rPr>
          <w:lang w:val="ru-RU"/>
        </w:rPr>
        <w:t xml:space="preserve"> цены продажи продукции, произведенной с использованием актива, </w:t>
      </w:r>
      <w:r w:rsidR="00A409FE" w:rsidRPr="00715519">
        <w:rPr>
          <w:lang w:val="ru-RU"/>
        </w:rPr>
        <w:t>может</w:t>
      </w:r>
      <w:r w:rsidR="0040509E" w:rsidRPr="00715519">
        <w:rPr>
          <w:lang w:val="ru-RU"/>
        </w:rPr>
        <w:t xml:space="preserve"> указывать на ожидаемое моральное или коммерческое устаревание актива, что, в свою очередь, может свидетельствовать об уменьшени</w:t>
      </w:r>
      <w:r w:rsidR="00F32D63" w:rsidRPr="00715519">
        <w:rPr>
          <w:lang w:val="ru-RU"/>
        </w:rPr>
        <w:t>и</w:t>
      </w:r>
      <w:r w:rsidR="0040509E" w:rsidRPr="00715519">
        <w:rPr>
          <w:lang w:val="ru-RU"/>
        </w:rPr>
        <w:t xml:space="preserve"> будущих экономических выгод, заключенных в данном активе</w:t>
      </w:r>
      <w:bookmarkEnd w:id="3"/>
      <w:r w:rsidR="001101F5" w:rsidRPr="00715519">
        <w:rPr>
          <w:lang w:val="ru-RU"/>
        </w:rPr>
        <w:t>;</w:t>
      </w:r>
    </w:p>
    <w:p w:rsidR="00715519" w:rsidRPr="00020D94" w:rsidRDefault="00715519" w:rsidP="00715519">
      <w:pPr>
        <w:pStyle w:val="IASBNormalnparaL1"/>
        <w:ind w:left="0" w:right="-187" w:firstLine="0"/>
        <w:rPr>
          <w:lang w:val="ru-RU"/>
        </w:rPr>
      </w:pPr>
      <w:r>
        <w:rPr>
          <w:lang w:val="ru-RU"/>
        </w:rPr>
        <w:t>После пункта 62 включить пункт 62А следующего содержания:</w:t>
      </w:r>
    </w:p>
    <w:p w:rsidR="00752A35" w:rsidRPr="00715519" w:rsidRDefault="00F61559" w:rsidP="00715519">
      <w:pPr>
        <w:pStyle w:val="IASBNormalnpara"/>
        <w:ind w:left="1560"/>
        <w:rPr>
          <w:lang w:val="ru-RU"/>
        </w:rPr>
      </w:pPr>
      <w:r w:rsidRPr="00715519">
        <w:rPr>
          <w:lang w:val="ru-RU"/>
        </w:rPr>
        <w:t>62</w:t>
      </w:r>
      <w:r w:rsidRPr="00715519">
        <w:rPr>
          <w:lang w:val="en-GB"/>
        </w:rPr>
        <w:t>A</w:t>
      </w:r>
      <w:r w:rsidRPr="00715519">
        <w:rPr>
          <w:lang w:val="ru-RU"/>
        </w:rPr>
        <w:tab/>
      </w:r>
      <w:bookmarkStart w:id="4" w:name="F31741231"/>
      <w:r w:rsidR="00410BDC" w:rsidRPr="00715519">
        <w:rPr>
          <w:lang w:val="ru-RU"/>
        </w:rPr>
        <w:t>Недопустимо применение метода амортизации, основанного на выручке, генерируемой в результате деятельности, в которой задействован актив. Выручка, генерируемая в результате деятельности, в которой задействован актив, как правило, отражает факторы, отличные от потребления заключенных в данном активе экономических выгод. Например, на выручку влияют другие используемые ресурсы и процессы, деятельность по продаже</w:t>
      </w:r>
      <w:r w:rsidR="00005E87" w:rsidRPr="00715519">
        <w:rPr>
          <w:lang w:val="ru-RU"/>
        </w:rPr>
        <w:t>, а также</w:t>
      </w:r>
      <w:r w:rsidR="00410BDC" w:rsidRPr="00715519">
        <w:rPr>
          <w:lang w:val="ru-RU"/>
        </w:rPr>
        <w:t xml:space="preserve"> изменения объемов и цен продаж. На ценовой компонент выручки может влиять инфляция, которая не имеет отношения к способу потребления актива.</w:t>
      </w:r>
      <w:bookmarkEnd w:id="4"/>
    </w:p>
    <w:p w:rsidR="00715519" w:rsidRDefault="00715519" w:rsidP="00715519">
      <w:pPr>
        <w:pStyle w:val="IASBNormalnpara"/>
        <w:ind w:right="-187"/>
        <w:rPr>
          <w:lang w:val="ru-RU"/>
        </w:rPr>
      </w:pPr>
      <w:r w:rsidRPr="0096474D">
        <w:rPr>
          <w:lang w:val="ru-RU"/>
        </w:rPr>
        <w:t>После пункта 81</w:t>
      </w:r>
      <w:r w:rsidR="001E46DD">
        <w:t>H</w:t>
      </w:r>
      <w:r>
        <w:rPr>
          <w:lang w:val="ru-RU"/>
        </w:rPr>
        <w:t xml:space="preserve"> включить пункт 81</w:t>
      </w:r>
      <w:r>
        <w:t>I</w:t>
      </w:r>
      <w:r w:rsidRPr="00020D94">
        <w:rPr>
          <w:lang w:val="ru-RU"/>
        </w:rPr>
        <w:t xml:space="preserve"> </w:t>
      </w:r>
      <w:r>
        <w:rPr>
          <w:lang w:val="ru-RU"/>
        </w:rPr>
        <w:t>следующего содержания:</w:t>
      </w:r>
    </w:p>
    <w:p w:rsidR="006A6D75" w:rsidRPr="00715519" w:rsidRDefault="00F61559" w:rsidP="00715519">
      <w:pPr>
        <w:pStyle w:val="IASBNormalnpara"/>
        <w:ind w:left="1560"/>
        <w:rPr>
          <w:lang w:val="ru-RU"/>
        </w:rPr>
      </w:pPr>
      <w:r w:rsidRPr="00715519">
        <w:rPr>
          <w:lang w:val="ru-RU"/>
        </w:rPr>
        <w:t>81</w:t>
      </w:r>
      <w:r w:rsidRPr="00715519">
        <w:rPr>
          <w:lang w:val="en-GB"/>
        </w:rPr>
        <w:t>I</w:t>
      </w:r>
      <w:r w:rsidRPr="00715519">
        <w:rPr>
          <w:lang w:val="ru-RU"/>
        </w:rPr>
        <w:tab/>
      </w:r>
      <w:bookmarkStart w:id="5" w:name="F31741235"/>
      <w:r w:rsidR="006A6D75" w:rsidRPr="00715519">
        <w:rPr>
          <w:lang w:val="ru-RU"/>
        </w:rPr>
        <w:t>Документ</w:t>
      </w:r>
      <w:r w:rsidR="001101F5" w:rsidRPr="00715519">
        <w:rPr>
          <w:lang w:val="ru-RU"/>
        </w:rPr>
        <w:t>ом</w:t>
      </w:r>
      <w:r w:rsidR="006A6D75" w:rsidRPr="00715519">
        <w:rPr>
          <w:lang w:val="ru-RU"/>
        </w:rPr>
        <w:t xml:space="preserve"> </w:t>
      </w:r>
      <w:r w:rsidR="006A6D75" w:rsidRPr="00715519">
        <w:rPr>
          <w:i/>
          <w:lang w:val="ru-RU"/>
        </w:rPr>
        <w:t>«Разъяснение</w:t>
      </w:r>
      <w:r w:rsidR="00F02EC1">
        <w:rPr>
          <w:i/>
          <w:lang w:val="ru-RU"/>
        </w:rPr>
        <w:t xml:space="preserve"> допустимых методов амортизации</w:t>
      </w:r>
      <w:r w:rsidR="006A6D75" w:rsidRPr="00715519">
        <w:rPr>
          <w:i/>
          <w:lang w:val="ru-RU"/>
        </w:rPr>
        <w:t xml:space="preserve"> </w:t>
      </w:r>
      <w:r w:rsidR="006A6D75" w:rsidRPr="00715519">
        <w:rPr>
          <w:lang w:val="ru-RU"/>
        </w:rPr>
        <w:t>(</w:t>
      </w:r>
      <w:r w:rsidR="00005E87" w:rsidRPr="00715519">
        <w:rPr>
          <w:lang w:val="ru-RU"/>
        </w:rPr>
        <w:t>п</w:t>
      </w:r>
      <w:r w:rsidR="006A6D75" w:rsidRPr="00715519">
        <w:rPr>
          <w:lang w:val="ru-RU"/>
        </w:rPr>
        <w:t xml:space="preserve">оправки к </w:t>
      </w:r>
      <w:r w:rsidR="00F02EC1">
        <w:rPr>
          <w:lang w:val="ru-RU"/>
        </w:rPr>
        <w:t>Международному стандарту финансовой отчетности</w:t>
      </w:r>
      <w:r w:rsidR="00F02EC1" w:rsidRPr="00F223EF">
        <w:rPr>
          <w:lang w:val="ru-RU"/>
        </w:rPr>
        <w:t> </w:t>
      </w:r>
      <w:r w:rsidR="00F02EC1" w:rsidRPr="00715519">
        <w:rPr>
          <w:lang w:val="ru-RU"/>
        </w:rPr>
        <w:t xml:space="preserve"> </w:t>
      </w:r>
      <w:r w:rsidR="006A6D75" w:rsidRPr="00715519">
        <w:rPr>
          <w:lang w:val="ru-RU"/>
        </w:rPr>
        <w:t xml:space="preserve">(IAS) 16 и </w:t>
      </w:r>
      <w:r w:rsidR="00F02EC1">
        <w:rPr>
          <w:lang w:val="ru-RU"/>
        </w:rPr>
        <w:t>Международному стандарту финансовой отчетности</w:t>
      </w:r>
      <w:r w:rsidR="00F02EC1" w:rsidRPr="00F223EF">
        <w:rPr>
          <w:lang w:val="ru-RU"/>
        </w:rPr>
        <w:t> </w:t>
      </w:r>
      <w:r w:rsidR="00F02EC1" w:rsidRPr="00715519">
        <w:rPr>
          <w:lang w:val="ru-RU"/>
        </w:rPr>
        <w:t xml:space="preserve"> </w:t>
      </w:r>
      <w:r w:rsidR="006A6D75" w:rsidRPr="00715519">
        <w:rPr>
          <w:lang w:val="ru-RU"/>
        </w:rPr>
        <w:t>(IAS) 38)</w:t>
      </w:r>
      <w:r w:rsidR="00F02EC1">
        <w:rPr>
          <w:lang w:val="ru-RU"/>
        </w:rPr>
        <w:t>»</w:t>
      </w:r>
      <w:r w:rsidR="001101F5" w:rsidRPr="00715519">
        <w:rPr>
          <w:lang w:val="ru-RU"/>
        </w:rPr>
        <w:t>, выпущенным</w:t>
      </w:r>
      <w:r w:rsidR="006A6D75" w:rsidRPr="00715519">
        <w:rPr>
          <w:lang w:val="ru-RU"/>
        </w:rPr>
        <w:t xml:space="preserve"> в мае 2014 г</w:t>
      </w:r>
      <w:r w:rsidR="00F33583" w:rsidRPr="00715519">
        <w:rPr>
          <w:lang w:val="ru-RU"/>
        </w:rPr>
        <w:t>ода</w:t>
      </w:r>
      <w:r w:rsidR="006A6D75" w:rsidRPr="00715519">
        <w:rPr>
          <w:lang w:val="ru-RU"/>
        </w:rPr>
        <w:t>, внес</w:t>
      </w:r>
      <w:r w:rsidR="001101F5" w:rsidRPr="00715519">
        <w:rPr>
          <w:lang w:val="ru-RU"/>
        </w:rPr>
        <w:t>ены</w:t>
      </w:r>
      <w:r w:rsidR="006A6D75" w:rsidRPr="00715519">
        <w:rPr>
          <w:lang w:val="ru-RU"/>
        </w:rPr>
        <w:t xml:space="preserve"> изменения в пункт </w:t>
      </w:r>
      <w:r w:rsidR="001101F5" w:rsidRPr="00715519">
        <w:rPr>
          <w:lang w:val="ru-RU"/>
        </w:rPr>
        <w:t>56 и добавлен</w:t>
      </w:r>
      <w:r w:rsidR="006A6D75" w:rsidRPr="00715519">
        <w:rPr>
          <w:lang w:val="ru-RU"/>
        </w:rPr>
        <w:t xml:space="preserve"> пункт 62А. Организация должна применять данные поправки перспективно в отношении годовых периодов, начинающихся 1 января 2016 г</w:t>
      </w:r>
      <w:r w:rsidR="00005E87" w:rsidRPr="00715519">
        <w:rPr>
          <w:lang w:val="ru-RU"/>
        </w:rPr>
        <w:t>ода</w:t>
      </w:r>
      <w:r w:rsidR="006A6D75" w:rsidRPr="00715519">
        <w:rPr>
          <w:lang w:val="ru-RU"/>
        </w:rPr>
        <w:t xml:space="preserve"> или после этой даты. Допускается досрочное приме</w:t>
      </w:r>
      <w:r w:rsidR="001101F5" w:rsidRPr="00715519">
        <w:rPr>
          <w:lang w:val="ru-RU"/>
        </w:rPr>
        <w:t>нение. Если организация примени</w:t>
      </w:r>
      <w:r w:rsidR="006A6D75" w:rsidRPr="00715519">
        <w:rPr>
          <w:lang w:val="ru-RU"/>
        </w:rPr>
        <w:t xml:space="preserve">т данные поправки в отношении более раннего периода, </w:t>
      </w:r>
      <w:r w:rsidR="001101F5" w:rsidRPr="00715519">
        <w:rPr>
          <w:lang w:val="ru-RU"/>
        </w:rPr>
        <w:t>она должна раскрыть этот</w:t>
      </w:r>
      <w:r w:rsidR="006A6D75" w:rsidRPr="00715519">
        <w:rPr>
          <w:lang w:val="ru-RU"/>
        </w:rPr>
        <w:t xml:space="preserve"> факт.</w:t>
      </w:r>
    </w:p>
    <w:bookmarkEnd w:id="5"/>
    <w:p w:rsidR="00752A35" w:rsidRPr="00F6514A" w:rsidRDefault="00752A35">
      <w:pPr>
        <w:pStyle w:val="IASBNormalnpara"/>
        <w:rPr>
          <w:lang w:val="ru-RU"/>
        </w:rPr>
      </w:pPr>
    </w:p>
    <w:p w:rsidR="00752A35" w:rsidRPr="00F6514A" w:rsidRDefault="00752A35">
      <w:pPr>
        <w:widowControl w:val="0"/>
        <w:autoSpaceDE w:val="0"/>
        <w:autoSpaceDN w:val="0"/>
        <w:adjustRightInd w:val="0"/>
        <w:rPr>
          <w:lang w:val="ru-RU" w:eastAsia="en-GB"/>
        </w:rPr>
        <w:sectPr w:rsidR="00752A35" w:rsidRPr="00F6514A" w:rsidSect="00800D1C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/>
          <w:pgMar w:top="1440" w:right="1440" w:bottom="1440" w:left="1440" w:header="709" w:footer="709" w:gutter="0"/>
          <w:cols w:space="708"/>
          <w:docGrid w:linePitch="360"/>
        </w:sectPr>
      </w:pPr>
    </w:p>
    <w:p w:rsidR="00752A35" w:rsidRPr="006A6D75" w:rsidRDefault="006A6D75">
      <w:pPr>
        <w:pStyle w:val="IASBSectionTitle1NonInd"/>
        <w:pBdr>
          <w:bottom w:val="none" w:sz="0" w:space="0" w:color="auto"/>
        </w:pBdr>
        <w:rPr>
          <w:lang w:val="ru-RU"/>
        </w:rPr>
      </w:pPr>
      <w:bookmarkStart w:id="6" w:name="F31741279"/>
      <w:r>
        <w:rPr>
          <w:lang w:val="ru-RU"/>
        </w:rPr>
        <w:lastRenderedPageBreak/>
        <w:t>Поправки</w:t>
      </w:r>
      <w:r w:rsidRPr="006A6D75">
        <w:rPr>
          <w:lang w:val="ru-RU"/>
        </w:rPr>
        <w:t xml:space="preserve"> </w:t>
      </w:r>
      <w:r>
        <w:rPr>
          <w:lang w:val="ru-RU"/>
        </w:rPr>
        <w:t>к</w:t>
      </w:r>
      <w:r w:rsidR="00715519">
        <w:rPr>
          <w:lang w:val="ru-RU"/>
        </w:rPr>
        <w:t xml:space="preserve"> </w:t>
      </w:r>
      <w:r>
        <w:rPr>
          <w:lang w:val="ru-RU"/>
        </w:rPr>
        <w:t>МСФО (IAS) </w:t>
      </w:r>
      <w:r w:rsidR="00F61559" w:rsidRPr="006A6D75">
        <w:rPr>
          <w:lang w:val="ru-RU"/>
        </w:rPr>
        <w:t xml:space="preserve">38 </w:t>
      </w:r>
      <w:r>
        <w:rPr>
          <w:i/>
          <w:lang w:val="ru-RU"/>
        </w:rPr>
        <w:t>«Нематериальные активы»</w:t>
      </w:r>
      <w:bookmarkEnd w:id="6"/>
    </w:p>
    <w:p w:rsidR="00715519" w:rsidRPr="00C73B0E" w:rsidRDefault="00715519" w:rsidP="00715519">
      <w:pPr>
        <w:pStyle w:val="IASBNormalnpara"/>
        <w:ind w:right="-187"/>
        <w:rPr>
          <w:lang w:val="ru-RU"/>
        </w:rPr>
      </w:pPr>
      <w:r>
        <w:rPr>
          <w:lang w:val="ru-RU"/>
        </w:rPr>
        <w:t>Пункт 92 изложить в следующей редакции:</w:t>
      </w:r>
    </w:p>
    <w:p w:rsidR="00752A35" w:rsidRPr="00715519" w:rsidRDefault="00F61559" w:rsidP="00715519">
      <w:pPr>
        <w:pStyle w:val="IASBNormalnpara"/>
        <w:ind w:left="1560"/>
        <w:rPr>
          <w:lang w:val="ru-RU"/>
        </w:rPr>
      </w:pPr>
      <w:r w:rsidRPr="00715519">
        <w:rPr>
          <w:lang w:val="ru-RU"/>
        </w:rPr>
        <w:t>92</w:t>
      </w:r>
      <w:r w:rsidRPr="00715519">
        <w:rPr>
          <w:lang w:val="ru-RU"/>
        </w:rPr>
        <w:tab/>
      </w:r>
      <w:bookmarkStart w:id="7" w:name="F31741283"/>
      <w:r w:rsidR="00DD2EF5" w:rsidRPr="00715519">
        <w:rPr>
          <w:lang w:val="ru-RU"/>
        </w:rPr>
        <w:t>Ввиду быстрых изменений, происходящих в области технологий, компьютерное программное обеспечение и многие другие нематериальные активы подвержены технологическому устареванию</w:t>
      </w:r>
      <w:r w:rsidRPr="00715519">
        <w:rPr>
          <w:lang w:val="ru-RU"/>
        </w:rPr>
        <w:t xml:space="preserve">. </w:t>
      </w:r>
      <w:r w:rsidR="000A2ADE" w:rsidRPr="00715519">
        <w:rPr>
          <w:lang w:val="ru-RU"/>
        </w:rPr>
        <w:t>Таким образом</w:t>
      </w:r>
      <w:r w:rsidR="001F78F5" w:rsidRPr="00715519">
        <w:rPr>
          <w:lang w:val="ru-RU"/>
        </w:rPr>
        <w:t>, зачастую</w:t>
      </w:r>
      <w:r w:rsidRPr="00715519">
        <w:rPr>
          <w:lang w:val="ru-RU"/>
        </w:rPr>
        <w:t xml:space="preserve"> </w:t>
      </w:r>
      <w:r w:rsidR="001F78F5" w:rsidRPr="00715519">
        <w:rPr>
          <w:lang w:val="ru-RU"/>
        </w:rPr>
        <w:t>их срок полезного использования будет коротким</w:t>
      </w:r>
      <w:r w:rsidRPr="00715519">
        <w:rPr>
          <w:lang w:val="ru-RU"/>
        </w:rPr>
        <w:t xml:space="preserve">. </w:t>
      </w:r>
      <w:r w:rsidR="00697091" w:rsidRPr="00715519">
        <w:rPr>
          <w:lang w:val="ru-RU"/>
        </w:rPr>
        <w:t>Ожидаем</w:t>
      </w:r>
      <w:r w:rsidR="00DA01B3" w:rsidRPr="00715519">
        <w:rPr>
          <w:lang w:val="ru-RU"/>
        </w:rPr>
        <w:t>о</w:t>
      </w:r>
      <w:r w:rsidR="00697091" w:rsidRPr="00715519">
        <w:rPr>
          <w:lang w:val="ru-RU"/>
        </w:rPr>
        <w:t>е будущ</w:t>
      </w:r>
      <w:r w:rsidR="00DA01B3" w:rsidRPr="00715519">
        <w:rPr>
          <w:lang w:val="ru-RU"/>
        </w:rPr>
        <w:t>е</w:t>
      </w:r>
      <w:r w:rsidR="00697091" w:rsidRPr="00715519">
        <w:rPr>
          <w:lang w:val="ru-RU"/>
        </w:rPr>
        <w:t>е уменьшени</w:t>
      </w:r>
      <w:r w:rsidR="00DA01B3" w:rsidRPr="00715519">
        <w:rPr>
          <w:lang w:val="ru-RU"/>
        </w:rPr>
        <w:t>е</w:t>
      </w:r>
      <w:r w:rsidR="00697091" w:rsidRPr="00715519">
        <w:rPr>
          <w:lang w:val="ru-RU"/>
        </w:rPr>
        <w:t xml:space="preserve"> цены продажи продукции, произведенной с использованием нематериального актива, мо</w:t>
      </w:r>
      <w:r w:rsidR="00DA01B3" w:rsidRPr="00715519">
        <w:rPr>
          <w:lang w:val="ru-RU"/>
        </w:rPr>
        <w:t>жет</w:t>
      </w:r>
      <w:r w:rsidR="00697091" w:rsidRPr="00715519">
        <w:rPr>
          <w:lang w:val="ru-RU"/>
        </w:rPr>
        <w:t xml:space="preserve"> указывать на ожидаемое моральное или коммерческое устаревание актива, что, в свою очередь, может</w:t>
      </w:r>
      <w:r w:rsidR="00DD2EF5" w:rsidRPr="00715519">
        <w:rPr>
          <w:lang w:val="ru-RU"/>
        </w:rPr>
        <w:t xml:space="preserve"> свидетельствовать об уменьшении</w:t>
      </w:r>
      <w:r w:rsidR="00697091" w:rsidRPr="00715519">
        <w:rPr>
          <w:lang w:val="ru-RU"/>
        </w:rPr>
        <w:t xml:space="preserve"> будущих экономических выгод, заключенных в данном активе.</w:t>
      </w:r>
      <w:bookmarkEnd w:id="7"/>
    </w:p>
    <w:p w:rsidR="00715519" w:rsidRPr="00C73B0E" w:rsidRDefault="00715519" w:rsidP="00715519">
      <w:pPr>
        <w:pStyle w:val="IASBNormalnpara"/>
        <w:ind w:right="-187"/>
        <w:rPr>
          <w:lang w:val="ru-RU"/>
        </w:rPr>
      </w:pPr>
      <w:r>
        <w:rPr>
          <w:lang w:val="ru-RU"/>
        </w:rPr>
        <w:t>После пункта 98 включить пункты 98</w:t>
      </w:r>
      <w:r>
        <w:t>A</w:t>
      </w:r>
      <w:r w:rsidR="001E46DD" w:rsidRPr="001E46DD">
        <w:rPr>
          <w:lang w:val="ru-RU"/>
        </w:rPr>
        <w:t>-</w:t>
      </w:r>
      <w:r w:rsidRPr="00C73B0E">
        <w:rPr>
          <w:lang w:val="ru-RU"/>
        </w:rPr>
        <w:t xml:space="preserve"> 98</w:t>
      </w:r>
      <w:r>
        <w:t>C</w:t>
      </w:r>
      <w:r w:rsidRPr="00C73B0E">
        <w:rPr>
          <w:lang w:val="ru-RU"/>
        </w:rPr>
        <w:t xml:space="preserve"> </w:t>
      </w:r>
      <w:r>
        <w:rPr>
          <w:lang w:val="ru-RU"/>
        </w:rPr>
        <w:t>следующего содержания:</w:t>
      </w:r>
    </w:p>
    <w:p w:rsidR="009C4A29" w:rsidRPr="00715519" w:rsidRDefault="00F61559" w:rsidP="00715519">
      <w:pPr>
        <w:pStyle w:val="IASBNormalnpara"/>
        <w:ind w:left="1560"/>
        <w:rPr>
          <w:lang w:val="ru-RU"/>
        </w:rPr>
      </w:pPr>
      <w:r w:rsidRPr="00715519">
        <w:rPr>
          <w:lang w:val="ru-RU"/>
        </w:rPr>
        <w:t>98</w:t>
      </w:r>
      <w:r w:rsidRPr="00715519">
        <w:rPr>
          <w:lang w:val="en-GB"/>
        </w:rPr>
        <w:t>A</w:t>
      </w:r>
      <w:r w:rsidRPr="00715519">
        <w:rPr>
          <w:lang w:val="ru-RU"/>
        </w:rPr>
        <w:tab/>
      </w:r>
      <w:bookmarkStart w:id="8" w:name="F32007099"/>
      <w:r w:rsidR="009C4A29" w:rsidRPr="00715519">
        <w:rPr>
          <w:lang w:val="ru-RU"/>
        </w:rPr>
        <w:t xml:space="preserve">Существует опровержимое допущение, что </w:t>
      </w:r>
      <w:r w:rsidR="00B13805" w:rsidRPr="00715519">
        <w:rPr>
          <w:lang w:val="ru-RU"/>
        </w:rPr>
        <w:t>применение метода амортизации, основанного на выручке, генерируемой в результате деятельности, в которой задействован актив, не является допустимым</w:t>
      </w:r>
      <w:r w:rsidR="009C4A29" w:rsidRPr="00715519">
        <w:rPr>
          <w:lang w:val="ru-RU"/>
        </w:rPr>
        <w:t xml:space="preserve">. </w:t>
      </w:r>
      <w:r w:rsidR="00B13805" w:rsidRPr="00715519">
        <w:rPr>
          <w:lang w:val="ru-RU"/>
        </w:rPr>
        <w:t>Выручка, генерируемая в результате деятельности, в которой задействован актив, как правило, отражает факторы, отличные от потребления заключенных в данном нематериальном активе экономических выгод</w:t>
      </w:r>
      <w:r w:rsidR="009C4A29" w:rsidRPr="00715519">
        <w:rPr>
          <w:lang w:val="ru-RU"/>
        </w:rPr>
        <w:t xml:space="preserve">. </w:t>
      </w:r>
      <w:r w:rsidR="00B13805" w:rsidRPr="00715519">
        <w:rPr>
          <w:lang w:val="ru-RU"/>
        </w:rPr>
        <w:t>Например, на выручку влияют другие используемые ресурсы и процессы, деятельность по продаже и изменения объемов и цен продаж</w:t>
      </w:r>
      <w:r w:rsidR="009C4A29" w:rsidRPr="00715519">
        <w:rPr>
          <w:lang w:val="ru-RU"/>
        </w:rPr>
        <w:t xml:space="preserve">. </w:t>
      </w:r>
      <w:r w:rsidR="00B13805" w:rsidRPr="00715519">
        <w:rPr>
          <w:lang w:val="ru-RU"/>
        </w:rPr>
        <w:t>На ценовой компонент выручки может влиять инфляция, которая не имеет отношения к способу потребления актива</w:t>
      </w:r>
      <w:r w:rsidR="009C4A29" w:rsidRPr="00715519">
        <w:rPr>
          <w:lang w:val="ru-RU"/>
        </w:rPr>
        <w:t xml:space="preserve">. </w:t>
      </w:r>
      <w:r w:rsidR="00B13805" w:rsidRPr="00715519">
        <w:rPr>
          <w:lang w:val="ru-RU"/>
        </w:rPr>
        <w:t>Данное д</w:t>
      </w:r>
      <w:r w:rsidR="009C4A29" w:rsidRPr="00715519">
        <w:rPr>
          <w:lang w:val="ru-RU"/>
        </w:rPr>
        <w:t xml:space="preserve">опущение может быть опровергнуто лишь в </w:t>
      </w:r>
      <w:r w:rsidR="00B13805" w:rsidRPr="00715519">
        <w:rPr>
          <w:lang w:val="ru-RU"/>
        </w:rPr>
        <w:t xml:space="preserve">ограниченных </w:t>
      </w:r>
      <w:r w:rsidR="009C4A29" w:rsidRPr="00715519">
        <w:rPr>
          <w:lang w:val="ru-RU"/>
        </w:rPr>
        <w:t xml:space="preserve">случаях: </w:t>
      </w:r>
    </w:p>
    <w:bookmarkEnd w:id="8"/>
    <w:p w:rsidR="00752A35" w:rsidRPr="00715519" w:rsidRDefault="00F61559" w:rsidP="00715519">
      <w:pPr>
        <w:pStyle w:val="IASBNormalnparaL1"/>
        <w:ind w:left="2410"/>
        <w:rPr>
          <w:lang w:val="ru-RU"/>
        </w:rPr>
      </w:pPr>
      <w:r w:rsidRPr="00715519">
        <w:rPr>
          <w:lang w:val="ru-RU"/>
        </w:rPr>
        <w:t>(</w:t>
      </w:r>
      <w:r w:rsidRPr="00715519">
        <w:rPr>
          <w:lang w:val="en-GB"/>
        </w:rPr>
        <w:t>a</w:t>
      </w:r>
      <w:r w:rsidRPr="00715519">
        <w:rPr>
          <w:lang w:val="ru-RU"/>
        </w:rPr>
        <w:t>)</w:t>
      </w:r>
      <w:r w:rsidRPr="00715519">
        <w:rPr>
          <w:lang w:val="ru-RU"/>
        </w:rPr>
        <w:tab/>
      </w:r>
      <w:bookmarkStart w:id="9" w:name="F32007102"/>
      <w:r w:rsidR="004C5590" w:rsidRPr="00715519">
        <w:rPr>
          <w:lang w:val="ru-RU"/>
        </w:rPr>
        <w:t xml:space="preserve">если нематериальный актив выражен как оценка выручки, как описано в пункте </w:t>
      </w:r>
      <w:r w:rsidRPr="00715519">
        <w:rPr>
          <w:lang w:val="ru-RU"/>
        </w:rPr>
        <w:t>98</w:t>
      </w:r>
      <w:r w:rsidRPr="00715519">
        <w:rPr>
          <w:lang w:val="en-GB"/>
        </w:rPr>
        <w:t>C</w:t>
      </w:r>
      <w:r w:rsidRPr="00715519">
        <w:rPr>
          <w:lang w:val="ru-RU"/>
        </w:rPr>
        <w:t xml:space="preserve">; </w:t>
      </w:r>
      <w:bookmarkEnd w:id="9"/>
      <w:r w:rsidR="004C5590" w:rsidRPr="00715519">
        <w:rPr>
          <w:lang w:val="ru-RU"/>
        </w:rPr>
        <w:t>либо</w:t>
      </w:r>
    </w:p>
    <w:p w:rsidR="00752A35" w:rsidRPr="00715519" w:rsidRDefault="00F61559" w:rsidP="00715519">
      <w:pPr>
        <w:pStyle w:val="IASBNormalnparaL1"/>
        <w:ind w:left="2410"/>
        <w:rPr>
          <w:lang w:val="ru-RU"/>
        </w:rPr>
      </w:pPr>
      <w:r w:rsidRPr="00715519">
        <w:rPr>
          <w:lang w:val="ru-RU"/>
        </w:rPr>
        <w:t>(</w:t>
      </w:r>
      <w:r w:rsidRPr="00715519">
        <w:rPr>
          <w:lang w:val="en-GB"/>
        </w:rPr>
        <w:t>b</w:t>
      </w:r>
      <w:r w:rsidRPr="00715519">
        <w:rPr>
          <w:lang w:val="ru-RU"/>
        </w:rPr>
        <w:t>)</w:t>
      </w:r>
      <w:r w:rsidRPr="00715519">
        <w:rPr>
          <w:lang w:val="ru-RU"/>
        </w:rPr>
        <w:tab/>
      </w:r>
      <w:bookmarkStart w:id="10" w:name="F32007104"/>
      <w:r w:rsidR="004C5590" w:rsidRPr="00715519">
        <w:rPr>
          <w:lang w:val="ru-RU"/>
        </w:rPr>
        <w:t>когда можно продемонстрировать, что выручка и потребление экономических выгод от нематериального актива</w:t>
      </w:r>
      <w:r w:rsidRPr="00715519">
        <w:rPr>
          <w:lang w:val="ru-RU"/>
        </w:rPr>
        <w:t xml:space="preserve"> </w:t>
      </w:r>
      <w:r w:rsidR="004C5590" w:rsidRPr="00715519">
        <w:rPr>
          <w:lang w:val="ru-RU"/>
        </w:rPr>
        <w:t>в высшей степени взаимосвязаны</w:t>
      </w:r>
      <w:r w:rsidRPr="00715519">
        <w:rPr>
          <w:lang w:val="ru-RU"/>
        </w:rPr>
        <w:t>.</w:t>
      </w:r>
      <w:bookmarkEnd w:id="10"/>
    </w:p>
    <w:p w:rsidR="00752A35" w:rsidRPr="00715519" w:rsidRDefault="00F61559" w:rsidP="00715519">
      <w:pPr>
        <w:pStyle w:val="IASBNormalnpara"/>
        <w:ind w:left="1560"/>
        <w:rPr>
          <w:lang w:val="ru-RU"/>
        </w:rPr>
      </w:pPr>
      <w:r w:rsidRPr="00715519">
        <w:rPr>
          <w:lang w:val="ru-RU"/>
        </w:rPr>
        <w:t>98</w:t>
      </w:r>
      <w:r w:rsidRPr="00715519">
        <w:rPr>
          <w:lang w:val="en-GB"/>
        </w:rPr>
        <w:t>B</w:t>
      </w:r>
      <w:r w:rsidRPr="00715519">
        <w:rPr>
          <w:lang w:val="ru-RU"/>
        </w:rPr>
        <w:tab/>
      </w:r>
      <w:bookmarkStart w:id="11" w:name="F32007105"/>
      <w:r w:rsidR="003B2E2E" w:rsidRPr="00715519">
        <w:rPr>
          <w:lang w:val="ru-RU"/>
        </w:rPr>
        <w:t>При выборе</w:t>
      </w:r>
      <w:r w:rsidR="004C5590" w:rsidRPr="00715519">
        <w:rPr>
          <w:lang w:val="ru-RU"/>
        </w:rPr>
        <w:t xml:space="preserve"> </w:t>
      </w:r>
      <w:r w:rsidR="003B2E2E" w:rsidRPr="00715519">
        <w:rPr>
          <w:lang w:val="ru-RU"/>
        </w:rPr>
        <w:t xml:space="preserve">допустимого </w:t>
      </w:r>
      <w:r w:rsidR="004C5590" w:rsidRPr="00715519">
        <w:rPr>
          <w:lang w:val="ru-RU"/>
        </w:rPr>
        <w:t>метод</w:t>
      </w:r>
      <w:r w:rsidR="003B2E2E" w:rsidRPr="00715519">
        <w:rPr>
          <w:lang w:val="ru-RU"/>
        </w:rPr>
        <w:t>а</w:t>
      </w:r>
      <w:r w:rsidR="004C5590" w:rsidRPr="00715519">
        <w:rPr>
          <w:lang w:val="ru-RU"/>
        </w:rPr>
        <w:t xml:space="preserve"> амортизации в соответствии с пунктом 98, организация может определить </w:t>
      </w:r>
      <w:r w:rsidR="005A78DD" w:rsidRPr="00715519">
        <w:rPr>
          <w:lang w:val="ru-RU"/>
        </w:rPr>
        <w:t xml:space="preserve">преобладающий </w:t>
      </w:r>
      <w:r w:rsidR="00A409FE" w:rsidRPr="00715519">
        <w:rPr>
          <w:lang w:val="ru-RU"/>
        </w:rPr>
        <w:t xml:space="preserve">ограничивающий </w:t>
      </w:r>
      <w:r w:rsidR="005A78DD" w:rsidRPr="00715519">
        <w:rPr>
          <w:lang w:val="ru-RU"/>
        </w:rPr>
        <w:t>фактор</w:t>
      </w:r>
      <w:r w:rsidR="00577931" w:rsidRPr="00715519">
        <w:rPr>
          <w:lang w:val="ru-RU"/>
        </w:rPr>
        <w:t xml:space="preserve">, </w:t>
      </w:r>
      <w:r w:rsidR="003B2E2E" w:rsidRPr="00715519">
        <w:rPr>
          <w:lang w:val="ru-RU"/>
        </w:rPr>
        <w:t xml:space="preserve">присущий данному </w:t>
      </w:r>
      <w:r w:rsidR="00890307" w:rsidRPr="00715519">
        <w:rPr>
          <w:lang w:val="ru-RU"/>
        </w:rPr>
        <w:t>нематериальному</w:t>
      </w:r>
      <w:r w:rsidR="003B2E2E" w:rsidRPr="00715519">
        <w:rPr>
          <w:lang w:val="ru-RU"/>
        </w:rPr>
        <w:t xml:space="preserve"> активу</w:t>
      </w:r>
      <w:r w:rsidRPr="00715519">
        <w:rPr>
          <w:lang w:val="ru-RU"/>
        </w:rPr>
        <w:t xml:space="preserve">. </w:t>
      </w:r>
      <w:r w:rsidR="00577931" w:rsidRPr="00715519">
        <w:rPr>
          <w:lang w:val="ru-RU"/>
        </w:rPr>
        <w:t xml:space="preserve">Например, в договоре, </w:t>
      </w:r>
      <w:r w:rsidR="005A78DD" w:rsidRPr="00715519">
        <w:rPr>
          <w:lang w:val="ru-RU"/>
        </w:rPr>
        <w:t xml:space="preserve">устанавливающем </w:t>
      </w:r>
      <w:r w:rsidR="00577931" w:rsidRPr="00715519">
        <w:rPr>
          <w:lang w:val="ru-RU"/>
        </w:rPr>
        <w:t>права организации в отношении использования нематериального актива, использование нематериального актива организацией может быть выражено как определенное количество лет (т. е. время), количество произведенных единиц или фиксированная общая сумма выручки, которая будет сгенерирована</w:t>
      </w:r>
      <w:r w:rsidR="005A78DD" w:rsidRPr="00715519">
        <w:rPr>
          <w:lang w:val="ru-RU"/>
        </w:rPr>
        <w:t xml:space="preserve"> активом</w:t>
      </w:r>
      <w:r w:rsidRPr="00715519">
        <w:rPr>
          <w:lang w:val="ru-RU"/>
        </w:rPr>
        <w:t xml:space="preserve">. </w:t>
      </w:r>
      <w:r w:rsidR="00577931" w:rsidRPr="00715519">
        <w:rPr>
          <w:lang w:val="ru-RU"/>
        </w:rPr>
        <w:t xml:space="preserve">Определение такого </w:t>
      </w:r>
      <w:r w:rsidR="005A78DD" w:rsidRPr="00715519">
        <w:rPr>
          <w:lang w:val="ru-RU"/>
        </w:rPr>
        <w:t xml:space="preserve">преобладающего </w:t>
      </w:r>
      <w:r w:rsidR="00DA01B3" w:rsidRPr="00715519">
        <w:rPr>
          <w:lang w:val="ru-RU"/>
        </w:rPr>
        <w:t xml:space="preserve">ограничивающего </w:t>
      </w:r>
      <w:r w:rsidR="005A78DD" w:rsidRPr="00715519">
        <w:rPr>
          <w:lang w:val="ru-RU"/>
        </w:rPr>
        <w:t>фактора</w:t>
      </w:r>
      <w:r w:rsidR="00577931" w:rsidRPr="00715519">
        <w:rPr>
          <w:lang w:val="ru-RU"/>
        </w:rPr>
        <w:t xml:space="preserve"> может </w:t>
      </w:r>
      <w:r w:rsidR="001E25AB" w:rsidRPr="00715519">
        <w:rPr>
          <w:lang w:val="ru-RU"/>
        </w:rPr>
        <w:t xml:space="preserve">служить </w:t>
      </w:r>
      <w:r w:rsidR="00577931" w:rsidRPr="00715519">
        <w:rPr>
          <w:lang w:val="ru-RU"/>
        </w:rPr>
        <w:t xml:space="preserve">отправной точкой для определения </w:t>
      </w:r>
      <w:r w:rsidR="001E25AB" w:rsidRPr="00715519">
        <w:rPr>
          <w:lang w:val="ru-RU"/>
        </w:rPr>
        <w:t xml:space="preserve">допустимой </w:t>
      </w:r>
      <w:r w:rsidR="006D4E5E" w:rsidRPr="00715519">
        <w:rPr>
          <w:lang w:val="ru-RU"/>
        </w:rPr>
        <w:t>основы для</w:t>
      </w:r>
      <w:r w:rsidR="00577931" w:rsidRPr="00715519">
        <w:rPr>
          <w:lang w:val="ru-RU"/>
        </w:rPr>
        <w:t xml:space="preserve"> амортизации</w:t>
      </w:r>
      <w:r w:rsidRPr="00715519">
        <w:rPr>
          <w:lang w:val="ru-RU"/>
        </w:rPr>
        <w:t xml:space="preserve">, </w:t>
      </w:r>
      <w:r w:rsidR="00577931" w:rsidRPr="00715519">
        <w:rPr>
          <w:lang w:val="ru-RU"/>
        </w:rPr>
        <w:t xml:space="preserve">но при этом возможно использование другой </w:t>
      </w:r>
      <w:r w:rsidR="006D4E5E" w:rsidRPr="00715519">
        <w:rPr>
          <w:lang w:val="ru-RU"/>
        </w:rPr>
        <w:t>основы</w:t>
      </w:r>
      <w:r w:rsidR="00577931" w:rsidRPr="00715519">
        <w:rPr>
          <w:lang w:val="ru-RU"/>
        </w:rPr>
        <w:t xml:space="preserve">, если она более </w:t>
      </w:r>
      <w:r w:rsidR="006D4E5E" w:rsidRPr="00715519">
        <w:rPr>
          <w:lang w:val="ru-RU"/>
        </w:rPr>
        <w:t xml:space="preserve">четко </w:t>
      </w:r>
      <w:r w:rsidR="00577931" w:rsidRPr="00715519">
        <w:rPr>
          <w:lang w:val="ru-RU"/>
        </w:rPr>
        <w:t>отражает ожидаемый характер потребления экономических выгод</w:t>
      </w:r>
      <w:r w:rsidRPr="00715519">
        <w:rPr>
          <w:lang w:val="ru-RU"/>
        </w:rPr>
        <w:t>.</w:t>
      </w:r>
      <w:bookmarkEnd w:id="11"/>
    </w:p>
    <w:p w:rsidR="00752A35" w:rsidRPr="00715519" w:rsidRDefault="00F61559" w:rsidP="00715519">
      <w:pPr>
        <w:pStyle w:val="IASBNormalnpara"/>
        <w:ind w:left="1560"/>
        <w:rPr>
          <w:lang w:val="ru-RU"/>
        </w:rPr>
      </w:pPr>
      <w:r w:rsidRPr="00715519">
        <w:rPr>
          <w:lang w:val="ru-RU"/>
        </w:rPr>
        <w:t>98</w:t>
      </w:r>
      <w:r w:rsidRPr="00715519">
        <w:rPr>
          <w:lang w:val="en-GB"/>
        </w:rPr>
        <w:t>C</w:t>
      </w:r>
      <w:r w:rsidRPr="00715519">
        <w:rPr>
          <w:lang w:val="ru-RU"/>
        </w:rPr>
        <w:tab/>
      </w:r>
      <w:bookmarkStart w:id="12" w:name="F32007106"/>
      <w:r w:rsidR="004846E5" w:rsidRPr="00715519">
        <w:rPr>
          <w:lang w:val="ru-RU"/>
        </w:rPr>
        <w:t xml:space="preserve">В случаях, когда </w:t>
      </w:r>
      <w:r w:rsidR="00E36F22" w:rsidRPr="00715519">
        <w:rPr>
          <w:lang w:val="ru-RU"/>
        </w:rPr>
        <w:t xml:space="preserve">преобладающим </w:t>
      </w:r>
      <w:r w:rsidR="001E25AB" w:rsidRPr="00715519">
        <w:rPr>
          <w:lang w:val="ru-RU"/>
        </w:rPr>
        <w:t xml:space="preserve">ограничивающим </w:t>
      </w:r>
      <w:r w:rsidR="00E36F22" w:rsidRPr="00715519">
        <w:rPr>
          <w:lang w:val="ru-RU"/>
        </w:rPr>
        <w:t>фактором</w:t>
      </w:r>
      <w:r w:rsidR="004846E5" w:rsidRPr="00715519">
        <w:rPr>
          <w:lang w:val="ru-RU"/>
        </w:rPr>
        <w:t xml:space="preserve">, </w:t>
      </w:r>
      <w:r w:rsidR="001E25AB" w:rsidRPr="00715519">
        <w:rPr>
          <w:lang w:val="ru-RU"/>
        </w:rPr>
        <w:t>присущим</w:t>
      </w:r>
      <w:r w:rsidR="004846E5" w:rsidRPr="00715519">
        <w:rPr>
          <w:lang w:val="ru-RU"/>
        </w:rPr>
        <w:t xml:space="preserve"> нематериально</w:t>
      </w:r>
      <w:r w:rsidR="001E25AB" w:rsidRPr="00715519">
        <w:rPr>
          <w:lang w:val="ru-RU"/>
        </w:rPr>
        <w:t>му</w:t>
      </w:r>
      <w:r w:rsidR="004846E5" w:rsidRPr="00715519">
        <w:rPr>
          <w:lang w:val="ru-RU"/>
        </w:rPr>
        <w:t xml:space="preserve"> актив</w:t>
      </w:r>
      <w:r w:rsidR="001E25AB" w:rsidRPr="00715519">
        <w:rPr>
          <w:lang w:val="ru-RU"/>
        </w:rPr>
        <w:t>у</w:t>
      </w:r>
      <w:r w:rsidR="004846E5" w:rsidRPr="00715519">
        <w:rPr>
          <w:lang w:val="ru-RU"/>
        </w:rPr>
        <w:t xml:space="preserve">, является достижение порогового значения выручки, выручка, которая будет сгенерирована, является </w:t>
      </w:r>
      <w:r w:rsidR="001E25AB" w:rsidRPr="00715519">
        <w:rPr>
          <w:lang w:val="ru-RU"/>
        </w:rPr>
        <w:t xml:space="preserve">допустимой </w:t>
      </w:r>
      <w:r w:rsidR="00E36F22" w:rsidRPr="00715519">
        <w:rPr>
          <w:lang w:val="ru-RU"/>
        </w:rPr>
        <w:t xml:space="preserve">основой для </w:t>
      </w:r>
      <w:r w:rsidR="004846E5" w:rsidRPr="00715519">
        <w:rPr>
          <w:lang w:val="ru-RU"/>
        </w:rPr>
        <w:t>амортизации</w:t>
      </w:r>
      <w:r w:rsidRPr="00715519">
        <w:rPr>
          <w:lang w:val="ru-RU"/>
        </w:rPr>
        <w:t xml:space="preserve">. </w:t>
      </w:r>
      <w:r w:rsidR="004846E5" w:rsidRPr="00715519">
        <w:rPr>
          <w:lang w:val="ru-RU"/>
        </w:rPr>
        <w:t>Например, организация приобре</w:t>
      </w:r>
      <w:r w:rsidR="001E25AB" w:rsidRPr="00715519">
        <w:rPr>
          <w:lang w:val="ru-RU"/>
        </w:rPr>
        <w:t>ла</w:t>
      </w:r>
      <w:r w:rsidR="004846E5" w:rsidRPr="00715519">
        <w:rPr>
          <w:lang w:val="ru-RU"/>
        </w:rPr>
        <w:t xml:space="preserve"> концессию на разведку и добычу золота на золото</w:t>
      </w:r>
      <w:r w:rsidR="00CC5CE8" w:rsidRPr="00715519">
        <w:rPr>
          <w:lang w:val="ru-RU"/>
        </w:rPr>
        <w:t>добывающем</w:t>
      </w:r>
      <w:r w:rsidR="004846E5" w:rsidRPr="00715519">
        <w:rPr>
          <w:lang w:val="ru-RU"/>
        </w:rPr>
        <w:t xml:space="preserve"> руднике</w:t>
      </w:r>
      <w:r w:rsidRPr="00715519">
        <w:rPr>
          <w:lang w:val="ru-RU"/>
        </w:rPr>
        <w:t xml:space="preserve">. </w:t>
      </w:r>
      <w:r w:rsidR="00661201" w:rsidRPr="00715519">
        <w:rPr>
          <w:lang w:val="ru-RU"/>
        </w:rPr>
        <w:t>Истечение с</w:t>
      </w:r>
      <w:r w:rsidR="00CC5CE8" w:rsidRPr="00715519">
        <w:rPr>
          <w:lang w:val="ru-RU"/>
        </w:rPr>
        <w:t>рок</w:t>
      </w:r>
      <w:r w:rsidR="00661201" w:rsidRPr="00715519">
        <w:rPr>
          <w:lang w:val="ru-RU"/>
        </w:rPr>
        <w:t>а</w:t>
      </w:r>
      <w:r w:rsidR="00CC5CE8" w:rsidRPr="00715519">
        <w:rPr>
          <w:lang w:val="ru-RU"/>
        </w:rPr>
        <w:t xml:space="preserve"> действия договора </w:t>
      </w:r>
      <w:r w:rsidR="00661201" w:rsidRPr="00715519">
        <w:rPr>
          <w:lang w:val="ru-RU"/>
        </w:rPr>
        <w:t xml:space="preserve">может быть привязано к </w:t>
      </w:r>
      <w:r w:rsidR="00CC5CE8" w:rsidRPr="00715519">
        <w:rPr>
          <w:lang w:val="ru-RU"/>
        </w:rPr>
        <w:t>получени</w:t>
      </w:r>
      <w:r w:rsidR="00661201" w:rsidRPr="00715519">
        <w:rPr>
          <w:lang w:val="ru-RU"/>
        </w:rPr>
        <w:t>ю</w:t>
      </w:r>
      <w:r w:rsidR="00CC5CE8" w:rsidRPr="00715519">
        <w:rPr>
          <w:lang w:val="ru-RU"/>
        </w:rPr>
        <w:t xml:space="preserve"> фиксированной суммы общей выручки, которая </w:t>
      </w:r>
      <w:r w:rsidR="00661201" w:rsidRPr="00715519">
        <w:rPr>
          <w:lang w:val="ru-RU"/>
        </w:rPr>
        <w:t>будет сгенерирована</w:t>
      </w:r>
      <w:r w:rsidR="00CC5CE8" w:rsidRPr="00715519">
        <w:rPr>
          <w:lang w:val="ru-RU"/>
        </w:rPr>
        <w:t xml:space="preserve"> в результате добычи </w:t>
      </w:r>
      <w:r w:rsidRPr="00715519">
        <w:rPr>
          <w:lang w:val="ru-RU"/>
        </w:rPr>
        <w:t>(</w:t>
      </w:r>
      <w:r w:rsidR="00CC5CE8" w:rsidRPr="00715519">
        <w:rPr>
          <w:lang w:val="ru-RU"/>
        </w:rPr>
        <w:t>например</w:t>
      </w:r>
      <w:r w:rsidRPr="00715519">
        <w:rPr>
          <w:lang w:val="ru-RU"/>
        </w:rPr>
        <w:t xml:space="preserve">, </w:t>
      </w:r>
      <w:r w:rsidR="00CC5CE8" w:rsidRPr="00715519">
        <w:rPr>
          <w:lang w:val="ru-RU"/>
        </w:rPr>
        <w:t xml:space="preserve">договор может предусматривать добычу золота на руднике до </w:t>
      </w:r>
      <w:r w:rsidR="00970BBA" w:rsidRPr="00715519">
        <w:rPr>
          <w:lang w:val="ru-RU"/>
        </w:rPr>
        <w:t>тех пор</w:t>
      </w:r>
      <w:r w:rsidR="00CC5CE8" w:rsidRPr="00715519">
        <w:rPr>
          <w:lang w:val="ru-RU"/>
        </w:rPr>
        <w:t>, пока общая совокупная выручка от продажи не составит 2 миллиарда</w:t>
      </w:r>
      <w:r w:rsidRPr="00715519">
        <w:rPr>
          <w:lang w:val="ru-RU"/>
        </w:rPr>
        <w:t xml:space="preserve"> </w:t>
      </w:r>
      <w:r w:rsidR="00CC5CE8" w:rsidRPr="00715519">
        <w:rPr>
          <w:lang w:val="ru-RU"/>
        </w:rPr>
        <w:t>д. е.</w:t>
      </w:r>
      <w:r w:rsidRPr="00715519">
        <w:rPr>
          <w:lang w:val="ru-RU"/>
        </w:rPr>
        <w:t xml:space="preserve">) </w:t>
      </w:r>
      <w:r w:rsidR="00CC5CE8" w:rsidRPr="00715519">
        <w:rPr>
          <w:lang w:val="ru-RU"/>
        </w:rPr>
        <w:t>и не будет зависеть от времени или количества добытого золота</w:t>
      </w:r>
      <w:r w:rsidRPr="00715519">
        <w:rPr>
          <w:lang w:val="ru-RU"/>
        </w:rPr>
        <w:t xml:space="preserve">. </w:t>
      </w:r>
      <w:r w:rsidR="00CC5CE8" w:rsidRPr="00715519">
        <w:rPr>
          <w:lang w:val="ru-RU"/>
        </w:rPr>
        <w:t xml:space="preserve">В другом примере право на эксплуатацию платной дороги может быть основано на фиксированной общей сумме выручки, которая будет сгенерирована </w:t>
      </w:r>
      <w:r w:rsidR="00274CE7" w:rsidRPr="00715519">
        <w:rPr>
          <w:lang w:val="ru-RU"/>
        </w:rPr>
        <w:t>за счет</w:t>
      </w:r>
      <w:r w:rsidRPr="00715519">
        <w:rPr>
          <w:lang w:val="ru-RU"/>
        </w:rPr>
        <w:t xml:space="preserve"> </w:t>
      </w:r>
      <w:r w:rsidR="00970BBA" w:rsidRPr="00715519">
        <w:rPr>
          <w:lang w:val="ru-RU"/>
        </w:rPr>
        <w:t xml:space="preserve">взимаемых </w:t>
      </w:r>
      <w:r w:rsidR="00E36F22" w:rsidRPr="00715519">
        <w:rPr>
          <w:lang w:val="ru-RU"/>
        </w:rPr>
        <w:t xml:space="preserve">дорожных </w:t>
      </w:r>
      <w:r w:rsidR="00970BBA" w:rsidRPr="00715519">
        <w:rPr>
          <w:lang w:val="ru-RU"/>
        </w:rPr>
        <w:t xml:space="preserve">сборов </w:t>
      </w:r>
      <w:r w:rsidRPr="00715519">
        <w:rPr>
          <w:lang w:val="ru-RU"/>
        </w:rPr>
        <w:t>(</w:t>
      </w:r>
      <w:r w:rsidR="00970BBA" w:rsidRPr="00715519">
        <w:rPr>
          <w:lang w:val="ru-RU"/>
        </w:rPr>
        <w:t>например, договор может предусматривать эксплуатацию платной дороги до тех пор, пока совокупная сумма сборов, полученн</w:t>
      </w:r>
      <w:r w:rsidR="00661201" w:rsidRPr="00715519">
        <w:rPr>
          <w:lang w:val="ru-RU"/>
        </w:rPr>
        <w:t>ых</w:t>
      </w:r>
      <w:r w:rsidR="00970BBA" w:rsidRPr="00715519">
        <w:rPr>
          <w:lang w:val="ru-RU"/>
        </w:rPr>
        <w:t xml:space="preserve"> в результате </w:t>
      </w:r>
      <w:r w:rsidR="00E36F22" w:rsidRPr="00715519">
        <w:rPr>
          <w:lang w:val="ru-RU"/>
        </w:rPr>
        <w:t xml:space="preserve">ее </w:t>
      </w:r>
      <w:r w:rsidR="00970BBA" w:rsidRPr="00715519">
        <w:rPr>
          <w:lang w:val="ru-RU"/>
        </w:rPr>
        <w:t>эксплуатации, не составит 100 миллионов д. е.</w:t>
      </w:r>
      <w:r w:rsidRPr="00715519">
        <w:rPr>
          <w:lang w:val="ru-RU"/>
        </w:rPr>
        <w:t xml:space="preserve">). </w:t>
      </w:r>
      <w:r w:rsidR="00970BBA" w:rsidRPr="00715519">
        <w:rPr>
          <w:lang w:val="ru-RU"/>
        </w:rPr>
        <w:t xml:space="preserve">В случае, когда </w:t>
      </w:r>
      <w:r w:rsidR="00E36F22" w:rsidRPr="00715519">
        <w:rPr>
          <w:lang w:val="ru-RU"/>
        </w:rPr>
        <w:t xml:space="preserve">в договоре </w:t>
      </w:r>
      <w:r w:rsidR="00970BBA" w:rsidRPr="00715519">
        <w:rPr>
          <w:lang w:val="ru-RU"/>
        </w:rPr>
        <w:t>на использование нематериального актива</w:t>
      </w:r>
      <w:r w:rsidR="00E36F22" w:rsidRPr="00715519">
        <w:rPr>
          <w:lang w:val="ru-RU"/>
        </w:rPr>
        <w:t xml:space="preserve"> выручка была определена в качестве преобладающего </w:t>
      </w:r>
      <w:r w:rsidR="00661201" w:rsidRPr="00715519">
        <w:rPr>
          <w:lang w:val="ru-RU"/>
        </w:rPr>
        <w:t xml:space="preserve">ограничивающего </w:t>
      </w:r>
      <w:r w:rsidR="00E36F22" w:rsidRPr="00715519">
        <w:rPr>
          <w:lang w:val="ru-RU"/>
        </w:rPr>
        <w:t>фактора</w:t>
      </w:r>
      <w:r w:rsidR="00970BBA" w:rsidRPr="00715519">
        <w:rPr>
          <w:lang w:val="ru-RU"/>
        </w:rPr>
        <w:t>, выручка, которая будет сгенерирована</w:t>
      </w:r>
      <w:r w:rsidR="00E36F22" w:rsidRPr="00715519">
        <w:rPr>
          <w:lang w:val="ru-RU"/>
        </w:rPr>
        <w:t xml:space="preserve"> в результате использования актива</w:t>
      </w:r>
      <w:r w:rsidR="00970BBA" w:rsidRPr="00715519">
        <w:rPr>
          <w:lang w:val="ru-RU"/>
        </w:rPr>
        <w:t xml:space="preserve">, может являться </w:t>
      </w:r>
      <w:r w:rsidR="00661201" w:rsidRPr="00715519">
        <w:rPr>
          <w:lang w:val="ru-RU"/>
        </w:rPr>
        <w:t xml:space="preserve">допустимой </w:t>
      </w:r>
      <w:r w:rsidR="00E36F22" w:rsidRPr="00715519">
        <w:rPr>
          <w:lang w:val="ru-RU"/>
        </w:rPr>
        <w:t xml:space="preserve">основой для </w:t>
      </w:r>
      <w:r w:rsidR="00970BBA" w:rsidRPr="00715519">
        <w:rPr>
          <w:lang w:val="ru-RU"/>
        </w:rPr>
        <w:t xml:space="preserve">амортизации нематериального актива </w:t>
      </w:r>
      <w:r w:rsidR="00E36F22" w:rsidRPr="00715519">
        <w:rPr>
          <w:lang w:val="ru-RU"/>
        </w:rPr>
        <w:t xml:space="preserve">при условии, что </w:t>
      </w:r>
      <w:r w:rsidR="00970BBA" w:rsidRPr="00715519">
        <w:rPr>
          <w:lang w:val="ru-RU"/>
        </w:rPr>
        <w:t>в договоре указ</w:t>
      </w:r>
      <w:r w:rsidR="00E36F22" w:rsidRPr="00715519">
        <w:rPr>
          <w:lang w:val="ru-RU"/>
        </w:rPr>
        <w:t>ывается</w:t>
      </w:r>
      <w:r w:rsidR="00970BBA" w:rsidRPr="00715519">
        <w:rPr>
          <w:lang w:val="ru-RU"/>
        </w:rPr>
        <w:t xml:space="preserve"> фиксированная общая сумма выручки, которая будет сгенерирована,</w:t>
      </w:r>
      <w:r w:rsidR="003A4402" w:rsidRPr="00715519">
        <w:rPr>
          <w:lang w:val="ru-RU"/>
        </w:rPr>
        <w:t xml:space="preserve"> на основе которой </w:t>
      </w:r>
      <w:r w:rsidR="00E36F22" w:rsidRPr="00715519">
        <w:rPr>
          <w:lang w:val="ru-RU"/>
        </w:rPr>
        <w:t xml:space="preserve">будет </w:t>
      </w:r>
      <w:r w:rsidR="003A4402" w:rsidRPr="00715519">
        <w:rPr>
          <w:lang w:val="ru-RU"/>
        </w:rPr>
        <w:t>определя</w:t>
      </w:r>
      <w:r w:rsidR="00E36F22" w:rsidRPr="00715519">
        <w:rPr>
          <w:lang w:val="ru-RU"/>
        </w:rPr>
        <w:t>ться</w:t>
      </w:r>
      <w:r w:rsidR="003A4402" w:rsidRPr="00715519">
        <w:rPr>
          <w:lang w:val="ru-RU"/>
        </w:rPr>
        <w:t xml:space="preserve"> амортизация</w:t>
      </w:r>
      <w:r w:rsidRPr="00715519">
        <w:rPr>
          <w:lang w:val="ru-RU"/>
        </w:rPr>
        <w:t>.</w:t>
      </w:r>
      <w:bookmarkEnd w:id="12"/>
    </w:p>
    <w:p w:rsidR="00715519" w:rsidRPr="00C73B0E" w:rsidRDefault="00715519" w:rsidP="00715519">
      <w:pPr>
        <w:pStyle w:val="IASBNormalnpara"/>
        <w:ind w:left="0" w:right="-187" w:firstLine="0"/>
        <w:rPr>
          <w:lang w:val="ru-RU"/>
        </w:rPr>
      </w:pPr>
      <w:r w:rsidRPr="0096474D">
        <w:rPr>
          <w:lang w:val="ru-RU"/>
        </w:rPr>
        <w:t>После пункта 130</w:t>
      </w:r>
      <w:r w:rsidR="001E46DD">
        <w:t>I</w:t>
      </w:r>
      <w:r w:rsidRPr="0096474D">
        <w:rPr>
          <w:lang w:val="ru-RU"/>
        </w:rPr>
        <w:t xml:space="preserve"> </w:t>
      </w:r>
      <w:r>
        <w:rPr>
          <w:lang w:val="ru-RU"/>
        </w:rPr>
        <w:t>включить пункт 130</w:t>
      </w:r>
      <w:r>
        <w:t>J</w:t>
      </w:r>
      <w:r w:rsidRPr="00C73B0E">
        <w:rPr>
          <w:lang w:val="ru-RU"/>
        </w:rPr>
        <w:t xml:space="preserve"> </w:t>
      </w:r>
      <w:r>
        <w:rPr>
          <w:lang w:val="ru-RU"/>
        </w:rPr>
        <w:t>следующего содержания:</w:t>
      </w:r>
    </w:p>
    <w:p w:rsidR="00A43372" w:rsidRPr="00F6514A" w:rsidRDefault="00F61559" w:rsidP="00715519">
      <w:pPr>
        <w:pStyle w:val="IASBNormalnpara"/>
        <w:ind w:left="1701"/>
        <w:rPr>
          <w:lang w:val="ru-RU"/>
        </w:rPr>
      </w:pPr>
      <w:r w:rsidRPr="00715519">
        <w:rPr>
          <w:lang w:val="ru-RU"/>
        </w:rPr>
        <w:t>130</w:t>
      </w:r>
      <w:r w:rsidRPr="00715519">
        <w:rPr>
          <w:lang w:val="en-GB"/>
        </w:rPr>
        <w:t>J</w:t>
      </w:r>
      <w:r w:rsidRPr="00715519">
        <w:rPr>
          <w:lang w:val="ru-RU"/>
        </w:rPr>
        <w:tab/>
      </w:r>
      <w:bookmarkStart w:id="13" w:name="F31741318"/>
      <w:r w:rsidR="004C5590" w:rsidRPr="00715519">
        <w:rPr>
          <w:lang w:val="ru-RU"/>
        </w:rPr>
        <w:t>Документ</w:t>
      </w:r>
      <w:r w:rsidR="00DD2EF5" w:rsidRPr="00715519">
        <w:rPr>
          <w:lang w:val="ru-RU"/>
        </w:rPr>
        <w:t>ом</w:t>
      </w:r>
      <w:r w:rsidR="004C5590" w:rsidRPr="00715519">
        <w:rPr>
          <w:lang w:val="ru-RU"/>
        </w:rPr>
        <w:t xml:space="preserve"> </w:t>
      </w:r>
      <w:r w:rsidR="004C5590" w:rsidRPr="00715519">
        <w:rPr>
          <w:i/>
          <w:lang w:val="ru-RU"/>
        </w:rPr>
        <w:t xml:space="preserve">«Разъяснение допустимых методов амортизации </w:t>
      </w:r>
      <w:r w:rsidR="004C5590" w:rsidRPr="00715519">
        <w:rPr>
          <w:lang w:val="ru-RU"/>
        </w:rPr>
        <w:t>(</w:t>
      </w:r>
      <w:r w:rsidR="00F33583" w:rsidRPr="00715519">
        <w:rPr>
          <w:lang w:val="ru-RU"/>
        </w:rPr>
        <w:t>п</w:t>
      </w:r>
      <w:r w:rsidR="004C5590" w:rsidRPr="00715519">
        <w:rPr>
          <w:lang w:val="ru-RU"/>
        </w:rPr>
        <w:t xml:space="preserve">оправки к </w:t>
      </w:r>
      <w:r w:rsidR="00F02EC1">
        <w:rPr>
          <w:lang w:val="ru-RU"/>
        </w:rPr>
        <w:t>Международному стандарту финансовой отчетности</w:t>
      </w:r>
      <w:r w:rsidR="00F02EC1" w:rsidRPr="00F223EF">
        <w:rPr>
          <w:lang w:val="ru-RU"/>
        </w:rPr>
        <w:t> </w:t>
      </w:r>
      <w:r w:rsidR="00F02EC1" w:rsidRPr="00715519">
        <w:rPr>
          <w:lang w:val="ru-RU"/>
        </w:rPr>
        <w:t xml:space="preserve"> </w:t>
      </w:r>
      <w:r w:rsidR="004C5590" w:rsidRPr="00715519">
        <w:rPr>
          <w:lang w:val="ru-RU"/>
        </w:rPr>
        <w:t xml:space="preserve">(IAS) 16 и </w:t>
      </w:r>
      <w:r w:rsidR="00F02EC1">
        <w:rPr>
          <w:lang w:val="ru-RU"/>
        </w:rPr>
        <w:t xml:space="preserve">Международному </w:t>
      </w:r>
      <w:r w:rsidR="00F02EC1">
        <w:rPr>
          <w:lang w:val="ru-RU"/>
        </w:rPr>
        <w:lastRenderedPageBreak/>
        <w:t>стандарту финансовой отчетности</w:t>
      </w:r>
      <w:r w:rsidR="00F02EC1" w:rsidRPr="00F223EF">
        <w:rPr>
          <w:lang w:val="ru-RU"/>
        </w:rPr>
        <w:t> </w:t>
      </w:r>
      <w:r w:rsidR="00F02EC1" w:rsidRPr="00715519">
        <w:rPr>
          <w:lang w:val="ru-RU"/>
        </w:rPr>
        <w:t xml:space="preserve"> </w:t>
      </w:r>
      <w:r w:rsidR="004C5590" w:rsidRPr="00715519">
        <w:rPr>
          <w:lang w:val="ru-RU"/>
        </w:rPr>
        <w:t>(IAS) 38)</w:t>
      </w:r>
      <w:r w:rsidR="00F02EC1">
        <w:rPr>
          <w:lang w:val="ru-RU"/>
        </w:rPr>
        <w:t>»</w:t>
      </w:r>
      <w:r w:rsidR="00DD2EF5" w:rsidRPr="00715519">
        <w:rPr>
          <w:lang w:val="ru-RU"/>
        </w:rPr>
        <w:t>, выпущенным</w:t>
      </w:r>
      <w:r w:rsidR="004C5590" w:rsidRPr="00715519">
        <w:rPr>
          <w:lang w:val="ru-RU"/>
        </w:rPr>
        <w:t xml:space="preserve"> в мае 2014 г</w:t>
      </w:r>
      <w:r w:rsidR="00F33583" w:rsidRPr="00715519">
        <w:rPr>
          <w:lang w:val="ru-RU"/>
        </w:rPr>
        <w:t>ода</w:t>
      </w:r>
      <w:r w:rsidR="004C5590" w:rsidRPr="00715519">
        <w:rPr>
          <w:lang w:val="ru-RU"/>
        </w:rPr>
        <w:t>, внес</w:t>
      </w:r>
      <w:r w:rsidR="00DD2EF5" w:rsidRPr="00715519">
        <w:rPr>
          <w:lang w:val="ru-RU"/>
        </w:rPr>
        <w:t>ены</w:t>
      </w:r>
      <w:r w:rsidR="004C5590" w:rsidRPr="00715519">
        <w:rPr>
          <w:lang w:val="ru-RU"/>
        </w:rPr>
        <w:t xml:space="preserve"> изменения в пункты </w:t>
      </w:r>
      <w:r w:rsidR="00DD2EF5" w:rsidRPr="00715519">
        <w:rPr>
          <w:lang w:val="ru-RU"/>
        </w:rPr>
        <w:t>92 и 98 и добавлены</w:t>
      </w:r>
      <w:r w:rsidR="004C5590" w:rsidRPr="00715519">
        <w:rPr>
          <w:lang w:val="ru-RU"/>
        </w:rPr>
        <w:t xml:space="preserve"> пункты 98</w:t>
      </w:r>
      <w:r w:rsidR="004C5590" w:rsidRPr="00715519">
        <w:rPr>
          <w:lang w:val="en-GB"/>
        </w:rPr>
        <w:t>A</w:t>
      </w:r>
      <w:r w:rsidR="004C5590" w:rsidRPr="00715519">
        <w:rPr>
          <w:lang w:val="ru-RU"/>
        </w:rPr>
        <w:t>–98</w:t>
      </w:r>
      <w:r w:rsidR="004C5590" w:rsidRPr="00715519">
        <w:rPr>
          <w:lang w:val="en-GB"/>
        </w:rPr>
        <w:t>C</w:t>
      </w:r>
      <w:r w:rsidR="004C5590" w:rsidRPr="00715519">
        <w:rPr>
          <w:lang w:val="ru-RU"/>
        </w:rPr>
        <w:t>. Организация должна применять данные поправки перспективно в отношении годовых периодов, начинающихся 1 января 2016 г</w:t>
      </w:r>
      <w:r w:rsidR="00F33583" w:rsidRPr="00715519">
        <w:rPr>
          <w:lang w:val="ru-RU"/>
        </w:rPr>
        <w:t>ода</w:t>
      </w:r>
      <w:r w:rsidR="004C5590" w:rsidRPr="00715519">
        <w:rPr>
          <w:lang w:val="ru-RU"/>
        </w:rPr>
        <w:t xml:space="preserve"> или после этой даты. Допускается досрочное приме</w:t>
      </w:r>
      <w:r w:rsidR="00DD6049" w:rsidRPr="00715519">
        <w:rPr>
          <w:lang w:val="ru-RU"/>
        </w:rPr>
        <w:t>нение. Если организация примени</w:t>
      </w:r>
      <w:r w:rsidR="004C5590" w:rsidRPr="00715519">
        <w:rPr>
          <w:lang w:val="ru-RU"/>
        </w:rPr>
        <w:t xml:space="preserve">т данные поправки в отношении более раннего периода, </w:t>
      </w:r>
      <w:r w:rsidR="00DD6049" w:rsidRPr="00715519">
        <w:rPr>
          <w:lang w:val="ru-RU"/>
        </w:rPr>
        <w:t>она должна</w:t>
      </w:r>
      <w:r w:rsidR="004C5590" w:rsidRPr="00715519">
        <w:rPr>
          <w:lang w:val="ru-RU"/>
        </w:rPr>
        <w:t xml:space="preserve"> раскрыть </w:t>
      </w:r>
      <w:r w:rsidR="00DD6049" w:rsidRPr="00715519">
        <w:rPr>
          <w:lang w:val="ru-RU"/>
        </w:rPr>
        <w:t>этот</w:t>
      </w:r>
      <w:r w:rsidR="004C5590" w:rsidRPr="00715519">
        <w:rPr>
          <w:lang w:val="ru-RU"/>
        </w:rPr>
        <w:t xml:space="preserve"> факт.</w:t>
      </w:r>
      <w:bookmarkEnd w:id="13"/>
    </w:p>
    <w:sectPr w:rsidR="00A43372" w:rsidRPr="00F6514A" w:rsidSect="00430539">
      <w:headerReference w:type="even" r:id="rId13"/>
      <w:headerReference w:type="default" r:id="rId14"/>
      <w:footerReference w:type="even" r:id="rId15"/>
      <w:footerReference w:type="default" r:id="rId16"/>
      <w:pgSz w:w="11907" w:h="1683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430" w:rsidRDefault="006F2430">
      <w:r>
        <w:separator/>
      </w:r>
    </w:p>
  </w:endnote>
  <w:endnote w:type="continuationSeparator" w:id="0">
    <w:p w:rsidR="006F2430" w:rsidRDefault="006F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90" w:rsidRDefault="004C5590">
    <w:pPr>
      <w:pStyle w:val="IASBNormalnparaL2P"/>
      <w:tabs>
        <w:tab w:val="center" w:pos="4677"/>
        <w:tab w:val="right" w:pos="9354"/>
      </w:tabs>
      <w:spacing w:before="0"/>
      <w:ind w:left="0"/>
      <w:jc w:val="left"/>
      <w:rPr>
        <w:sz w:val="17"/>
        <w:lang w:val="en-GB" w:eastAsia="en-GB"/>
      </w:rPr>
    </w:pPr>
    <w:r>
      <w:rPr>
        <w:sz w:val="17"/>
        <w:lang w:val="en-GB" w:eastAsia="en-GB"/>
      </w:rPr>
      <w:fldChar w:fldCharType="begin"/>
    </w:r>
    <w:r>
      <w:rPr>
        <w:sz w:val="17"/>
        <w:lang w:val="en-GB" w:eastAsia="en-GB"/>
      </w:rPr>
      <w:instrText xml:space="preserve"> PAGE </w:instrText>
    </w:r>
    <w:r>
      <w:rPr>
        <w:sz w:val="17"/>
        <w:lang w:val="en-GB" w:eastAsia="en-GB"/>
      </w:rPr>
      <w:fldChar w:fldCharType="separate"/>
    </w:r>
    <w:r w:rsidR="00715519">
      <w:rPr>
        <w:noProof/>
        <w:sz w:val="17"/>
        <w:lang w:val="en-GB" w:eastAsia="en-GB"/>
      </w:rPr>
      <w:t>2</w:t>
    </w:r>
    <w:r>
      <w:rPr>
        <w:sz w:val="17"/>
        <w:lang w:val="en-GB" w:eastAsia="en-GB"/>
      </w:rPr>
      <w:fldChar w:fldCharType="end"/>
    </w:r>
    <w:r>
      <w:rPr>
        <w:sz w:val="17"/>
        <w:lang w:val="en-GB" w:eastAsia="en-GB"/>
      </w:rPr>
      <w:tab/>
    </w:r>
    <w:r>
      <w:rPr>
        <w:sz w:val="17"/>
        <w:vertAlign w:val="superscript"/>
        <w:lang w:val="en-GB" w:eastAsia="en-GB"/>
      </w:rPr>
      <w:t>©</w:t>
    </w:r>
    <w:r>
      <w:rPr>
        <w:sz w:val="17"/>
        <w:lang w:val="en-GB" w:eastAsia="en-GB"/>
      </w:rPr>
      <w:t xml:space="preserve"> IFRS Foundation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90" w:rsidRPr="00800D1C" w:rsidRDefault="00800D1C" w:rsidP="00800D1C">
    <w:pPr>
      <w:tabs>
        <w:tab w:val="center" w:pos="4677"/>
        <w:tab w:val="right" w:pos="9354"/>
      </w:tabs>
      <w:rPr>
        <w:lang w:val="ru-RU"/>
      </w:rPr>
    </w:pPr>
    <w:r w:rsidRPr="00593FF3">
      <w:rPr>
        <w:sz w:val="17"/>
      </w:rPr>
      <w:tab/>
      <w:t>© IFRS Foundation</w:t>
    </w:r>
    <w:r w:rsidRPr="00593FF3">
      <w:rPr>
        <w:sz w:val="17"/>
      </w:rPr>
      <w:tab/>
    </w:r>
    <w:r w:rsidRPr="00593FF3">
      <w:rPr>
        <w:sz w:val="17"/>
      </w:rPr>
      <w:fldChar w:fldCharType="begin"/>
    </w:r>
    <w:r w:rsidRPr="00593FF3">
      <w:rPr>
        <w:sz w:val="17"/>
      </w:rPr>
      <w:instrText xml:space="preserve"> PAGE </w:instrText>
    </w:r>
    <w:r w:rsidRPr="00593FF3">
      <w:rPr>
        <w:sz w:val="17"/>
      </w:rPr>
      <w:fldChar w:fldCharType="separate"/>
    </w:r>
    <w:r>
      <w:rPr>
        <w:noProof/>
        <w:sz w:val="17"/>
      </w:rPr>
      <w:t>1</w:t>
    </w:r>
    <w:r w:rsidRPr="00593FF3">
      <w:rPr>
        <w:sz w:val="1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1C" w:rsidRPr="00800D1C" w:rsidRDefault="00800D1C" w:rsidP="00800D1C">
    <w:pPr>
      <w:tabs>
        <w:tab w:val="center" w:pos="4677"/>
        <w:tab w:val="right" w:pos="9354"/>
      </w:tabs>
      <w:rPr>
        <w:lang w:val="ru-RU"/>
      </w:rPr>
    </w:pPr>
    <w:r w:rsidRPr="00593FF3">
      <w:rPr>
        <w:sz w:val="17"/>
      </w:rPr>
      <w:fldChar w:fldCharType="begin"/>
    </w:r>
    <w:r w:rsidRPr="00593FF3">
      <w:rPr>
        <w:sz w:val="17"/>
      </w:rPr>
      <w:instrText xml:space="preserve"> PAGE </w:instrText>
    </w:r>
    <w:r w:rsidRPr="00593FF3">
      <w:rPr>
        <w:sz w:val="17"/>
      </w:rPr>
      <w:fldChar w:fldCharType="separate"/>
    </w:r>
    <w:r>
      <w:rPr>
        <w:noProof/>
        <w:sz w:val="17"/>
      </w:rPr>
      <w:t>2</w:t>
    </w:r>
    <w:r w:rsidRPr="00593FF3">
      <w:rPr>
        <w:sz w:val="17"/>
      </w:rPr>
      <w:fldChar w:fldCharType="end"/>
    </w:r>
    <w:r w:rsidRPr="00593FF3">
      <w:rPr>
        <w:sz w:val="17"/>
      </w:rPr>
      <w:tab/>
      <w:t>© IFRS Foundation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90" w:rsidRDefault="004C5590">
    <w:pPr>
      <w:pStyle w:val="IASBNormalnparaL2P"/>
      <w:tabs>
        <w:tab w:val="center" w:pos="4677"/>
        <w:tab w:val="right" w:pos="9354"/>
      </w:tabs>
      <w:spacing w:before="0"/>
      <w:ind w:left="0"/>
      <w:jc w:val="left"/>
      <w:rPr>
        <w:sz w:val="17"/>
        <w:lang w:val="en-GB" w:eastAsia="en-GB"/>
      </w:rPr>
    </w:pPr>
    <w:r>
      <w:rPr>
        <w:sz w:val="17"/>
        <w:lang w:val="en-GB" w:eastAsia="en-GB"/>
      </w:rPr>
      <w:fldChar w:fldCharType="begin"/>
    </w:r>
    <w:r>
      <w:rPr>
        <w:sz w:val="17"/>
        <w:lang w:val="en-GB" w:eastAsia="en-GB"/>
      </w:rPr>
      <w:instrText xml:space="preserve"> PAGE </w:instrText>
    </w:r>
    <w:r>
      <w:rPr>
        <w:sz w:val="17"/>
        <w:lang w:val="en-GB" w:eastAsia="en-GB"/>
      </w:rPr>
      <w:fldChar w:fldCharType="separate"/>
    </w:r>
    <w:r w:rsidR="00430539">
      <w:rPr>
        <w:noProof/>
        <w:sz w:val="17"/>
        <w:lang w:val="en-GB" w:eastAsia="en-GB"/>
      </w:rPr>
      <w:t>2</w:t>
    </w:r>
    <w:r>
      <w:rPr>
        <w:sz w:val="17"/>
        <w:lang w:val="en-GB" w:eastAsia="en-GB"/>
      </w:rPr>
      <w:fldChar w:fldCharType="end"/>
    </w:r>
    <w:r>
      <w:rPr>
        <w:sz w:val="17"/>
        <w:lang w:val="en-GB" w:eastAsia="en-GB"/>
      </w:rPr>
      <w:tab/>
    </w:r>
    <w:r>
      <w:rPr>
        <w:sz w:val="17"/>
        <w:vertAlign w:val="superscript"/>
        <w:lang w:val="en-GB" w:eastAsia="en-GB"/>
      </w:rPr>
      <w:t>©</w:t>
    </w:r>
    <w:r>
      <w:rPr>
        <w:sz w:val="17"/>
        <w:lang w:val="en-GB" w:eastAsia="en-GB"/>
      </w:rPr>
      <w:t xml:space="preserve"> IFRS Foundation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90" w:rsidRPr="00800D1C" w:rsidRDefault="00800D1C" w:rsidP="00800D1C">
    <w:pPr>
      <w:tabs>
        <w:tab w:val="center" w:pos="4677"/>
        <w:tab w:val="right" w:pos="9354"/>
      </w:tabs>
      <w:rPr>
        <w:lang w:val="ru-RU"/>
      </w:rPr>
    </w:pPr>
    <w:r w:rsidRPr="00593FF3">
      <w:rPr>
        <w:sz w:val="17"/>
      </w:rPr>
      <w:tab/>
      <w:t>© IFRS Foundation</w:t>
    </w:r>
    <w:r w:rsidRPr="00593FF3">
      <w:rPr>
        <w:sz w:val="17"/>
      </w:rPr>
      <w:tab/>
    </w:r>
    <w:r w:rsidRPr="00593FF3">
      <w:rPr>
        <w:sz w:val="17"/>
      </w:rPr>
      <w:fldChar w:fldCharType="begin"/>
    </w:r>
    <w:r w:rsidRPr="00593FF3">
      <w:rPr>
        <w:sz w:val="17"/>
      </w:rPr>
      <w:instrText xml:space="preserve"> PAGE </w:instrText>
    </w:r>
    <w:r w:rsidRPr="00593FF3">
      <w:rPr>
        <w:sz w:val="17"/>
      </w:rPr>
      <w:fldChar w:fldCharType="separate"/>
    </w:r>
    <w:r>
      <w:rPr>
        <w:noProof/>
        <w:sz w:val="17"/>
      </w:rPr>
      <w:t>3</w:t>
    </w:r>
    <w:r w:rsidRPr="00593FF3">
      <w:rPr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430" w:rsidRDefault="006F2430">
      <w:r>
        <w:separator/>
      </w:r>
    </w:p>
  </w:footnote>
  <w:footnote w:type="continuationSeparator" w:id="0">
    <w:p w:rsidR="006F2430" w:rsidRDefault="006F2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1C" w:rsidRPr="00800D1C" w:rsidRDefault="00800D1C" w:rsidP="00800D1C">
    <w:pPr>
      <w:pStyle w:val="a6"/>
      <w:jc w:val="right"/>
      <w:rPr>
        <w:lang w:val="ru-RU"/>
      </w:rPr>
    </w:pPr>
    <w:r w:rsidRPr="00800D1C">
      <w:rPr>
        <w:lang w:val="ru-RU"/>
      </w:rPr>
      <w:t xml:space="preserve">Поправки к </w:t>
    </w:r>
    <w:r>
      <w:rPr>
        <w:lang w:val="ru-RU"/>
      </w:rPr>
      <w:t>МСФО</w:t>
    </w:r>
    <w:r w:rsidRPr="00800D1C">
      <w:rPr>
        <w:lang w:val="ru-RU"/>
      </w:rPr>
      <w:t xml:space="preserve"> (</w:t>
    </w:r>
    <w:r w:rsidRPr="00800D1C">
      <w:t>IAS</w:t>
    </w:r>
    <w:r w:rsidRPr="00800D1C">
      <w:rPr>
        <w:lang w:val="ru-RU"/>
      </w:rPr>
      <w:t xml:space="preserve">) 16 и </w:t>
    </w:r>
    <w:r>
      <w:rPr>
        <w:lang w:val="ru-RU"/>
      </w:rPr>
      <w:t>МСФО</w:t>
    </w:r>
    <w:r w:rsidRPr="00800D1C">
      <w:rPr>
        <w:lang w:val="ru-RU"/>
      </w:rPr>
      <w:t xml:space="preserve"> (</w:t>
    </w:r>
    <w:r w:rsidRPr="00800D1C">
      <w:t>IAS</w:t>
    </w:r>
    <w:r w:rsidRPr="00800D1C">
      <w:rPr>
        <w:lang w:val="ru-RU"/>
      </w:rPr>
      <w:t>) 38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539" w:rsidRPr="00800D1C" w:rsidRDefault="00800D1C" w:rsidP="00800D1C">
    <w:pPr>
      <w:pStyle w:val="a6"/>
      <w:rPr>
        <w:lang w:val="ru-RU"/>
      </w:rPr>
    </w:pPr>
    <w:r w:rsidRPr="00800D1C">
      <w:rPr>
        <w:lang w:val="ru-RU"/>
      </w:rPr>
      <w:t xml:space="preserve">Поправки к </w:t>
    </w:r>
    <w:r>
      <w:rPr>
        <w:lang w:val="ru-RU"/>
      </w:rPr>
      <w:t>МСФО</w:t>
    </w:r>
    <w:r w:rsidRPr="00800D1C">
      <w:rPr>
        <w:lang w:val="ru-RU"/>
      </w:rPr>
      <w:t xml:space="preserve"> (</w:t>
    </w:r>
    <w:r w:rsidRPr="00800D1C">
      <w:t>IAS</w:t>
    </w:r>
    <w:r w:rsidRPr="00800D1C">
      <w:rPr>
        <w:lang w:val="ru-RU"/>
      </w:rPr>
      <w:t xml:space="preserve">) 16 и </w:t>
    </w:r>
    <w:r>
      <w:rPr>
        <w:lang w:val="ru-RU"/>
      </w:rPr>
      <w:t>МСФО</w:t>
    </w:r>
    <w:r w:rsidRPr="00800D1C">
      <w:rPr>
        <w:lang w:val="ru-RU"/>
      </w:rPr>
      <w:t xml:space="preserve"> (</w:t>
    </w:r>
    <w:r w:rsidRPr="00800D1C">
      <w:t>IAS</w:t>
    </w:r>
    <w:r w:rsidRPr="00800D1C">
      <w:rPr>
        <w:lang w:val="ru-RU"/>
      </w:rPr>
      <w:t>) 38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90" w:rsidRPr="00953580" w:rsidRDefault="004C5590" w:rsidP="008946BE">
    <w:pPr>
      <w:pStyle w:val="IASBNormalnparaL1P"/>
      <w:tabs>
        <w:tab w:val="right" w:pos="9354"/>
      </w:tabs>
      <w:spacing w:before="0"/>
      <w:ind w:left="0"/>
      <w:jc w:val="center"/>
      <w:rPr>
        <w:smallCaps/>
        <w:sz w:val="20"/>
        <w:lang w:val="ru-RU" w:eastAsia="en-GB"/>
      </w:rPr>
    </w:pPr>
    <w:r>
      <w:rPr>
        <w:smallCaps/>
        <w:sz w:val="20"/>
        <w:lang w:val="ru-RU" w:eastAsia="en-GB"/>
      </w:rPr>
      <w:t>Поправки к МСФО (IAS) </w:t>
    </w:r>
    <w:r w:rsidRPr="00953580">
      <w:rPr>
        <w:smallCaps/>
        <w:sz w:val="20"/>
        <w:lang w:val="ru-RU" w:eastAsia="en-GB"/>
      </w:rPr>
      <w:t xml:space="preserve">16 </w:t>
    </w:r>
    <w:r>
      <w:rPr>
        <w:smallCaps/>
        <w:sz w:val="20"/>
        <w:lang w:val="ru-RU" w:eastAsia="en-GB"/>
      </w:rPr>
      <w:t>и МСФО (IAS) </w:t>
    </w:r>
    <w:r w:rsidRPr="00953580">
      <w:rPr>
        <w:smallCaps/>
        <w:sz w:val="20"/>
        <w:lang w:val="ru-RU" w:eastAsia="en-GB"/>
      </w:rPr>
      <w:t>38</w:t>
    </w:r>
    <w:r>
      <w:rPr>
        <w:smallCaps/>
        <w:sz w:val="20"/>
        <w:lang w:val="ru-RU" w:eastAsia="en-GB"/>
      </w:rPr>
      <w:t xml:space="preserve"> </w:t>
    </w:r>
    <w:r w:rsidRPr="00953580">
      <w:rPr>
        <w:smallCaps/>
        <w:sz w:val="20"/>
        <w:lang w:val="ru-RU" w:eastAsia="en-GB"/>
      </w:rPr>
      <w:t>—</w:t>
    </w:r>
    <w:r>
      <w:rPr>
        <w:smallCaps/>
        <w:sz w:val="20"/>
        <w:lang w:val="ru-RU" w:eastAsia="en-GB"/>
      </w:rPr>
      <w:t xml:space="preserve"> май</w:t>
    </w:r>
    <w:r w:rsidRPr="00953580">
      <w:rPr>
        <w:smallCaps/>
        <w:sz w:val="20"/>
        <w:lang w:val="ru-RU" w:eastAsia="en-GB"/>
      </w:rPr>
      <w:t xml:space="preserve"> 2014</w:t>
    </w:r>
    <w:r>
      <w:rPr>
        <w:smallCaps/>
        <w:sz w:val="20"/>
        <w:lang w:val="ru-RU" w:eastAsia="en-GB"/>
      </w:rPr>
      <w:t xml:space="preserve"> г</w:t>
    </w:r>
    <w:r w:rsidR="00F33583">
      <w:rPr>
        <w:smallCaps/>
        <w:sz w:val="20"/>
        <w:lang w:val="ru-RU" w:eastAsia="en-GB"/>
      </w:rPr>
      <w:t>ода</w:t>
    </w:r>
  </w:p>
  <w:p w:rsidR="004C5590" w:rsidRPr="00953580" w:rsidRDefault="004C5590">
    <w:pPr>
      <w:pStyle w:val="IASBNormalnparaL1P"/>
      <w:tabs>
        <w:tab w:val="right" w:pos="9354"/>
      </w:tabs>
      <w:spacing w:before="0"/>
      <w:ind w:left="0"/>
      <w:jc w:val="left"/>
      <w:rPr>
        <w:sz w:val="20"/>
        <w:lang w:val="ru-RU" w:eastAsia="en-GB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90" w:rsidRPr="00800D1C" w:rsidRDefault="00800D1C" w:rsidP="00800D1C">
    <w:pPr>
      <w:pStyle w:val="a6"/>
      <w:jc w:val="right"/>
      <w:rPr>
        <w:lang w:val="ru-RU"/>
      </w:rPr>
    </w:pPr>
    <w:r w:rsidRPr="00800D1C">
      <w:rPr>
        <w:lang w:val="ru-RU"/>
      </w:rPr>
      <w:t xml:space="preserve">Поправки к </w:t>
    </w:r>
    <w:r>
      <w:rPr>
        <w:lang w:val="ru-RU"/>
      </w:rPr>
      <w:t>МСФО</w:t>
    </w:r>
    <w:r w:rsidRPr="00800D1C">
      <w:rPr>
        <w:lang w:val="ru-RU"/>
      </w:rPr>
      <w:t xml:space="preserve"> (</w:t>
    </w:r>
    <w:r w:rsidRPr="00800D1C">
      <w:t>IAS</w:t>
    </w:r>
    <w:r w:rsidRPr="00800D1C">
      <w:rPr>
        <w:lang w:val="ru-RU"/>
      </w:rPr>
      <w:t xml:space="preserve">) 16 и </w:t>
    </w:r>
    <w:r>
      <w:rPr>
        <w:lang w:val="ru-RU"/>
      </w:rPr>
      <w:t>МСФО</w:t>
    </w:r>
    <w:r w:rsidRPr="00800D1C">
      <w:rPr>
        <w:lang w:val="ru-RU"/>
      </w:rPr>
      <w:t xml:space="preserve"> (</w:t>
    </w:r>
    <w:r w:rsidRPr="00800D1C">
      <w:t>IAS</w:t>
    </w:r>
    <w:r w:rsidRPr="00800D1C">
      <w:rPr>
        <w:lang w:val="ru-RU"/>
      </w:rPr>
      <w:t>) 38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59"/>
    <w:rsid w:val="00005E87"/>
    <w:rsid w:val="000A2ADE"/>
    <w:rsid w:val="000B4EC8"/>
    <w:rsid w:val="001101F5"/>
    <w:rsid w:val="001175EE"/>
    <w:rsid w:val="0012345E"/>
    <w:rsid w:val="00123F91"/>
    <w:rsid w:val="001A0046"/>
    <w:rsid w:val="001B22AA"/>
    <w:rsid w:val="001B3CBB"/>
    <w:rsid w:val="001E25AB"/>
    <w:rsid w:val="001E46DD"/>
    <w:rsid w:val="001F77E7"/>
    <w:rsid w:val="001F78F5"/>
    <w:rsid w:val="00211B35"/>
    <w:rsid w:val="00253E0A"/>
    <w:rsid w:val="00274CE7"/>
    <w:rsid w:val="002B42D0"/>
    <w:rsid w:val="002D21C7"/>
    <w:rsid w:val="002D2896"/>
    <w:rsid w:val="003428AD"/>
    <w:rsid w:val="00377930"/>
    <w:rsid w:val="003A31FE"/>
    <w:rsid w:val="003A4402"/>
    <w:rsid w:val="003B2CDD"/>
    <w:rsid w:val="003B2E2E"/>
    <w:rsid w:val="0040509E"/>
    <w:rsid w:val="00410BDC"/>
    <w:rsid w:val="00430539"/>
    <w:rsid w:val="00467E5F"/>
    <w:rsid w:val="004846E5"/>
    <w:rsid w:val="004A0948"/>
    <w:rsid w:val="004A5F00"/>
    <w:rsid w:val="004A779C"/>
    <w:rsid w:val="004C5590"/>
    <w:rsid w:val="00511114"/>
    <w:rsid w:val="0051165B"/>
    <w:rsid w:val="00526485"/>
    <w:rsid w:val="005654B5"/>
    <w:rsid w:val="00576B6A"/>
    <w:rsid w:val="00577931"/>
    <w:rsid w:val="00585ED0"/>
    <w:rsid w:val="005A78DD"/>
    <w:rsid w:val="00657D7C"/>
    <w:rsid w:val="00661201"/>
    <w:rsid w:val="00662F40"/>
    <w:rsid w:val="00697091"/>
    <w:rsid w:val="006A6D75"/>
    <w:rsid w:val="006B040A"/>
    <w:rsid w:val="006D4E5E"/>
    <w:rsid w:val="006F2430"/>
    <w:rsid w:val="006F4553"/>
    <w:rsid w:val="00715519"/>
    <w:rsid w:val="00735E00"/>
    <w:rsid w:val="00736422"/>
    <w:rsid w:val="00736DD1"/>
    <w:rsid w:val="00745827"/>
    <w:rsid w:val="00746DF8"/>
    <w:rsid w:val="00752A35"/>
    <w:rsid w:val="007E0F52"/>
    <w:rsid w:val="007E19FB"/>
    <w:rsid w:val="007E7278"/>
    <w:rsid w:val="00800D1C"/>
    <w:rsid w:val="00815426"/>
    <w:rsid w:val="008333BD"/>
    <w:rsid w:val="00842859"/>
    <w:rsid w:val="00846151"/>
    <w:rsid w:val="008851D8"/>
    <w:rsid w:val="00890307"/>
    <w:rsid w:val="008946BE"/>
    <w:rsid w:val="008E7F3C"/>
    <w:rsid w:val="009503A5"/>
    <w:rsid w:val="00953580"/>
    <w:rsid w:val="00970BBA"/>
    <w:rsid w:val="009B0323"/>
    <w:rsid w:val="009C4A29"/>
    <w:rsid w:val="00A13BB3"/>
    <w:rsid w:val="00A409FE"/>
    <w:rsid w:val="00A43372"/>
    <w:rsid w:val="00A70549"/>
    <w:rsid w:val="00A76193"/>
    <w:rsid w:val="00A80281"/>
    <w:rsid w:val="00AD78BC"/>
    <w:rsid w:val="00B13805"/>
    <w:rsid w:val="00B31349"/>
    <w:rsid w:val="00B44A2D"/>
    <w:rsid w:val="00C1000B"/>
    <w:rsid w:val="00C17C74"/>
    <w:rsid w:val="00C33CA8"/>
    <w:rsid w:val="00C44020"/>
    <w:rsid w:val="00C54422"/>
    <w:rsid w:val="00C609B9"/>
    <w:rsid w:val="00C6685B"/>
    <w:rsid w:val="00C91942"/>
    <w:rsid w:val="00CB787C"/>
    <w:rsid w:val="00CC5CE8"/>
    <w:rsid w:val="00CE6A16"/>
    <w:rsid w:val="00D40265"/>
    <w:rsid w:val="00D83E0B"/>
    <w:rsid w:val="00DA01B3"/>
    <w:rsid w:val="00DD23F5"/>
    <w:rsid w:val="00DD2EF5"/>
    <w:rsid w:val="00DD6049"/>
    <w:rsid w:val="00E2006C"/>
    <w:rsid w:val="00E36F22"/>
    <w:rsid w:val="00E4704A"/>
    <w:rsid w:val="00E87AF8"/>
    <w:rsid w:val="00F02EC1"/>
    <w:rsid w:val="00F32D63"/>
    <w:rsid w:val="00F33583"/>
    <w:rsid w:val="00F40C8F"/>
    <w:rsid w:val="00F61559"/>
    <w:rsid w:val="00F6514A"/>
    <w:rsid w:val="00FA70CB"/>
    <w:rsid w:val="00FA7DA7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17"/>
    <w:pPr>
      <w:spacing w:after="0" w:line="240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SBNormal">
    <w:name w:val="IASB Normal"/>
    <w:rsid w:val="00184EE0"/>
    <w:pPr>
      <w:tabs>
        <w:tab w:val="left" w:pos="4253"/>
      </w:tabs>
      <w:spacing w:before="100" w:after="100" w:line="240" w:lineRule="auto"/>
      <w:jc w:val="both"/>
    </w:pPr>
    <w:rPr>
      <w:sz w:val="19"/>
      <w:szCs w:val="20"/>
      <w:lang w:val="en-US" w:eastAsia="en-US"/>
    </w:rPr>
  </w:style>
  <w:style w:type="paragraph" w:customStyle="1" w:styleId="IASBNormalnpara">
    <w:name w:val="IASB Normal npara"/>
    <w:basedOn w:val="IASBNormal"/>
    <w:rsid w:val="003F6914"/>
    <w:pPr>
      <w:tabs>
        <w:tab w:val="clear" w:pos="4253"/>
      </w:tabs>
      <w:spacing w:after="0"/>
      <w:ind w:left="782" w:hanging="782"/>
    </w:pPr>
  </w:style>
  <w:style w:type="paragraph" w:customStyle="1" w:styleId="IASBSectionTitle1Ind">
    <w:name w:val="IASB Section Title 1 Ind"/>
    <w:basedOn w:val="a"/>
    <w:rsid w:val="005A1600"/>
    <w:pPr>
      <w:keepNext/>
      <w:keepLines/>
      <w:pBdr>
        <w:bottom w:val="single" w:sz="4" w:space="0" w:color="auto"/>
      </w:pBdr>
      <w:spacing w:before="400" w:after="200"/>
      <w:ind w:left="782"/>
    </w:pPr>
    <w:rPr>
      <w:rFonts w:ascii="Arial" w:hAnsi="Arial" w:cs="Arial"/>
      <w:b/>
      <w:sz w:val="26"/>
      <w:szCs w:val="20"/>
      <w:lang w:val="en-US"/>
    </w:rPr>
  </w:style>
  <w:style w:type="paragraph" w:customStyle="1" w:styleId="IASBSectionTitle1NonInd">
    <w:name w:val="IASB Section Title 1 NonInd"/>
    <w:basedOn w:val="a"/>
    <w:rsid w:val="005A1600"/>
    <w:pPr>
      <w:keepNext/>
      <w:keepLines/>
      <w:pBdr>
        <w:bottom w:val="single" w:sz="4" w:space="0" w:color="auto"/>
      </w:pBdr>
      <w:spacing w:before="400" w:after="200"/>
    </w:pPr>
    <w:rPr>
      <w:rFonts w:ascii="Arial" w:hAnsi="Arial" w:cs="Arial"/>
      <w:b/>
      <w:sz w:val="26"/>
      <w:szCs w:val="20"/>
      <w:lang w:val="en-US"/>
    </w:rPr>
  </w:style>
  <w:style w:type="paragraph" w:customStyle="1" w:styleId="IASBSectionTitle2NonInd">
    <w:name w:val="IASB Section Title 2 NonInd"/>
    <w:basedOn w:val="a"/>
    <w:rsid w:val="005A1600"/>
    <w:pPr>
      <w:keepNext/>
      <w:keepLines/>
      <w:spacing w:before="300" w:after="200"/>
    </w:pPr>
    <w:rPr>
      <w:rFonts w:ascii="Arial" w:hAnsi="Arial" w:cs="Arial"/>
      <w:b/>
      <w:sz w:val="26"/>
      <w:szCs w:val="20"/>
      <w:lang w:val="en-US"/>
    </w:rPr>
  </w:style>
  <w:style w:type="paragraph" w:customStyle="1" w:styleId="IASBSectionTitle2Ind">
    <w:name w:val="IASB Section Title 2 Ind"/>
    <w:basedOn w:val="IASBSectionTitle2NonInd"/>
    <w:rsid w:val="005A1600"/>
    <w:pPr>
      <w:spacing w:before="240"/>
      <w:ind w:left="782"/>
    </w:pPr>
  </w:style>
  <w:style w:type="paragraph" w:customStyle="1" w:styleId="IASBSectionTitle3NonInd">
    <w:name w:val="IASB Section Title 3 NonInd"/>
    <w:basedOn w:val="a"/>
    <w:rsid w:val="005A1600"/>
    <w:pPr>
      <w:keepNext/>
      <w:keepLines/>
      <w:spacing w:before="300" w:after="200"/>
    </w:pPr>
    <w:rPr>
      <w:rFonts w:ascii="Arial" w:hAnsi="Arial" w:cs="Arial"/>
      <w:b/>
      <w:sz w:val="22"/>
      <w:szCs w:val="20"/>
      <w:lang w:val="en-US"/>
    </w:rPr>
  </w:style>
  <w:style w:type="paragraph" w:customStyle="1" w:styleId="IASBSectionTitle3Ind">
    <w:name w:val="IASB Section Title 3 Ind"/>
    <w:basedOn w:val="IASBSectionTitle3NonInd"/>
    <w:rsid w:val="005A1600"/>
    <w:pPr>
      <w:spacing w:before="240"/>
      <w:ind w:left="782"/>
    </w:pPr>
  </w:style>
  <w:style w:type="paragraph" w:customStyle="1" w:styleId="IASBSectionTitle4NonInd">
    <w:name w:val="IASB Section Title 4 NonInd"/>
    <w:basedOn w:val="a"/>
    <w:rsid w:val="005A1600"/>
    <w:pPr>
      <w:keepNext/>
      <w:keepLines/>
      <w:spacing w:before="300" w:after="200"/>
    </w:pPr>
    <w:rPr>
      <w:rFonts w:ascii="Arial" w:hAnsi="Arial" w:cs="Arial"/>
      <w:i/>
      <w:sz w:val="22"/>
      <w:szCs w:val="20"/>
      <w:lang w:val="en-US"/>
    </w:rPr>
  </w:style>
  <w:style w:type="paragraph" w:customStyle="1" w:styleId="IASBSectionTitle4Ind">
    <w:name w:val="IASB Section Title 4 Ind"/>
    <w:basedOn w:val="IASBSectionTitle4NonInd"/>
    <w:rsid w:val="005A1600"/>
    <w:pPr>
      <w:ind w:left="782"/>
    </w:pPr>
  </w:style>
  <w:style w:type="paragraph" w:customStyle="1" w:styleId="IASBSectionTitle5NonInd">
    <w:name w:val="IASB Section Title 5 NonInd"/>
    <w:basedOn w:val="a"/>
    <w:rsid w:val="005A1600"/>
    <w:pPr>
      <w:keepNext/>
      <w:keepLines/>
      <w:spacing w:before="300" w:after="200"/>
    </w:pPr>
    <w:rPr>
      <w:rFonts w:ascii="Arial" w:hAnsi="Arial" w:cs="Arial"/>
      <w:b/>
      <w:sz w:val="20"/>
      <w:szCs w:val="20"/>
      <w:lang w:val="en-US"/>
    </w:rPr>
  </w:style>
  <w:style w:type="paragraph" w:customStyle="1" w:styleId="IASBSectionTitle5Ind">
    <w:name w:val="IASB Section Title 5 Ind"/>
    <w:basedOn w:val="IASBSectionTitle5NonInd"/>
    <w:rsid w:val="005A1600"/>
    <w:pPr>
      <w:ind w:left="782"/>
    </w:pPr>
  </w:style>
  <w:style w:type="paragraph" w:customStyle="1" w:styleId="IASBSectionTitle6NonInd">
    <w:name w:val="IASB Section Title 6 NonInd"/>
    <w:basedOn w:val="IASBSectionTitle5NonInd"/>
    <w:rsid w:val="00C8465C"/>
    <w:rPr>
      <w:b w:val="0"/>
      <w:i/>
    </w:rPr>
  </w:style>
  <w:style w:type="paragraph" w:customStyle="1" w:styleId="IASBSectionTitle6Ind">
    <w:name w:val="IASB Section Title 6 Ind"/>
    <w:basedOn w:val="IASBSectionTitle6NonInd"/>
    <w:rsid w:val="00C8465C"/>
    <w:pPr>
      <w:ind w:left="782"/>
    </w:pPr>
  </w:style>
  <w:style w:type="paragraph" w:customStyle="1" w:styleId="IASBTitle">
    <w:name w:val="IASB Title"/>
    <w:rsid w:val="00424540"/>
    <w:pPr>
      <w:keepNext/>
      <w:keepLines/>
      <w:spacing w:before="300" w:after="400" w:line="240" w:lineRule="auto"/>
    </w:pPr>
    <w:rPr>
      <w:rFonts w:cs="Arial"/>
      <w:sz w:val="36"/>
      <w:szCs w:val="20"/>
      <w:lang w:val="en-US" w:eastAsia="en-US"/>
    </w:rPr>
  </w:style>
  <w:style w:type="paragraph" w:customStyle="1" w:styleId="IASBNormalnparaL1">
    <w:name w:val="IASB Normal nparaL1"/>
    <w:basedOn w:val="IASBNormalnpara"/>
    <w:rsid w:val="00225741"/>
    <w:pPr>
      <w:ind w:left="1564"/>
    </w:pPr>
  </w:style>
  <w:style w:type="paragraph" w:customStyle="1" w:styleId="IASBNormalnparaP">
    <w:name w:val="IASB Normal nparaP"/>
    <w:basedOn w:val="IASBNormal"/>
    <w:rsid w:val="00225741"/>
    <w:pPr>
      <w:ind w:left="782"/>
    </w:pPr>
  </w:style>
  <w:style w:type="paragraph" w:customStyle="1" w:styleId="IASBIdentifier">
    <w:name w:val="IASB Identifier"/>
    <w:basedOn w:val="IASBTitle"/>
    <w:rsid w:val="005D06EB"/>
    <w:pPr>
      <w:spacing w:after="200"/>
    </w:pPr>
    <w:rPr>
      <w:rFonts w:ascii="Arial" w:hAnsi="Arial"/>
      <w:b/>
      <w:sz w:val="23"/>
    </w:rPr>
  </w:style>
  <w:style w:type="paragraph" w:customStyle="1" w:styleId="IASBTOCPrimary">
    <w:name w:val="IASB TOC Primary"/>
    <w:basedOn w:val="a"/>
    <w:rsid w:val="005D06EB"/>
    <w:pPr>
      <w:tabs>
        <w:tab w:val="right" w:pos="8647"/>
      </w:tabs>
      <w:spacing w:before="100" w:after="100"/>
    </w:pPr>
    <w:rPr>
      <w:rFonts w:ascii="Arial" w:hAnsi="Arial" w:cs="Arial"/>
      <w:b/>
      <w:caps/>
      <w:sz w:val="18"/>
      <w:szCs w:val="20"/>
      <w:lang w:val="en-US"/>
    </w:rPr>
  </w:style>
  <w:style w:type="paragraph" w:customStyle="1" w:styleId="IASBTOCParagraph">
    <w:name w:val="IASB TOC Paragraph"/>
    <w:basedOn w:val="a"/>
    <w:rsid w:val="005D06EB"/>
    <w:pPr>
      <w:spacing w:before="30" w:after="30"/>
    </w:pPr>
    <w:rPr>
      <w:rFonts w:ascii="Arial" w:hAnsi="Arial" w:cs="Arial"/>
      <w:i/>
      <w:sz w:val="18"/>
      <w:szCs w:val="20"/>
      <w:lang w:val="en-US"/>
    </w:rPr>
  </w:style>
  <w:style w:type="paragraph" w:customStyle="1" w:styleId="IASBTOCSecondary">
    <w:name w:val="IASB TOC Secondary"/>
    <w:basedOn w:val="a"/>
    <w:rsid w:val="005D06EB"/>
    <w:pPr>
      <w:tabs>
        <w:tab w:val="right" w:pos="8647"/>
      </w:tabs>
      <w:spacing w:before="30" w:after="30"/>
    </w:pPr>
    <w:rPr>
      <w:rFonts w:ascii="Arial" w:hAnsi="Arial" w:cs="Arial"/>
      <w:b/>
      <w:sz w:val="18"/>
      <w:szCs w:val="20"/>
      <w:lang w:val="en-US"/>
    </w:rPr>
  </w:style>
  <w:style w:type="paragraph" w:customStyle="1" w:styleId="IASBTOCTertiary">
    <w:name w:val="IASB TOC Tertiary"/>
    <w:basedOn w:val="a"/>
    <w:rsid w:val="005D06EB"/>
    <w:pPr>
      <w:tabs>
        <w:tab w:val="right" w:pos="8647"/>
      </w:tabs>
      <w:spacing w:before="30" w:after="30"/>
      <w:ind w:left="390"/>
    </w:pPr>
    <w:rPr>
      <w:rFonts w:ascii="Arial" w:hAnsi="Arial" w:cs="Arial"/>
      <w:sz w:val="18"/>
      <w:szCs w:val="20"/>
      <w:lang w:val="en-US"/>
    </w:rPr>
  </w:style>
  <w:style w:type="paragraph" w:customStyle="1" w:styleId="IASBTOCExternal">
    <w:name w:val="IASB TOC External"/>
    <w:basedOn w:val="a"/>
    <w:rsid w:val="005D06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0" w:after="30"/>
    </w:pPr>
    <w:rPr>
      <w:rFonts w:ascii="Arial" w:hAnsi="Arial" w:cs="Arial"/>
      <w:b/>
      <w:sz w:val="18"/>
      <w:szCs w:val="20"/>
      <w:lang w:val="en-US"/>
    </w:rPr>
  </w:style>
  <w:style w:type="paragraph" w:customStyle="1" w:styleId="IASBRubric">
    <w:name w:val="IASB Rubric"/>
    <w:basedOn w:val="IASBNormal"/>
    <w:rsid w:val="00F57224"/>
    <w:pPr>
      <w:pBdr>
        <w:top w:val="single" w:sz="2" w:space="8" w:color="auto"/>
        <w:left w:val="single" w:sz="2" w:space="5" w:color="auto"/>
        <w:bottom w:val="single" w:sz="2" w:space="5" w:color="auto"/>
        <w:right w:val="single" w:sz="2" w:space="5" w:color="auto"/>
      </w:pBdr>
    </w:pPr>
  </w:style>
  <w:style w:type="paragraph" w:customStyle="1" w:styleId="IASBNote">
    <w:name w:val="IASB Note"/>
    <w:basedOn w:val="IASBNormal"/>
    <w:rsid w:val="00F57224"/>
    <w:rPr>
      <w:i/>
    </w:rPr>
  </w:style>
  <w:style w:type="paragraph" w:customStyle="1" w:styleId="IASBBlockquote">
    <w:name w:val="IASB Blockquote"/>
    <w:basedOn w:val="IASBNormal"/>
    <w:rsid w:val="00550AE9"/>
    <w:pPr>
      <w:ind w:left="1565"/>
    </w:pPr>
    <w:rPr>
      <w:sz w:val="16"/>
    </w:rPr>
  </w:style>
  <w:style w:type="character" w:customStyle="1" w:styleId="IASBEduinsert">
    <w:name w:val="IASB Edu insert"/>
    <w:qFormat/>
    <w:rsid w:val="00EB08D7"/>
  </w:style>
  <w:style w:type="character" w:styleId="a3">
    <w:name w:val="footnote reference"/>
    <w:basedOn w:val="a0"/>
    <w:uiPriority w:val="99"/>
    <w:semiHidden/>
    <w:unhideWhenUsed/>
    <w:rsid w:val="00F57224"/>
    <w:rPr>
      <w:vertAlign w:val="superscript"/>
    </w:rPr>
  </w:style>
  <w:style w:type="paragraph" w:styleId="a4">
    <w:name w:val="footnote text"/>
    <w:basedOn w:val="IASBSectionTitle2Ind"/>
    <w:next w:val="IASBBlockquote"/>
    <w:link w:val="a5"/>
    <w:uiPriority w:val="99"/>
    <w:semiHidden/>
    <w:rsid w:val="00713675"/>
    <w:pPr>
      <w:keepNext w:val="0"/>
      <w:keepLines w:val="0"/>
      <w:shd w:val="clear" w:color="auto" w:fill="99CCFF"/>
      <w:spacing w:before="0" w:after="0"/>
      <w:ind w:left="0"/>
    </w:pPr>
    <w:rPr>
      <w:rFonts w:ascii="Times New Roman" w:hAnsi="Times New Roman" w:cs="Times New Roman"/>
      <w:b w:val="0"/>
      <w:sz w:val="16"/>
    </w:rPr>
  </w:style>
  <w:style w:type="character" w:customStyle="1" w:styleId="a5">
    <w:name w:val="Текст сноски Знак"/>
    <w:basedOn w:val="a0"/>
    <w:link w:val="a4"/>
    <w:uiPriority w:val="99"/>
    <w:semiHidden/>
    <w:rPr>
      <w:sz w:val="20"/>
      <w:szCs w:val="20"/>
      <w:lang w:eastAsia="en-US"/>
    </w:rPr>
  </w:style>
  <w:style w:type="paragraph" w:customStyle="1" w:styleId="IASBNormalL1">
    <w:name w:val="IASB Normal L1"/>
    <w:basedOn w:val="IASBNormalnpara"/>
    <w:rsid w:val="002F1EE3"/>
  </w:style>
  <w:style w:type="paragraph" w:styleId="a6">
    <w:name w:val="header"/>
    <w:basedOn w:val="a"/>
    <w:link w:val="a7"/>
    <w:uiPriority w:val="99"/>
    <w:rsid w:val="00EC6A1F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rsid w:val="00EC6A1F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sz w:val="24"/>
      <w:szCs w:val="24"/>
      <w:lang w:eastAsia="en-US"/>
    </w:rPr>
  </w:style>
  <w:style w:type="paragraph" w:customStyle="1" w:styleId="IASBRubricL1">
    <w:name w:val="IASB RubricL1"/>
    <w:basedOn w:val="IASBRubric"/>
    <w:rsid w:val="00AE7B5D"/>
    <w:pPr>
      <w:ind w:left="782" w:hanging="782"/>
      <w:jc w:val="left"/>
    </w:pPr>
    <w:rPr>
      <w:lang w:eastAsia="en-GB"/>
    </w:rPr>
  </w:style>
  <w:style w:type="paragraph" w:customStyle="1" w:styleId="IASBRubricL2">
    <w:name w:val="IASB RubricL2"/>
    <w:basedOn w:val="IASBRubricL1"/>
    <w:rsid w:val="00AE7B5D"/>
    <w:pPr>
      <w:tabs>
        <w:tab w:val="left" w:pos="782"/>
      </w:tabs>
      <w:ind w:left="1565" w:hanging="1565"/>
    </w:pPr>
  </w:style>
  <w:style w:type="paragraph" w:customStyle="1" w:styleId="IASBRubricL3">
    <w:name w:val="IASB RubricL3"/>
    <w:basedOn w:val="IASBRubricL2"/>
    <w:rsid w:val="00AE7B5D"/>
    <w:pPr>
      <w:tabs>
        <w:tab w:val="clear" w:pos="782"/>
        <w:tab w:val="left" w:pos="1565"/>
      </w:tabs>
      <w:ind w:left="2347" w:hanging="2347"/>
    </w:pPr>
  </w:style>
  <w:style w:type="paragraph" w:customStyle="1" w:styleId="IASBNormalnparaL2">
    <w:name w:val="IASB Normal nparaL2"/>
    <w:basedOn w:val="IASBNormalnparaL1"/>
    <w:rsid w:val="00225741"/>
    <w:pPr>
      <w:ind w:left="2347"/>
    </w:pPr>
  </w:style>
  <w:style w:type="paragraph" w:customStyle="1" w:styleId="IASBNormalnparaL3">
    <w:name w:val="IASB Normal nparaL3"/>
    <w:basedOn w:val="IASBNormalnparaL2"/>
    <w:rsid w:val="00225741"/>
    <w:pPr>
      <w:ind w:left="3129"/>
    </w:pPr>
  </w:style>
  <w:style w:type="paragraph" w:customStyle="1" w:styleId="IASBNormalnparaL4">
    <w:name w:val="IASB Normal nparaL4"/>
    <w:basedOn w:val="IASBNormalnparaL3"/>
    <w:rsid w:val="00225741"/>
    <w:pPr>
      <w:ind w:left="3912"/>
    </w:pPr>
  </w:style>
  <w:style w:type="paragraph" w:customStyle="1" w:styleId="IASBNormalnparaL5">
    <w:name w:val="IASB Normal nparaL5"/>
    <w:basedOn w:val="IASBNormalnparaL4"/>
    <w:rsid w:val="00225741"/>
    <w:pPr>
      <w:ind w:left="4694"/>
    </w:pPr>
  </w:style>
  <w:style w:type="paragraph" w:customStyle="1" w:styleId="IASBNormalnparaL1P">
    <w:name w:val="IASB Normal nparaL1P"/>
    <w:basedOn w:val="IASBNormalnparaL2"/>
    <w:rsid w:val="00225741"/>
    <w:pPr>
      <w:ind w:left="1565" w:firstLine="0"/>
    </w:pPr>
  </w:style>
  <w:style w:type="paragraph" w:customStyle="1" w:styleId="IASBNormalnparaL2P">
    <w:name w:val="IASB Normal nparaL2P"/>
    <w:basedOn w:val="IASBNormalnparaL1P"/>
    <w:rsid w:val="00225741"/>
    <w:pPr>
      <w:ind w:left="2347"/>
    </w:pPr>
  </w:style>
  <w:style w:type="paragraph" w:customStyle="1" w:styleId="IASBNormalnparaL3P">
    <w:name w:val="IASB Normal nparaL3P"/>
    <w:basedOn w:val="IASBNormalnparaL2P"/>
    <w:rsid w:val="00225741"/>
    <w:pPr>
      <w:ind w:left="3130"/>
    </w:pPr>
  </w:style>
  <w:style w:type="paragraph" w:customStyle="1" w:styleId="IASBNormalnparaL4P">
    <w:name w:val="IASB Normal nparaL4P"/>
    <w:basedOn w:val="IASBNormalnparaL3P"/>
    <w:rsid w:val="00225741"/>
    <w:pPr>
      <w:ind w:left="3912"/>
    </w:pPr>
  </w:style>
  <w:style w:type="paragraph" w:customStyle="1" w:styleId="IASBNormalnparaL5P">
    <w:name w:val="IASB Normal nparaL5P"/>
    <w:basedOn w:val="IASBNormalnparaL4P"/>
    <w:rsid w:val="00225741"/>
    <w:pPr>
      <w:ind w:left="4751"/>
    </w:pPr>
  </w:style>
  <w:style w:type="paragraph" w:customStyle="1" w:styleId="IASBBlockquoteL1">
    <w:name w:val="IASB BlockquoteL1"/>
    <w:basedOn w:val="IASBBlockquote"/>
    <w:rsid w:val="00550AE9"/>
    <w:pPr>
      <w:ind w:left="2347" w:hanging="782"/>
    </w:pPr>
  </w:style>
  <w:style w:type="paragraph" w:customStyle="1" w:styleId="IASBBlockquoteL2">
    <w:name w:val="IASB BlockquoteL2"/>
    <w:basedOn w:val="IASBBlockquoteL1"/>
    <w:rsid w:val="00550AE9"/>
    <w:pPr>
      <w:ind w:left="3129"/>
    </w:pPr>
  </w:style>
  <w:style w:type="paragraph" w:customStyle="1" w:styleId="IASBNormalL2">
    <w:name w:val="IASB Normal L2"/>
    <w:basedOn w:val="IASBNormalL1"/>
    <w:rsid w:val="005B533E"/>
    <w:pPr>
      <w:ind w:left="1564"/>
    </w:pPr>
  </w:style>
  <w:style w:type="paragraph" w:customStyle="1" w:styleId="IASBTOCQuartery">
    <w:name w:val="IASB TOC Quartery"/>
    <w:basedOn w:val="IASBTOCTertiary"/>
    <w:rsid w:val="005D06EB"/>
    <w:pPr>
      <w:ind w:left="851"/>
    </w:pPr>
  </w:style>
  <w:style w:type="paragraph" w:customStyle="1" w:styleId="IASBNoteTitle">
    <w:name w:val="IASB Note Title"/>
    <w:basedOn w:val="IASBTOCPrimary"/>
    <w:rsid w:val="00A52AD8"/>
    <w:pPr>
      <w:jc w:val="center"/>
    </w:pPr>
    <w:rPr>
      <w:b w:val="0"/>
      <w:caps w:val="0"/>
      <w:sz w:val="24"/>
    </w:rPr>
  </w:style>
  <w:style w:type="paragraph" w:customStyle="1" w:styleId="IASBNormalL1P">
    <w:name w:val="IASB Normal L1P"/>
    <w:basedOn w:val="IASBNormalL1"/>
    <w:qFormat/>
    <w:rsid w:val="00A50330"/>
    <w:pPr>
      <w:ind w:firstLine="0"/>
    </w:pPr>
  </w:style>
  <w:style w:type="paragraph" w:customStyle="1" w:styleId="IASBNormalL2P">
    <w:name w:val="IASB Normal L2P"/>
    <w:basedOn w:val="IASBNormalL1P"/>
    <w:qFormat/>
    <w:rsid w:val="00A50330"/>
    <w:pPr>
      <w:ind w:left="1565"/>
    </w:pPr>
  </w:style>
  <w:style w:type="paragraph" w:customStyle="1" w:styleId="IASBNormalnparaC">
    <w:name w:val="IASB Normal nparaC"/>
    <w:basedOn w:val="IASBNormalnpara"/>
    <w:qFormat/>
    <w:rsid w:val="00B37F2B"/>
    <w:pPr>
      <w:spacing w:before="0"/>
    </w:pPr>
  </w:style>
  <w:style w:type="paragraph" w:customStyle="1" w:styleId="IASBEdupara">
    <w:name w:val="IASB Edu para"/>
    <w:basedOn w:val="IASBNormal"/>
    <w:qFormat/>
    <w:rsid w:val="00EB08D7"/>
  </w:style>
  <w:style w:type="paragraph" w:customStyle="1" w:styleId="IASBTableBoldTNR">
    <w:name w:val="IASB Table Bold TNR"/>
    <w:basedOn w:val="a"/>
    <w:qFormat/>
    <w:rsid w:val="003656D2"/>
    <w:pPr>
      <w:spacing w:before="120"/>
    </w:pPr>
    <w:rPr>
      <w:b/>
      <w:sz w:val="19"/>
      <w:szCs w:val="20"/>
      <w:lang w:eastAsia="en-GB"/>
    </w:rPr>
  </w:style>
  <w:style w:type="paragraph" w:customStyle="1" w:styleId="IASBTableHeaderTNR">
    <w:name w:val="IASB Table Header TNR"/>
    <w:basedOn w:val="a"/>
    <w:qFormat/>
    <w:rsid w:val="003656D2"/>
    <w:pPr>
      <w:keepNext/>
      <w:spacing w:before="120" w:after="200" w:line="276" w:lineRule="auto"/>
    </w:pPr>
    <w:rPr>
      <w:sz w:val="19"/>
      <w:szCs w:val="20"/>
      <w:lang w:eastAsia="en-GB"/>
    </w:rPr>
  </w:style>
  <w:style w:type="paragraph" w:customStyle="1" w:styleId="IASBTableTNR">
    <w:name w:val="IASB Table TNR"/>
    <w:basedOn w:val="a"/>
    <w:qFormat/>
    <w:rsid w:val="003656D2"/>
    <w:pPr>
      <w:spacing w:before="120"/>
    </w:pPr>
    <w:rPr>
      <w:sz w:val="19"/>
      <w:szCs w:val="20"/>
      <w:lang w:eastAsia="en-GB"/>
    </w:rPr>
  </w:style>
  <w:style w:type="paragraph" w:customStyle="1" w:styleId="IASBTableArial">
    <w:name w:val="IASB Table Arial"/>
    <w:basedOn w:val="a"/>
    <w:rsid w:val="00B90BDB"/>
    <w:pPr>
      <w:spacing w:before="120"/>
    </w:pPr>
    <w:rPr>
      <w:rFonts w:ascii="Arial" w:hAnsi="Arial"/>
      <w:sz w:val="18"/>
      <w:szCs w:val="20"/>
      <w:lang w:eastAsia="en-GB"/>
    </w:rPr>
  </w:style>
  <w:style w:type="paragraph" w:customStyle="1" w:styleId="IASBTableBoldArial">
    <w:name w:val="IASB Table Bold Arial"/>
    <w:basedOn w:val="IASBTableArial"/>
    <w:qFormat/>
    <w:rsid w:val="00B90BDB"/>
    <w:rPr>
      <w:b/>
    </w:rPr>
  </w:style>
  <w:style w:type="paragraph" w:customStyle="1" w:styleId="IASBTableHeaderArial">
    <w:name w:val="IASB Table Header Arial"/>
    <w:basedOn w:val="IASBTableArial"/>
    <w:qFormat/>
    <w:rsid w:val="00B90BDB"/>
    <w:pPr>
      <w:keepNext/>
      <w:spacing w:after="200" w:line="276" w:lineRule="auto"/>
    </w:pPr>
  </w:style>
  <w:style w:type="paragraph" w:styleId="aa">
    <w:name w:val="Balloon Text"/>
    <w:basedOn w:val="a"/>
    <w:link w:val="ab"/>
    <w:uiPriority w:val="99"/>
    <w:semiHidden/>
    <w:unhideWhenUsed/>
    <w:rsid w:val="00B313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1349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basedOn w:val="a0"/>
    <w:uiPriority w:val="99"/>
    <w:semiHidden/>
    <w:unhideWhenUsed/>
    <w:rsid w:val="00A13B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13B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13BB3"/>
    <w:rPr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13B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13BB3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17"/>
    <w:pPr>
      <w:spacing w:after="0" w:line="240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SBNormal">
    <w:name w:val="IASB Normal"/>
    <w:rsid w:val="00184EE0"/>
    <w:pPr>
      <w:tabs>
        <w:tab w:val="left" w:pos="4253"/>
      </w:tabs>
      <w:spacing w:before="100" w:after="100" w:line="240" w:lineRule="auto"/>
      <w:jc w:val="both"/>
    </w:pPr>
    <w:rPr>
      <w:sz w:val="19"/>
      <w:szCs w:val="20"/>
      <w:lang w:val="en-US" w:eastAsia="en-US"/>
    </w:rPr>
  </w:style>
  <w:style w:type="paragraph" w:customStyle="1" w:styleId="IASBNormalnpara">
    <w:name w:val="IASB Normal npara"/>
    <w:basedOn w:val="IASBNormal"/>
    <w:rsid w:val="003F6914"/>
    <w:pPr>
      <w:tabs>
        <w:tab w:val="clear" w:pos="4253"/>
      </w:tabs>
      <w:spacing w:after="0"/>
      <w:ind w:left="782" w:hanging="782"/>
    </w:pPr>
  </w:style>
  <w:style w:type="paragraph" w:customStyle="1" w:styleId="IASBSectionTitle1Ind">
    <w:name w:val="IASB Section Title 1 Ind"/>
    <w:basedOn w:val="a"/>
    <w:rsid w:val="005A1600"/>
    <w:pPr>
      <w:keepNext/>
      <w:keepLines/>
      <w:pBdr>
        <w:bottom w:val="single" w:sz="4" w:space="0" w:color="auto"/>
      </w:pBdr>
      <w:spacing w:before="400" w:after="200"/>
      <w:ind w:left="782"/>
    </w:pPr>
    <w:rPr>
      <w:rFonts w:ascii="Arial" w:hAnsi="Arial" w:cs="Arial"/>
      <w:b/>
      <w:sz w:val="26"/>
      <w:szCs w:val="20"/>
      <w:lang w:val="en-US"/>
    </w:rPr>
  </w:style>
  <w:style w:type="paragraph" w:customStyle="1" w:styleId="IASBSectionTitle1NonInd">
    <w:name w:val="IASB Section Title 1 NonInd"/>
    <w:basedOn w:val="a"/>
    <w:rsid w:val="005A1600"/>
    <w:pPr>
      <w:keepNext/>
      <w:keepLines/>
      <w:pBdr>
        <w:bottom w:val="single" w:sz="4" w:space="0" w:color="auto"/>
      </w:pBdr>
      <w:spacing w:before="400" w:after="200"/>
    </w:pPr>
    <w:rPr>
      <w:rFonts w:ascii="Arial" w:hAnsi="Arial" w:cs="Arial"/>
      <w:b/>
      <w:sz w:val="26"/>
      <w:szCs w:val="20"/>
      <w:lang w:val="en-US"/>
    </w:rPr>
  </w:style>
  <w:style w:type="paragraph" w:customStyle="1" w:styleId="IASBSectionTitle2NonInd">
    <w:name w:val="IASB Section Title 2 NonInd"/>
    <w:basedOn w:val="a"/>
    <w:rsid w:val="005A1600"/>
    <w:pPr>
      <w:keepNext/>
      <w:keepLines/>
      <w:spacing w:before="300" w:after="200"/>
    </w:pPr>
    <w:rPr>
      <w:rFonts w:ascii="Arial" w:hAnsi="Arial" w:cs="Arial"/>
      <w:b/>
      <w:sz w:val="26"/>
      <w:szCs w:val="20"/>
      <w:lang w:val="en-US"/>
    </w:rPr>
  </w:style>
  <w:style w:type="paragraph" w:customStyle="1" w:styleId="IASBSectionTitle2Ind">
    <w:name w:val="IASB Section Title 2 Ind"/>
    <w:basedOn w:val="IASBSectionTitle2NonInd"/>
    <w:rsid w:val="005A1600"/>
    <w:pPr>
      <w:spacing w:before="240"/>
      <w:ind w:left="782"/>
    </w:pPr>
  </w:style>
  <w:style w:type="paragraph" w:customStyle="1" w:styleId="IASBSectionTitle3NonInd">
    <w:name w:val="IASB Section Title 3 NonInd"/>
    <w:basedOn w:val="a"/>
    <w:rsid w:val="005A1600"/>
    <w:pPr>
      <w:keepNext/>
      <w:keepLines/>
      <w:spacing w:before="300" w:after="200"/>
    </w:pPr>
    <w:rPr>
      <w:rFonts w:ascii="Arial" w:hAnsi="Arial" w:cs="Arial"/>
      <w:b/>
      <w:sz w:val="22"/>
      <w:szCs w:val="20"/>
      <w:lang w:val="en-US"/>
    </w:rPr>
  </w:style>
  <w:style w:type="paragraph" w:customStyle="1" w:styleId="IASBSectionTitle3Ind">
    <w:name w:val="IASB Section Title 3 Ind"/>
    <w:basedOn w:val="IASBSectionTitle3NonInd"/>
    <w:rsid w:val="005A1600"/>
    <w:pPr>
      <w:spacing w:before="240"/>
      <w:ind w:left="782"/>
    </w:pPr>
  </w:style>
  <w:style w:type="paragraph" w:customStyle="1" w:styleId="IASBSectionTitle4NonInd">
    <w:name w:val="IASB Section Title 4 NonInd"/>
    <w:basedOn w:val="a"/>
    <w:rsid w:val="005A1600"/>
    <w:pPr>
      <w:keepNext/>
      <w:keepLines/>
      <w:spacing w:before="300" w:after="200"/>
    </w:pPr>
    <w:rPr>
      <w:rFonts w:ascii="Arial" w:hAnsi="Arial" w:cs="Arial"/>
      <w:i/>
      <w:sz w:val="22"/>
      <w:szCs w:val="20"/>
      <w:lang w:val="en-US"/>
    </w:rPr>
  </w:style>
  <w:style w:type="paragraph" w:customStyle="1" w:styleId="IASBSectionTitle4Ind">
    <w:name w:val="IASB Section Title 4 Ind"/>
    <w:basedOn w:val="IASBSectionTitle4NonInd"/>
    <w:rsid w:val="005A1600"/>
    <w:pPr>
      <w:ind w:left="782"/>
    </w:pPr>
  </w:style>
  <w:style w:type="paragraph" w:customStyle="1" w:styleId="IASBSectionTitle5NonInd">
    <w:name w:val="IASB Section Title 5 NonInd"/>
    <w:basedOn w:val="a"/>
    <w:rsid w:val="005A1600"/>
    <w:pPr>
      <w:keepNext/>
      <w:keepLines/>
      <w:spacing w:before="300" w:after="200"/>
    </w:pPr>
    <w:rPr>
      <w:rFonts w:ascii="Arial" w:hAnsi="Arial" w:cs="Arial"/>
      <w:b/>
      <w:sz w:val="20"/>
      <w:szCs w:val="20"/>
      <w:lang w:val="en-US"/>
    </w:rPr>
  </w:style>
  <w:style w:type="paragraph" w:customStyle="1" w:styleId="IASBSectionTitle5Ind">
    <w:name w:val="IASB Section Title 5 Ind"/>
    <w:basedOn w:val="IASBSectionTitle5NonInd"/>
    <w:rsid w:val="005A1600"/>
    <w:pPr>
      <w:ind w:left="782"/>
    </w:pPr>
  </w:style>
  <w:style w:type="paragraph" w:customStyle="1" w:styleId="IASBSectionTitle6NonInd">
    <w:name w:val="IASB Section Title 6 NonInd"/>
    <w:basedOn w:val="IASBSectionTitle5NonInd"/>
    <w:rsid w:val="00C8465C"/>
    <w:rPr>
      <w:b w:val="0"/>
      <w:i/>
    </w:rPr>
  </w:style>
  <w:style w:type="paragraph" w:customStyle="1" w:styleId="IASBSectionTitle6Ind">
    <w:name w:val="IASB Section Title 6 Ind"/>
    <w:basedOn w:val="IASBSectionTitle6NonInd"/>
    <w:rsid w:val="00C8465C"/>
    <w:pPr>
      <w:ind w:left="782"/>
    </w:pPr>
  </w:style>
  <w:style w:type="paragraph" w:customStyle="1" w:styleId="IASBTitle">
    <w:name w:val="IASB Title"/>
    <w:rsid w:val="00424540"/>
    <w:pPr>
      <w:keepNext/>
      <w:keepLines/>
      <w:spacing w:before="300" w:after="400" w:line="240" w:lineRule="auto"/>
    </w:pPr>
    <w:rPr>
      <w:rFonts w:cs="Arial"/>
      <w:sz w:val="36"/>
      <w:szCs w:val="20"/>
      <w:lang w:val="en-US" w:eastAsia="en-US"/>
    </w:rPr>
  </w:style>
  <w:style w:type="paragraph" w:customStyle="1" w:styleId="IASBNormalnparaL1">
    <w:name w:val="IASB Normal nparaL1"/>
    <w:basedOn w:val="IASBNormalnpara"/>
    <w:rsid w:val="00225741"/>
    <w:pPr>
      <w:ind w:left="1564"/>
    </w:pPr>
  </w:style>
  <w:style w:type="paragraph" w:customStyle="1" w:styleId="IASBNormalnparaP">
    <w:name w:val="IASB Normal nparaP"/>
    <w:basedOn w:val="IASBNormal"/>
    <w:rsid w:val="00225741"/>
    <w:pPr>
      <w:ind w:left="782"/>
    </w:pPr>
  </w:style>
  <w:style w:type="paragraph" w:customStyle="1" w:styleId="IASBIdentifier">
    <w:name w:val="IASB Identifier"/>
    <w:basedOn w:val="IASBTitle"/>
    <w:rsid w:val="005D06EB"/>
    <w:pPr>
      <w:spacing w:after="200"/>
    </w:pPr>
    <w:rPr>
      <w:rFonts w:ascii="Arial" w:hAnsi="Arial"/>
      <w:b/>
      <w:sz w:val="23"/>
    </w:rPr>
  </w:style>
  <w:style w:type="paragraph" w:customStyle="1" w:styleId="IASBTOCPrimary">
    <w:name w:val="IASB TOC Primary"/>
    <w:basedOn w:val="a"/>
    <w:rsid w:val="005D06EB"/>
    <w:pPr>
      <w:tabs>
        <w:tab w:val="right" w:pos="8647"/>
      </w:tabs>
      <w:spacing w:before="100" w:after="100"/>
    </w:pPr>
    <w:rPr>
      <w:rFonts w:ascii="Arial" w:hAnsi="Arial" w:cs="Arial"/>
      <w:b/>
      <w:caps/>
      <w:sz w:val="18"/>
      <w:szCs w:val="20"/>
      <w:lang w:val="en-US"/>
    </w:rPr>
  </w:style>
  <w:style w:type="paragraph" w:customStyle="1" w:styleId="IASBTOCParagraph">
    <w:name w:val="IASB TOC Paragraph"/>
    <w:basedOn w:val="a"/>
    <w:rsid w:val="005D06EB"/>
    <w:pPr>
      <w:spacing w:before="30" w:after="30"/>
    </w:pPr>
    <w:rPr>
      <w:rFonts w:ascii="Arial" w:hAnsi="Arial" w:cs="Arial"/>
      <w:i/>
      <w:sz w:val="18"/>
      <w:szCs w:val="20"/>
      <w:lang w:val="en-US"/>
    </w:rPr>
  </w:style>
  <w:style w:type="paragraph" w:customStyle="1" w:styleId="IASBTOCSecondary">
    <w:name w:val="IASB TOC Secondary"/>
    <w:basedOn w:val="a"/>
    <w:rsid w:val="005D06EB"/>
    <w:pPr>
      <w:tabs>
        <w:tab w:val="right" w:pos="8647"/>
      </w:tabs>
      <w:spacing w:before="30" w:after="30"/>
    </w:pPr>
    <w:rPr>
      <w:rFonts w:ascii="Arial" w:hAnsi="Arial" w:cs="Arial"/>
      <w:b/>
      <w:sz w:val="18"/>
      <w:szCs w:val="20"/>
      <w:lang w:val="en-US"/>
    </w:rPr>
  </w:style>
  <w:style w:type="paragraph" w:customStyle="1" w:styleId="IASBTOCTertiary">
    <w:name w:val="IASB TOC Tertiary"/>
    <w:basedOn w:val="a"/>
    <w:rsid w:val="005D06EB"/>
    <w:pPr>
      <w:tabs>
        <w:tab w:val="right" w:pos="8647"/>
      </w:tabs>
      <w:spacing w:before="30" w:after="30"/>
      <w:ind w:left="390"/>
    </w:pPr>
    <w:rPr>
      <w:rFonts w:ascii="Arial" w:hAnsi="Arial" w:cs="Arial"/>
      <w:sz w:val="18"/>
      <w:szCs w:val="20"/>
      <w:lang w:val="en-US"/>
    </w:rPr>
  </w:style>
  <w:style w:type="paragraph" w:customStyle="1" w:styleId="IASBTOCExternal">
    <w:name w:val="IASB TOC External"/>
    <w:basedOn w:val="a"/>
    <w:rsid w:val="005D06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0" w:after="30"/>
    </w:pPr>
    <w:rPr>
      <w:rFonts w:ascii="Arial" w:hAnsi="Arial" w:cs="Arial"/>
      <w:b/>
      <w:sz w:val="18"/>
      <w:szCs w:val="20"/>
      <w:lang w:val="en-US"/>
    </w:rPr>
  </w:style>
  <w:style w:type="paragraph" w:customStyle="1" w:styleId="IASBRubric">
    <w:name w:val="IASB Rubric"/>
    <w:basedOn w:val="IASBNormal"/>
    <w:rsid w:val="00F57224"/>
    <w:pPr>
      <w:pBdr>
        <w:top w:val="single" w:sz="2" w:space="8" w:color="auto"/>
        <w:left w:val="single" w:sz="2" w:space="5" w:color="auto"/>
        <w:bottom w:val="single" w:sz="2" w:space="5" w:color="auto"/>
        <w:right w:val="single" w:sz="2" w:space="5" w:color="auto"/>
      </w:pBdr>
    </w:pPr>
  </w:style>
  <w:style w:type="paragraph" w:customStyle="1" w:styleId="IASBNote">
    <w:name w:val="IASB Note"/>
    <w:basedOn w:val="IASBNormal"/>
    <w:rsid w:val="00F57224"/>
    <w:rPr>
      <w:i/>
    </w:rPr>
  </w:style>
  <w:style w:type="paragraph" w:customStyle="1" w:styleId="IASBBlockquote">
    <w:name w:val="IASB Blockquote"/>
    <w:basedOn w:val="IASBNormal"/>
    <w:rsid w:val="00550AE9"/>
    <w:pPr>
      <w:ind w:left="1565"/>
    </w:pPr>
    <w:rPr>
      <w:sz w:val="16"/>
    </w:rPr>
  </w:style>
  <w:style w:type="character" w:customStyle="1" w:styleId="IASBEduinsert">
    <w:name w:val="IASB Edu insert"/>
    <w:qFormat/>
    <w:rsid w:val="00EB08D7"/>
  </w:style>
  <w:style w:type="character" w:styleId="a3">
    <w:name w:val="footnote reference"/>
    <w:basedOn w:val="a0"/>
    <w:uiPriority w:val="99"/>
    <w:semiHidden/>
    <w:unhideWhenUsed/>
    <w:rsid w:val="00F57224"/>
    <w:rPr>
      <w:vertAlign w:val="superscript"/>
    </w:rPr>
  </w:style>
  <w:style w:type="paragraph" w:styleId="a4">
    <w:name w:val="footnote text"/>
    <w:basedOn w:val="IASBSectionTitle2Ind"/>
    <w:next w:val="IASBBlockquote"/>
    <w:link w:val="a5"/>
    <w:uiPriority w:val="99"/>
    <w:semiHidden/>
    <w:rsid w:val="00713675"/>
    <w:pPr>
      <w:keepNext w:val="0"/>
      <w:keepLines w:val="0"/>
      <w:shd w:val="clear" w:color="auto" w:fill="99CCFF"/>
      <w:spacing w:before="0" w:after="0"/>
      <w:ind w:left="0"/>
    </w:pPr>
    <w:rPr>
      <w:rFonts w:ascii="Times New Roman" w:hAnsi="Times New Roman" w:cs="Times New Roman"/>
      <w:b w:val="0"/>
      <w:sz w:val="16"/>
    </w:rPr>
  </w:style>
  <w:style w:type="character" w:customStyle="1" w:styleId="a5">
    <w:name w:val="Текст сноски Знак"/>
    <w:basedOn w:val="a0"/>
    <w:link w:val="a4"/>
    <w:uiPriority w:val="99"/>
    <w:semiHidden/>
    <w:rPr>
      <w:sz w:val="20"/>
      <w:szCs w:val="20"/>
      <w:lang w:eastAsia="en-US"/>
    </w:rPr>
  </w:style>
  <w:style w:type="paragraph" w:customStyle="1" w:styleId="IASBNormalL1">
    <w:name w:val="IASB Normal L1"/>
    <w:basedOn w:val="IASBNormalnpara"/>
    <w:rsid w:val="002F1EE3"/>
  </w:style>
  <w:style w:type="paragraph" w:styleId="a6">
    <w:name w:val="header"/>
    <w:basedOn w:val="a"/>
    <w:link w:val="a7"/>
    <w:uiPriority w:val="99"/>
    <w:rsid w:val="00EC6A1F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rsid w:val="00EC6A1F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sz w:val="24"/>
      <w:szCs w:val="24"/>
      <w:lang w:eastAsia="en-US"/>
    </w:rPr>
  </w:style>
  <w:style w:type="paragraph" w:customStyle="1" w:styleId="IASBRubricL1">
    <w:name w:val="IASB RubricL1"/>
    <w:basedOn w:val="IASBRubric"/>
    <w:rsid w:val="00AE7B5D"/>
    <w:pPr>
      <w:ind w:left="782" w:hanging="782"/>
      <w:jc w:val="left"/>
    </w:pPr>
    <w:rPr>
      <w:lang w:eastAsia="en-GB"/>
    </w:rPr>
  </w:style>
  <w:style w:type="paragraph" w:customStyle="1" w:styleId="IASBRubricL2">
    <w:name w:val="IASB RubricL2"/>
    <w:basedOn w:val="IASBRubricL1"/>
    <w:rsid w:val="00AE7B5D"/>
    <w:pPr>
      <w:tabs>
        <w:tab w:val="left" w:pos="782"/>
      </w:tabs>
      <w:ind w:left="1565" w:hanging="1565"/>
    </w:pPr>
  </w:style>
  <w:style w:type="paragraph" w:customStyle="1" w:styleId="IASBRubricL3">
    <w:name w:val="IASB RubricL3"/>
    <w:basedOn w:val="IASBRubricL2"/>
    <w:rsid w:val="00AE7B5D"/>
    <w:pPr>
      <w:tabs>
        <w:tab w:val="clear" w:pos="782"/>
        <w:tab w:val="left" w:pos="1565"/>
      </w:tabs>
      <w:ind w:left="2347" w:hanging="2347"/>
    </w:pPr>
  </w:style>
  <w:style w:type="paragraph" w:customStyle="1" w:styleId="IASBNormalnparaL2">
    <w:name w:val="IASB Normal nparaL2"/>
    <w:basedOn w:val="IASBNormalnparaL1"/>
    <w:rsid w:val="00225741"/>
    <w:pPr>
      <w:ind w:left="2347"/>
    </w:pPr>
  </w:style>
  <w:style w:type="paragraph" w:customStyle="1" w:styleId="IASBNormalnparaL3">
    <w:name w:val="IASB Normal nparaL3"/>
    <w:basedOn w:val="IASBNormalnparaL2"/>
    <w:rsid w:val="00225741"/>
    <w:pPr>
      <w:ind w:left="3129"/>
    </w:pPr>
  </w:style>
  <w:style w:type="paragraph" w:customStyle="1" w:styleId="IASBNormalnparaL4">
    <w:name w:val="IASB Normal nparaL4"/>
    <w:basedOn w:val="IASBNormalnparaL3"/>
    <w:rsid w:val="00225741"/>
    <w:pPr>
      <w:ind w:left="3912"/>
    </w:pPr>
  </w:style>
  <w:style w:type="paragraph" w:customStyle="1" w:styleId="IASBNormalnparaL5">
    <w:name w:val="IASB Normal nparaL5"/>
    <w:basedOn w:val="IASBNormalnparaL4"/>
    <w:rsid w:val="00225741"/>
    <w:pPr>
      <w:ind w:left="4694"/>
    </w:pPr>
  </w:style>
  <w:style w:type="paragraph" w:customStyle="1" w:styleId="IASBNormalnparaL1P">
    <w:name w:val="IASB Normal nparaL1P"/>
    <w:basedOn w:val="IASBNormalnparaL2"/>
    <w:rsid w:val="00225741"/>
    <w:pPr>
      <w:ind w:left="1565" w:firstLine="0"/>
    </w:pPr>
  </w:style>
  <w:style w:type="paragraph" w:customStyle="1" w:styleId="IASBNormalnparaL2P">
    <w:name w:val="IASB Normal nparaL2P"/>
    <w:basedOn w:val="IASBNormalnparaL1P"/>
    <w:rsid w:val="00225741"/>
    <w:pPr>
      <w:ind w:left="2347"/>
    </w:pPr>
  </w:style>
  <w:style w:type="paragraph" w:customStyle="1" w:styleId="IASBNormalnparaL3P">
    <w:name w:val="IASB Normal nparaL3P"/>
    <w:basedOn w:val="IASBNormalnparaL2P"/>
    <w:rsid w:val="00225741"/>
    <w:pPr>
      <w:ind w:left="3130"/>
    </w:pPr>
  </w:style>
  <w:style w:type="paragraph" w:customStyle="1" w:styleId="IASBNormalnparaL4P">
    <w:name w:val="IASB Normal nparaL4P"/>
    <w:basedOn w:val="IASBNormalnparaL3P"/>
    <w:rsid w:val="00225741"/>
    <w:pPr>
      <w:ind w:left="3912"/>
    </w:pPr>
  </w:style>
  <w:style w:type="paragraph" w:customStyle="1" w:styleId="IASBNormalnparaL5P">
    <w:name w:val="IASB Normal nparaL5P"/>
    <w:basedOn w:val="IASBNormalnparaL4P"/>
    <w:rsid w:val="00225741"/>
    <w:pPr>
      <w:ind w:left="4751"/>
    </w:pPr>
  </w:style>
  <w:style w:type="paragraph" w:customStyle="1" w:styleId="IASBBlockquoteL1">
    <w:name w:val="IASB BlockquoteL1"/>
    <w:basedOn w:val="IASBBlockquote"/>
    <w:rsid w:val="00550AE9"/>
    <w:pPr>
      <w:ind w:left="2347" w:hanging="782"/>
    </w:pPr>
  </w:style>
  <w:style w:type="paragraph" w:customStyle="1" w:styleId="IASBBlockquoteL2">
    <w:name w:val="IASB BlockquoteL2"/>
    <w:basedOn w:val="IASBBlockquoteL1"/>
    <w:rsid w:val="00550AE9"/>
    <w:pPr>
      <w:ind w:left="3129"/>
    </w:pPr>
  </w:style>
  <w:style w:type="paragraph" w:customStyle="1" w:styleId="IASBNormalL2">
    <w:name w:val="IASB Normal L2"/>
    <w:basedOn w:val="IASBNormalL1"/>
    <w:rsid w:val="005B533E"/>
    <w:pPr>
      <w:ind w:left="1564"/>
    </w:pPr>
  </w:style>
  <w:style w:type="paragraph" w:customStyle="1" w:styleId="IASBTOCQuartery">
    <w:name w:val="IASB TOC Quartery"/>
    <w:basedOn w:val="IASBTOCTertiary"/>
    <w:rsid w:val="005D06EB"/>
    <w:pPr>
      <w:ind w:left="851"/>
    </w:pPr>
  </w:style>
  <w:style w:type="paragraph" w:customStyle="1" w:styleId="IASBNoteTitle">
    <w:name w:val="IASB Note Title"/>
    <w:basedOn w:val="IASBTOCPrimary"/>
    <w:rsid w:val="00A52AD8"/>
    <w:pPr>
      <w:jc w:val="center"/>
    </w:pPr>
    <w:rPr>
      <w:b w:val="0"/>
      <w:caps w:val="0"/>
      <w:sz w:val="24"/>
    </w:rPr>
  </w:style>
  <w:style w:type="paragraph" w:customStyle="1" w:styleId="IASBNormalL1P">
    <w:name w:val="IASB Normal L1P"/>
    <w:basedOn w:val="IASBNormalL1"/>
    <w:qFormat/>
    <w:rsid w:val="00A50330"/>
    <w:pPr>
      <w:ind w:firstLine="0"/>
    </w:pPr>
  </w:style>
  <w:style w:type="paragraph" w:customStyle="1" w:styleId="IASBNormalL2P">
    <w:name w:val="IASB Normal L2P"/>
    <w:basedOn w:val="IASBNormalL1P"/>
    <w:qFormat/>
    <w:rsid w:val="00A50330"/>
    <w:pPr>
      <w:ind w:left="1565"/>
    </w:pPr>
  </w:style>
  <w:style w:type="paragraph" w:customStyle="1" w:styleId="IASBNormalnparaC">
    <w:name w:val="IASB Normal nparaC"/>
    <w:basedOn w:val="IASBNormalnpara"/>
    <w:qFormat/>
    <w:rsid w:val="00B37F2B"/>
    <w:pPr>
      <w:spacing w:before="0"/>
    </w:pPr>
  </w:style>
  <w:style w:type="paragraph" w:customStyle="1" w:styleId="IASBEdupara">
    <w:name w:val="IASB Edu para"/>
    <w:basedOn w:val="IASBNormal"/>
    <w:qFormat/>
    <w:rsid w:val="00EB08D7"/>
  </w:style>
  <w:style w:type="paragraph" w:customStyle="1" w:styleId="IASBTableBoldTNR">
    <w:name w:val="IASB Table Bold TNR"/>
    <w:basedOn w:val="a"/>
    <w:qFormat/>
    <w:rsid w:val="003656D2"/>
    <w:pPr>
      <w:spacing w:before="120"/>
    </w:pPr>
    <w:rPr>
      <w:b/>
      <w:sz w:val="19"/>
      <w:szCs w:val="20"/>
      <w:lang w:eastAsia="en-GB"/>
    </w:rPr>
  </w:style>
  <w:style w:type="paragraph" w:customStyle="1" w:styleId="IASBTableHeaderTNR">
    <w:name w:val="IASB Table Header TNR"/>
    <w:basedOn w:val="a"/>
    <w:qFormat/>
    <w:rsid w:val="003656D2"/>
    <w:pPr>
      <w:keepNext/>
      <w:spacing w:before="120" w:after="200" w:line="276" w:lineRule="auto"/>
    </w:pPr>
    <w:rPr>
      <w:sz w:val="19"/>
      <w:szCs w:val="20"/>
      <w:lang w:eastAsia="en-GB"/>
    </w:rPr>
  </w:style>
  <w:style w:type="paragraph" w:customStyle="1" w:styleId="IASBTableTNR">
    <w:name w:val="IASB Table TNR"/>
    <w:basedOn w:val="a"/>
    <w:qFormat/>
    <w:rsid w:val="003656D2"/>
    <w:pPr>
      <w:spacing w:before="120"/>
    </w:pPr>
    <w:rPr>
      <w:sz w:val="19"/>
      <w:szCs w:val="20"/>
      <w:lang w:eastAsia="en-GB"/>
    </w:rPr>
  </w:style>
  <w:style w:type="paragraph" w:customStyle="1" w:styleId="IASBTableArial">
    <w:name w:val="IASB Table Arial"/>
    <w:basedOn w:val="a"/>
    <w:rsid w:val="00B90BDB"/>
    <w:pPr>
      <w:spacing w:before="120"/>
    </w:pPr>
    <w:rPr>
      <w:rFonts w:ascii="Arial" w:hAnsi="Arial"/>
      <w:sz w:val="18"/>
      <w:szCs w:val="20"/>
      <w:lang w:eastAsia="en-GB"/>
    </w:rPr>
  </w:style>
  <w:style w:type="paragraph" w:customStyle="1" w:styleId="IASBTableBoldArial">
    <w:name w:val="IASB Table Bold Arial"/>
    <w:basedOn w:val="IASBTableArial"/>
    <w:qFormat/>
    <w:rsid w:val="00B90BDB"/>
    <w:rPr>
      <w:b/>
    </w:rPr>
  </w:style>
  <w:style w:type="paragraph" w:customStyle="1" w:styleId="IASBTableHeaderArial">
    <w:name w:val="IASB Table Header Arial"/>
    <w:basedOn w:val="IASBTableArial"/>
    <w:qFormat/>
    <w:rsid w:val="00B90BDB"/>
    <w:pPr>
      <w:keepNext/>
      <w:spacing w:after="200" w:line="276" w:lineRule="auto"/>
    </w:pPr>
  </w:style>
  <w:style w:type="paragraph" w:styleId="aa">
    <w:name w:val="Balloon Text"/>
    <w:basedOn w:val="a"/>
    <w:link w:val="ab"/>
    <w:uiPriority w:val="99"/>
    <w:semiHidden/>
    <w:unhideWhenUsed/>
    <w:rsid w:val="00B313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1349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basedOn w:val="a0"/>
    <w:uiPriority w:val="99"/>
    <w:semiHidden/>
    <w:unhideWhenUsed/>
    <w:rsid w:val="00A13B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13B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13BB3"/>
    <w:rPr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13B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13BB3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8BD1E-267A-45D5-9CDB-3B1BAD53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IFRS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Nicola</dc:creator>
  <cp:lastModifiedBy>ТРИФОНОВА ТАТЬЯНА СЕРГЕЕВНА</cp:lastModifiedBy>
  <cp:revision>16</cp:revision>
  <dcterms:created xsi:type="dcterms:W3CDTF">2016-03-11T12:38:00Z</dcterms:created>
  <dcterms:modified xsi:type="dcterms:W3CDTF">2016-07-20T07:55:00Z</dcterms:modified>
</cp:coreProperties>
</file>