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EF" w:rsidRPr="001D7D70" w:rsidRDefault="001D7D70" w:rsidP="001D7D70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eastAsia="Arial" w:hAnsi="Times New Roman" w:cs="Times New Roman"/>
          <w:sz w:val="24"/>
          <w:szCs w:val="24"/>
          <w:lang w:val="ru-RU"/>
        </w:rPr>
        <w:t>Указания об отражении в бухгалтерском учете операций по договору лизинга (утверждены приказом Минфина России от 17.02.1997 № 15, с изменениями от 23.01.2001 №</w:t>
      </w:r>
      <w:r w:rsidRPr="001D7D70">
        <w:rPr>
          <w:rFonts w:ascii="Times New Roman" w:eastAsia="Arial" w:hAnsi="Times New Roman" w:cs="Times New Roman"/>
          <w:spacing w:val="-22"/>
          <w:sz w:val="24"/>
          <w:szCs w:val="24"/>
          <w:lang w:val="ru-RU"/>
        </w:rPr>
        <w:t xml:space="preserve"> </w:t>
      </w:r>
      <w:r w:rsidRPr="001D7D70">
        <w:rPr>
          <w:rFonts w:ascii="Times New Roman" w:eastAsia="Arial" w:hAnsi="Times New Roman" w:cs="Times New Roman"/>
          <w:sz w:val="24"/>
          <w:szCs w:val="24"/>
          <w:lang w:val="ru-RU"/>
        </w:rPr>
        <w:t>7н)</w:t>
      </w:r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832EF" w:rsidRPr="001D7D70" w:rsidRDefault="001D7D70" w:rsidP="001D7D70">
      <w:pPr>
        <w:pStyle w:val="a4"/>
        <w:numPr>
          <w:ilvl w:val="0"/>
          <w:numId w:val="3"/>
        </w:numPr>
        <w:tabs>
          <w:tab w:val="left" w:pos="3488"/>
        </w:tabs>
        <w:ind w:left="0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D7D70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1D7D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D7D70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</w:rPr>
      </w:pP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1008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бухгалтерского учета операций по договору лизинга необходимо руководствоваться Временным положением о лизинге, утвержденным Постановлением Правительства Российской Федерации от 29 июня 1995 г. </w:t>
      </w:r>
      <w:r w:rsidRPr="001D7D70">
        <w:rPr>
          <w:rFonts w:ascii="Times New Roman" w:hAnsi="Times New Roman" w:cs="Times New Roman"/>
          <w:sz w:val="24"/>
          <w:szCs w:val="24"/>
        </w:rPr>
        <w:t>N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633 (с учетом внесенных изменений и дополнени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й), Положением о бухгалтерском учете и отчетности в Российской Федерации, утвержденным Приказом Министерства финансов Российской Федерации от 26 декабря 1994 г. </w:t>
      </w:r>
      <w:r w:rsidRPr="001D7D70">
        <w:rPr>
          <w:rFonts w:ascii="Times New Roman" w:hAnsi="Times New Roman" w:cs="Times New Roman"/>
          <w:sz w:val="24"/>
          <w:szCs w:val="24"/>
        </w:rPr>
        <w:t>N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170, Планом счетов бухгалтерского учета финансово - хозяйственной деятельности предприятий и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Инструкцией по его применению, утвержденных Приказом Минфина СССР от 1 ноября 1991 г. </w:t>
      </w:r>
      <w:r w:rsidRPr="001D7D70">
        <w:rPr>
          <w:rFonts w:ascii="Times New Roman" w:hAnsi="Times New Roman" w:cs="Times New Roman"/>
          <w:sz w:val="24"/>
          <w:szCs w:val="24"/>
        </w:rPr>
        <w:t>N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56, и настоящими</w:t>
      </w:r>
      <w:r w:rsidRPr="001D7D7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Указаниями.</w:t>
      </w: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954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В соответствии с Временным положением о лизинге имущество, переданное в лизинг, в течение всего срока действия договора лизинга является со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бственностью лизингодателя, за исключением имущества, приобретаемого за счет бюджетных средств. Условия постановки лизингового имущества на баланс лизингодателя или лизингополучателя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определяются</w:t>
      </w:r>
      <w:r w:rsidRPr="001D7D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D7D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согласованию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D7D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1D7D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лизинга.</w:t>
      </w:r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832EF" w:rsidRPr="001D7D70" w:rsidRDefault="001D7D70" w:rsidP="001D7D70">
      <w:pPr>
        <w:pStyle w:val="a4"/>
        <w:numPr>
          <w:ilvl w:val="0"/>
          <w:numId w:val="3"/>
        </w:numPr>
        <w:tabs>
          <w:tab w:val="left" w:pos="2676"/>
        </w:tabs>
        <w:ind w:left="0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D7D70">
        <w:rPr>
          <w:rFonts w:ascii="Times New Roman" w:hAnsi="Times New Roman" w:cs="Times New Roman"/>
          <w:sz w:val="24"/>
          <w:szCs w:val="24"/>
        </w:rPr>
        <w:t>Бухгалтер</w:t>
      </w:r>
      <w:r w:rsidRPr="001D7D7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D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70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D7D70">
        <w:rPr>
          <w:rFonts w:ascii="Times New Roman" w:hAnsi="Times New Roman" w:cs="Times New Roman"/>
          <w:sz w:val="24"/>
          <w:szCs w:val="24"/>
        </w:rPr>
        <w:t xml:space="preserve"> у</w:t>
      </w:r>
      <w:r w:rsidRPr="001D7D7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1D7D70">
        <w:rPr>
          <w:rFonts w:ascii="Times New Roman" w:hAnsi="Times New Roman" w:cs="Times New Roman"/>
          <w:sz w:val="24"/>
          <w:szCs w:val="24"/>
        </w:rPr>
        <w:t>лизингодателя</w:t>
      </w:r>
      <w:proofErr w:type="spellEnd"/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</w:rPr>
      </w:pP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1007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Затраты, связанные с приобретением лизингового имущества за счет собственных или заемных средств, отражаются по дебету счета 08 "Капитальные вложения",</w:t>
      </w:r>
      <w:r w:rsidRPr="001D7D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"Приобретение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1D7D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1D7D7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средств".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предназначенное для сдачи в аренду по договору лизинга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 сумме всех затрат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связанных с его приобретением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приходуется по дебету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03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Доходные вложения в материальные ценности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Имущество для сдачи в аренду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7D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корреспонденции</w:t>
      </w:r>
      <w:r w:rsidRPr="001D7D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счетом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апитальные</w:t>
      </w:r>
      <w:r w:rsidRPr="001D7D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вложения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Передача лизингового имущества лизингополучателю отражается лишь записями в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аналитическом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учете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D7D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счету</w:t>
      </w:r>
      <w:r w:rsidRPr="001D7D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1D7D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Доходные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вложения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материальные</w:t>
      </w:r>
      <w:r w:rsidRPr="001D7D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по условиям договора лизинга лизинговое имущество поставляется его продавцом непосредственно лизингополучателю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минуя лизингодателя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то указанные записи делаются в бухгалтерском учете транзитом на основании первичного учетного документа</w:t>
      </w:r>
      <w:r w:rsidRPr="001D7D70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лизингополучат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еля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933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по условиям договора лизинга лизинговое имущество учитывается на балансе лизингополучателя, то передача лизингового имущества лизингополучателю отражается на счете 47 "Реализация и прочее выбытие основных</w:t>
      </w:r>
      <w:r w:rsidRPr="001D7D7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средств":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по кредиту в корреспонденции со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счетом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Задолженность по лизинговым платежам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на сумму задолженности по лизинговым платежам согласно договору</w:t>
      </w:r>
      <w:r w:rsidRPr="001D7D7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лизинга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по дебету в корреспонденции со счетом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03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Доходные вложения в материальные ценности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Имущество для сдачи в аренду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на стоимость лизингового имущества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со счетом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83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Доходы будущих периодов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на разницу между общей суммой лизинговых платежей согласно договору лизинга и ст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оимостью лизингового</w:t>
      </w:r>
      <w:r w:rsidRPr="001D7D7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При этом лизингодатель принимает указанное имущество на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забалансовый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учет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счет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021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Основные средства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сданные в аренду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")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 разрезе лизингополучателей и видов</w:t>
      </w:r>
      <w:r w:rsidRPr="001D7D7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1058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Затраты лизингодателя по осуществлению лизинговой дея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тельности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формируются в соответствии с Положением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прибыли, утвержденным Постановлением Правительства Российской Федерации от 5 августа 1992 г. </w:t>
      </w:r>
      <w:r w:rsidRPr="001D7D70">
        <w:rPr>
          <w:rFonts w:ascii="Times New Roman" w:hAnsi="Times New Roman" w:cs="Times New Roman"/>
          <w:sz w:val="24"/>
          <w:szCs w:val="24"/>
        </w:rPr>
        <w:t>N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552 (с учетом внесенных изменений и дополнений), и учитываются на счете 20 "Основное производство" в корреспонденции со  счетами учета соответствующих ценностей,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расчетов и</w:t>
      </w:r>
      <w:r w:rsidRPr="001D7D7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т.п.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амортизационных отчислений на полное восстановление лизингового имущества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учитываемого лизингодателем на своем балансе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на счете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03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Доходные вложения в материальные ценности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"),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производится равномерно по дебету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20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Основное производство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и кредиту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02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Износ основных средств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Ежемесячно накопленные на счете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20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Основное производство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суммы списываются в дебет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46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продукции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7D7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)".</w:t>
      </w: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894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Причитающиеся по договору лизинга суммы лизинговых платежей за отчетный период и досрочно начисленные платежи отражаются по дебету счета 62 "Расчеты с покупателями и заказчиками" в корреспонденции со счетом 46 "Реализация продукции (работ, услуг)". Поступл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ение от лизингополучателя лизинговых платежей отражается по кредиту счета 62 "Расчеты с покупателями и заказчиками" в корреспонденции со счетами учета денежных</w:t>
      </w:r>
      <w:r w:rsidRPr="001D7D7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по условиям договора лизинговое имущество учитывается на балансе лизингополучателя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то причитающаяся по договору лизинга сумма лизингового платежа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поступившая в отчетном периоде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отражается по кредиту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Задолженность по лизинговым платежам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 корреспонденции со счетами учета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Одновременно разница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учитываемая в соответствии с пунктом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Указаний на счете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83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Доходы будущих периодов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списывается с этого счета в корреспонденции с кредитом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80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Прибыли и убытки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 части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приходящейся на сумму лизи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нгового</w:t>
      </w:r>
      <w:r w:rsidRPr="001D7D7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платежа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918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При возврате лизингового имущества и прекращении его использования для лизинга его стоимость переносится с кредита счета 03 "Доходные вложения в материальные ценности",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"Имущество для сдачи в лизинг" на счет 01 "Основные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средства".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по условиям договора лизинга лизинговое имущество учитывается на балансе лизингополучателя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то при возврате его лизингодателю остаточная стоимость на основании первичного учетного документа лизингополучателя отражается по дебету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03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Доходные вложения в материальные ценности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 корреспонденции со</w:t>
      </w:r>
      <w:r w:rsidRPr="001D7D7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счетом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Задолженность по лизинговым платежам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при этом возвращается имущество с полностью погашенной стоимостью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то оно приходует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ся на счет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03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Доходные вложения в материальные ценности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gramStart"/>
      <w:r w:rsidRPr="001D7D70">
        <w:rPr>
          <w:rFonts w:ascii="Times New Roman" w:hAnsi="Times New Roman" w:cs="Times New Roman"/>
          <w:sz w:val="24"/>
          <w:szCs w:val="24"/>
          <w:lang w:val="ru-RU"/>
        </w:rPr>
        <w:t>по условной оценке</w:t>
      </w:r>
      <w:proofErr w:type="gram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1000</w:t>
      </w:r>
      <w:r w:rsidRPr="001D7D70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832EF" w:rsidRPr="001D7D70" w:rsidRDefault="001D7D70" w:rsidP="001D7D70">
      <w:pPr>
        <w:pStyle w:val="a4"/>
        <w:numPr>
          <w:ilvl w:val="0"/>
          <w:numId w:val="3"/>
        </w:numPr>
        <w:tabs>
          <w:tab w:val="left" w:pos="2493"/>
        </w:tabs>
        <w:ind w:left="0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D7D70">
        <w:rPr>
          <w:rFonts w:ascii="Times New Roman" w:hAnsi="Times New Roman" w:cs="Times New Roman"/>
          <w:sz w:val="24"/>
          <w:szCs w:val="24"/>
        </w:rPr>
        <w:t>Бухгалтерский</w:t>
      </w:r>
      <w:proofErr w:type="spellEnd"/>
      <w:r w:rsidRPr="001D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D70">
        <w:rPr>
          <w:rFonts w:ascii="Times New Roman" w:hAnsi="Times New Roman" w:cs="Times New Roman"/>
          <w:sz w:val="24"/>
          <w:szCs w:val="24"/>
        </w:rPr>
        <w:t>уч</w:t>
      </w:r>
      <w:bookmarkStart w:id="0" w:name="_GoBack"/>
      <w:bookmarkEnd w:id="0"/>
      <w:r w:rsidRPr="001D7D70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1D7D70">
        <w:rPr>
          <w:rFonts w:ascii="Times New Roman" w:hAnsi="Times New Roman" w:cs="Times New Roman"/>
          <w:sz w:val="24"/>
          <w:szCs w:val="24"/>
        </w:rPr>
        <w:t xml:space="preserve"> у</w:t>
      </w:r>
      <w:r w:rsidRPr="001D7D7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1D7D70">
        <w:rPr>
          <w:rFonts w:ascii="Times New Roman" w:hAnsi="Times New Roman" w:cs="Times New Roman"/>
          <w:sz w:val="24"/>
          <w:szCs w:val="24"/>
        </w:rPr>
        <w:t>лизингополучателя</w:t>
      </w:r>
      <w:proofErr w:type="spellEnd"/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</w:rPr>
      </w:pP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1062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лизингового имущества, поступившего лизингополучателю, учитывается на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забалансовом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счете 001 "Арендованные основные</w:t>
      </w:r>
      <w:r w:rsidRPr="001D7D70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средства".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по условиям договора лизинга лизинговое имущество учитывается на балансе лизингополучателя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то стоимость лизингового имущества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поступившего лизингополучателю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отражается по дебету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08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Капитальные вложения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Приобретение отд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ельных объектов основных средств по договору лизинга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 кредитом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Арендные обязательства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Затраты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связанные с получением лизингового имущества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 стоимость поступившего лизи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нгового имущества списываются с кредита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08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Капитальные вложения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Приобретение отдельных объектов основных средств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со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счетом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01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Основные средства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Арендованное</w:t>
      </w:r>
      <w:r w:rsidRPr="001D7D7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899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Начисление причитающихся лизингодателю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лизинговых платежей за отчетный период отражается по кредиту счета 76 "Расчеты с разными дебиторами и кредиторами",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"Задолженность по лизингов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ым платежам" в корреспонденции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со счетами учета издержек производства</w:t>
      </w:r>
      <w:r w:rsidRPr="001D7D7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(обращения).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по условиям дого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вора лизинга лизинговое имущество учитывается на балансе лизингополучателя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то начисление причитающихся лизингодателю лизинговых платежей отражается по дебету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Арендные обязательства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со счетом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Задолженность по лизинговым</w:t>
      </w:r>
      <w:r w:rsidRPr="001D7D7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платежам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амортизационных отчислений на полное восстановление лизингового имущества производится исходя из его стоимости и норм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твержденных в установленном</w:t>
      </w:r>
      <w:r w:rsidRPr="001D7D7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7D7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D7D7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 w:rsidRPr="001D7D7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7D7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увеличенных</w:t>
      </w:r>
      <w:r w:rsidRPr="001D7D7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7D7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D7D7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7D7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механизма ускоренной амортизации на коэффициент не выше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3,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и отражается по дебету счетов учета издержек производства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со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счетом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02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Износ основных средств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Износ имущества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сданного в</w:t>
      </w:r>
      <w:r w:rsidRPr="001D7D70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лизинг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1144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При возврате лизингового имущества лизингодателю его стоимость списывается с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забалансового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учета (счет 001 "Арендованные основные</w:t>
      </w:r>
      <w:r w:rsidRPr="001D7D70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средства").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по условиям договора лизинга лизинговое имущество учитывается на балансе лизингополучателя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то возврат лизингового имущества лизингодателю при условии погашения всей суммы предусмотренных договором лизинга лизинговых платежей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отражается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счете</w:t>
      </w:r>
      <w:r w:rsidRPr="001D7D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47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1D7D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прочее</w:t>
      </w:r>
      <w:r w:rsidRPr="001D7D7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выбытие</w:t>
      </w:r>
      <w:r w:rsidRPr="001D7D7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1D7D7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":</w:t>
      </w:r>
    </w:p>
    <w:p w:rsidR="00E832EF" w:rsidRPr="001D7D70" w:rsidRDefault="001D7D70" w:rsidP="001D7D70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по дебету в корреспонденции с кредитом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01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Основные средства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Арендованное</w:t>
      </w:r>
      <w:r w:rsidRPr="001D7D7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";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по кредиту в корреспонденции с дебетом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02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Износ основных средств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Износ имущества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сдан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ного в</w:t>
      </w:r>
      <w:r w:rsidRPr="001D7D7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лизинг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1036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При выкупе лизингового имущества его стоимость на дату перехода права собственности списывается с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забалансового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счета 001 "Арендованные основные средства". Одновременно производится запись на эту стоимость по дебету счета 01 "Основные средс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тва" и кредиту счета 02 "Износ основных средств",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"Износ собственных основных</w:t>
      </w:r>
      <w:r w:rsidRPr="001D7D7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средств".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по условиям договора лизинга лизинговое имущество учитывается на балансе лизингополучателя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то при выкупе лизингового имущества и переходе его в собственно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сть лизингополучателя при условии погашения всей суммы предусмотренных договором лизинга лизинговых платежей производится на счетах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01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Основные средства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02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Износ основных средств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внутренняя запись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связанная с переносом данных с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субсчета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по имуществу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полученному в лизинг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собственных основных</w:t>
      </w:r>
      <w:r w:rsidRPr="001D7D7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2EF" w:rsidRPr="001D7D70" w:rsidRDefault="001D7D70" w:rsidP="001D7D70">
      <w:pPr>
        <w:pStyle w:val="a4"/>
        <w:numPr>
          <w:ilvl w:val="0"/>
          <w:numId w:val="2"/>
        </w:numPr>
        <w:tabs>
          <w:tab w:val="left" w:pos="1085"/>
        </w:tabs>
        <w:ind w:left="0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В случае осуществления выкупа до истечения срока договора лизинга досрочно начисленные платежи относятся в дебет счета 31 "Расходы будущих периодов", а в случае принятия лизингополучателем ре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шения об использовании собственных источников - в дебет счетов учета собственных источников организации (81 "Использование прибыли", 88 "Нераспределенная прибыль (непокрытый убыток)") в корреспонденции со счетом 76 "Расчеты с разными дебиторами и кредитора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ми",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"Задолженность по лизинговым</w:t>
      </w:r>
      <w:r w:rsidRPr="001D7D7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платежам".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Если по условиям договора лизинга лизинговое имущество учитывается на балансе лизингополучателя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то досрочно начисленные платежи относятся либо в дебет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31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Расходы будущих периодов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либо в случае принятия лизингополучателем решения об использовании собственных источников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в дебет счетов учета  собственных источников организации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(81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Использование прибыли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", 88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Нераспределенная прибыль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непокрытый убыток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)")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 корреспонденции со счетом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02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Износ основных средств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Износ имущества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сданного в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лизинг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Одновременно указанная сумма учитывается по дебету счета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Задолженность по лизинговым платежам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в корреспонденции со счетом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76 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Расчеты с разными дебиторами и кредиторами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1D7D70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Арендные</w:t>
      </w:r>
      <w:r w:rsidRPr="001D7D7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обязательства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832EF" w:rsidRPr="001D7D70" w:rsidRDefault="001D7D70" w:rsidP="001D7D70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В составе информации об учетной политике лизингодателя и лизингополучателя в бухгалтерской отчетности в обязательном порядке подлежит раскрытию следующая информация в части совершения организацией операций по договору</w:t>
      </w:r>
      <w:r w:rsidRPr="001D7D7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лизинга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выбранных условиях постановки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лизингового имущества на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баланс;</w:t>
      </w:r>
    </w:p>
    <w:p w:rsidR="00E832EF" w:rsidRPr="001D7D70" w:rsidRDefault="001D7D70" w:rsidP="001D7D7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предстоящих лизинговых платежах в последующем отчетном периоде и до конца действия договора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лизинга.</w:t>
      </w:r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1D7D70" w:rsidRDefault="001D7D70" w:rsidP="001D7D70">
      <w:pPr>
        <w:pStyle w:val="a3"/>
        <w:ind w:left="0" w:firstLine="720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 w:rsidRPr="001D7D70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Департамента</w:t>
      </w:r>
      <w:r w:rsidRPr="001D7D7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E832EF" w:rsidRPr="001D7D70" w:rsidRDefault="001D7D70" w:rsidP="001D7D70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методологии</w:t>
      </w:r>
      <w:r w:rsidRPr="001D7D7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</w:p>
    <w:p w:rsidR="00E832EF" w:rsidRPr="001D7D70" w:rsidRDefault="001D7D70" w:rsidP="001D7D70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учета и</w:t>
      </w:r>
      <w:r w:rsidRPr="001D7D70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</w:p>
    <w:p w:rsidR="00E832EF" w:rsidRPr="001D7D70" w:rsidRDefault="001D7D70" w:rsidP="001D7D70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D7D70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1D7D7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D7D70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1D7D70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БАКАЕВ</w:t>
      </w:r>
    </w:p>
    <w:p w:rsidR="00E832EF" w:rsidRDefault="00E832EF" w:rsidP="001D7D70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D7D70" w:rsidRDefault="001D7D70" w:rsidP="001D7D70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32EF" w:rsidRPr="001D7D70" w:rsidRDefault="001D7D70" w:rsidP="001D7D70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1D7D7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1D7D70" w:rsidRDefault="001D7D70" w:rsidP="001D7D70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к Приказу</w:t>
      </w:r>
    </w:p>
    <w:p w:rsidR="00E832EF" w:rsidRPr="001D7D70" w:rsidRDefault="001D7D70" w:rsidP="001D7D70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Министерства финансов</w:t>
      </w:r>
      <w:r w:rsidRPr="001D7D7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РФ</w:t>
      </w:r>
    </w:p>
    <w:p w:rsidR="00E832EF" w:rsidRPr="001D7D70" w:rsidRDefault="001D7D70" w:rsidP="001D7D70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17.02.97 </w:t>
      </w:r>
      <w:r w:rsidRPr="001D7D70">
        <w:rPr>
          <w:rFonts w:ascii="Times New Roman" w:hAnsi="Times New Roman" w:cs="Times New Roman"/>
          <w:sz w:val="24"/>
          <w:szCs w:val="24"/>
        </w:rPr>
        <w:t>N</w:t>
      </w:r>
      <w:r w:rsidRPr="001D7D7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832EF" w:rsidRPr="001D7D70" w:rsidRDefault="001D7D70" w:rsidP="001D7D7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b/>
          <w:sz w:val="24"/>
          <w:szCs w:val="24"/>
          <w:lang w:val="ru-RU"/>
        </w:rPr>
        <w:t>ИЗМЕНЕНИЯ</w:t>
      </w:r>
    </w:p>
    <w:p w:rsidR="00E832EF" w:rsidRPr="001D7D70" w:rsidRDefault="001D7D70" w:rsidP="001D7D70">
      <w:pPr>
        <w:pStyle w:val="a4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b/>
          <w:sz w:val="24"/>
          <w:szCs w:val="24"/>
          <w:lang w:val="ru-RU"/>
        </w:rPr>
        <w:t>К ПЛАНУ СЧЕТОВ БУХГАЛТЕРСКОГО УЧЕТА ФИНАНСОВО</w:t>
      </w:r>
      <w:r w:rsidRPr="001D7D70">
        <w:rPr>
          <w:rFonts w:ascii="Times New Roman" w:hAnsi="Times New Roman" w:cs="Times New Roman"/>
          <w:b/>
          <w:spacing w:val="-29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</w:p>
    <w:p w:rsidR="00E832EF" w:rsidRPr="001D7D70" w:rsidRDefault="001D7D70" w:rsidP="001D7D70">
      <w:pPr>
        <w:pStyle w:val="a4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b/>
          <w:sz w:val="24"/>
          <w:szCs w:val="24"/>
          <w:lang w:val="ru-RU"/>
        </w:rPr>
        <w:t>ХОЗЯЙСТВЕННОЙ ДЕЯТЕЛЬНОСТИ</w:t>
      </w:r>
      <w:r w:rsidRPr="001D7D70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b/>
          <w:sz w:val="24"/>
          <w:szCs w:val="24"/>
          <w:lang w:val="ru-RU"/>
        </w:rPr>
        <w:t>ПРЕДПРИЯТИЙ И ИНСТРУКЦИИ ПО ЕГО</w:t>
      </w:r>
      <w:r w:rsidRPr="001D7D70">
        <w:rPr>
          <w:rFonts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b/>
          <w:sz w:val="24"/>
          <w:szCs w:val="24"/>
          <w:lang w:val="ru-RU"/>
        </w:rPr>
        <w:t>ПРИМЕНЕНИЮ</w:t>
      </w:r>
    </w:p>
    <w:p w:rsidR="00E832EF" w:rsidRPr="001D7D70" w:rsidRDefault="00E832EF" w:rsidP="001D7D70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E832EF" w:rsidRPr="001D7D70" w:rsidRDefault="001D7D70" w:rsidP="001D7D70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D7D70">
        <w:rPr>
          <w:rFonts w:ascii="Times New Roman" w:hAnsi="Times New Roman" w:cs="Times New Roman"/>
          <w:sz w:val="24"/>
          <w:szCs w:val="24"/>
          <w:lang w:val="ru-RU"/>
        </w:rPr>
        <w:t>Утратили силу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Минфина РФ от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 xml:space="preserve">23.01.2001 </w:t>
      </w:r>
      <w:r w:rsidRPr="001D7D70">
        <w:rPr>
          <w:rFonts w:ascii="Times New Roman" w:hAnsi="Times New Roman" w:cs="Times New Roman"/>
          <w:sz w:val="24"/>
          <w:szCs w:val="24"/>
        </w:rPr>
        <w:t>N</w:t>
      </w:r>
      <w:r w:rsidRPr="001D7D70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D7D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E832EF" w:rsidRPr="001D7D70">
      <w:pgSz w:w="11900" w:h="16840"/>
      <w:pgMar w:top="1380" w:right="16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1D7"/>
    <w:multiLevelType w:val="hybridMultilevel"/>
    <w:tmpl w:val="D3D89CA4"/>
    <w:lvl w:ilvl="0" w:tplc="AC502D22">
      <w:start w:val="1"/>
      <w:numFmt w:val="bullet"/>
      <w:lvlText w:val="о"/>
      <w:lvlJc w:val="left"/>
      <w:pPr>
        <w:ind w:left="120" w:hanging="167"/>
      </w:pPr>
      <w:rPr>
        <w:rFonts w:ascii="Arial" w:eastAsia="Arial" w:hAnsi="Arial" w:hint="default"/>
        <w:w w:val="100"/>
        <w:sz w:val="20"/>
        <w:szCs w:val="20"/>
      </w:rPr>
    </w:lvl>
    <w:lvl w:ilvl="1" w:tplc="BC12B718">
      <w:start w:val="1"/>
      <w:numFmt w:val="bullet"/>
      <w:lvlText w:val="•"/>
      <w:lvlJc w:val="left"/>
      <w:pPr>
        <w:ind w:left="962" w:hanging="167"/>
      </w:pPr>
      <w:rPr>
        <w:rFonts w:hint="default"/>
      </w:rPr>
    </w:lvl>
    <w:lvl w:ilvl="2" w:tplc="8EFCC086">
      <w:start w:val="1"/>
      <w:numFmt w:val="bullet"/>
      <w:lvlText w:val="•"/>
      <w:lvlJc w:val="left"/>
      <w:pPr>
        <w:ind w:left="1804" w:hanging="167"/>
      </w:pPr>
      <w:rPr>
        <w:rFonts w:hint="default"/>
      </w:rPr>
    </w:lvl>
    <w:lvl w:ilvl="3" w:tplc="6324CF6E">
      <w:start w:val="1"/>
      <w:numFmt w:val="bullet"/>
      <w:lvlText w:val="•"/>
      <w:lvlJc w:val="left"/>
      <w:pPr>
        <w:ind w:left="2646" w:hanging="167"/>
      </w:pPr>
      <w:rPr>
        <w:rFonts w:hint="default"/>
      </w:rPr>
    </w:lvl>
    <w:lvl w:ilvl="4" w:tplc="267E3950">
      <w:start w:val="1"/>
      <w:numFmt w:val="bullet"/>
      <w:lvlText w:val="•"/>
      <w:lvlJc w:val="left"/>
      <w:pPr>
        <w:ind w:left="3488" w:hanging="167"/>
      </w:pPr>
      <w:rPr>
        <w:rFonts w:hint="default"/>
      </w:rPr>
    </w:lvl>
    <w:lvl w:ilvl="5" w:tplc="2D36EE06">
      <w:start w:val="1"/>
      <w:numFmt w:val="bullet"/>
      <w:lvlText w:val="•"/>
      <w:lvlJc w:val="left"/>
      <w:pPr>
        <w:ind w:left="4330" w:hanging="167"/>
      </w:pPr>
      <w:rPr>
        <w:rFonts w:hint="default"/>
      </w:rPr>
    </w:lvl>
    <w:lvl w:ilvl="6" w:tplc="1B62E438">
      <w:start w:val="1"/>
      <w:numFmt w:val="bullet"/>
      <w:lvlText w:val="•"/>
      <w:lvlJc w:val="left"/>
      <w:pPr>
        <w:ind w:left="5172" w:hanging="167"/>
      </w:pPr>
      <w:rPr>
        <w:rFonts w:hint="default"/>
      </w:rPr>
    </w:lvl>
    <w:lvl w:ilvl="7" w:tplc="B590FF34">
      <w:start w:val="1"/>
      <w:numFmt w:val="bullet"/>
      <w:lvlText w:val="•"/>
      <w:lvlJc w:val="left"/>
      <w:pPr>
        <w:ind w:left="6014" w:hanging="167"/>
      </w:pPr>
      <w:rPr>
        <w:rFonts w:hint="default"/>
      </w:rPr>
    </w:lvl>
    <w:lvl w:ilvl="8" w:tplc="359E6680">
      <w:start w:val="1"/>
      <w:numFmt w:val="bullet"/>
      <w:lvlText w:val="•"/>
      <w:lvlJc w:val="left"/>
      <w:pPr>
        <w:ind w:left="6856" w:hanging="167"/>
      </w:pPr>
      <w:rPr>
        <w:rFonts w:hint="default"/>
      </w:rPr>
    </w:lvl>
  </w:abstractNum>
  <w:abstractNum w:abstractNumId="1" w15:restartNumberingAfterBreak="0">
    <w:nsid w:val="4A265540"/>
    <w:multiLevelType w:val="hybridMultilevel"/>
    <w:tmpl w:val="D7045FEE"/>
    <w:lvl w:ilvl="0" w:tplc="4748EDF8">
      <w:start w:val="1"/>
      <w:numFmt w:val="upperRoman"/>
      <w:suff w:val="space"/>
      <w:lvlText w:val="%1."/>
      <w:lvlJc w:val="left"/>
      <w:pPr>
        <w:ind w:left="3487" w:hanging="166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36BC2600">
      <w:start w:val="1"/>
      <w:numFmt w:val="bullet"/>
      <w:lvlText w:val="•"/>
      <w:lvlJc w:val="left"/>
      <w:pPr>
        <w:ind w:left="3986" w:hanging="166"/>
      </w:pPr>
      <w:rPr>
        <w:rFonts w:hint="default"/>
      </w:rPr>
    </w:lvl>
    <w:lvl w:ilvl="2" w:tplc="25A0F8EC">
      <w:start w:val="1"/>
      <w:numFmt w:val="bullet"/>
      <w:lvlText w:val="•"/>
      <w:lvlJc w:val="left"/>
      <w:pPr>
        <w:ind w:left="4492" w:hanging="166"/>
      </w:pPr>
      <w:rPr>
        <w:rFonts w:hint="default"/>
      </w:rPr>
    </w:lvl>
    <w:lvl w:ilvl="3" w:tplc="20608160">
      <w:start w:val="1"/>
      <w:numFmt w:val="bullet"/>
      <w:lvlText w:val="•"/>
      <w:lvlJc w:val="left"/>
      <w:pPr>
        <w:ind w:left="4998" w:hanging="166"/>
      </w:pPr>
      <w:rPr>
        <w:rFonts w:hint="default"/>
      </w:rPr>
    </w:lvl>
    <w:lvl w:ilvl="4" w:tplc="D108DD78">
      <w:start w:val="1"/>
      <w:numFmt w:val="bullet"/>
      <w:lvlText w:val="•"/>
      <w:lvlJc w:val="left"/>
      <w:pPr>
        <w:ind w:left="5504" w:hanging="166"/>
      </w:pPr>
      <w:rPr>
        <w:rFonts w:hint="default"/>
      </w:rPr>
    </w:lvl>
    <w:lvl w:ilvl="5" w:tplc="FE4415EE">
      <w:start w:val="1"/>
      <w:numFmt w:val="bullet"/>
      <w:lvlText w:val="•"/>
      <w:lvlJc w:val="left"/>
      <w:pPr>
        <w:ind w:left="6010" w:hanging="166"/>
      </w:pPr>
      <w:rPr>
        <w:rFonts w:hint="default"/>
      </w:rPr>
    </w:lvl>
    <w:lvl w:ilvl="6" w:tplc="8BFCBC96">
      <w:start w:val="1"/>
      <w:numFmt w:val="bullet"/>
      <w:lvlText w:val="•"/>
      <w:lvlJc w:val="left"/>
      <w:pPr>
        <w:ind w:left="6516" w:hanging="166"/>
      </w:pPr>
      <w:rPr>
        <w:rFonts w:hint="default"/>
      </w:rPr>
    </w:lvl>
    <w:lvl w:ilvl="7" w:tplc="77DA791A">
      <w:start w:val="1"/>
      <w:numFmt w:val="bullet"/>
      <w:lvlText w:val="•"/>
      <w:lvlJc w:val="left"/>
      <w:pPr>
        <w:ind w:left="7022" w:hanging="166"/>
      </w:pPr>
      <w:rPr>
        <w:rFonts w:hint="default"/>
      </w:rPr>
    </w:lvl>
    <w:lvl w:ilvl="8" w:tplc="7036364A">
      <w:start w:val="1"/>
      <w:numFmt w:val="bullet"/>
      <w:lvlText w:val="•"/>
      <w:lvlJc w:val="left"/>
      <w:pPr>
        <w:ind w:left="7528" w:hanging="166"/>
      </w:pPr>
      <w:rPr>
        <w:rFonts w:hint="default"/>
      </w:rPr>
    </w:lvl>
  </w:abstractNum>
  <w:abstractNum w:abstractNumId="2" w15:restartNumberingAfterBreak="0">
    <w:nsid w:val="54307E50"/>
    <w:multiLevelType w:val="hybridMultilevel"/>
    <w:tmpl w:val="70B444FC"/>
    <w:lvl w:ilvl="0" w:tplc="C7DCCECA">
      <w:start w:val="1"/>
      <w:numFmt w:val="decimal"/>
      <w:lvlText w:val="%1."/>
      <w:lvlJc w:val="left"/>
      <w:pPr>
        <w:ind w:left="120" w:hanging="348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43D6BB58">
      <w:start w:val="1"/>
      <w:numFmt w:val="bullet"/>
      <w:lvlText w:val="•"/>
      <w:lvlJc w:val="left"/>
      <w:pPr>
        <w:ind w:left="962" w:hanging="348"/>
      </w:pPr>
      <w:rPr>
        <w:rFonts w:hint="default"/>
      </w:rPr>
    </w:lvl>
    <w:lvl w:ilvl="2" w:tplc="B6A0C052">
      <w:start w:val="1"/>
      <w:numFmt w:val="bullet"/>
      <w:lvlText w:val="•"/>
      <w:lvlJc w:val="left"/>
      <w:pPr>
        <w:ind w:left="1804" w:hanging="348"/>
      </w:pPr>
      <w:rPr>
        <w:rFonts w:hint="default"/>
      </w:rPr>
    </w:lvl>
    <w:lvl w:ilvl="3" w:tplc="BFD28840">
      <w:start w:val="1"/>
      <w:numFmt w:val="bullet"/>
      <w:lvlText w:val="•"/>
      <w:lvlJc w:val="left"/>
      <w:pPr>
        <w:ind w:left="2646" w:hanging="348"/>
      </w:pPr>
      <w:rPr>
        <w:rFonts w:hint="default"/>
      </w:rPr>
    </w:lvl>
    <w:lvl w:ilvl="4" w:tplc="6680CFC4">
      <w:start w:val="1"/>
      <w:numFmt w:val="bullet"/>
      <w:lvlText w:val="•"/>
      <w:lvlJc w:val="left"/>
      <w:pPr>
        <w:ind w:left="3488" w:hanging="348"/>
      </w:pPr>
      <w:rPr>
        <w:rFonts w:hint="default"/>
      </w:rPr>
    </w:lvl>
    <w:lvl w:ilvl="5" w:tplc="0DC6B280">
      <w:start w:val="1"/>
      <w:numFmt w:val="bullet"/>
      <w:lvlText w:val="•"/>
      <w:lvlJc w:val="left"/>
      <w:pPr>
        <w:ind w:left="4330" w:hanging="348"/>
      </w:pPr>
      <w:rPr>
        <w:rFonts w:hint="default"/>
      </w:rPr>
    </w:lvl>
    <w:lvl w:ilvl="6" w:tplc="54604F18">
      <w:start w:val="1"/>
      <w:numFmt w:val="bullet"/>
      <w:lvlText w:val="•"/>
      <w:lvlJc w:val="left"/>
      <w:pPr>
        <w:ind w:left="5172" w:hanging="348"/>
      </w:pPr>
      <w:rPr>
        <w:rFonts w:hint="default"/>
      </w:rPr>
    </w:lvl>
    <w:lvl w:ilvl="7" w:tplc="BB10EFCC">
      <w:start w:val="1"/>
      <w:numFmt w:val="bullet"/>
      <w:lvlText w:val="•"/>
      <w:lvlJc w:val="left"/>
      <w:pPr>
        <w:ind w:left="6014" w:hanging="348"/>
      </w:pPr>
      <w:rPr>
        <w:rFonts w:hint="default"/>
      </w:rPr>
    </w:lvl>
    <w:lvl w:ilvl="8" w:tplc="29307DC0">
      <w:start w:val="1"/>
      <w:numFmt w:val="bullet"/>
      <w:lvlText w:val="•"/>
      <w:lvlJc w:val="left"/>
      <w:pPr>
        <w:ind w:left="6856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32EF"/>
    <w:rsid w:val="001D7D70"/>
    <w:rsid w:val="00E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FFF0A-3B2D-4325-93B5-D0827B8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1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5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1408</dc:creator>
  <cp:lastModifiedBy>Климова Маргарита Александровна</cp:lastModifiedBy>
  <cp:revision>2</cp:revision>
  <dcterms:created xsi:type="dcterms:W3CDTF">2015-10-01T14:49:00Z</dcterms:created>
  <dcterms:modified xsi:type="dcterms:W3CDTF">2015-10-01T13:55:00Z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2015-10-01T00:00:00Z</vt:filetime>
  </property>
</Properties>
</file>