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9A" w:rsidRDefault="0035219A" w:rsidP="0035219A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Указания по утверждению в бухгалтерском учете и отчетности </w:t>
      </w:r>
    </w:p>
    <w:p w:rsidR="0035219A" w:rsidRDefault="0035219A" w:rsidP="0035219A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операций при исполнении соглашений о разделе продукции </w:t>
      </w:r>
    </w:p>
    <w:p w:rsidR="00E15CD1" w:rsidRPr="0035219A" w:rsidRDefault="0035219A" w:rsidP="0035219A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eastAsia="Arial" w:hAnsi="Times New Roman" w:cs="Times New Roman"/>
          <w:sz w:val="24"/>
          <w:szCs w:val="24"/>
          <w:lang w:val="ru-RU"/>
        </w:rPr>
        <w:t>(утверждены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eastAsia="Arial" w:hAnsi="Times New Roman" w:cs="Times New Roman"/>
          <w:sz w:val="24"/>
          <w:szCs w:val="24"/>
          <w:lang w:val="ru-RU"/>
        </w:rPr>
        <w:t>приказом Минфина России от 11.08.1999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eastAsia="Arial" w:hAnsi="Times New Roman" w:cs="Times New Roman"/>
          <w:sz w:val="24"/>
          <w:szCs w:val="24"/>
          <w:lang w:val="ru-RU"/>
        </w:rPr>
        <w:t>№</w:t>
      </w:r>
      <w:r w:rsidRPr="0035219A">
        <w:rPr>
          <w:rFonts w:ascii="Times New Roman" w:eastAsia="Arial" w:hAnsi="Times New Roman" w:cs="Times New Roman"/>
          <w:spacing w:val="-19"/>
          <w:sz w:val="24"/>
          <w:szCs w:val="24"/>
          <w:lang w:val="ru-RU"/>
        </w:rPr>
        <w:t xml:space="preserve"> </w:t>
      </w:r>
      <w:r w:rsidRPr="0035219A">
        <w:rPr>
          <w:rFonts w:ascii="Times New Roman" w:eastAsia="Arial" w:hAnsi="Times New Roman" w:cs="Times New Roman"/>
          <w:sz w:val="24"/>
          <w:szCs w:val="24"/>
          <w:lang w:val="ru-RU"/>
        </w:rPr>
        <w:t>53н)</w:t>
      </w:r>
    </w:p>
    <w:p w:rsidR="00E15CD1" w:rsidRPr="0035219A" w:rsidRDefault="00E15CD1" w:rsidP="0035219A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888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Настоящие Указания устанавливают правила отражения в бухгалтерском учете хозяйственных операций и составления бухгалтерской отчетности при осуществлении соглашения о разделе продукции для организаций - участников соглашения, являющихся юридическими лицами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по законодательству Российской Федерации, а также</w:t>
      </w:r>
      <w:r w:rsidRPr="003521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инвесторами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(кроме</w:t>
      </w:r>
      <w:r w:rsidRPr="003521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кредитных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бюджетных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организаций).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30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декабря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1995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225-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ФЗ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 соглашениях о разделе продукции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 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Собрание законодательства Российс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кой Федерации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1996,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1,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18; 1999,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246)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учет финансово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хозяйственной деятельности инвестора при выполнении работ по соглашению осуществляется по каждому отдельному соглашению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а также обособленно от такого учета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выполнении им иной деят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ельности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не связанной с соглашением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Порядок учета определяется соглашением в соответствии с законодательством Российской Федерации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Ведение бухгалтерского учета и отчетности в соответствии с пунктом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статьи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7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указанного Федерального закона осуществляется инвестором или по поручению инвестора оператором соглашения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инвестор</w:t>
      </w:r>
      <w:r w:rsidRPr="0035219A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)).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934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Ведение бухгалтерского учета, составление и представление бухгалтерской отчетности инвестором (оператором) осуществляют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ся в соответствии с Федеральным законом от 21 ноября 1996 г.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129-ФЗ "О бухгалтерском учете" (Собрание законодательства Российской Федерации, 1996,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48, ст. 5369; 1998,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30, ст. 3619), Положением по ведению бухгалтерского учета и бухгалтерской отчетност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Федерации, утвержденным Приказом Министерства финансов Российской Федерации от 29 июля 1998 г.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34н (регистрационный номер Министерства юстиции Российской Федерации от 27 августа 1998 г.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1598).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При этом бухгалтерский учет операций при вы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полнении работ по соглашению ведется в валюте Российской Федерации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рублях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или в иностранной валюте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если последнее определено в соглашении применительно к иностранным инвесторам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 случае если ведение бухгалтерского учета в соглашении определено в иностр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анной валюте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то бухгалтерская отчетность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представляемая в государственные органы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должна содержать построчные данные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исчисленные как в иностранной валюте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так и в рублях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Пересчет отчетных данных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выраженных в иностранной валюте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 рубли производится по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курсу Банка России на дату составления</w:t>
      </w:r>
      <w:r w:rsidRPr="0035219A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Документирование имущества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обязательств и иных фактов хозяйственной деятельности при выполнении соглашения о разделе продукции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ведение регистров бухгалтерского учета и бухгалтерская отчетность осуществл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яются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на русском языке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Первичные учетные документы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составленные на иных языках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должны иметь построчный перевод на русский</w:t>
      </w:r>
      <w:r w:rsidRPr="0035219A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Инвестор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обязан хранить первичные учетные документы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регистры бухгалтерского учета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бухгал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терскую отчетность и справочные материалы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использованные при составлении бухгалтерской отчетности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не менее пяти лет после года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следующего за годом окончания работ по соглашению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Вся информация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связанная с составлением бухгалтерской отчетности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хранится на территории Российской Федерации и представляется по требованию налоговых и других уполномоченных государством</w:t>
      </w:r>
      <w:r w:rsidRPr="0035219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976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В учетной политике инвестора (оператора) раскрывается информация о способах ведения бухгалтерского учета, применяемых при исп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олнении работ по соглашению о разделе продукции. О применяемых способах, а также в случае внесения изменений в учетную политику при изменении существенных условий соглашения инвестор (оператор) обязан известить уполномоченный государством орган или управля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35219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комитет.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908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Бухгалтерский учет операций, связанных с исполнением соглашения, ведется исходя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3521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допущения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временной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определенности</w:t>
      </w:r>
      <w:r w:rsidRPr="003521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фактов</w:t>
      </w:r>
      <w:r w:rsidRPr="003521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хозяйственной</w:t>
      </w:r>
      <w:r w:rsidRPr="003521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936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Инвестор (оператор) обеспечивает обособленный учет расходов, активов и обязательств по ли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цензионному участку недр в рамках конкретного соглашения о разделе</w:t>
      </w:r>
      <w:r w:rsidRPr="003521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продукции.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988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бухгалтерского учета затрат на разработку и добычу минерального сырья инвестора (оператора)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следует руководствоваться Положением о составе и порядке возмещения затрат при реализации соглашений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разделе продукции, утвержденным Постановлением Правительства Российской Федерации от 3 июля 1999 г.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740 (далее - Положение о составе и порядке возмеще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ния затрат) (Собрание законодательства Российской Федерации, 1999,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29, ст. 3729). Для этого к счету 20 "Основное производство" открываются два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субсчета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>: "Возмещаемые затраты" и "Невозмещаемые</w:t>
      </w:r>
      <w:r w:rsidRPr="0035219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затраты".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Учет 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как возмещаемых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так и невозмещаемых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едется обособленно по каждому виду 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классифицированных в соответствии с Положением о составе и порядке возмещения</w:t>
      </w:r>
      <w:r w:rsidRPr="003521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Бухгалтерский учет добытого минерального сырья осуществляется на счете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40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Готовая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к которому открываются два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ета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>: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Компенсационная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Прибыльная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Компенсационная продукция учитывается на указанном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субсчете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в сумме фактических возмещаемых 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определяемых согласно механизму возмещения 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установленного Положением о составе и порядке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возмещения 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на указанную сумму дебетуется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Компенсационная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40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Готовая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 кредитом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субсчета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Возмещаемые затраты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20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Основное производство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После завершения процедуры раздела прибыльной продукции между инвестором и государством доля прибыльной продукции инвестора принимается им к бухгалтерскому учету на соответствующем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субсчете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40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Готовая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 условной оценке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применяемой обычно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 сравнимых обстоятельствах за единицу добытого минерального сырья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и отражается по дебету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40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Готовая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Прибыльная продукция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 кредитом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80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Прибыли и убытки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Принадлежащая государ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ству доля прибыльной продукции учитывается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за балансом также в условной оценке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применяемой обычно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 сравнимых обстоятельствах за единицу добытого минерального</w:t>
      </w:r>
      <w:r w:rsidRPr="0035219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сырья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Ежемесячно невозмещаемые затраты инвестор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подлежат списанию на финансовые результаты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Указанная операция отражается в бухгалтерском учете по дебету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80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Прибыли и убытки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Внереализационные расходы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 кредитом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20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Основное производство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Невозмещаемые затраты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 сумме согласно</w:t>
      </w:r>
      <w:r w:rsidRPr="0035219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расчету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990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Отражение в бухгалтерском учете операций, связанных с реализацией компенсационной и принадлежащей инвестору доли прибыльной продукции, осуществляется в общеустановленном порядке с использованием счета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46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Реализация продукции (работ,</w:t>
      </w:r>
      <w:r w:rsidRPr="0035219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услуг)".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соглашением или дополнительным договором государство возложит функции реализации доли прибыльной продукции государства на инвестора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то эта операция подлежит обособленному отражению в бухгалтерском учете инвестора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как выполнение услуги по реализации не принадлежащей ему продукции</w:t>
      </w:r>
      <w:r w:rsidRPr="003521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891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Затраты капитального характера, связанные с приобретением или с созданием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основных средств, нематериальных активов и аналогичных объектов производственной инфраструктуры, используемых при выполнении соглашения о разделе продукции, отражаются в бухгалтерском учете инвестора (оператора) в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общеустановленном порядке по дебету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08 "Капитальные вложения" в сумме фактических</w:t>
      </w:r>
      <w:r w:rsidRPr="003521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затрат.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При принятии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объектов имущества к учету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стоимость которых подлежит возмещению в соответствии с Положением о составе и порядке возмещения 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дебетуются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01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Основные ср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едства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", 04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Нематериальные активы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 кредитом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97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Арендные обязательства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Обязательства по Соглашению о разделе продукции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 сумме фактических затрат на приобретение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создание объектов</w:t>
      </w:r>
      <w:r w:rsidRPr="0035219A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Затраты капитального хара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ктера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подлежащие возмещению в соответствии с Положением о составе и порядке возмещения затрат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списываются в дебет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20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Основное производство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корреспонденции с кредитом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08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Капитальные вложения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линейным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равномерным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способом в течение всег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 срока действия соглашения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по которому право собственности в соответствии со статьей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11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 соглашениях о разделе продукции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 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Собрание законодательства Российской Федерации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1996,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1,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18; 1999,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2,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. 246)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перешло от инвестора к государству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списывается с баланса инвестора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в общеустановленном порядке с использованием счетов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47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Реализация и прочее выбытие основных средств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 48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Реализация прочего имущества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при этом в части имущества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стои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мость которого подлежит возмещению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указанные счета по дебету корреспондируют с кредитом счетов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01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Основные средства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", 04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Нематериальные активы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а по кредиту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 дебетом счета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97 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Арендные обязательства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35219A">
        <w:rPr>
          <w:rFonts w:ascii="Times New Roman" w:hAnsi="Times New Roman" w:cs="Times New Roman"/>
          <w:sz w:val="24"/>
          <w:szCs w:val="24"/>
          <w:lang w:val="ru-RU"/>
        </w:rPr>
        <w:t>субсчет</w:t>
      </w:r>
      <w:proofErr w:type="spell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"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Обязательства по Соглашению о разделе п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родукции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".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Указанное имущество учитывается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за балансом до окончания срока действия соглашения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CD1" w:rsidRPr="0035219A" w:rsidRDefault="0035219A" w:rsidP="0035219A">
      <w:pPr>
        <w:pStyle w:val="a4"/>
        <w:numPr>
          <w:ilvl w:val="0"/>
          <w:numId w:val="2"/>
        </w:numPr>
        <w:tabs>
          <w:tab w:val="left" w:pos="922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Инвестор (оператор) представляет бухгалтерскую отчетность по исполнению соглашения уполномоченному государственному органу или управляюще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му комитету, другим органам исполнительной власти в соответствии с законодательством Российской Федерации в порядке и сроки, установленные Федеральным законом от 21 ноября 1996 г.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129-ФЗ "О бухгалтерском учете" (Собрание законодательства Российской Федер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ации, 1996,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48, ст. 5369; 1998,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30, ст.</w:t>
      </w:r>
      <w:r w:rsidRPr="0035219A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3619).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Инвестор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представляет следующие типовые формы бухгалтерской отчетности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5CD1" w:rsidRPr="0035219A" w:rsidRDefault="0035219A" w:rsidP="0035219A">
      <w:pPr>
        <w:pStyle w:val="a4"/>
        <w:numPr>
          <w:ilvl w:val="0"/>
          <w:numId w:val="1"/>
        </w:numPr>
        <w:tabs>
          <w:tab w:val="left" w:pos="783"/>
        </w:tabs>
        <w:ind w:firstLine="72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5219A">
        <w:rPr>
          <w:rFonts w:ascii="Times New Roman" w:hAnsi="Times New Roman" w:cs="Times New Roman"/>
          <w:sz w:val="24"/>
          <w:szCs w:val="24"/>
        </w:rPr>
        <w:t>бухгалтерский</w:t>
      </w:r>
      <w:proofErr w:type="spellEnd"/>
      <w:r w:rsidRPr="0035219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35219A">
        <w:rPr>
          <w:rFonts w:ascii="Times New Roman" w:hAnsi="Times New Roman" w:cs="Times New Roman"/>
          <w:sz w:val="24"/>
          <w:szCs w:val="24"/>
        </w:rPr>
        <w:t>баланс</w:t>
      </w:r>
      <w:proofErr w:type="spellEnd"/>
      <w:r w:rsidRPr="0035219A">
        <w:rPr>
          <w:rFonts w:ascii="Times New Roman" w:hAnsi="Times New Roman" w:cs="Times New Roman"/>
          <w:sz w:val="24"/>
          <w:szCs w:val="24"/>
        </w:rPr>
        <w:t>;</w:t>
      </w:r>
    </w:p>
    <w:p w:rsidR="00E15CD1" w:rsidRPr="0035219A" w:rsidRDefault="0035219A" w:rsidP="0035219A">
      <w:pPr>
        <w:pStyle w:val="a4"/>
        <w:numPr>
          <w:ilvl w:val="0"/>
          <w:numId w:val="1"/>
        </w:numPr>
        <w:tabs>
          <w:tab w:val="left" w:pos="783"/>
        </w:tabs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отчет о прибылях и</w:t>
      </w:r>
      <w:r w:rsidRPr="0035219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убытках;</w:t>
      </w:r>
    </w:p>
    <w:p w:rsidR="00E15CD1" w:rsidRPr="0035219A" w:rsidRDefault="0035219A" w:rsidP="0035219A">
      <w:pPr>
        <w:pStyle w:val="a4"/>
        <w:numPr>
          <w:ilvl w:val="0"/>
          <w:numId w:val="1"/>
        </w:numPr>
        <w:tabs>
          <w:tab w:val="left" w:pos="814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 к ним, в частности отчет о движении капитала,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отчет о движении денежных средств, приложение к бухгалтерскому балансу (форма </w:t>
      </w:r>
      <w:r w:rsidRPr="0035219A">
        <w:rPr>
          <w:rFonts w:ascii="Times New Roman" w:hAnsi="Times New Roman" w:cs="Times New Roman"/>
          <w:sz w:val="24"/>
          <w:szCs w:val="24"/>
        </w:rPr>
        <w:t>N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5) и иных отчетов, предусмотренных нормативными актами системы нормативного регулирования бухгалтерского</w:t>
      </w:r>
      <w:r w:rsidRPr="003521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учета;</w:t>
      </w:r>
    </w:p>
    <w:p w:rsidR="00E15CD1" w:rsidRPr="0035219A" w:rsidRDefault="0035219A" w:rsidP="0035219A">
      <w:pPr>
        <w:pStyle w:val="a4"/>
        <w:numPr>
          <w:ilvl w:val="0"/>
          <w:numId w:val="1"/>
        </w:numPr>
        <w:tabs>
          <w:tab w:val="left" w:pos="783"/>
        </w:tabs>
        <w:ind w:firstLine="72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5219A">
        <w:rPr>
          <w:rFonts w:ascii="Times New Roman" w:hAnsi="Times New Roman" w:cs="Times New Roman"/>
          <w:sz w:val="24"/>
          <w:szCs w:val="24"/>
        </w:rPr>
        <w:t>пояснительна</w:t>
      </w:r>
      <w:bookmarkStart w:id="0" w:name="_GoBack"/>
      <w:bookmarkEnd w:id="0"/>
      <w:r w:rsidRPr="0035219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521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35219A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35219A">
        <w:rPr>
          <w:rFonts w:ascii="Times New Roman" w:hAnsi="Times New Roman" w:cs="Times New Roman"/>
          <w:sz w:val="24"/>
          <w:szCs w:val="24"/>
        </w:rPr>
        <w:t>;</w:t>
      </w:r>
    </w:p>
    <w:p w:rsidR="00E15CD1" w:rsidRPr="0035219A" w:rsidRDefault="0035219A" w:rsidP="0035219A">
      <w:pPr>
        <w:pStyle w:val="a4"/>
        <w:numPr>
          <w:ilvl w:val="0"/>
          <w:numId w:val="1"/>
        </w:numPr>
        <w:tabs>
          <w:tab w:val="left" w:pos="927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подтверждающее достоверность бухгалтерской отчетности инвестора (оператора), если она в соответствии с федеральными законами подлежит обязательному</w:t>
      </w:r>
      <w:r w:rsidRPr="0035219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аудиту.</w:t>
      </w:r>
    </w:p>
    <w:p w:rsidR="00E15CD1" w:rsidRP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 инвестором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оператором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представляется отчет о целевом направлении затрат инвестора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одлежащих возмещению за счет компенсационной продукции при реализации соглашений о разделе продукции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proofErr w:type="gramStart"/>
      <w:r w:rsidRPr="0035219A">
        <w:rPr>
          <w:rFonts w:ascii="Times New Roman" w:hAnsi="Times New Roman" w:cs="Times New Roman"/>
          <w:sz w:val="24"/>
          <w:szCs w:val="24"/>
          <w:lang w:val="ru-RU"/>
        </w:rPr>
        <w:t>приложению</w:t>
      </w:r>
      <w:proofErr w:type="gramEnd"/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настоящим</w:t>
      </w:r>
      <w:r w:rsidRPr="0035219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Указаниям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19A" w:rsidRDefault="0035219A" w:rsidP="0035219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z w:val="24"/>
          <w:szCs w:val="24"/>
          <w:lang w:val="ru-RU"/>
        </w:rPr>
        <w:t>В пояснениях к бухгалтерскому балансу и отчету о прибылях и убытках раскрывается информация о стоимости работ 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выполненных зависимыми сторонами инвестора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и об объеме продаж продукции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работ и услуг инвестора его зависимым</w:t>
      </w:r>
      <w:r w:rsidRPr="003521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сторонам</w:t>
      </w:r>
      <w:r w:rsidRPr="0035219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15CD1" w:rsidRPr="0035219A" w:rsidRDefault="0035219A">
      <w:pPr>
        <w:pStyle w:val="a3"/>
        <w:ind w:left="0" w:right="111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5219A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Приложение</w:t>
      </w:r>
    </w:p>
    <w:p w:rsidR="00E15CD1" w:rsidRPr="0035219A" w:rsidRDefault="00E15CD1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E15CD1" w:rsidRPr="0035219A" w:rsidRDefault="0035219A">
      <w:pPr>
        <w:pStyle w:val="a3"/>
        <w:spacing w:line="230" w:lineRule="exact"/>
        <w:ind w:left="151" w:right="146" w:firstLine="0"/>
        <w:jc w:val="center"/>
        <w:rPr>
          <w:lang w:val="ru-RU"/>
        </w:rPr>
      </w:pPr>
      <w:r w:rsidRPr="0035219A">
        <w:rPr>
          <w:lang w:val="ru-RU"/>
        </w:rPr>
        <w:t>ОТЧЕТ</w:t>
      </w:r>
    </w:p>
    <w:p w:rsidR="00E15CD1" w:rsidRPr="0035219A" w:rsidRDefault="0035219A">
      <w:pPr>
        <w:pStyle w:val="a3"/>
        <w:ind w:left="1616" w:right="1183" w:firstLine="853"/>
        <w:rPr>
          <w:lang w:val="ru-RU"/>
        </w:rPr>
      </w:pPr>
      <w:r w:rsidRPr="0035219A">
        <w:rPr>
          <w:lang w:val="ru-RU"/>
        </w:rPr>
        <w:t>О ЦЕЛЕВОМ НАПРАВЛЕНИИ ЗАТРАТ ИНВЕСТОРА</w:t>
      </w:r>
      <w:r w:rsidRPr="0035219A">
        <w:rPr>
          <w:lang w:val="ru-RU"/>
        </w:rPr>
        <w:t xml:space="preserve">, </w:t>
      </w:r>
      <w:r w:rsidRPr="0035219A">
        <w:rPr>
          <w:lang w:val="ru-RU"/>
        </w:rPr>
        <w:t>ПОДЛЕЖАЩИХ ВОЗМЕЩЕНИЮ ЗА</w:t>
      </w:r>
      <w:r w:rsidRPr="0035219A">
        <w:rPr>
          <w:spacing w:val="-24"/>
          <w:lang w:val="ru-RU"/>
        </w:rPr>
        <w:t xml:space="preserve"> </w:t>
      </w:r>
      <w:r w:rsidRPr="0035219A">
        <w:rPr>
          <w:lang w:val="ru-RU"/>
        </w:rPr>
        <w:t>СЧЕТ</w:t>
      </w:r>
    </w:p>
    <w:p w:rsidR="00E15CD1" w:rsidRPr="0035219A" w:rsidRDefault="0035219A">
      <w:pPr>
        <w:pStyle w:val="a3"/>
        <w:ind w:left="2534" w:right="1183" w:firstLine="0"/>
        <w:rPr>
          <w:lang w:val="ru-RU"/>
        </w:rPr>
      </w:pPr>
      <w:r w:rsidRPr="0035219A">
        <w:rPr>
          <w:lang w:val="ru-RU"/>
        </w:rPr>
        <w:t>КОМПЕНСАЦИОННОЙ</w:t>
      </w:r>
      <w:r w:rsidRPr="0035219A">
        <w:rPr>
          <w:spacing w:val="-19"/>
          <w:lang w:val="ru-RU"/>
        </w:rPr>
        <w:t xml:space="preserve"> </w:t>
      </w:r>
      <w:r w:rsidRPr="0035219A">
        <w:rPr>
          <w:lang w:val="ru-RU"/>
        </w:rPr>
        <w:t>ПРОДУКЦИИ</w:t>
      </w:r>
    </w:p>
    <w:p w:rsidR="00E15CD1" w:rsidRPr="0035219A" w:rsidRDefault="00E15CD1">
      <w:pPr>
        <w:spacing w:before="3"/>
        <w:rPr>
          <w:rFonts w:ascii="Arial" w:eastAsia="Arial" w:hAnsi="Arial" w:cs="Arial"/>
          <w:sz w:val="20"/>
          <w:szCs w:val="20"/>
          <w:lang w:val="ru-RU"/>
        </w:rPr>
      </w:pPr>
    </w:p>
    <w:p w:rsidR="00E15CD1" w:rsidRPr="0035219A" w:rsidRDefault="0035219A">
      <w:pPr>
        <w:pStyle w:val="a3"/>
        <w:ind w:left="0" w:right="1338" w:firstLine="0"/>
        <w:jc w:val="right"/>
        <w:rPr>
          <w:rFonts w:ascii="Courier New" w:eastAsia="Courier New" w:hAnsi="Courier New" w:cs="Courier New"/>
          <w:lang w:val="ru-RU"/>
        </w:rPr>
      </w:pPr>
      <w:r w:rsidRPr="0035219A">
        <w:rPr>
          <w:rFonts w:ascii="Courier New" w:hAnsi="Courier New"/>
          <w:spacing w:val="-2"/>
          <w:lang w:val="ru-RU"/>
        </w:rPr>
        <w:t>КОДЫ</w:t>
      </w:r>
    </w:p>
    <w:p w:rsidR="00E15CD1" w:rsidRPr="0035219A" w:rsidRDefault="00E15CD1">
      <w:pPr>
        <w:spacing w:before="10"/>
        <w:rPr>
          <w:rFonts w:ascii="Courier New" w:eastAsia="Courier New" w:hAnsi="Courier New" w:cs="Courier New"/>
          <w:sz w:val="12"/>
          <w:szCs w:val="12"/>
          <w:lang w:val="ru-RU"/>
        </w:rPr>
      </w:pPr>
    </w:p>
    <w:p w:rsidR="00E15CD1" w:rsidRPr="0035219A" w:rsidRDefault="00E15CD1">
      <w:pPr>
        <w:rPr>
          <w:rFonts w:ascii="Courier New" w:eastAsia="Courier New" w:hAnsi="Courier New" w:cs="Courier New"/>
          <w:sz w:val="12"/>
          <w:szCs w:val="12"/>
          <w:lang w:val="ru-RU"/>
        </w:rPr>
        <w:sectPr w:rsidR="00E15CD1" w:rsidRPr="0035219A" w:rsidSect="0035219A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15CD1" w:rsidRPr="0035219A" w:rsidRDefault="00E15CD1">
      <w:pPr>
        <w:spacing w:before="2"/>
        <w:rPr>
          <w:rFonts w:ascii="Courier New" w:eastAsia="Courier New" w:hAnsi="Courier New" w:cs="Courier New"/>
          <w:sz w:val="27"/>
          <w:szCs w:val="27"/>
          <w:lang w:val="ru-RU"/>
        </w:rPr>
      </w:pPr>
    </w:p>
    <w:p w:rsidR="00E15CD1" w:rsidRPr="0035219A" w:rsidRDefault="0035219A">
      <w:pPr>
        <w:pStyle w:val="a3"/>
        <w:tabs>
          <w:tab w:val="left" w:pos="4918"/>
        </w:tabs>
        <w:ind w:left="120" w:firstLine="0"/>
        <w:rPr>
          <w:rFonts w:ascii="Times New Roman" w:eastAsia="Times New Roman" w:hAnsi="Times New Roman" w:cs="Times New Roman"/>
          <w:lang w:val="ru-RU"/>
        </w:rPr>
      </w:pPr>
      <w:r w:rsidRPr="0035219A">
        <w:rPr>
          <w:rFonts w:ascii="Courier New" w:hAnsi="Courier New"/>
          <w:lang w:val="ru-RU"/>
        </w:rPr>
        <w:t>Организация</w:t>
      </w:r>
      <w:r w:rsidRPr="0035219A">
        <w:rPr>
          <w:rFonts w:ascii="Courier New" w:hAnsi="Courier New"/>
          <w:spacing w:val="-1"/>
          <w:lang w:val="ru-RU"/>
        </w:rPr>
        <w:t xml:space="preserve"> </w:t>
      </w:r>
      <w:r w:rsidRPr="0035219A">
        <w:rPr>
          <w:rFonts w:ascii="Times New Roman" w:hAnsi="Times New Roman"/>
          <w:u w:val="single" w:color="000000"/>
          <w:lang w:val="ru-RU"/>
        </w:rPr>
        <w:t xml:space="preserve"> </w:t>
      </w:r>
      <w:r w:rsidRPr="0035219A">
        <w:rPr>
          <w:rFonts w:ascii="Times New Roman" w:hAnsi="Times New Roman"/>
          <w:u w:val="single" w:color="000000"/>
          <w:lang w:val="ru-RU"/>
        </w:rPr>
        <w:tab/>
      </w:r>
    </w:p>
    <w:p w:rsidR="00E15CD1" w:rsidRPr="0035219A" w:rsidRDefault="0035219A">
      <w:pPr>
        <w:pStyle w:val="a3"/>
        <w:spacing w:before="80"/>
        <w:ind w:left="120" w:right="2524" w:firstLine="0"/>
        <w:rPr>
          <w:rFonts w:ascii="Courier New" w:eastAsia="Courier New" w:hAnsi="Courier New" w:cs="Courier New"/>
          <w:lang w:val="ru-RU"/>
        </w:rPr>
      </w:pPr>
      <w:r w:rsidRPr="0035219A">
        <w:rPr>
          <w:lang w:val="ru-RU"/>
        </w:rPr>
        <w:br w:type="column"/>
      </w:r>
      <w:r w:rsidRPr="0035219A">
        <w:rPr>
          <w:rFonts w:ascii="Courier New" w:hAnsi="Courier New"/>
          <w:lang w:val="ru-RU"/>
        </w:rPr>
        <w:lastRenderedPageBreak/>
        <w:t>по</w:t>
      </w:r>
      <w:r w:rsidRPr="0035219A">
        <w:rPr>
          <w:rFonts w:ascii="Courier New" w:hAnsi="Courier New"/>
          <w:spacing w:val="-5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ОКУД по</w:t>
      </w:r>
      <w:r w:rsidRPr="0035219A">
        <w:rPr>
          <w:rFonts w:ascii="Courier New" w:hAnsi="Courier New"/>
          <w:spacing w:val="-5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ОКПО</w:t>
      </w:r>
    </w:p>
    <w:p w:rsidR="00E15CD1" w:rsidRPr="0035219A" w:rsidRDefault="00E15CD1">
      <w:pPr>
        <w:rPr>
          <w:rFonts w:ascii="Courier New" w:eastAsia="Courier New" w:hAnsi="Courier New" w:cs="Courier New"/>
          <w:lang w:val="ru-RU"/>
        </w:rPr>
        <w:sectPr w:rsidR="00E15CD1" w:rsidRPr="0035219A">
          <w:type w:val="continuous"/>
          <w:pgSz w:w="11900" w:h="16840"/>
          <w:pgMar w:top="1380" w:right="1680" w:bottom="280" w:left="1680" w:header="720" w:footer="720" w:gutter="0"/>
          <w:cols w:num="2" w:space="720" w:equalWidth="0">
            <w:col w:w="4919" w:space="121"/>
            <w:col w:w="3500"/>
          </w:cols>
        </w:sectPr>
      </w:pPr>
    </w:p>
    <w:p w:rsidR="00E15CD1" w:rsidRPr="0035219A" w:rsidRDefault="0035219A">
      <w:pPr>
        <w:pStyle w:val="a3"/>
        <w:tabs>
          <w:tab w:val="left" w:pos="5159"/>
        </w:tabs>
        <w:spacing w:line="226" w:lineRule="exact"/>
        <w:ind w:left="120" w:firstLine="0"/>
        <w:jc w:val="both"/>
        <w:rPr>
          <w:rFonts w:ascii="Courier New" w:eastAsia="Courier New" w:hAnsi="Courier New" w:cs="Courier New"/>
          <w:lang w:val="ru-RU"/>
        </w:rPr>
      </w:pPr>
      <w:r w:rsidRPr="0035219A">
        <w:rPr>
          <w:rFonts w:ascii="Courier New" w:hAnsi="Courier New"/>
          <w:lang w:val="ru-RU"/>
        </w:rPr>
        <w:lastRenderedPageBreak/>
        <w:t>з</w:t>
      </w:r>
      <w:r w:rsidRPr="0035219A">
        <w:rPr>
          <w:rFonts w:ascii="Courier New" w:hAnsi="Courier New"/>
          <w:lang w:val="ru-RU"/>
        </w:rPr>
        <w:t>а</w:t>
      </w:r>
      <w:r w:rsidRPr="0035219A">
        <w:rPr>
          <w:rFonts w:ascii="Courier New" w:hAnsi="Courier New"/>
          <w:spacing w:val="54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199_</w:t>
      </w:r>
      <w:r w:rsidRPr="0035219A">
        <w:rPr>
          <w:rFonts w:ascii="Courier New" w:hAnsi="Courier New"/>
          <w:spacing w:val="54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г.</w:t>
      </w:r>
      <w:r w:rsidRPr="0035219A">
        <w:rPr>
          <w:rFonts w:ascii="Courier New" w:hAnsi="Courier New"/>
          <w:lang w:val="ru-RU"/>
        </w:rPr>
        <w:tab/>
        <w:t>дата (год, число,</w:t>
      </w:r>
      <w:r w:rsidRPr="0035219A">
        <w:rPr>
          <w:rFonts w:ascii="Courier New" w:hAnsi="Courier New"/>
          <w:spacing w:val="-16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месяц)</w:t>
      </w:r>
    </w:p>
    <w:p w:rsidR="00E15CD1" w:rsidRPr="0035219A" w:rsidRDefault="0035219A">
      <w:pPr>
        <w:pStyle w:val="a3"/>
        <w:tabs>
          <w:tab w:val="left" w:pos="5159"/>
        </w:tabs>
        <w:ind w:left="120" w:right="2538" w:firstLine="0"/>
        <w:jc w:val="both"/>
        <w:rPr>
          <w:rFonts w:ascii="Courier New" w:eastAsia="Courier New" w:hAnsi="Courier New" w:cs="Courier New"/>
          <w:lang w:val="ru-RU"/>
        </w:rPr>
      </w:pPr>
      <w:r w:rsidRPr="0035219A">
        <w:rPr>
          <w:rFonts w:ascii="Courier New" w:hAnsi="Courier New"/>
          <w:lang w:val="ru-RU"/>
        </w:rPr>
        <w:t>Периодичность:</w:t>
      </w:r>
      <w:r w:rsidRPr="0035219A">
        <w:rPr>
          <w:rFonts w:ascii="Courier New" w:hAnsi="Courier New"/>
          <w:spacing w:val="99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годовая</w:t>
      </w:r>
      <w:r w:rsidRPr="0035219A">
        <w:rPr>
          <w:rFonts w:ascii="Courier New" w:hAnsi="Courier New"/>
          <w:lang w:val="ru-RU"/>
        </w:rPr>
        <w:tab/>
        <w:t>по</w:t>
      </w:r>
      <w:r w:rsidRPr="0035219A">
        <w:rPr>
          <w:rFonts w:ascii="Courier New" w:hAnsi="Courier New"/>
          <w:spacing w:val="-5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ОКУД</w:t>
      </w:r>
      <w:r w:rsidRPr="0035219A">
        <w:rPr>
          <w:rFonts w:ascii="Courier New" w:hAnsi="Courier New"/>
          <w:spacing w:val="-1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Единица измерения: тыс. руб. / млн. руб. по СОЕИ (ненужное</w:t>
      </w:r>
      <w:r w:rsidRPr="0035219A">
        <w:rPr>
          <w:rFonts w:ascii="Courier New" w:hAnsi="Courier New"/>
          <w:spacing w:val="-15"/>
          <w:lang w:val="ru-RU"/>
        </w:rPr>
        <w:t xml:space="preserve"> </w:t>
      </w:r>
      <w:r w:rsidRPr="0035219A">
        <w:rPr>
          <w:rFonts w:ascii="Courier New" w:hAnsi="Courier New"/>
          <w:lang w:val="ru-RU"/>
        </w:rPr>
        <w:t>зачеркнуть)</w:t>
      </w:r>
    </w:p>
    <w:p w:rsidR="00E15CD1" w:rsidRPr="0035219A" w:rsidRDefault="00E15CD1">
      <w:pPr>
        <w:rPr>
          <w:rFonts w:ascii="Courier New" w:eastAsia="Courier New" w:hAnsi="Courier New" w:cs="Courier New"/>
          <w:sz w:val="20"/>
          <w:szCs w:val="20"/>
          <w:lang w:val="ru-RU"/>
        </w:rPr>
      </w:pPr>
    </w:p>
    <w:p w:rsidR="00E15CD1" w:rsidRDefault="0035219A">
      <w:pPr>
        <w:pStyle w:val="a3"/>
        <w:ind w:left="120" w:firstLine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┌──────────────────────────────┬─────┬────────┬─────────┬────────┐</w:t>
      </w:r>
    </w:p>
    <w:p w:rsidR="00E15CD1" w:rsidRDefault="00E15CD1">
      <w:pPr>
        <w:jc w:val="both"/>
        <w:rPr>
          <w:rFonts w:ascii="Courier New" w:eastAsia="Courier New" w:hAnsi="Courier New" w:cs="Courier New"/>
        </w:rPr>
      </w:pPr>
    </w:p>
    <w:p w:rsidR="0035219A" w:rsidRDefault="0035219A">
      <w:pPr>
        <w:jc w:val="both"/>
        <w:rPr>
          <w:rFonts w:ascii="Courier New" w:eastAsia="Courier New" w:hAnsi="Courier New" w:cs="Courier New"/>
        </w:rPr>
        <w:sectPr w:rsidR="0035219A">
          <w:type w:val="continuous"/>
          <w:pgSz w:w="11900" w:h="16840"/>
          <w:pgMar w:top="138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5"/>
        <w:gridCol w:w="1680"/>
        <w:gridCol w:w="1500"/>
        <w:gridCol w:w="660"/>
        <w:gridCol w:w="1260"/>
        <w:gridCol w:w="780"/>
        <w:gridCol w:w="1140"/>
        <w:gridCol w:w="635"/>
      </w:tblGrid>
      <w:tr w:rsidR="00E15CD1">
        <w:trPr>
          <w:trHeight w:hRule="exact" w:val="31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before="80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before="80"/>
              <w:ind w:left="179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Наименование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before="80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/>
                <w:sz w:val="20"/>
              </w:rPr>
              <w:t>показателя</w:t>
            </w:r>
            <w:proofErr w:type="spellEnd"/>
          </w:p>
        </w:tc>
        <w:tc>
          <w:tcPr>
            <w:tcW w:w="4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tabs>
                <w:tab w:val="left" w:pos="960"/>
              </w:tabs>
              <w:spacing w:before="80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Код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Предус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Фактичес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-│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Отклоне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-│</w:t>
            </w:r>
          </w:p>
        </w:tc>
      </w:tr>
      <w:tr w:rsidR="00E15CD1">
        <w:trPr>
          <w:trHeight w:hRule="exact" w:val="22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4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tabs>
                <w:tab w:val="left" w:pos="3240"/>
                <w:tab w:val="left" w:pos="4320"/>
              </w:tabs>
              <w:spacing w:line="221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стро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-│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мотрено</w:t>
            </w:r>
            <w:proofErr w:type="spellEnd"/>
            <w:r>
              <w:rPr>
                <w:rFonts w:ascii="Courier New" w:eastAsia="Courier New" w:hAnsi="Courier New" w:cs="Courier New"/>
                <w:spacing w:val="100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кие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</w:p>
        </w:tc>
      </w:tr>
      <w:tr w:rsidR="00E15CD1">
        <w:trPr>
          <w:trHeight w:hRule="exact" w:val="22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4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tabs>
                <w:tab w:val="left" w:pos="960"/>
                <w:tab w:val="left" w:pos="3240"/>
                <w:tab w:val="left" w:pos="4320"/>
              </w:tabs>
              <w:spacing w:line="220" w:lineRule="exact"/>
              <w:ind w:left="2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ки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  <w:proofErr w:type="spellEnd"/>
            <w:r>
              <w:rPr>
                <w:rFonts w:ascii="Courier New" w:eastAsia="Courier New" w:hAnsi="Courier New" w:cs="Courier New"/>
                <w:spacing w:val="1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смете│расходы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>│</w:t>
            </w:r>
          </w:p>
        </w:tc>
      </w:tr>
      <w:tr w:rsidR="00E15CD1">
        <w:trPr>
          <w:trHeight w:hRule="exact" w:val="22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right="29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right="11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spellEnd"/>
            <w:r>
              <w:rPr>
                <w:rFonts w:ascii="Courier New" w:eastAsia="Courier New" w:hAnsi="Courier New" w:cs="Courier Ne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от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left="1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right="47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29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11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>четный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1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47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1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29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11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11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47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</w:tbl>
    <w:p w:rsidR="00E15CD1" w:rsidRDefault="0035219A">
      <w:pPr>
        <w:pStyle w:val="a3"/>
        <w:spacing w:before="10" w:line="226" w:lineRule="exact"/>
        <w:ind w:left="14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├──────────────────────────────┼─────┼────────┼─────────┼────────┤</w:t>
      </w:r>
    </w:p>
    <w:p w:rsidR="00E15CD1" w:rsidRDefault="0035219A">
      <w:pPr>
        <w:pStyle w:val="a3"/>
        <w:tabs>
          <w:tab w:val="left" w:pos="2059"/>
          <w:tab w:val="left" w:pos="3859"/>
          <w:tab w:val="left" w:pos="4219"/>
          <w:tab w:val="left" w:pos="4579"/>
          <w:tab w:val="left" w:pos="5179"/>
          <w:tab w:val="left" w:pos="5659"/>
          <w:tab w:val="left" w:pos="6259"/>
          <w:tab w:val="left" w:pos="6859"/>
          <w:tab w:val="left" w:pos="7339"/>
          <w:tab w:val="left" w:pos="7939"/>
        </w:tabs>
        <w:spacing w:line="226" w:lineRule="exact"/>
        <w:ind w:left="14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ab/>
        <w:t>1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</w:rPr>
        <w:tab/>
        <w:t>2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</w:rPr>
        <w:tab/>
        <w:t>3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</w:rPr>
        <w:tab/>
        <w:t>4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</w:rPr>
        <w:tab/>
        <w:t>5</w:t>
      </w:r>
      <w:r>
        <w:rPr>
          <w:rFonts w:ascii="Courier New" w:eastAsia="Courier New" w:hAnsi="Courier New" w:cs="Courier New"/>
        </w:rPr>
        <w:tab/>
        <w:t>│</w:t>
      </w:r>
    </w:p>
    <w:p w:rsidR="00E15CD1" w:rsidRDefault="0035219A">
      <w:pPr>
        <w:pStyle w:val="a3"/>
        <w:spacing w:after="19"/>
        <w:ind w:left="14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├──────────────────────────────┼─────┼────────┼─────────┼────────┤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695"/>
        <w:gridCol w:w="240"/>
        <w:gridCol w:w="480"/>
        <w:gridCol w:w="660"/>
        <w:gridCol w:w="1140"/>
        <w:gridCol w:w="1140"/>
        <w:gridCol w:w="635"/>
      </w:tblGrid>
      <w:tr w:rsidR="00E15CD1">
        <w:trPr>
          <w:trHeight w:hRule="exact" w:val="214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Эксплуатационные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затраты</w:t>
            </w:r>
            <w:proofErr w:type="spellEnd"/>
            <w:r>
              <w:rPr>
                <w:rFonts w:ascii="Courier New" w:eastAsia="Courier New" w:hAnsi="Courier New" w:cs="Courier Ne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07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│в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том</w:t>
            </w:r>
            <w:proofErr w:type="spellEnd"/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числе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расходы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  <w:proofErr w:type="spellEnd"/>
            <w:r>
              <w:rPr>
                <w:rFonts w:ascii="Courier New" w:eastAsia="Courier New" w:hAnsi="Courier New" w:cs="Courier New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управлению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расходы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spellEnd"/>
            <w:r>
              <w:rPr>
                <w:rFonts w:ascii="Courier New" w:eastAsia="Courier New" w:hAnsi="Courier New" w:cs="Courier New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рекультивацию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загрязненных</w:t>
            </w:r>
            <w:proofErr w:type="spellEnd"/>
            <w:r>
              <w:rPr>
                <w:rFonts w:ascii="Courier New" w:eastAsia="Courier New" w:hAnsi="Courier New" w:cs="Courier New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земель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страховые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взносы</w:t>
            </w:r>
            <w:proofErr w:type="spellEnd"/>
            <w:r>
              <w:rPr>
                <w:rFonts w:ascii="Courier New" w:eastAsia="Courier New" w:hAnsi="Courier New" w:cs="Courier New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добровольному</w:t>
            </w:r>
            <w:proofErr w:type="spellEnd"/>
            <w:r>
              <w:rPr>
                <w:rFonts w:ascii="Courier New" w:eastAsia="Courier New" w:hAnsi="Courier New" w:cs="Courier New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страхованию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ликвидационные</w:t>
            </w:r>
            <w:proofErr w:type="spellEnd"/>
            <w:r>
              <w:rPr>
                <w:rFonts w:ascii="Courier New" w:eastAsia="Courier New" w:hAnsi="Courier New" w:cs="Courier New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отчисления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</w:t>
            </w:r>
            <w:r>
              <w:rPr>
                <w:rFonts w:ascii="Courier New" w:eastAsia="Courier New" w:hAnsi="Courier New" w:cs="Courier New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ликвидационный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налоговые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платежи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="Courier New" w:hAnsi="Courier New" w:cs="Courier New"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отнесенные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│к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возмещаемым</w:t>
            </w:r>
            <w:proofErr w:type="spellEnd"/>
            <w:r>
              <w:rPr>
                <w:rFonts w:ascii="Courier New" w:eastAsia="Courier New" w:hAnsi="Courier New" w:cs="Courier New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затратам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расходы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на</w:t>
            </w:r>
            <w:proofErr w:type="spellEnd"/>
            <w:r>
              <w:rPr>
                <w:rFonts w:ascii="Courier New" w:eastAsia="Courier New" w:hAnsi="Courier New" w:cs="Courier New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природоохранные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Капитальные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затраты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-</w:t>
            </w:r>
            <w:r>
              <w:rPr>
                <w:rFonts w:ascii="Courier New" w:eastAsia="Courier New" w:hAnsi="Courier New" w:cs="Courier New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│в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том</w:t>
            </w:r>
            <w:proofErr w:type="spellEnd"/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числе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затраты</w:t>
            </w:r>
            <w:proofErr w:type="spell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связанные</w:t>
            </w:r>
            <w:proofErr w:type="spellEnd"/>
            <w:r>
              <w:rPr>
                <w:rFonts w:ascii="Courier New" w:eastAsia="Courier New" w:hAnsi="Courier New" w:cs="Courier Ne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26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недоамортизированным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E15CD1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left="6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0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E15CD1">
        <w:trPr>
          <w:trHeight w:hRule="exact" w:val="214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имуществом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57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39" w:right="3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47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left="5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15CD1" w:rsidRDefault="0035219A">
            <w:pPr>
              <w:pStyle w:val="TableParagraph"/>
              <w:spacing w:line="221" w:lineRule="exact"/>
              <w:ind w:right="3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</w:tbl>
    <w:p w:rsidR="00E15CD1" w:rsidRDefault="0035219A">
      <w:pPr>
        <w:pStyle w:val="a3"/>
        <w:spacing w:before="7"/>
        <w:ind w:left="14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├──────────────────────────────┼─────┼────────┼─────────┼────────┤</w:t>
      </w:r>
    </w:p>
    <w:p w:rsidR="00E15CD1" w:rsidRDefault="0035219A">
      <w:pPr>
        <w:pStyle w:val="a3"/>
        <w:tabs>
          <w:tab w:val="left" w:pos="3859"/>
          <w:tab w:val="left" w:pos="5659"/>
          <w:tab w:val="left" w:pos="6859"/>
          <w:tab w:val="left" w:pos="7939"/>
        </w:tabs>
        <w:ind w:left="140" w:firstLine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│</w:t>
      </w:r>
      <w:proofErr w:type="spellStart"/>
      <w:r>
        <w:rPr>
          <w:rFonts w:ascii="Courier New" w:eastAsia="Courier New" w:hAnsi="Courier New" w:cs="Courier New"/>
        </w:rPr>
        <w:t>Возмещаемые</w:t>
      </w:r>
      <w:proofErr w:type="spellEnd"/>
      <w:r>
        <w:rPr>
          <w:rFonts w:ascii="Courier New" w:eastAsia="Courier New" w:hAnsi="Courier New" w:cs="Courier New"/>
          <w:spacing w:val="4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затраты</w:t>
      </w:r>
      <w:proofErr w:type="spellEnd"/>
      <w:r>
        <w:rPr>
          <w:rFonts w:ascii="Courier New" w:eastAsia="Courier New" w:hAnsi="Courier New" w:cs="Courier New"/>
          <w:spacing w:val="47"/>
        </w:rPr>
        <w:t xml:space="preserve"> </w:t>
      </w:r>
      <w:r>
        <w:rPr>
          <w:rFonts w:ascii="Courier New" w:eastAsia="Courier New" w:hAnsi="Courier New" w:cs="Courier New"/>
        </w:rPr>
        <w:t>ВСЕГО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  <w:spacing w:val="55"/>
        </w:rPr>
        <w:t xml:space="preserve"> </w:t>
      </w:r>
      <w:r>
        <w:rPr>
          <w:rFonts w:ascii="Courier New" w:eastAsia="Courier New" w:hAnsi="Courier New" w:cs="Courier New"/>
        </w:rPr>
        <w:t>030</w:t>
      </w:r>
      <w:r>
        <w:rPr>
          <w:rFonts w:ascii="Courier New" w:eastAsia="Courier New" w:hAnsi="Courier New" w:cs="Courier New"/>
          <w:spacing w:val="55"/>
        </w:rPr>
        <w:t xml:space="preserve"> </w:t>
      </w:r>
      <w:r>
        <w:rPr>
          <w:rFonts w:ascii="Courier New" w:eastAsia="Courier New" w:hAnsi="Courier New" w:cs="Courier New"/>
        </w:rPr>
        <w:t>│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</w:rPr>
        <w:tab/>
        <w:t>│</w:t>
      </w:r>
      <w:r>
        <w:rPr>
          <w:rFonts w:ascii="Courier New" w:eastAsia="Courier New" w:hAnsi="Courier New" w:cs="Courier New"/>
        </w:rPr>
        <w:tab/>
        <w:t>│</w:t>
      </w:r>
    </w:p>
    <w:p w:rsidR="00E15CD1" w:rsidRDefault="0035219A">
      <w:pPr>
        <w:pStyle w:val="a3"/>
        <w:tabs>
          <w:tab w:val="left" w:pos="4699"/>
        </w:tabs>
        <w:spacing w:line="480" w:lineRule="auto"/>
        <w:ind w:left="620" w:right="538" w:hanging="4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 xml:space="preserve">└──────────────────────────────┴─────┴────────┴─────────┴────────┘ </w:t>
      </w:r>
      <w:proofErr w:type="spellStart"/>
      <w:r>
        <w:rPr>
          <w:rFonts w:ascii="Courier New" w:eastAsia="Courier New" w:hAnsi="Courier New" w:cs="Courier New"/>
        </w:rPr>
        <w:t>Руководитель</w:t>
      </w:r>
      <w:proofErr w:type="spellEnd"/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Главный</w:t>
      </w:r>
      <w:proofErr w:type="spellEnd"/>
      <w:r>
        <w:rPr>
          <w:rFonts w:ascii="Courier New" w:eastAsia="Courier New" w:hAnsi="Courier New" w:cs="Courier New"/>
          <w:spacing w:val="-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бухгалтер</w:t>
      </w:r>
      <w:proofErr w:type="spellEnd"/>
    </w:p>
    <w:p w:rsidR="00E15CD1" w:rsidRDefault="0035219A">
      <w:pPr>
        <w:rPr>
          <w:rFonts w:ascii="Courier New" w:eastAsia="Courier New" w:hAnsi="Courier New" w:cs="Courier New"/>
          <w:sz w:val="18"/>
          <w:szCs w:val="18"/>
        </w:rPr>
      </w:pPr>
      <w:r>
        <w:pict>
          <v:group id="_x0000_s1026" style="position:absolute;margin-left:88.5pt;margin-top:11.55pt;width:418.35pt;height:.1pt;z-index:251658240;mso-wrap-distance-left:0;mso-wrap-distance-right:0;mso-position-horizontal-relative:page" coordorigin="1770,231" coordsize="8367,2">
            <v:shape id="_x0000_s1027" style="position:absolute;left:1770;top:231;width:8367;height:2" coordorigin="1770,231" coordsize="8367,0" path="m1770,231r8366,e" filled="f" strokeweight=".72pt">
              <v:path arrowok="t"/>
            </v:shape>
            <w10:wrap type="topAndBottom" anchorx="page"/>
          </v:group>
        </w:pict>
      </w:r>
    </w:p>
    <w:sectPr w:rsidR="00E15CD1">
      <w:pgSz w:w="11900" w:h="16840"/>
      <w:pgMar w:top="136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50D7"/>
    <w:multiLevelType w:val="hybridMultilevel"/>
    <w:tmpl w:val="2EAA830E"/>
    <w:lvl w:ilvl="0" w:tplc="2C30763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734C95E0">
      <w:start w:val="1"/>
      <w:numFmt w:val="bullet"/>
      <w:lvlText w:val="•"/>
      <w:lvlJc w:val="left"/>
      <w:pPr>
        <w:ind w:left="962" w:hanging="228"/>
      </w:pPr>
      <w:rPr>
        <w:rFonts w:hint="default"/>
      </w:rPr>
    </w:lvl>
    <w:lvl w:ilvl="2" w:tplc="460EFF20">
      <w:start w:val="1"/>
      <w:numFmt w:val="bullet"/>
      <w:lvlText w:val="•"/>
      <w:lvlJc w:val="left"/>
      <w:pPr>
        <w:ind w:left="1804" w:hanging="228"/>
      </w:pPr>
      <w:rPr>
        <w:rFonts w:hint="default"/>
      </w:rPr>
    </w:lvl>
    <w:lvl w:ilvl="3" w:tplc="1A4C5D9C">
      <w:start w:val="1"/>
      <w:numFmt w:val="bullet"/>
      <w:lvlText w:val="•"/>
      <w:lvlJc w:val="left"/>
      <w:pPr>
        <w:ind w:left="2646" w:hanging="228"/>
      </w:pPr>
      <w:rPr>
        <w:rFonts w:hint="default"/>
      </w:rPr>
    </w:lvl>
    <w:lvl w:ilvl="4" w:tplc="7DE2E2F8">
      <w:start w:val="1"/>
      <w:numFmt w:val="bullet"/>
      <w:lvlText w:val="•"/>
      <w:lvlJc w:val="left"/>
      <w:pPr>
        <w:ind w:left="3488" w:hanging="228"/>
      </w:pPr>
      <w:rPr>
        <w:rFonts w:hint="default"/>
      </w:rPr>
    </w:lvl>
    <w:lvl w:ilvl="5" w:tplc="C40A2DC2">
      <w:start w:val="1"/>
      <w:numFmt w:val="bullet"/>
      <w:lvlText w:val="•"/>
      <w:lvlJc w:val="left"/>
      <w:pPr>
        <w:ind w:left="4330" w:hanging="228"/>
      </w:pPr>
      <w:rPr>
        <w:rFonts w:hint="default"/>
      </w:rPr>
    </w:lvl>
    <w:lvl w:ilvl="6" w:tplc="BC6AC5DE">
      <w:start w:val="1"/>
      <w:numFmt w:val="bullet"/>
      <w:lvlText w:val="•"/>
      <w:lvlJc w:val="left"/>
      <w:pPr>
        <w:ind w:left="5172" w:hanging="228"/>
      </w:pPr>
      <w:rPr>
        <w:rFonts w:hint="default"/>
      </w:rPr>
    </w:lvl>
    <w:lvl w:ilvl="7" w:tplc="9276354C">
      <w:start w:val="1"/>
      <w:numFmt w:val="bullet"/>
      <w:lvlText w:val="•"/>
      <w:lvlJc w:val="left"/>
      <w:pPr>
        <w:ind w:left="6014" w:hanging="228"/>
      </w:pPr>
      <w:rPr>
        <w:rFonts w:hint="default"/>
      </w:rPr>
    </w:lvl>
    <w:lvl w:ilvl="8" w:tplc="06540BA2">
      <w:start w:val="1"/>
      <w:numFmt w:val="bullet"/>
      <w:lvlText w:val="•"/>
      <w:lvlJc w:val="left"/>
      <w:pPr>
        <w:ind w:left="6856" w:hanging="228"/>
      </w:pPr>
      <w:rPr>
        <w:rFonts w:hint="default"/>
      </w:rPr>
    </w:lvl>
  </w:abstractNum>
  <w:abstractNum w:abstractNumId="1" w15:restartNumberingAfterBreak="0">
    <w:nsid w:val="62F05D0A"/>
    <w:multiLevelType w:val="hybridMultilevel"/>
    <w:tmpl w:val="C9126B80"/>
    <w:lvl w:ilvl="0" w:tplc="DAF0AF0A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C5B41D42">
      <w:start w:val="1"/>
      <w:numFmt w:val="bullet"/>
      <w:lvlText w:val="•"/>
      <w:lvlJc w:val="left"/>
      <w:pPr>
        <w:ind w:left="962" w:hanging="123"/>
      </w:pPr>
      <w:rPr>
        <w:rFonts w:hint="default"/>
      </w:rPr>
    </w:lvl>
    <w:lvl w:ilvl="2" w:tplc="DC72BC24">
      <w:start w:val="1"/>
      <w:numFmt w:val="bullet"/>
      <w:lvlText w:val="•"/>
      <w:lvlJc w:val="left"/>
      <w:pPr>
        <w:ind w:left="1804" w:hanging="123"/>
      </w:pPr>
      <w:rPr>
        <w:rFonts w:hint="default"/>
      </w:rPr>
    </w:lvl>
    <w:lvl w:ilvl="3" w:tplc="656EA83E">
      <w:start w:val="1"/>
      <w:numFmt w:val="bullet"/>
      <w:lvlText w:val="•"/>
      <w:lvlJc w:val="left"/>
      <w:pPr>
        <w:ind w:left="2646" w:hanging="123"/>
      </w:pPr>
      <w:rPr>
        <w:rFonts w:hint="default"/>
      </w:rPr>
    </w:lvl>
    <w:lvl w:ilvl="4" w:tplc="F990B326">
      <w:start w:val="1"/>
      <w:numFmt w:val="bullet"/>
      <w:lvlText w:val="•"/>
      <w:lvlJc w:val="left"/>
      <w:pPr>
        <w:ind w:left="3488" w:hanging="123"/>
      </w:pPr>
      <w:rPr>
        <w:rFonts w:hint="default"/>
      </w:rPr>
    </w:lvl>
    <w:lvl w:ilvl="5" w:tplc="506A4746">
      <w:start w:val="1"/>
      <w:numFmt w:val="bullet"/>
      <w:lvlText w:val="•"/>
      <w:lvlJc w:val="left"/>
      <w:pPr>
        <w:ind w:left="4330" w:hanging="123"/>
      </w:pPr>
      <w:rPr>
        <w:rFonts w:hint="default"/>
      </w:rPr>
    </w:lvl>
    <w:lvl w:ilvl="6" w:tplc="BA04CA80">
      <w:start w:val="1"/>
      <w:numFmt w:val="bullet"/>
      <w:lvlText w:val="•"/>
      <w:lvlJc w:val="left"/>
      <w:pPr>
        <w:ind w:left="5172" w:hanging="123"/>
      </w:pPr>
      <w:rPr>
        <w:rFonts w:hint="default"/>
      </w:rPr>
    </w:lvl>
    <w:lvl w:ilvl="7" w:tplc="2850E11C">
      <w:start w:val="1"/>
      <w:numFmt w:val="bullet"/>
      <w:lvlText w:val="•"/>
      <w:lvlJc w:val="left"/>
      <w:pPr>
        <w:ind w:left="6014" w:hanging="123"/>
      </w:pPr>
      <w:rPr>
        <w:rFonts w:hint="default"/>
      </w:rPr>
    </w:lvl>
    <w:lvl w:ilvl="8" w:tplc="84124B92">
      <w:start w:val="1"/>
      <w:numFmt w:val="bullet"/>
      <w:lvlText w:val="•"/>
      <w:lvlJc w:val="left"/>
      <w:pPr>
        <w:ind w:left="6856" w:hanging="1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5CD1"/>
    <w:rsid w:val="0035219A"/>
    <w:rsid w:val="00E1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55BB7B-8B44-4662-A366-1782CB41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1408</dc:creator>
  <cp:lastModifiedBy>Климова Маргарита Александровна</cp:lastModifiedBy>
  <cp:revision>2</cp:revision>
  <dcterms:created xsi:type="dcterms:W3CDTF">2015-10-13T11:10:00Z</dcterms:created>
  <dcterms:modified xsi:type="dcterms:W3CDTF">2015-10-13T10:17:00Z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2015-10-13T00:00:00Z</vt:filetime>
  </property>
</Properties>
</file>