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47"/>
        <w:ind w:left="440" w:right="426" w:firstLine="360"/>
        <w:jc w:val="left"/>
      </w:pPr>
      <w:r>
        <w:rPr/>
        <w:t>Положение по бухгалтерскому учету «Информация по сегментам» ПБУ 12/2010 (утверждено приказом Минфина России от 08.11.2010 г.</w:t>
      </w:r>
      <w:r>
        <w:rPr>
          <w:spacing w:val="-18"/>
        </w:rPr>
        <w:t> </w:t>
      </w:r>
      <w:r>
        <w:rPr/>
        <w:t>№</w:t>
      </w:r>
    </w:p>
    <w:p>
      <w:pPr>
        <w:pStyle w:val="BodyText"/>
        <w:spacing w:line="322" w:lineRule="exact" w:before="0"/>
        <w:ind w:left="4445" w:right="4430" w:firstLine="0"/>
        <w:jc w:val="center"/>
      </w:pPr>
      <w:r>
        <w:rPr/>
        <w:t>143н)</w:t>
      </w:r>
    </w:p>
    <w:p>
      <w:pPr>
        <w:pStyle w:val="Heading1"/>
        <w:numPr>
          <w:ilvl w:val="0"/>
          <w:numId w:val="1"/>
        </w:numPr>
        <w:tabs>
          <w:tab w:pos="3907" w:val="left" w:leader="none"/>
        </w:tabs>
        <w:spacing w:line="240" w:lineRule="auto" w:before="244" w:after="0"/>
        <w:ind w:left="3906" w:right="0" w:hanging="566"/>
        <w:jc w:val="left"/>
        <w:rPr>
          <w:b w:val="0"/>
          <w:bCs w:val="0"/>
        </w:rPr>
      </w:pPr>
      <w:r>
        <w:rPr/>
        <w:t>Общие</w:t>
      </w:r>
      <w:r>
        <w:rPr>
          <w:spacing w:val="-12"/>
        </w:rPr>
        <w:t> </w:t>
      </w:r>
      <w:r>
        <w:rPr/>
        <w:t>положения</w:t>
      </w:r>
      <w:r>
        <w:rPr>
          <w:b w:val="0"/>
        </w:rPr>
      </w:r>
    </w:p>
    <w:p>
      <w:pPr>
        <w:pStyle w:val="ListParagraph"/>
        <w:numPr>
          <w:ilvl w:val="0"/>
          <w:numId w:val="2"/>
        </w:numPr>
        <w:tabs>
          <w:tab w:pos="1142" w:val="left" w:leader="none"/>
        </w:tabs>
        <w:spacing w:line="240" w:lineRule="auto" w:before="119" w:after="0"/>
        <w:ind w:left="119" w:right="107" w:firstLine="566"/>
        <w:jc w:val="both"/>
        <w:rPr>
          <w:rFonts w:ascii="Times New Roman" w:hAnsi="Times New Roman" w:cs="Times New Roman" w:eastAsia="Times New Roman" w:hint="default"/>
          <w:sz w:val="28"/>
          <w:szCs w:val="28"/>
        </w:rPr>
      </w:pPr>
      <w:r>
        <w:rPr>
          <w:rFonts w:ascii="Times New Roman" w:hAnsi="Times New Roman"/>
          <w:sz w:val="28"/>
        </w:rPr>
        <w:t>Настоящее Положение устанавливает правила формирования и представления информации по сегментам в бухгалтерской отчетности коммерческих организаций (кроме кредитных организаций), являющихся юридическими лицами по законодательству Российской</w:t>
      </w:r>
      <w:r>
        <w:rPr>
          <w:rFonts w:ascii="Times New Roman" w:hAnsi="Times New Roman"/>
          <w:spacing w:val="-17"/>
          <w:sz w:val="28"/>
        </w:rPr>
        <w:t> </w:t>
      </w:r>
      <w:r>
        <w:rPr>
          <w:rFonts w:ascii="Times New Roman" w:hAnsi="Times New Roman"/>
          <w:sz w:val="28"/>
        </w:rPr>
        <w:t>Федерации.</w:t>
      </w:r>
    </w:p>
    <w:p>
      <w:pPr>
        <w:pStyle w:val="ListParagraph"/>
        <w:numPr>
          <w:ilvl w:val="0"/>
          <w:numId w:val="2"/>
        </w:numPr>
        <w:tabs>
          <w:tab w:pos="1142" w:val="left" w:leader="none"/>
        </w:tabs>
        <w:spacing w:line="240" w:lineRule="auto" w:before="119" w:after="0"/>
        <w:ind w:left="119" w:right="106" w:firstLine="566"/>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Организации – эмитенты публично размещаемых ценных бумаг должны раскрывать в пояснениях к бухгалтерской отчетности информацию по сегментам в соответствии с настоящим Положением. Иные организации применяют настоящее Положение в случае принятия ими решения о раскрытии информации по сегментам в бухгалтерской отчетности. Информация, не соответствующая требованиям настоящего Положения, не может именоваться в бухгалтерской отчетности информацией по</w:t>
      </w:r>
      <w:r>
        <w:rPr>
          <w:rFonts w:ascii="Times New Roman" w:hAnsi="Times New Roman" w:cs="Times New Roman" w:eastAsia="Times New Roman" w:hint="default"/>
          <w:spacing w:val="-23"/>
          <w:sz w:val="28"/>
          <w:szCs w:val="28"/>
        </w:rPr>
        <w:t> </w:t>
      </w:r>
      <w:r>
        <w:rPr>
          <w:rFonts w:ascii="Times New Roman" w:hAnsi="Times New Roman" w:cs="Times New Roman" w:eastAsia="Times New Roman" w:hint="default"/>
          <w:sz w:val="28"/>
          <w:szCs w:val="28"/>
        </w:rPr>
        <w:t>сегментам.</w:t>
      </w:r>
    </w:p>
    <w:p>
      <w:pPr>
        <w:pStyle w:val="ListParagraph"/>
        <w:numPr>
          <w:ilvl w:val="0"/>
          <w:numId w:val="2"/>
        </w:numPr>
        <w:tabs>
          <w:tab w:pos="1142" w:val="left" w:leader="none"/>
        </w:tabs>
        <w:spacing w:line="240" w:lineRule="auto" w:before="119" w:after="0"/>
        <w:ind w:left="119" w:right="107" w:firstLine="566"/>
        <w:jc w:val="both"/>
        <w:rPr>
          <w:rFonts w:ascii="Times New Roman" w:hAnsi="Times New Roman" w:cs="Times New Roman" w:eastAsia="Times New Roman" w:hint="default"/>
          <w:sz w:val="28"/>
          <w:szCs w:val="28"/>
        </w:rPr>
      </w:pPr>
      <w:r>
        <w:rPr>
          <w:rFonts w:ascii="Times New Roman" w:hAnsi="Times New Roman"/>
          <w:sz w:val="28"/>
        </w:rPr>
        <w:t>Настоящее Положение не применяется при формировании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составления отчетной информации для иных специальных целей, если в правилах составления такой отчетности и информации не предусматривается использование настоящего</w:t>
      </w:r>
      <w:r>
        <w:rPr>
          <w:rFonts w:ascii="Times New Roman" w:hAnsi="Times New Roman"/>
          <w:spacing w:val="-26"/>
          <w:sz w:val="28"/>
        </w:rPr>
        <w:t> </w:t>
      </w:r>
      <w:r>
        <w:rPr>
          <w:rFonts w:ascii="Times New Roman" w:hAnsi="Times New Roman"/>
          <w:sz w:val="28"/>
        </w:rPr>
        <w:t>Положения.</w:t>
      </w:r>
    </w:p>
    <w:p>
      <w:pPr>
        <w:pStyle w:val="ListParagraph"/>
        <w:numPr>
          <w:ilvl w:val="0"/>
          <w:numId w:val="2"/>
        </w:numPr>
        <w:tabs>
          <w:tab w:pos="1142" w:val="left" w:leader="none"/>
        </w:tabs>
        <w:spacing w:line="240" w:lineRule="auto" w:before="119" w:after="0"/>
        <w:ind w:left="119" w:right="107" w:firstLine="566"/>
        <w:jc w:val="both"/>
        <w:rPr>
          <w:rFonts w:ascii="Times New Roman" w:hAnsi="Times New Roman" w:cs="Times New Roman" w:eastAsia="Times New Roman" w:hint="default"/>
          <w:sz w:val="28"/>
          <w:szCs w:val="28"/>
        </w:rPr>
      </w:pPr>
      <w:r>
        <w:rPr>
          <w:rFonts w:ascii="Times New Roman" w:hAnsi="Times New Roman"/>
          <w:sz w:val="28"/>
        </w:rPr>
        <w:t>При раскрытии информации по сегментам организация применяет общие требования к представлению информации в бухгалтерской отчетности организаций, установленные нормативными правовыми актами по бухгалтерскому учету, с учетом требований настоящего</w:t>
      </w:r>
      <w:r>
        <w:rPr>
          <w:rFonts w:ascii="Times New Roman" w:hAnsi="Times New Roman"/>
          <w:spacing w:val="-27"/>
          <w:sz w:val="28"/>
        </w:rPr>
        <w:t> </w:t>
      </w:r>
      <w:r>
        <w:rPr>
          <w:rFonts w:ascii="Times New Roman" w:hAnsi="Times New Roman"/>
          <w:sz w:val="28"/>
        </w:rPr>
        <w:t>Положения.</w:t>
      </w:r>
    </w:p>
    <w:p>
      <w:pPr>
        <w:pStyle w:val="BodyText"/>
        <w:spacing w:line="240" w:lineRule="auto"/>
        <w:ind w:right="103"/>
        <w:jc w:val="both"/>
      </w:pPr>
      <w:r>
        <w:rPr/>
        <w:t>Раскрытие информации по сегментам должно обеспечивать заинтересованных пользователей бухгалтерской отчетности организации информацией, позволяющей оценить отраслевую специфику деятельности организации, её хозяйственную структуру, распределение финансовых показателей по отдельным направлениям</w:t>
      </w:r>
      <w:r>
        <w:rPr>
          <w:spacing w:val="-14"/>
        </w:rPr>
        <w:t> </w:t>
      </w:r>
      <w:r>
        <w:rPr/>
        <w:t>деятельности.</w:t>
      </w:r>
    </w:p>
    <w:p>
      <w:pPr>
        <w:pStyle w:val="Heading1"/>
        <w:numPr>
          <w:ilvl w:val="0"/>
          <w:numId w:val="1"/>
        </w:numPr>
        <w:tabs>
          <w:tab w:pos="3705" w:val="left" w:leader="none"/>
        </w:tabs>
        <w:spacing w:line="240" w:lineRule="auto" w:before="244" w:after="0"/>
        <w:ind w:left="3704" w:right="0" w:hanging="566"/>
        <w:jc w:val="left"/>
        <w:rPr>
          <w:b w:val="0"/>
          <w:bCs w:val="0"/>
        </w:rPr>
      </w:pPr>
      <w:r>
        <w:rPr/>
        <w:t>Выделение</w:t>
      </w:r>
      <w:r>
        <w:rPr>
          <w:spacing w:val="-10"/>
        </w:rPr>
        <w:t> </w:t>
      </w:r>
      <w:r>
        <w:rPr/>
        <w:t>сегментов</w:t>
      </w:r>
      <w:r>
        <w:rPr>
          <w:b w:val="0"/>
        </w:rPr>
      </w:r>
    </w:p>
    <w:p>
      <w:pPr>
        <w:pStyle w:val="ListParagraph"/>
        <w:numPr>
          <w:ilvl w:val="0"/>
          <w:numId w:val="2"/>
        </w:numPr>
        <w:tabs>
          <w:tab w:pos="1142" w:val="left" w:leader="none"/>
        </w:tabs>
        <w:spacing w:line="240" w:lineRule="auto" w:before="115" w:after="0"/>
        <w:ind w:left="119" w:right="108" w:firstLine="566"/>
        <w:jc w:val="both"/>
        <w:rPr>
          <w:rFonts w:ascii="Times New Roman" w:hAnsi="Times New Roman" w:cs="Times New Roman" w:eastAsia="Times New Roman" w:hint="default"/>
          <w:sz w:val="28"/>
          <w:szCs w:val="28"/>
        </w:rPr>
      </w:pPr>
      <w:r>
        <w:rPr>
          <w:rFonts w:ascii="Times New Roman" w:hAnsi="Times New Roman"/>
          <w:sz w:val="28"/>
        </w:rPr>
        <w:t>Выделение сегментов заключается в обособлении информации о части деятельности</w:t>
      </w:r>
      <w:r>
        <w:rPr>
          <w:rFonts w:ascii="Times New Roman" w:hAnsi="Times New Roman"/>
          <w:spacing w:val="-7"/>
          <w:sz w:val="28"/>
        </w:rPr>
        <w:t> </w:t>
      </w:r>
      <w:r>
        <w:rPr>
          <w:rFonts w:ascii="Times New Roman" w:hAnsi="Times New Roman"/>
          <w:sz w:val="28"/>
        </w:rPr>
        <w:t>организации:</w:t>
      </w:r>
    </w:p>
    <w:p>
      <w:pPr>
        <w:pStyle w:val="BodyText"/>
        <w:spacing w:line="240" w:lineRule="auto"/>
        <w:ind w:right="107"/>
        <w:jc w:val="both"/>
      </w:pPr>
      <w:r>
        <w:rPr/>
        <w:t>а) которая способна приносить экономические выгоды и предполагающая соответствующие расходы (включая подразумеваемые выгоды и расходы от операций с другими</w:t>
      </w:r>
      <w:r>
        <w:rPr>
          <w:spacing w:val="-17"/>
        </w:rPr>
        <w:t> </w:t>
      </w:r>
      <w:r>
        <w:rPr/>
        <w:t>сегментами);</w:t>
      </w:r>
    </w:p>
    <w:p>
      <w:pPr>
        <w:pStyle w:val="BodyText"/>
        <w:spacing w:line="240" w:lineRule="auto"/>
        <w:ind w:right="104"/>
        <w:jc w:val="both"/>
      </w:pPr>
      <w:r>
        <w:rPr/>
        <w:t>б) результаты которой систематически анализируются лицами, наделенными в организации полномочиями по принятию решений в распределении ресурсов внутри организации и оценке этих результатов (далее – полномочные лица</w:t>
      </w:r>
      <w:r>
        <w:rPr>
          <w:spacing w:val="-15"/>
        </w:rPr>
        <w:t> </w:t>
      </w:r>
      <w:r>
        <w:rPr/>
        <w:t>организации);</w:t>
      </w:r>
    </w:p>
    <w:p>
      <w:pPr>
        <w:spacing w:after="0" w:line="240" w:lineRule="auto"/>
        <w:jc w:val="both"/>
        <w:sectPr>
          <w:type w:val="continuous"/>
          <w:pgSz w:w="11900" w:h="16840"/>
          <w:pgMar w:top="1320" w:bottom="280" w:left="1580" w:right="740"/>
        </w:sectPr>
      </w:pPr>
    </w:p>
    <w:p>
      <w:pPr>
        <w:pStyle w:val="BodyText"/>
        <w:spacing w:line="240" w:lineRule="auto" w:before="95"/>
        <w:ind w:right="107"/>
        <w:jc w:val="both"/>
      </w:pPr>
      <w:r>
        <w:rPr/>
        <w:t>в) по которой могут быть сформированы финансовые показатели отдельно от показателей других частей деятельности</w:t>
      </w:r>
      <w:r>
        <w:rPr>
          <w:spacing w:val="-24"/>
        </w:rPr>
        <w:t> </w:t>
      </w:r>
      <w:r>
        <w:rPr/>
        <w:t>организации.</w:t>
      </w:r>
    </w:p>
    <w:p>
      <w:pPr>
        <w:pStyle w:val="ListParagraph"/>
        <w:numPr>
          <w:ilvl w:val="0"/>
          <w:numId w:val="2"/>
        </w:numPr>
        <w:tabs>
          <w:tab w:pos="1142" w:val="left" w:leader="none"/>
        </w:tabs>
        <w:spacing w:line="242" w:lineRule="auto" w:before="119" w:after="0"/>
        <w:ind w:left="119" w:right="108" w:firstLine="566"/>
        <w:jc w:val="both"/>
        <w:rPr>
          <w:rFonts w:ascii="Times New Roman" w:hAnsi="Times New Roman" w:cs="Times New Roman" w:eastAsia="Times New Roman" w:hint="default"/>
          <w:sz w:val="28"/>
          <w:szCs w:val="28"/>
        </w:rPr>
      </w:pPr>
      <w:r>
        <w:rPr>
          <w:rFonts w:ascii="Times New Roman" w:hAnsi="Times New Roman"/>
          <w:sz w:val="28"/>
        </w:rPr>
        <w:t>В зависимости от организационной и управленческой структуры организации, а также ее системы внутренней отчетности основой выделения сегментов могут быть, в</w:t>
      </w:r>
      <w:r>
        <w:rPr>
          <w:rFonts w:ascii="Times New Roman" w:hAnsi="Times New Roman"/>
          <w:spacing w:val="-11"/>
          <w:sz w:val="28"/>
        </w:rPr>
        <w:t> </w:t>
      </w:r>
      <w:r>
        <w:rPr>
          <w:rFonts w:ascii="Times New Roman" w:hAnsi="Times New Roman"/>
          <w:sz w:val="28"/>
        </w:rPr>
        <w:t>частности:</w:t>
      </w:r>
    </w:p>
    <w:p>
      <w:pPr>
        <w:pStyle w:val="BodyText"/>
        <w:spacing w:line="240" w:lineRule="auto" w:before="116"/>
        <w:ind w:right="111"/>
        <w:jc w:val="both"/>
      </w:pPr>
      <w:r>
        <w:rPr/>
        <w:t>а) производимая продукция, закупаемые товары, выполняемые работы, оказываемые</w:t>
      </w:r>
      <w:r>
        <w:rPr>
          <w:spacing w:val="-10"/>
        </w:rPr>
        <w:t> </w:t>
      </w:r>
      <w:r>
        <w:rPr/>
        <w:t>услуги;</w:t>
      </w:r>
    </w:p>
    <w:p>
      <w:pPr>
        <w:pStyle w:val="BodyText"/>
        <w:tabs>
          <w:tab w:pos="1141" w:val="left" w:leader="none"/>
        </w:tabs>
        <w:spacing w:line="328" w:lineRule="auto"/>
        <w:ind w:left="685" w:right="285" w:firstLine="0"/>
        <w:jc w:val="left"/>
      </w:pPr>
      <w:r>
        <w:rPr/>
        <w:t>б)</w:t>
        <w:tab/>
        <w:t>основные покупатели (заказчики) продукции, товаров,</w:t>
      </w:r>
      <w:r>
        <w:rPr>
          <w:spacing w:val="-20"/>
        </w:rPr>
        <w:t> </w:t>
      </w:r>
      <w:r>
        <w:rPr/>
        <w:t>работ,</w:t>
      </w:r>
      <w:r>
        <w:rPr>
          <w:spacing w:val="-3"/>
        </w:rPr>
        <w:t> </w:t>
      </w:r>
      <w:r>
        <w:rPr/>
        <w:t>услуг;</w:t>
      </w:r>
      <w:r>
        <w:rPr>
          <w:w w:val="99"/>
        </w:rPr>
        <w:t> </w:t>
      </w:r>
      <w:r>
        <w:rPr/>
        <w:t>в)</w:t>
        <w:tab/>
        <w:t>географические регионы, в которых</w:t>
      </w:r>
      <w:r>
        <w:rPr>
          <w:spacing w:val="-19"/>
        </w:rPr>
        <w:t> </w:t>
      </w:r>
      <w:r>
        <w:rPr/>
        <w:t>осуществляется</w:t>
      </w:r>
      <w:r>
        <w:rPr>
          <w:spacing w:val="-3"/>
        </w:rPr>
        <w:t> </w:t>
      </w:r>
      <w:r>
        <w:rPr/>
        <w:t>деятельность;</w:t>
      </w:r>
      <w:r>
        <w:rPr>
          <w:w w:val="99"/>
        </w:rPr>
        <w:t> </w:t>
      </w:r>
      <w:r>
        <w:rPr/>
        <w:t>г)</w:t>
        <w:tab/>
        <w:t>структурные подразделения</w:t>
      </w:r>
      <w:r>
        <w:rPr>
          <w:spacing w:val="-11"/>
        </w:rPr>
        <w:t> </w:t>
      </w:r>
      <w:r>
        <w:rPr/>
        <w:t>организации.</w:t>
      </w:r>
    </w:p>
    <w:p>
      <w:pPr>
        <w:pStyle w:val="ListParagraph"/>
        <w:numPr>
          <w:ilvl w:val="0"/>
          <w:numId w:val="2"/>
        </w:numPr>
        <w:tabs>
          <w:tab w:pos="1142" w:val="left" w:leader="none"/>
        </w:tabs>
        <w:spacing w:line="240" w:lineRule="auto" w:before="5" w:after="0"/>
        <w:ind w:left="119" w:right="104" w:firstLine="566"/>
        <w:jc w:val="both"/>
        <w:rPr>
          <w:rFonts w:ascii="Times New Roman" w:hAnsi="Times New Roman" w:cs="Times New Roman" w:eastAsia="Times New Roman" w:hint="default"/>
          <w:sz w:val="28"/>
          <w:szCs w:val="28"/>
        </w:rPr>
      </w:pPr>
      <w:r>
        <w:rPr>
          <w:rFonts w:ascii="Times New Roman" w:hAnsi="Times New Roman"/>
          <w:sz w:val="28"/>
        </w:rPr>
        <w:t>При выделении сегментов учитывается информация, используемая полномочными лицами организации, сведения, размещаемые в средствах массовой информации, иная доступная информация, в частности, управленческие документы по планированию, отчеты высшего органа управления организации, сведения, опубликованные на Интернет-сайте организации, и тому</w:t>
      </w:r>
      <w:r>
        <w:rPr>
          <w:rFonts w:ascii="Times New Roman" w:hAnsi="Times New Roman"/>
          <w:spacing w:val="-8"/>
          <w:sz w:val="28"/>
        </w:rPr>
        <w:t> </w:t>
      </w:r>
      <w:r>
        <w:rPr>
          <w:rFonts w:ascii="Times New Roman" w:hAnsi="Times New Roman"/>
          <w:sz w:val="28"/>
        </w:rPr>
        <w:t>подобное.</w:t>
      </w:r>
    </w:p>
    <w:p>
      <w:pPr>
        <w:pStyle w:val="ListParagraph"/>
        <w:numPr>
          <w:ilvl w:val="0"/>
          <w:numId w:val="2"/>
        </w:numPr>
        <w:tabs>
          <w:tab w:pos="1142" w:val="left" w:leader="none"/>
        </w:tabs>
        <w:spacing w:line="242" w:lineRule="auto" w:before="119" w:after="0"/>
        <w:ind w:left="119" w:right="106" w:firstLine="566"/>
        <w:jc w:val="both"/>
        <w:rPr>
          <w:rFonts w:ascii="Times New Roman" w:hAnsi="Times New Roman" w:cs="Times New Roman" w:eastAsia="Times New Roman" w:hint="default"/>
          <w:sz w:val="28"/>
          <w:szCs w:val="28"/>
        </w:rPr>
      </w:pPr>
      <w:r>
        <w:rPr>
          <w:rFonts w:ascii="Times New Roman" w:hAnsi="Times New Roman"/>
          <w:sz w:val="28"/>
        </w:rPr>
        <w:t>Несколько сегментов могут быть определены как единый сегмент, если такое объединение соответствует целям настоящего Положения, а также при условии сходства следующих характеристик объединяемых</w:t>
      </w:r>
      <w:r>
        <w:rPr>
          <w:rFonts w:ascii="Times New Roman" w:hAnsi="Times New Roman"/>
          <w:spacing w:val="-20"/>
          <w:sz w:val="28"/>
        </w:rPr>
        <w:t> </w:t>
      </w:r>
      <w:r>
        <w:rPr>
          <w:rFonts w:ascii="Times New Roman" w:hAnsi="Times New Roman"/>
          <w:sz w:val="28"/>
        </w:rPr>
        <w:t>сегментов:</w:t>
      </w:r>
    </w:p>
    <w:p>
      <w:pPr>
        <w:pStyle w:val="BodyText"/>
        <w:tabs>
          <w:tab w:pos="1141" w:val="left" w:leader="none"/>
        </w:tabs>
        <w:spacing w:line="240" w:lineRule="auto" w:before="116"/>
        <w:ind w:left="685" w:right="426" w:firstLine="0"/>
        <w:jc w:val="left"/>
      </w:pPr>
      <w:r>
        <w:rPr/>
        <w:t>а)</w:t>
        <w:tab/>
        <w:t>характер (назначение) продукции, товаров, работ,</w:t>
      </w:r>
      <w:r>
        <w:rPr>
          <w:spacing w:val="-20"/>
        </w:rPr>
        <w:t> </w:t>
      </w:r>
      <w:r>
        <w:rPr/>
        <w:t>услуг;</w:t>
      </w:r>
    </w:p>
    <w:p>
      <w:pPr>
        <w:pStyle w:val="BodyText"/>
        <w:spacing w:line="240" w:lineRule="auto"/>
        <w:ind w:right="109"/>
        <w:jc w:val="both"/>
      </w:pPr>
      <w:r>
        <w:rPr/>
        <w:t>б) процесс производства продукции, закупки товаров, выполнения  работ, оказания</w:t>
      </w:r>
      <w:r>
        <w:rPr>
          <w:spacing w:val="-10"/>
        </w:rPr>
        <w:t> </w:t>
      </w:r>
      <w:r>
        <w:rPr/>
        <w:t>услуг;</w:t>
      </w:r>
    </w:p>
    <w:p>
      <w:pPr>
        <w:pStyle w:val="BodyText"/>
        <w:tabs>
          <w:tab w:pos="1141" w:val="left" w:leader="none"/>
        </w:tabs>
        <w:spacing w:line="328" w:lineRule="auto"/>
        <w:ind w:left="685" w:right="1500" w:firstLine="0"/>
        <w:jc w:val="left"/>
      </w:pPr>
      <w:r>
        <w:rPr/>
        <w:t>в)</w:t>
        <w:tab/>
        <w:t>покупатели (заказчики) продукции, товаров,</w:t>
      </w:r>
      <w:r>
        <w:rPr>
          <w:spacing w:val="-15"/>
        </w:rPr>
        <w:t> </w:t>
      </w:r>
      <w:r>
        <w:rPr/>
        <w:t>работ,</w:t>
      </w:r>
      <w:r>
        <w:rPr>
          <w:spacing w:val="-3"/>
        </w:rPr>
        <w:t> </w:t>
      </w:r>
      <w:r>
        <w:rPr/>
        <w:t>услуг;</w:t>
      </w:r>
      <w:r>
        <w:rPr>
          <w:w w:val="99"/>
        </w:rPr>
        <w:t> </w:t>
      </w:r>
      <w:r>
        <w:rPr/>
        <w:t>г)</w:t>
        <w:tab/>
        <w:t>способы продажи продукции, товаров, работ,</w:t>
      </w:r>
      <w:r>
        <w:rPr>
          <w:spacing w:val="-13"/>
        </w:rPr>
        <w:t> </w:t>
      </w:r>
      <w:r>
        <w:rPr/>
        <w:t>услуг;</w:t>
      </w:r>
    </w:p>
    <w:p>
      <w:pPr>
        <w:pStyle w:val="BodyText"/>
        <w:spacing w:line="240" w:lineRule="auto" w:before="5"/>
        <w:ind w:right="108"/>
        <w:jc w:val="both"/>
      </w:pPr>
      <w:r>
        <w:rPr/>
        <w:t>д) правовые условия деятельности (например, необходимость лицензии (разрешения), режим</w:t>
      </w:r>
      <w:r>
        <w:rPr>
          <w:spacing w:val="-12"/>
        </w:rPr>
        <w:t> </w:t>
      </w:r>
      <w:r>
        <w:rPr/>
        <w:t>налогообложения);</w:t>
      </w:r>
    </w:p>
    <w:p>
      <w:pPr>
        <w:pStyle w:val="BodyText"/>
        <w:tabs>
          <w:tab w:pos="1141" w:val="left" w:leader="none"/>
        </w:tabs>
        <w:spacing w:line="240" w:lineRule="auto"/>
        <w:ind w:left="685" w:right="426" w:firstLine="0"/>
        <w:jc w:val="left"/>
      </w:pPr>
      <w:r>
        <w:rPr/>
        <w:t>е)</w:t>
        <w:tab/>
        <w:t>другие</w:t>
      </w:r>
      <w:r>
        <w:rPr>
          <w:spacing w:val="-11"/>
        </w:rPr>
        <w:t> </w:t>
      </w:r>
      <w:r>
        <w:rPr/>
        <w:t>характеристики.</w:t>
      </w:r>
    </w:p>
    <w:p>
      <w:pPr>
        <w:pStyle w:val="ListParagraph"/>
        <w:numPr>
          <w:ilvl w:val="0"/>
          <w:numId w:val="2"/>
        </w:numPr>
        <w:tabs>
          <w:tab w:pos="1142" w:val="left" w:leader="none"/>
        </w:tabs>
        <w:spacing w:line="322" w:lineRule="exact" w:before="119" w:after="0"/>
        <w:ind w:left="1141" w:right="0" w:hanging="456"/>
        <w:jc w:val="left"/>
        <w:rPr>
          <w:rFonts w:ascii="Times New Roman" w:hAnsi="Times New Roman" w:cs="Times New Roman" w:eastAsia="Times New Roman" w:hint="default"/>
          <w:sz w:val="28"/>
          <w:szCs w:val="28"/>
        </w:rPr>
      </w:pPr>
      <w:r>
        <w:rPr>
          <w:rFonts w:ascii="Times New Roman" w:hAnsi="Times New Roman"/>
          <w:sz w:val="28"/>
        </w:rPr>
        <w:t>Помимо условий выделения сегментов, предусмотренных   пунктами</w:t>
      </w:r>
    </w:p>
    <w:p>
      <w:pPr>
        <w:pStyle w:val="BodyText"/>
        <w:tabs>
          <w:tab w:pos="2715" w:val="left" w:leader="none"/>
        </w:tabs>
        <w:spacing w:line="242" w:lineRule="auto" w:before="0"/>
        <w:ind w:right="109" w:firstLine="0"/>
        <w:jc w:val="left"/>
      </w:pPr>
      <w:r>
        <w:rPr/>
        <w:t>5    –  </w:t>
      </w:r>
      <w:r>
        <w:rPr>
          <w:spacing w:val="7"/>
        </w:rPr>
        <w:t> </w:t>
      </w:r>
      <w:r>
        <w:rPr/>
        <w:t>8  </w:t>
      </w:r>
      <w:r>
        <w:rPr>
          <w:spacing w:val="38"/>
        </w:rPr>
        <w:t> </w:t>
      </w:r>
      <w:r>
        <w:rPr/>
        <w:t>настоящего</w:t>
        <w:tab/>
        <w:t>Положения,   организация   может </w:t>
      </w:r>
      <w:r>
        <w:rPr>
          <w:spacing w:val="24"/>
        </w:rPr>
        <w:t> </w:t>
      </w:r>
      <w:r>
        <w:rPr/>
        <w:t>использовать </w:t>
      </w:r>
      <w:r>
        <w:rPr>
          <w:spacing w:val="50"/>
        </w:rPr>
        <w:t> </w:t>
      </w:r>
      <w:r>
        <w:rPr/>
        <w:t>также</w:t>
      </w:r>
      <w:r>
        <w:rPr>
          <w:w w:val="99"/>
        </w:rPr>
        <w:t> </w:t>
      </w:r>
      <w:r>
        <w:rPr>
          <w:spacing w:val="1"/>
          <w:w w:val="99"/>
        </w:rPr>
      </w:r>
      <w:r>
        <w:rPr/>
        <w:t>следующие дополнительные</w:t>
      </w:r>
      <w:r>
        <w:rPr>
          <w:spacing w:val="-7"/>
        </w:rPr>
        <w:t> </w:t>
      </w:r>
      <w:r>
        <w:rPr/>
        <w:t>условия:</w:t>
      </w:r>
    </w:p>
    <w:p>
      <w:pPr>
        <w:pStyle w:val="BodyText"/>
        <w:tabs>
          <w:tab w:pos="1141" w:val="left" w:leader="none"/>
        </w:tabs>
        <w:spacing w:line="240" w:lineRule="auto" w:before="116"/>
        <w:ind w:left="685" w:right="426" w:firstLine="0"/>
        <w:jc w:val="left"/>
      </w:pPr>
      <w:r>
        <w:rPr/>
        <w:t>а)</w:t>
        <w:tab/>
        <w:t>специфический характер отдельного направления</w:t>
      </w:r>
      <w:r>
        <w:rPr>
          <w:spacing w:val="-18"/>
        </w:rPr>
        <w:t> </w:t>
      </w:r>
      <w:r>
        <w:rPr/>
        <w:t>деятельности;</w:t>
      </w:r>
    </w:p>
    <w:p>
      <w:pPr>
        <w:pStyle w:val="BodyText"/>
        <w:spacing w:line="240" w:lineRule="auto"/>
        <w:ind w:right="107"/>
        <w:jc w:val="both"/>
      </w:pPr>
      <w:r>
        <w:rPr/>
        <w:t>б) ответственность конкретных лиц </w:t>
      </w:r>
      <w:r>
        <w:rPr>
          <w:spacing w:val="2"/>
        </w:rPr>
        <w:t>за </w:t>
      </w:r>
      <w:r>
        <w:rPr/>
        <w:t>результаты отдельного </w:t>
      </w:r>
      <w:r>
        <w:rPr/>
        <w:t>направления</w:t>
      </w:r>
      <w:r>
        <w:rPr>
          <w:spacing w:val="-11"/>
        </w:rPr>
        <w:t> </w:t>
      </w:r>
      <w:r>
        <w:rPr/>
        <w:t>деятельности;</w:t>
      </w:r>
    </w:p>
    <w:p>
      <w:pPr>
        <w:pStyle w:val="BodyText"/>
        <w:spacing w:line="240" w:lineRule="auto"/>
        <w:ind w:right="107"/>
        <w:jc w:val="both"/>
      </w:pPr>
      <w:r>
        <w:rPr/>
        <w:t>в) обособленность информации, представляемой совету директоров (наблюдательному совету)</w:t>
      </w:r>
      <w:r>
        <w:rPr>
          <w:spacing w:val="-12"/>
        </w:rPr>
        <w:t> </w:t>
      </w:r>
      <w:r>
        <w:rPr/>
        <w:t>организации;</w:t>
      </w:r>
    </w:p>
    <w:p>
      <w:pPr>
        <w:pStyle w:val="BodyText"/>
        <w:tabs>
          <w:tab w:pos="1141" w:val="left" w:leader="none"/>
        </w:tabs>
        <w:spacing w:line="240" w:lineRule="auto"/>
        <w:ind w:left="685" w:right="426" w:firstLine="0"/>
        <w:jc w:val="left"/>
      </w:pPr>
      <w:r>
        <w:rPr/>
        <w:t>г)</w:t>
        <w:tab/>
        <w:t>другие</w:t>
      </w:r>
      <w:r>
        <w:rPr>
          <w:spacing w:val="-8"/>
        </w:rPr>
        <w:t> </w:t>
      </w:r>
      <w:r>
        <w:rPr/>
        <w:t>условия.</w:t>
      </w:r>
    </w:p>
    <w:p>
      <w:pPr>
        <w:spacing w:after="0" w:line="240" w:lineRule="auto"/>
        <w:jc w:val="left"/>
        <w:sectPr>
          <w:headerReference w:type="default" r:id="rId5"/>
          <w:pgSz w:w="11900" w:h="16840"/>
          <w:pgMar w:header="792" w:footer="0" w:top="1020" w:bottom="280" w:left="1580" w:right="740"/>
          <w:pgNumType w:start="2"/>
        </w:sectPr>
      </w:pPr>
    </w:p>
    <w:p>
      <w:pPr>
        <w:pStyle w:val="Heading1"/>
        <w:numPr>
          <w:ilvl w:val="0"/>
          <w:numId w:val="1"/>
        </w:numPr>
        <w:tabs>
          <w:tab w:pos="3801" w:val="left" w:leader="none"/>
        </w:tabs>
        <w:spacing w:line="240" w:lineRule="auto" w:before="99" w:after="0"/>
        <w:ind w:left="3800" w:right="0" w:hanging="566"/>
        <w:jc w:val="left"/>
        <w:rPr>
          <w:b w:val="0"/>
          <w:bCs w:val="0"/>
        </w:rPr>
      </w:pPr>
      <w:r>
        <w:rPr/>
        <w:t>Отчетные</w:t>
      </w:r>
      <w:r>
        <w:rPr>
          <w:spacing w:val="-10"/>
        </w:rPr>
        <w:t> </w:t>
      </w:r>
      <w:r>
        <w:rPr/>
        <w:t>сегменты</w:t>
      </w:r>
      <w:r>
        <w:rPr>
          <w:b w:val="0"/>
        </w:rPr>
      </w:r>
    </w:p>
    <w:p>
      <w:pPr>
        <w:pStyle w:val="ListParagraph"/>
        <w:numPr>
          <w:ilvl w:val="0"/>
          <w:numId w:val="2"/>
        </w:numPr>
        <w:tabs>
          <w:tab w:pos="1142" w:val="left" w:leader="none"/>
        </w:tabs>
        <w:spacing w:line="240" w:lineRule="auto" w:before="115" w:after="0"/>
        <w:ind w:left="119" w:right="109" w:firstLine="566"/>
        <w:jc w:val="both"/>
        <w:rPr>
          <w:rFonts w:ascii="Times New Roman" w:hAnsi="Times New Roman" w:cs="Times New Roman" w:eastAsia="Times New Roman" w:hint="default"/>
          <w:sz w:val="28"/>
          <w:szCs w:val="28"/>
        </w:rPr>
      </w:pPr>
      <w:r>
        <w:rPr>
          <w:rFonts w:ascii="Times New Roman" w:hAnsi="Times New Roman"/>
          <w:sz w:val="28"/>
        </w:rPr>
        <w:t>Информация по сегменту, выделенному в качестве отчетного, обособленно раскрывается в бухгалтерской отчетности посредством включения в нее перечня показателей, установленного настоящим Положением.</w:t>
      </w:r>
    </w:p>
    <w:p>
      <w:pPr>
        <w:pStyle w:val="BodyText"/>
        <w:spacing w:line="240" w:lineRule="auto"/>
        <w:ind w:right="109"/>
        <w:jc w:val="both"/>
      </w:pPr>
      <w:r>
        <w:rPr/>
        <w:t>Сегмент считается отчетным, если выполняется хотя бы одно из следующих</w:t>
      </w:r>
      <w:r>
        <w:rPr>
          <w:spacing w:val="-9"/>
        </w:rPr>
        <w:t> </w:t>
      </w:r>
      <w:r>
        <w:rPr/>
        <w:t>условий:</w:t>
      </w:r>
    </w:p>
    <w:p>
      <w:pPr>
        <w:pStyle w:val="BodyText"/>
        <w:spacing w:line="240" w:lineRule="auto"/>
        <w:ind w:right="109"/>
        <w:jc w:val="both"/>
      </w:pPr>
      <w:r>
        <w:rPr/>
        <w:t>а)  выручка сегмента от продаж покупателям (заказчикам) организации   и подразумеваемая выручка от операций с другими сегментами составляет не менее 10 процентов общей суммы выручки всех</w:t>
      </w:r>
      <w:r>
        <w:rPr>
          <w:spacing w:val="-24"/>
        </w:rPr>
        <w:t> </w:t>
      </w:r>
      <w:r>
        <w:rPr/>
        <w:t>сегментов;</w:t>
      </w:r>
    </w:p>
    <w:p>
      <w:pPr>
        <w:pStyle w:val="BodyText"/>
        <w:spacing w:line="240" w:lineRule="auto"/>
        <w:ind w:right="108"/>
        <w:jc w:val="both"/>
      </w:pPr>
      <w:r>
        <w:rPr/>
        <w:t>б) финансовый результат (прибыль или убыток) сегмента составляет не менее 10 процентов от наибольшей из двух величин: суммарной прибыли сегментов, финансовым результатом которых является прибыль, или суммарного убытка сегментов, финансовым результатом которых является убыток;</w:t>
      </w:r>
    </w:p>
    <w:p>
      <w:pPr>
        <w:pStyle w:val="BodyText"/>
        <w:spacing w:line="240" w:lineRule="auto"/>
        <w:ind w:right="104"/>
        <w:jc w:val="both"/>
      </w:pPr>
      <w:r>
        <w:rPr/>
        <w:t>в) активы сегмента составляют не менее 10 процентов суммарных активов всех</w:t>
      </w:r>
      <w:r>
        <w:rPr>
          <w:spacing w:val="-11"/>
        </w:rPr>
        <w:t> </w:t>
      </w:r>
      <w:r>
        <w:rPr/>
        <w:t>сегментов.</w:t>
      </w:r>
    </w:p>
    <w:p>
      <w:pPr>
        <w:pStyle w:val="ListParagraph"/>
        <w:numPr>
          <w:ilvl w:val="0"/>
          <w:numId w:val="2"/>
        </w:numPr>
        <w:tabs>
          <w:tab w:pos="1142" w:val="left" w:leader="none"/>
        </w:tabs>
        <w:spacing w:line="240" w:lineRule="auto" w:before="124" w:after="0"/>
        <w:ind w:left="119" w:right="109" w:firstLine="566"/>
        <w:jc w:val="both"/>
        <w:rPr>
          <w:rFonts w:ascii="Times New Roman" w:hAnsi="Times New Roman" w:cs="Times New Roman" w:eastAsia="Times New Roman" w:hint="default"/>
          <w:sz w:val="28"/>
          <w:szCs w:val="28"/>
        </w:rPr>
      </w:pPr>
      <w:r>
        <w:rPr>
          <w:rFonts w:ascii="Times New Roman" w:hAnsi="Times New Roman"/>
          <w:sz w:val="28"/>
        </w:rPr>
        <w:t>Сегмент, показатели которого ниже предусмотренных пунктом 10 настоящего Положения, может быть выделен в качестве отчетного, если информация по данному сегменту будет полезной заинтересованным пользователям или если существует необходимость выделения большего количества отчетных сегментов для выполнения условия, предусмотренного пунктом 14 настоящего</w:t>
      </w:r>
      <w:r>
        <w:rPr>
          <w:rFonts w:ascii="Times New Roman" w:hAnsi="Times New Roman"/>
          <w:spacing w:val="-14"/>
          <w:sz w:val="28"/>
        </w:rPr>
        <w:t> </w:t>
      </w:r>
      <w:r>
        <w:rPr>
          <w:rFonts w:ascii="Times New Roman" w:hAnsi="Times New Roman"/>
          <w:sz w:val="28"/>
        </w:rPr>
        <w:t>Положения.</w:t>
      </w:r>
    </w:p>
    <w:p>
      <w:pPr>
        <w:pStyle w:val="ListParagraph"/>
        <w:numPr>
          <w:ilvl w:val="0"/>
          <w:numId w:val="2"/>
        </w:numPr>
        <w:tabs>
          <w:tab w:pos="1142" w:val="left" w:leader="none"/>
        </w:tabs>
        <w:spacing w:line="240" w:lineRule="auto" w:before="119" w:after="0"/>
        <w:ind w:left="119" w:right="109" w:firstLine="566"/>
        <w:jc w:val="both"/>
        <w:rPr>
          <w:rFonts w:ascii="Times New Roman" w:hAnsi="Times New Roman" w:cs="Times New Roman" w:eastAsia="Times New Roman" w:hint="default"/>
          <w:sz w:val="28"/>
          <w:szCs w:val="28"/>
        </w:rPr>
      </w:pPr>
      <w:r>
        <w:rPr>
          <w:rFonts w:ascii="Times New Roman" w:hAnsi="Times New Roman"/>
          <w:sz w:val="28"/>
        </w:rPr>
        <w:t>Перечень отчетных сегментов определяется организацией исходя из ее организационной и управленческой</w:t>
      </w:r>
      <w:r>
        <w:rPr>
          <w:rFonts w:ascii="Times New Roman" w:hAnsi="Times New Roman"/>
          <w:spacing w:val="-18"/>
          <w:sz w:val="28"/>
        </w:rPr>
        <w:t> </w:t>
      </w:r>
      <w:r>
        <w:rPr>
          <w:rFonts w:ascii="Times New Roman" w:hAnsi="Times New Roman"/>
          <w:sz w:val="28"/>
        </w:rPr>
        <w:t>структуры.</w:t>
      </w:r>
    </w:p>
    <w:p>
      <w:pPr>
        <w:pStyle w:val="ListParagraph"/>
        <w:numPr>
          <w:ilvl w:val="0"/>
          <w:numId w:val="2"/>
        </w:numPr>
        <w:tabs>
          <w:tab w:pos="1142" w:val="left" w:leader="none"/>
        </w:tabs>
        <w:spacing w:line="240" w:lineRule="auto" w:before="119" w:after="0"/>
        <w:ind w:left="119" w:right="103" w:firstLine="566"/>
        <w:jc w:val="both"/>
        <w:rPr>
          <w:rFonts w:ascii="Times New Roman" w:hAnsi="Times New Roman" w:cs="Times New Roman" w:eastAsia="Times New Roman" w:hint="default"/>
          <w:sz w:val="28"/>
          <w:szCs w:val="28"/>
        </w:rPr>
      </w:pPr>
      <w:r>
        <w:rPr>
          <w:rFonts w:ascii="Times New Roman" w:hAnsi="Times New Roman"/>
          <w:sz w:val="28"/>
        </w:rPr>
        <w:t>При определении перечня отчетных сегментов организация может объединить информацию по двум и более сегментам, показатели которых ниже предусмотренных пунктом 10 настоящего Положения, в том случае, если такое объединение соответствует требованиям настоящего Положения,  а также при условии сходства объединяемых сегментов по характеристикам, предусмотренным пунктом 8 настоящего</w:t>
      </w:r>
      <w:r>
        <w:rPr>
          <w:rFonts w:ascii="Times New Roman" w:hAnsi="Times New Roman"/>
          <w:spacing w:val="-16"/>
          <w:sz w:val="28"/>
        </w:rPr>
        <w:t> </w:t>
      </w:r>
      <w:r>
        <w:rPr>
          <w:rFonts w:ascii="Times New Roman" w:hAnsi="Times New Roman"/>
          <w:sz w:val="28"/>
        </w:rPr>
        <w:t>Положения.</w:t>
      </w:r>
    </w:p>
    <w:p>
      <w:pPr>
        <w:pStyle w:val="ListParagraph"/>
        <w:numPr>
          <w:ilvl w:val="0"/>
          <w:numId w:val="2"/>
        </w:numPr>
        <w:tabs>
          <w:tab w:pos="1142" w:val="left" w:leader="none"/>
        </w:tabs>
        <w:spacing w:line="240" w:lineRule="auto" w:before="119" w:after="0"/>
        <w:ind w:left="119" w:right="107" w:firstLine="566"/>
        <w:jc w:val="both"/>
        <w:rPr>
          <w:rFonts w:ascii="Times New Roman" w:hAnsi="Times New Roman" w:cs="Times New Roman" w:eastAsia="Times New Roman" w:hint="default"/>
          <w:sz w:val="28"/>
          <w:szCs w:val="28"/>
        </w:rPr>
      </w:pPr>
      <w:r>
        <w:rPr>
          <w:rFonts w:ascii="Times New Roman" w:hAnsi="Times New Roman"/>
          <w:sz w:val="28"/>
        </w:rPr>
        <w:t>На отчетные сегменты в бухгалтерской отчетности организации должно приходиться не менее 75 процентов выручки от продаж покупателям (заказчикам)</w:t>
      </w:r>
      <w:r>
        <w:rPr>
          <w:rFonts w:ascii="Times New Roman" w:hAnsi="Times New Roman"/>
          <w:spacing w:val="-12"/>
          <w:sz w:val="28"/>
        </w:rPr>
        <w:t> </w:t>
      </w:r>
      <w:r>
        <w:rPr>
          <w:rFonts w:ascii="Times New Roman" w:hAnsi="Times New Roman"/>
          <w:sz w:val="28"/>
        </w:rPr>
        <w:t>организации.</w:t>
      </w:r>
    </w:p>
    <w:p>
      <w:pPr>
        <w:pStyle w:val="BodyText"/>
        <w:spacing w:line="240" w:lineRule="auto"/>
        <w:ind w:right="106"/>
        <w:jc w:val="both"/>
      </w:pPr>
      <w:r>
        <w:rPr/>
        <w:t>Если на отчетные сегменты приходится менее 75 процентов выручки от продаж покупателям (заказчикам) организации, то должны быть выделены дополнительные отчетные сегменты независимо от того, удовлетворяет ли каждый из них в отдельности условиям, предусмотренным пунктом 10 настоящего</w:t>
      </w:r>
      <w:r>
        <w:rPr>
          <w:spacing w:val="-12"/>
        </w:rPr>
        <w:t> </w:t>
      </w:r>
      <w:r>
        <w:rPr/>
        <w:t>Положения.</w:t>
      </w:r>
    </w:p>
    <w:p>
      <w:pPr>
        <w:spacing w:after="0" w:line="240" w:lineRule="auto"/>
        <w:jc w:val="both"/>
        <w:sectPr>
          <w:pgSz w:w="11900" w:h="16840"/>
          <w:pgMar w:header="792" w:footer="0" w:top="1020" w:bottom="280" w:left="1580" w:right="740"/>
        </w:sectPr>
      </w:pPr>
    </w:p>
    <w:p>
      <w:pPr>
        <w:pStyle w:val="ListParagraph"/>
        <w:numPr>
          <w:ilvl w:val="0"/>
          <w:numId w:val="2"/>
        </w:numPr>
        <w:tabs>
          <w:tab w:pos="1142" w:val="left" w:leader="none"/>
        </w:tabs>
        <w:spacing w:line="240" w:lineRule="auto" w:before="95" w:after="0"/>
        <w:ind w:left="119" w:right="109" w:firstLine="566"/>
        <w:jc w:val="both"/>
        <w:rPr>
          <w:rFonts w:ascii="Times New Roman" w:hAnsi="Times New Roman" w:cs="Times New Roman" w:eastAsia="Times New Roman" w:hint="default"/>
          <w:sz w:val="28"/>
          <w:szCs w:val="28"/>
        </w:rPr>
      </w:pPr>
      <w:r>
        <w:rPr>
          <w:rFonts w:ascii="Times New Roman" w:hAnsi="Times New Roman"/>
          <w:sz w:val="28"/>
        </w:rPr>
        <w:t>В случае если количество отчетных сегментов составляет более десяти, организация должна проанализировать возможность объединения отчетных сегментов в соответствии с пунктом 13 настоящего</w:t>
      </w:r>
      <w:r>
        <w:rPr>
          <w:rFonts w:ascii="Times New Roman" w:hAnsi="Times New Roman"/>
          <w:spacing w:val="-24"/>
          <w:sz w:val="28"/>
        </w:rPr>
        <w:t> </w:t>
      </w:r>
      <w:r>
        <w:rPr>
          <w:rFonts w:ascii="Times New Roman" w:hAnsi="Times New Roman"/>
          <w:sz w:val="28"/>
        </w:rPr>
        <w:t>Положения.</w:t>
      </w:r>
    </w:p>
    <w:p>
      <w:pPr>
        <w:pStyle w:val="ListParagraph"/>
        <w:numPr>
          <w:ilvl w:val="0"/>
          <w:numId w:val="2"/>
        </w:numPr>
        <w:tabs>
          <w:tab w:pos="1142" w:val="left" w:leader="none"/>
        </w:tabs>
        <w:spacing w:line="242" w:lineRule="auto" w:before="119" w:after="0"/>
        <w:ind w:left="119" w:right="106" w:firstLine="566"/>
        <w:jc w:val="both"/>
        <w:rPr>
          <w:rFonts w:ascii="Times New Roman" w:hAnsi="Times New Roman" w:cs="Times New Roman" w:eastAsia="Times New Roman" w:hint="default"/>
          <w:sz w:val="28"/>
          <w:szCs w:val="28"/>
        </w:rPr>
      </w:pPr>
      <w:r>
        <w:rPr>
          <w:rFonts w:ascii="Times New Roman" w:hAnsi="Times New Roman"/>
          <w:sz w:val="28"/>
        </w:rPr>
        <w:t>Показатели, характеризующие деятельность, не включенную в отчетные сегменты, раскрываются в бухгалтерской отчетности как прочие сегменты.</w:t>
      </w:r>
    </w:p>
    <w:p>
      <w:pPr>
        <w:pStyle w:val="ListParagraph"/>
        <w:numPr>
          <w:ilvl w:val="0"/>
          <w:numId w:val="2"/>
        </w:numPr>
        <w:tabs>
          <w:tab w:pos="1142" w:val="left" w:leader="none"/>
        </w:tabs>
        <w:spacing w:line="240" w:lineRule="auto" w:before="116" w:after="0"/>
        <w:ind w:left="119" w:right="108" w:firstLine="566"/>
        <w:jc w:val="both"/>
        <w:rPr>
          <w:rFonts w:ascii="Times New Roman" w:hAnsi="Times New Roman" w:cs="Times New Roman" w:eastAsia="Times New Roman" w:hint="default"/>
          <w:sz w:val="28"/>
          <w:szCs w:val="28"/>
        </w:rPr>
      </w:pPr>
      <w:r>
        <w:rPr>
          <w:rFonts w:ascii="Times New Roman" w:hAnsi="Times New Roman"/>
          <w:sz w:val="28"/>
        </w:rPr>
        <w:t>При подготовке бухгалтерской отчетности должна быть обеспечена последовательность в определении перечня отчетных</w:t>
      </w:r>
      <w:r>
        <w:rPr>
          <w:rFonts w:ascii="Times New Roman" w:hAnsi="Times New Roman"/>
          <w:spacing w:val="-19"/>
          <w:sz w:val="28"/>
        </w:rPr>
        <w:t> </w:t>
      </w:r>
      <w:r>
        <w:rPr>
          <w:rFonts w:ascii="Times New Roman" w:hAnsi="Times New Roman"/>
          <w:sz w:val="28"/>
        </w:rPr>
        <w:t>сегментов.</w:t>
      </w:r>
    </w:p>
    <w:p>
      <w:pPr>
        <w:pStyle w:val="BodyText"/>
        <w:spacing w:line="240" w:lineRule="auto"/>
        <w:ind w:right="107"/>
        <w:jc w:val="both"/>
      </w:pPr>
      <w:r>
        <w:rPr/>
        <w:t>Если сегмент, выделенный в качестве отчетного в периоде, предшествующем отчетному, в отчетном периоде не соответствует условиям отчетного сегмента, но предполагается, что указанный сегмент будет выделяться как отчетный в будущем, такой сегмент выделяется в качестве отчетного сегмента в отчетном</w:t>
      </w:r>
      <w:r>
        <w:rPr>
          <w:spacing w:val="-13"/>
        </w:rPr>
        <w:t> </w:t>
      </w:r>
      <w:r>
        <w:rPr/>
        <w:t>периоде.</w:t>
      </w:r>
    </w:p>
    <w:p>
      <w:pPr>
        <w:pStyle w:val="BodyText"/>
        <w:spacing w:line="240" w:lineRule="auto"/>
        <w:ind w:right="107"/>
        <w:jc w:val="both"/>
      </w:pPr>
      <w:r>
        <w:rPr/>
        <w:t>Если сегмент впервые стал удовлетворять условиям отчетного сегмента в отчетном периоде, то по нему должна быть представлена также сравнительная информация за предшествующие отчетному периоды, за исключением случаев, когда необходимая информация отсутствует и ее подготовка противоречит требованию</w:t>
      </w:r>
      <w:r>
        <w:rPr>
          <w:spacing w:val="-20"/>
        </w:rPr>
        <w:t> </w:t>
      </w:r>
      <w:r>
        <w:rPr/>
        <w:t>рациональности.</w:t>
      </w:r>
    </w:p>
    <w:p>
      <w:pPr>
        <w:pStyle w:val="Heading1"/>
        <w:numPr>
          <w:ilvl w:val="0"/>
          <w:numId w:val="1"/>
        </w:numPr>
        <w:tabs>
          <w:tab w:pos="2467" w:val="left" w:leader="none"/>
        </w:tabs>
        <w:spacing w:line="240" w:lineRule="auto" w:before="244" w:after="0"/>
        <w:ind w:left="2466" w:right="0" w:hanging="566"/>
        <w:jc w:val="left"/>
        <w:rPr>
          <w:b w:val="0"/>
          <w:bCs w:val="0"/>
        </w:rPr>
      </w:pPr>
      <w:r>
        <w:rPr/>
        <w:t>Оценка показателей отчетных</w:t>
      </w:r>
      <w:r>
        <w:rPr>
          <w:spacing w:val="-19"/>
        </w:rPr>
        <w:t> </w:t>
      </w:r>
      <w:r>
        <w:rPr/>
        <w:t>сегментов</w:t>
      </w:r>
      <w:r>
        <w:rPr>
          <w:b w:val="0"/>
        </w:rPr>
      </w:r>
    </w:p>
    <w:p>
      <w:pPr>
        <w:pStyle w:val="ListParagraph"/>
        <w:numPr>
          <w:ilvl w:val="0"/>
          <w:numId w:val="2"/>
        </w:numPr>
        <w:tabs>
          <w:tab w:pos="1142" w:val="left" w:leader="none"/>
        </w:tabs>
        <w:spacing w:line="240" w:lineRule="auto" w:before="115" w:after="0"/>
        <w:ind w:left="119" w:right="107" w:firstLine="566"/>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Показатели отчетного сегмента, подлежащие раскрытию в соответствии с пунктами 24–27 настоящего Положения, приводятся в оценке, в которой они представляются полномочным лицам организации для принятия решений (по данным управленческого</w:t>
      </w:r>
      <w:r>
        <w:rPr>
          <w:rFonts w:ascii="Times New Roman" w:hAnsi="Times New Roman" w:cs="Times New Roman" w:eastAsia="Times New Roman" w:hint="default"/>
          <w:spacing w:val="-21"/>
          <w:sz w:val="28"/>
          <w:szCs w:val="28"/>
        </w:rPr>
        <w:t> </w:t>
      </w:r>
      <w:r>
        <w:rPr>
          <w:rFonts w:ascii="Times New Roman" w:hAnsi="Times New Roman" w:cs="Times New Roman" w:eastAsia="Times New Roman" w:hint="default"/>
          <w:sz w:val="28"/>
          <w:szCs w:val="28"/>
        </w:rPr>
        <w:t>учета).</w:t>
      </w:r>
    </w:p>
    <w:p>
      <w:pPr>
        <w:pStyle w:val="ListParagraph"/>
        <w:numPr>
          <w:ilvl w:val="0"/>
          <w:numId w:val="2"/>
        </w:numPr>
        <w:tabs>
          <w:tab w:pos="1142" w:val="left" w:leader="none"/>
        </w:tabs>
        <w:spacing w:line="240" w:lineRule="auto" w:before="119" w:after="0"/>
        <w:ind w:left="119" w:right="103" w:firstLine="566"/>
        <w:jc w:val="both"/>
        <w:rPr>
          <w:rFonts w:ascii="Times New Roman" w:hAnsi="Times New Roman" w:cs="Times New Roman" w:eastAsia="Times New Roman" w:hint="default"/>
          <w:sz w:val="28"/>
          <w:szCs w:val="28"/>
        </w:rPr>
      </w:pPr>
      <w:r>
        <w:rPr>
          <w:rFonts w:ascii="Times New Roman" w:hAnsi="Times New Roman"/>
          <w:sz w:val="28"/>
        </w:rPr>
        <w:t>Выручка, расходы, активы и обязательства, относящиеся к двум и более отчетным сегментам, подлежат обоснованному распределению между данными сегментами. Способ распределения определяется организацией в зависимости от характера объектов учета, видов деятельности организации, степени обособленности отчетных сегментов. Организация должна последовательно применять основу распределения показателей между отчетными</w:t>
      </w:r>
      <w:r>
        <w:rPr>
          <w:rFonts w:ascii="Times New Roman" w:hAnsi="Times New Roman"/>
          <w:spacing w:val="-9"/>
          <w:sz w:val="28"/>
        </w:rPr>
        <w:t> </w:t>
      </w:r>
      <w:r>
        <w:rPr>
          <w:rFonts w:ascii="Times New Roman" w:hAnsi="Times New Roman"/>
          <w:sz w:val="28"/>
        </w:rPr>
        <w:t>сегментами.</w:t>
      </w:r>
    </w:p>
    <w:p>
      <w:pPr>
        <w:pStyle w:val="BodyText"/>
        <w:spacing w:line="240" w:lineRule="auto"/>
        <w:ind w:right="105"/>
        <w:jc w:val="both"/>
      </w:pPr>
      <w:r>
        <w:rPr/>
        <w:t>Распределенные выручка и расходы включаются в раскрываемый в бухгалтерской отчетности финансовый результат (прибыль, убыток) отчетного сегмента в том случае, если такие данные включаются в расчет финансового результата (прибыли, убытка) этого сегмента, используемого полномочными лицами организации для принятия</w:t>
      </w:r>
      <w:r>
        <w:rPr>
          <w:spacing w:val="-15"/>
        </w:rPr>
        <w:t> </w:t>
      </w:r>
      <w:r>
        <w:rPr/>
        <w:t>решений.</w:t>
      </w:r>
    </w:p>
    <w:p>
      <w:pPr>
        <w:pStyle w:val="ListParagraph"/>
        <w:numPr>
          <w:ilvl w:val="0"/>
          <w:numId w:val="2"/>
        </w:numPr>
        <w:tabs>
          <w:tab w:pos="1142" w:val="left" w:leader="none"/>
        </w:tabs>
        <w:spacing w:line="240" w:lineRule="auto" w:before="119" w:after="0"/>
        <w:ind w:left="119" w:right="105" w:firstLine="566"/>
        <w:jc w:val="both"/>
        <w:rPr>
          <w:rFonts w:ascii="Times New Roman" w:hAnsi="Times New Roman" w:cs="Times New Roman" w:eastAsia="Times New Roman" w:hint="default"/>
          <w:sz w:val="28"/>
          <w:szCs w:val="28"/>
        </w:rPr>
      </w:pPr>
      <w:r>
        <w:rPr>
          <w:rFonts w:ascii="Times New Roman" w:hAnsi="Times New Roman"/>
          <w:sz w:val="28"/>
        </w:rPr>
        <w:t>В случае если полномочные лица организации для принятия  решений используют несколько показателей финансового результата (прибыли, убытка), активов или обязательств отчетного сегмента, исчисленных по различным правилам, то в составе информации по  отчетному сегменту в бухгалтерской отчетности организации указанные показатели   приводятся   в   той   оценке,   которая   наиболее  </w:t>
      </w:r>
      <w:r>
        <w:rPr>
          <w:rFonts w:ascii="Times New Roman" w:hAnsi="Times New Roman"/>
          <w:spacing w:val="51"/>
          <w:sz w:val="28"/>
        </w:rPr>
        <w:t> </w:t>
      </w:r>
      <w:r>
        <w:rPr>
          <w:rFonts w:ascii="Times New Roman" w:hAnsi="Times New Roman"/>
          <w:sz w:val="28"/>
        </w:rPr>
        <w:t>соответствует</w:t>
      </w:r>
    </w:p>
    <w:p>
      <w:pPr>
        <w:spacing w:after="0" w:line="240" w:lineRule="auto"/>
        <w:jc w:val="both"/>
        <w:rPr>
          <w:rFonts w:ascii="Times New Roman" w:hAnsi="Times New Roman" w:cs="Times New Roman" w:eastAsia="Times New Roman" w:hint="default"/>
          <w:sz w:val="28"/>
          <w:szCs w:val="28"/>
        </w:rPr>
        <w:sectPr>
          <w:pgSz w:w="11900" w:h="16840"/>
          <w:pgMar w:header="792" w:footer="0" w:top="1020" w:bottom="280" w:left="1580" w:right="740"/>
        </w:sectPr>
      </w:pPr>
    </w:p>
    <w:p>
      <w:pPr>
        <w:pStyle w:val="BodyText"/>
        <w:tabs>
          <w:tab w:pos="1487" w:val="left" w:leader="none"/>
          <w:tab w:pos="2572" w:val="left" w:leader="none"/>
          <w:tab w:pos="4362" w:val="left" w:leader="none"/>
          <w:tab w:pos="6047" w:val="left" w:leader="none"/>
          <w:tab w:pos="6570" w:val="left" w:leader="none"/>
          <w:tab w:pos="8302" w:val="left" w:leader="none"/>
          <w:tab w:pos="8667" w:val="left" w:leader="none"/>
        </w:tabs>
        <w:spacing w:line="240" w:lineRule="auto" w:before="95"/>
        <w:ind w:right="110" w:firstLine="0"/>
        <w:jc w:val="left"/>
      </w:pPr>
      <w:r>
        <w:rPr/>
        <w:t>правилам</w:t>
        <w:tab/>
        <w:t>оценки</w:t>
        <w:tab/>
        <w:t>аналогичных</w:t>
        <w:tab/>
        <w:t>показателей</w:t>
        <w:tab/>
        <w:t>по</w:t>
        <w:tab/>
        <w:t>организации</w:t>
        <w:tab/>
        <w:t>в</w:t>
        <w:tab/>
        <w:t>целом,</w:t>
      </w:r>
      <w:r>
        <w:rPr>
          <w:w w:val="99"/>
        </w:rPr>
        <w:t> </w:t>
      </w:r>
      <w:r>
        <w:rPr/>
        <w:t>представляемых в ее бухгалтерской</w:t>
      </w:r>
      <w:r>
        <w:rPr>
          <w:spacing w:val="-22"/>
        </w:rPr>
        <w:t> </w:t>
      </w:r>
      <w:r>
        <w:rPr/>
        <w:t>отчетности.</w:t>
      </w:r>
    </w:p>
    <w:p>
      <w:pPr>
        <w:pStyle w:val="ListParagraph"/>
        <w:numPr>
          <w:ilvl w:val="0"/>
          <w:numId w:val="2"/>
        </w:numPr>
        <w:tabs>
          <w:tab w:pos="1142" w:val="left" w:leader="none"/>
        </w:tabs>
        <w:spacing w:line="240" w:lineRule="auto" w:before="119" w:after="0"/>
        <w:ind w:left="119" w:right="102" w:firstLine="566"/>
        <w:jc w:val="both"/>
        <w:rPr>
          <w:rFonts w:ascii="Times New Roman" w:hAnsi="Times New Roman" w:cs="Times New Roman" w:eastAsia="Times New Roman" w:hint="default"/>
          <w:sz w:val="28"/>
          <w:szCs w:val="28"/>
        </w:rPr>
      </w:pPr>
      <w:r>
        <w:rPr>
          <w:rFonts w:ascii="Times New Roman" w:hAnsi="Times New Roman" w:cs="Times New Roman" w:eastAsia="Times New Roman" w:hint="default"/>
          <w:sz w:val="28"/>
          <w:szCs w:val="28"/>
        </w:rPr>
        <w:t>Показатели отчетного сегмента, подлежащие раскрытию в соответствии с пунктами 29–31 настоящего Положения, приводятся в оценке, применяемой для отражения в бухгалтерской отчетности аналогичных показателей организации в целом. Указанные показатели отчетного сегмента могут не раскрываться, когда их подготовка противоречит требованию рациональности.</w:t>
      </w:r>
    </w:p>
    <w:p>
      <w:pPr>
        <w:pStyle w:val="Heading1"/>
        <w:numPr>
          <w:ilvl w:val="0"/>
          <w:numId w:val="1"/>
        </w:numPr>
        <w:tabs>
          <w:tab w:pos="1987" w:val="left" w:leader="none"/>
        </w:tabs>
        <w:spacing w:line="240" w:lineRule="auto" w:before="244" w:after="0"/>
        <w:ind w:left="1986" w:right="0" w:hanging="566"/>
        <w:jc w:val="left"/>
        <w:rPr>
          <w:b w:val="0"/>
          <w:bCs w:val="0"/>
        </w:rPr>
      </w:pPr>
      <w:r>
        <w:rPr/>
        <w:t>Раскрытие информации по отчетным</w:t>
      </w:r>
      <w:r>
        <w:rPr>
          <w:spacing w:val="-26"/>
        </w:rPr>
        <w:t> </w:t>
      </w:r>
      <w:r>
        <w:rPr/>
        <w:t>сегментам</w:t>
      </w:r>
      <w:r>
        <w:rPr>
          <w:b w:val="0"/>
        </w:rPr>
      </w:r>
    </w:p>
    <w:p>
      <w:pPr>
        <w:pStyle w:val="ListParagraph"/>
        <w:numPr>
          <w:ilvl w:val="0"/>
          <w:numId w:val="2"/>
        </w:numPr>
        <w:tabs>
          <w:tab w:pos="1142" w:val="left" w:leader="none"/>
        </w:tabs>
        <w:spacing w:line="240" w:lineRule="auto" w:before="115" w:after="0"/>
        <w:ind w:left="119" w:right="107" w:firstLine="566"/>
        <w:jc w:val="both"/>
        <w:rPr>
          <w:rFonts w:ascii="Times New Roman" w:hAnsi="Times New Roman" w:cs="Times New Roman" w:eastAsia="Times New Roman" w:hint="default"/>
          <w:sz w:val="28"/>
          <w:szCs w:val="28"/>
        </w:rPr>
      </w:pPr>
      <w:r>
        <w:rPr>
          <w:rFonts w:ascii="Times New Roman" w:hAnsi="Times New Roman"/>
          <w:sz w:val="28"/>
        </w:rPr>
        <w:t>Организация раскрывает в пояснениях к бухгалтерской отчетности следующую информацию по отчетным</w:t>
      </w:r>
      <w:r>
        <w:rPr>
          <w:rFonts w:ascii="Times New Roman" w:hAnsi="Times New Roman"/>
          <w:spacing w:val="-12"/>
          <w:sz w:val="28"/>
        </w:rPr>
        <w:t> </w:t>
      </w:r>
      <w:r>
        <w:rPr>
          <w:rFonts w:ascii="Times New Roman" w:hAnsi="Times New Roman"/>
          <w:sz w:val="28"/>
        </w:rPr>
        <w:t>сегментам:</w:t>
      </w:r>
    </w:p>
    <w:p>
      <w:pPr>
        <w:pStyle w:val="BodyText"/>
        <w:tabs>
          <w:tab w:pos="1141" w:val="left" w:leader="none"/>
        </w:tabs>
        <w:spacing w:line="240" w:lineRule="auto"/>
        <w:ind w:left="685" w:right="426" w:firstLine="0"/>
        <w:jc w:val="left"/>
      </w:pPr>
      <w:r>
        <w:rPr/>
        <w:t>а)</w:t>
        <w:tab/>
        <w:t>общую</w:t>
      </w:r>
      <w:r>
        <w:rPr>
          <w:spacing w:val="-7"/>
        </w:rPr>
        <w:t> </w:t>
      </w:r>
      <w:r>
        <w:rPr/>
        <w:t>информацию;</w:t>
      </w:r>
    </w:p>
    <w:p>
      <w:pPr>
        <w:pStyle w:val="BodyText"/>
        <w:tabs>
          <w:tab w:pos="1141" w:val="left" w:leader="none"/>
        </w:tabs>
        <w:spacing w:line="240" w:lineRule="auto"/>
        <w:ind w:left="685" w:right="426" w:firstLine="0"/>
        <w:jc w:val="left"/>
      </w:pPr>
      <w:r>
        <w:rPr/>
        <w:t>б)</w:t>
        <w:tab/>
        <w:t>показатели отчетных</w:t>
      </w:r>
      <w:r>
        <w:rPr>
          <w:spacing w:val="-15"/>
        </w:rPr>
        <w:t> </w:t>
      </w:r>
      <w:r>
        <w:rPr/>
        <w:t>сегментов;</w:t>
      </w:r>
    </w:p>
    <w:p>
      <w:pPr>
        <w:pStyle w:val="BodyText"/>
        <w:tabs>
          <w:tab w:pos="1141" w:val="left" w:leader="none"/>
        </w:tabs>
        <w:spacing w:line="240" w:lineRule="auto"/>
        <w:ind w:left="685" w:right="426" w:firstLine="0"/>
        <w:jc w:val="left"/>
      </w:pPr>
      <w:r>
        <w:rPr/>
        <w:t>в)</w:t>
        <w:tab/>
        <w:t>способы оценки показателей отчетных</w:t>
      </w:r>
      <w:r>
        <w:rPr>
          <w:spacing w:val="-19"/>
        </w:rPr>
        <w:t> </w:t>
      </w:r>
      <w:r>
        <w:rPr/>
        <w:t>сегментов;</w:t>
      </w:r>
    </w:p>
    <w:p>
      <w:pPr>
        <w:pStyle w:val="BodyText"/>
        <w:spacing w:line="240" w:lineRule="auto"/>
        <w:ind w:right="108"/>
        <w:jc w:val="both"/>
      </w:pPr>
      <w:r>
        <w:rPr/>
        <w:t>г) сопоставление совокупных показателей отчетных сегментов с величиной соответствующих статей бухгалтерского баланса или отчета о прибылях и убытках</w:t>
      </w:r>
      <w:r>
        <w:rPr>
          <w:spacing w:val="-10"/>
        </w:rPr>
        <w:t> </w:t>
      </w:r>
      <w:r>
        <w:rPr/>
        <w:t>организации;</w:t>
      </w:r>
    </w:p>
    <w:p>
      <w:pPr>
        <w:pStyle w:val="BodyText"/>
        <w:tabs>
          <w:tab w:pos="1141" w:val="left" w:leader="none"/>
        </w:tabs>
        <w:spacing w:line="240" w:lineRule="auto" w:before="124"/>
        <w:ind w:left="685" w:right="426" w:firstLine="0"/>
        <w:jc w:val="left"/>
      </w:pPr>
      <w:r>
        <w:rPr/>
        <w:t>д)</w:t>
        <w:tab/>
        <w:t>иную информацию, предусмотренную настоящим</w:t>
      </w:r>
      <w:r>
        <w:rPr>
          <w:spacing w:val="-17"/>
        </w:rPr>
        <w:t> </w:t>
      </w:r>
      <w:r>
        <w:rPr/>
        <w:t>Положением.</w:t>
      </w:r>
    </w:p>
    <w:p>
      <w:pPr>
        <w:pStyle w:val="ListParagraph"/>
        <w:numPr>
          <w:ilvl w:val="0"/>
          <w:numId w:val="2"/>
        </w:numPr>
        <w:tabs>
          <w:tab w:pos="1142" w:val="left" w:leader="none"/>
        </w:tabs>
        <w:spacing w:line="240" w:lineRule="auto" w:before="119" w:after="0"/>
        <w:ind w:left="119" w:right="109" w:firstLine="566"/>
        <w:jc w:val="both"/>
        <w:rPr>
          <w:rFonts w:ascii="Times New Roman" w:hAnsi="Times New Roman" w:cs="Times New Roman" w:eastAsia="Times New Roman" w:hint="default"/>
          <w:sz w:val="28"/>
          <w:szCs w:val="28"/>
        </w:rPr>
      </w:pPr>
      <w:r>
        <w:rPr>
          <w:rFonts w:ascii="Times New Roman" w:hAnsi="Times New Roman"/>
          <w:sz w:val="28"/>
        </w:rPr>
        <w:t>В составе общей информации по отчетным сегментам организацией приводится:</w:t>
      </w:r>
    </w:p>
    <w:p>
      <w:pPr>
        <w:pStyle w:val="BodyText"/>
        <w:tabs>
          <w:tab w:pos="1141" w:val="left" w:leader="none"/>
        </w:tabs>
        <w:spacing w:line="328" w:lineRule="auto"/>
        <w:ind w:left="685" w:right="702" w:firstLine="0"/>
        <w:jc w:val="left"/>
      </w:pPr>
      <w:r>
        <w:rPr/>
        <w:t>а)</w:t>
        <w:tab/>
        <w:t>описание основы выделения сегментов,</w:t>
      </w:r>
      <w:r>
        <w:rPr>
          <w:spacing w:val="-9"/>
        </w:rPr>
        <w:t> </w:t>
      </w:r>
      <w:r>
        <w:rPr/>
        <w:t>признанных</w:t>
      </w:r>
      <w:r>
        <w:rPr>
          <w:spacing w:val="-9"/>
        </w:rPr>
        <w:t> </w:t>
      </w:r>
      <w:r>
        <w:rPr/>
        <w:t>отчетными;</w:t>
      </w:r>
      <w:r>
        <w:rPr>
          <w:w w:val="99"/>
        </w:rPr>
        <w:t> </w:t>
      </w:r>
      <w:r>
        <w:rPr/>
        <w:t>б)</w:t>
        <w:tab/>
        <w:t>случаи объединения</w:t>
      </w:r>
      <w:r>
        <w:rPr>
          <w:spacing w:val="-11"/>
        </w:rPr>
        <w:t> </w:t>
      </w:r>
      <w:r>
        <w:rPr/>
        <w:t>сегментов;</w:t>
      </w:r>
    </w:p>
    <w:p>
      <w:pPr>
        <w:pStyle w:val="BodyText"/>
        <w:spacing w:line="240" w:lineRule="auto" w:before="5"/>
        <w:ind w:right="103"/>
        <w:jc w:val="both"/>
      </w:pPr>
      <w:r>
        <w:rPr/>
        <w:t>в) наименование вида (группы) продукции, товаров, работ, услуг, от продажи которых организация получает выручку в каждом из отчетных сегментов, а также в прочих</w:t>
      </w:r>
      <w:r>
        <w:rPr>
          <w:spacing w:val="-18"/>
        </w:rPr>
        <w:t> </w:t>
      </w:r>
      <w:r>
        <w:rPr/>
        <w:t>сегментах.</w:t>
      </w:r>
    </w:p>
    <w:p>
      <w:pPr>
        <w:pStyle w:val="ListParagraph"/>
        <w:numPr>
          <w:ilvl w:val="0"/>
          <w:numId w:val="2"/>
        </w:numPr>
        <w:tabs>
          <w:tab w:pos="1142" w:val="left" w:leader="none"/>
        </w:tabs>
        <w:spacing w:line="240" w:lineRule="auto" w:before="119" w:after="0"/>
        <w:ind w:left="119" w:right="110" w:firstLine="566"/>
        <w:jc w:val="both"/>
        <w:rPr>
          <w:rFonts w:ascii="Times New Roman" w:hAnsi="Times New Roman" w:cs="Times New Roman" w:eastAsia="Times New Roman" w:hint="default"/>
          <w:sz w:val="28"/>
          <w:szCs w:val="28"/>
        </w:rPr>
      </w:pPr>
      <w:r>
        <w:rPr>
          <w:rFonts w:ascii="Times New Roman" w:hAnsi="Times New Roman"/>
          <w:sz w:val="28"/>
        </w:rPr>
        <w:t>По каждому отчетному сегменту раскрываются следующие показатели:</w:t>
      </w:r>
    </w:p>
    <w:p>
      <w:pPr>
        <w:pStyle w:val="BodyText"/>
        <w:tabs>
          <w:tab w:pos="1141" w:val="left" w:leader="none"/>
        </w:tabs>
        <w:spacing w:line="328" w:lineRule="auto"/>
        <w:ind w:left="685" w:right="481" w:firstLine="0"/>
        <w:jc w:val="left"/>
      </w:pPr>
      <w:r>
        <w:rPr/>
        <w:t>а)</w:t>
        <w:tab/>
        <w:t>финансовый результат (прибыль или убыток) за</w:t>
      </w:r>
      <w:r>
        <w:rPr>
          <w:spacing w:val="-18"/>
        </w:rPr>
        <w:t> </w:t>
      </w:r>
      <w:r>
        <w:rPr/>
        <w:t>отчетный</w:t>
      </w:r>
      <w:r>
        <w:rPr>
          <w:spacing w:val="-4"/>
        </w:rPr>
        <w:t> </w:t>
      </w:r>
      <w:r>
        <w:rPr/>
        <w:t>период;</w:t>
      </w:r>
      <w:r>
        <w:rPr>
          <w:w w:val="99"/>
        </w:rPr>
        <w:t> </w:t>
      </w:r>
      <w:r>
        <w:rPr/>
        <w:t>б)</w:t>
        <w:tab/>
        <w:t>общая величина активов на отчетную</w:t>
      </w:r>
      <w:r>
        <w:rPr>
          <w:spacing w:val="-14"/>
        </w:rPr>
        <w:t> </w:t>
      </w:r>
      <w:r>
        <w:rPr/>
        <w:t>дату;</w:t>
      </w:r>
    </w:p>
    <w:p>
      <w:pPr>
        <w:pStyle w:val="BodyText"/>
        <w:spacing w:line="240" w:lineRule="auto" w:before="9"/>
        <w:ind w:right="108"/>
        <w:jc w:val="both"/>
      </w:pPr>
      <w:r>
        <w:rPr/>
        <w:t>в) общая величина обязательств на отчетную дату (если такие данные представляются полномочным лицам</w:t>
      </w:r>
      <w:r>
        <w:rPr>
          <w:spacing w:val="-17"/>
        </w:rPr>
        <w:t> </w:t>
      </w:r>
      <w:r>
        <w:rPr/>
        <w:t>организации).</w:t>
      </w:r>
    </w:p>
    <w:p>
      <w:pPr>
        <w:pStyle w:val="ListParagraph"/>
        <w:numPr>
          <w:ilvl w:val="0"/>
          <w:numId w:val="2"/>
        </w:numPr>
        <w:tabs>
          <w:tab w:pos="1142" w:val="left" w:leader="none"/>
        </w:tabs>
        <w:spacing w:line="240" w:lineRule="auto" w:before="119" w:after="0"/>
        <w:ind w:left="119" w:right="102" w:firstLine="566"/>
        <w:jc w:val="both"/>
        <w:rPr>
          <w:rFonts w:ascii="Times New Roman" w:hAnsi="Times New Roman" w:cs="Times New Roman" w:eastAsia="Times New Roman" w:hint="default"/>
          <w:sz w:val="28"/>
          <w:szCs w:val="28"/>
        </w:rPr>
      </w:pPr>
      <w:r>
        <w:rPr>
          <w:rFonts w:ascii="Times New Roman" w:hAnsi="Times New Roman"/>
          <w:sz w:val="28"/>
        </w:rPr>
        <w:t>Организация раскрывает следующие показатели по каждому отчетному сегменту в случае их представления полномочным лицам организации на систематической основе, независимо от включения таких показателей в расчет финансового результата (прибыли, убытка) отчетного сегмента:</w:t>
      </w:r>
    </w:p>
    <w:p>
      <w:pPr>
        <w:pStyle w:val="BodyText"/>
        <w:tabs>
          <w:tab w:pos="1141" w:val="left" w:leader="none"/>
        </w:tabs>
        <w:spacing w:line="240" w:lineRule="auto"/>
        <w:ind w:left="685" w:right="426" w:firstLine="0"/>
        <w:jc w:val="left"/>
      </w:pPr>
      <w:r>
        <w:rPr/>
        <w:t>а)</w:t>
        <w:tab/>
        <w:t>выручка от продаж покупателям (заказчикам)</w:t>
      </w:r>
      <w:r>
        <w:rPr>
          <w:spacing w:val="-19"/>
        </w:rPr>
        <w:t> </w:t>
      </w:r>
      <w:r>
        <w:rPr/>
        <w:t>организации;</w:t>
      </w:r>
    </w:p>
    <w:p>
      <w:pPr>
        <w:spacing w:after="0" w:line="240" w:lineRule="auto"/>
        <w:jc w:val="left"/>
        <w:sectPr>
          <w:pgSz w:w="11900" w:h="16840"/>
          <w:pgMar w:header="792" w:footer="0" w:top="1020" w:bottom="280" w:left="1580" w:right="740"/>
        </w:sectPr>
      </w:pPr>
    </w:p>
    <w:p>
      <w:pPr>
        <w:pStyle w:val="BodyText"/>
        <w:tabs>
          <w:tab w:pos="1141" w:val="left" w:leader="none"/>
        </w:tabs>
        <w:spacing w:line="328" w:lineRule="auto" w:before="95"/>
        <w:ind w:left="685" w:right="966" w:firstLine="0"/>
        <w:jc w:val="left"/>
      </w:pPr>
      <w:r>
        <w:rPr/>
        <w:t>б)</w:t>
        <w:tab/>
        <w:t>подразумеваемая выручка от операций с</w:t>
      </w:r>
      <w:r>
        <w:rPr>
          <w:spacing w:val="-18"/>
        </w:rPr>
        <w:t> </w:t>
      </w:r>
      <w:r>
        <w:rPr/>
        <w:t>другими</w:t>
      </w:r>
      <w:r>
        <w:rPr>
          <w:spacing w:val="-5"/>
        </w:rPr>
        <w:t> </w:t>
      </w:r>
      <w:r>
        <w:rPr/>
        <w:t>сегментами;</w:t>
      </w:r>
      <w:r>
        <w:rPr>
          <w:w w:val="99"/>
        </w:rPr>
        <w:t> </w:t>
      </w:r>
      <w:r>
        <w:rPr/>
        <w:t>в)</w:t>
        <w:tab/>
        <w:t>проценты (дивиденды) к</w:t>
      </w:r>
      <w:r>
        <w:rPr>
          <w:spacing w:val="-9"/>
        </w:rPr>
        <w:t> </w:t>
      </w:r>
      <w:r>
        <w:rPr/>
        <w:t>получению;</w:t>
      </w:r>
    </w:p>
    <w:p>
      <w:pPr>
        <w:pStyle w:val="BodyText"/>
        <w:tabs>
          <w:tab w:pos="1141" w:val="left" w:leader="none"/>
        </w:tabs>
        <w:spacing w:line="240" w:lineRule="auto" w:before="5"/>
        <w:ind w:left="685" w:right="426" w:firstLine="0"/>
        <w:jc w:val="left"/>
      </w:pPr>
      <w:r>
        <w:rPr/>
        <w:t>г)</w:t>
        <w:tab/>
        <w:t>проценты к</w:t>
      </w:r>
      <w:r>
        <w:rPr>
          <w:spacing w:val="-8"/>
        </w:rPr>
        <w:t> </w:t>
      </w:r>
      <w:r>
        <w:rPr/>
        <w:t>уплате;</w:t>
      </w:r>
    </w:p>
    <w:p>
      <w:pPr>
        <w:pStyle w:val="BodyText"/>
        <w:spacing w:line="242" w:lineRule="auto"/>
        <w:ind w:right="106"/>
        <w:jc w:val="both"/>
      </w:pPr>
      <w:r>
        <w:rPr/>
        <w:t>д) величина амортизационных отчислений по основным средствам и нематериальным</w:t>
      </w:r>
      <w:r>
        <w:rPr>
          <w:spacing w:val="-8"/>
        </w:rPr>
        <w:t> </w:t>
      </w:r>
      <w:r>
        <w:rPr/>
        <w:t>активам;</w:t>
      </w:r>
    </w:p>
    <w:p>
      <w:pPr>
        <w:pStyle w:val="BodyText"/>
        <w:tabs>
          <w:tab w:pos="1141" w:val="left" w:leader="none"/>
        </w:tabs>
        <w:spacing w:line="328" w:lineRule="auto" w:before="116"/>
        <w:ind w:left="685" w:right="3709" w:firstLine="0"/>
        <w:jc w:val="left"/>
      </w:pPr>
      <w:r>
        <w:rPr/>
        <w:t>е)</w:t>
        <w:tab/>
        <w:t>иные существенные доходы</w:t>
      </w:r>
      <w:r>
        <w:rPr>
          <w:spacing w:val="-9"/>
        </w:rPr>
        <w:t> </w:t>
      </w:r>
      <w:r>
        <w:rPr/>
        <w:t>и</w:t>
      </w:r>
      <w:r>
        <w:rPr>
          <w:spacing w:val="-4"/>
        </w:rPr>
        <w:t> </w:t>
      </w:r>
      <w:r>
        <w:rPr/>
        <w:t>расходы;</w:t>
      </w:r>
      <w:r>
        <w:rPr>
          <w:w w:val="99"/>
        </w:rPr>
        <w:t> </w:t>
      </w:r>
      <w:r>
        <w:rPr/>
        <w:t>ж)  налог на прибыль</w:t>
      </w:r>
      <w:r>
        <w:rPr>
          <w:spacing w:val="15"/>
        </w:rPr>
        <w:t> </w:t>
      </w:r>
      <w:r>
        <w:rPr/>
        <w:t>организаций.</w:t>
      </w:r>
    </w:p>
    <w:p>
      <w:pPr>
        <w:pStyle w:val="BodyText"/>
        <w:spacing w:line="240" w:lineRule="auto" w:before="5"/>
        <w:ind w:right="107"/>
        <w:jc w:val="both"/>
      </w:pPr>
      <w:r>
        <w:rPr/>
        <w:t>Допускается зачет между показателями «Проценты (дивиденды) к получению» и «Проценты к уплате» в случае, если проценты (дивиденды) к получению составляют большую часть доходов отчетного сегмента, и полномочным лицам организации представляется показатель, исчисляемый как проценты (дивиденды) к получению за вычетом процентов к</w:t>
      </w:r>
      <w:r>
        <w:rPr>
          <w:spacing w:val="-19"/>
        </w:rPr>
        <w:t> </w:t>
      </w:r>
      <w:r>
        <w:rPr/>
        <w:t>уплате.</w:t>
      </w:r>
    </w:p>
    <w:p>
      <w:pPr>
        <w:pStyle w:val="ListParagraph"/>
        <w:numPr>
          <w:ilvl w:val="0"/>
          <w:numId w:val="2"/>
        </w:numPr>
        <w:tabs>
          <w:tab w:pos="1142" w:val="left" w:leader="none"/>
        </w:tabs>
        <w:spacing w:line="240" w:lineRule="auto" w:before="119" w:after="0"/>
        <w:ind w:left="119" w:right="103" w:firstLine="566"/>
        <w:jc w:val="both"/>
        <w:rPr>
          <w:rFonts w:ascii="Times New Roman" w:hAnsi="Times New Roman" w:cs="Times New Roman" w:eastAsia="Times New Roman" w:hint="default"/>
          <w:sz w:val="28"/>
          <w:szCs w:val="28"/>
        </w:rPr>
      </w:pPr>
      <w:r>
        <w:rPr>
          <w:rFonts w:ascii="Times New Roman" w:hAnsi="Times New Roman"/>
          <w:sz w:val="28"/>
        </w:rPr>
        <w:t>Организация раскрывает по каждому отчетному сегменту величину внеоборотных активов в случае представления такого показателя полномочным лицам организации на систематической основе, независимо от включения этого показателя в расчет общей величины активов отчетного сегмента.</w:t>
      </w:r>
    </w:p>
    <w:p>
      <w:pPr>
        <w:pStyle w:val="ListParagraph"/>
        <w:numPr>
          <w:ilvl w:val="0"/>
          <w:numId w:val="2"/>
        </w:numPr>
        <w:tabs>
          <w:tab w:pos="1142" w:val="left" w:leader="none"/>
        </w:tabs>
        <w:spacing w:line="240" w:lineRule="auto" w:before="124" w:after="0"/>
        <w:ind w:left="119" w:right="108" w:firstLine="566"/>
        <w:jc w:val="both"/>
        <w:rPr>
          <w:rFonts w:ascii="Times New Roman" w:hAnsi="Times New Roman" w:cs="Times New Roman" w:eastAsia="Times New Roman" w:hint="default"/>
          <w:sz w:val="28"/>
          <w:szCs w:val="28"/>
        </w:rPr>
      </w:pPr>
      <w:r>
        <w:rPr>
          <w:rFonts w:ascii="Times New Roman" w:hAnsi="Times New Roman"/>
          <w:sz w:val="28"/>
        </w:rPr>
        <w:t>Организация раскрывает следующую информацию об оценке показателей, раскрываемых в пояснениях к бухгалтерской отчетности по каждому отчетному</w:t>
      </w:r>
      <w:r>
        <w:rPr>
          <w:rFonts w:ascii="Times New Roman" w:hAnsi="Times New Roman"/>
          <w:spacing w:val="-6"/>
          <w:sz w:val="28"/>
        </w:rPr>
        <w:t> </w:t>
      </w:r>
      <w:r>
        <w:rPr>
          <w:rFonts w:ascii="Times New Roman" w:hAnsi="Times New Roman"/>
          <w:sz w:val="28"/>
        </w:rPr>
        <w:t>сегменту:</w:t>
      </w:r>
    </w:p>
    <w:p>
      <w:pPr>
        <w:pStyle w:val="BodyText"/>
        <w:tabs>
          <w:tab w:pos="1141" w:val="left" w:leader="none"/>
        </w:tabs>
        <w:spacing w:line="240" w:lineRule="auto"/>
        <w:ind w:left="685" w:right="426" w:firstLine="0"/>
        <w:jc w:val="left"/>
      </w:pPr>
      <w:r>
        <w:rPr/>
        <w:t>а)</w:t>
        <w:tab/>
        <w:t>порядок учета операций между отчетными</w:t>
      </w:r>
      <w:r>
        <w:rPr>
          <w:spacing w:val="-15"/>
        </w:rPr>
        <w:t> </w:t>
      </w:r>
      <w:r>
        <w:rPr/>
        <w:t>сегментами;</w:t>
      </w:r>
    </w:p>
    <w:p>
      <w:pPr>
        <w:pStyle w:val="BodyText"/>
        <w:spacing w:line="240" w:lineRule="auto"/>
        <w:ind w:right="106"/>
        <w:jc w:val="both"/>
      </w:pPr>
      <w:r>
        <w:rPr/>
        <w:t>б) характер различий (если они не очевидны из результатов сопоставлений, раскрываемых в соответствии с пунктом 28 настоящего Положения)</w:t>
      </w:r>
      <w:r>
        <w:rPr>
          <w:spacing w:val="-5"/>
        </w:rPr>
        <w:t> </w:t>
      </w:r>
      <w:r>
        <w:rPr/>
        <w:t>между:</w:t>
      </w:r>
    </w:p>
    <w:p>
      <w:pPr>
        <w:pStyle w:val="BodyText"/>
        <w:spacing w:line="240" w:lineRule="auto"/>
        <w:ind w:right="111"/>
        <w:jc w:val="both"/>
      </w:pPr>
      <w:r>
        <w:rPr/>
        <w:t>показателем прибыли (убытка) организации до налогообложения и совокупным показателем прибыли (убытка) отчетных</w:t>
      </w:r>
      <w:r>
        <w:rPr>
          <w:spacing w:val="-19"/>
        </w:rPr>
        <w:t> </w:t>
      </w:r>
      <w:r>
        <w:rPr/>
        <w:t>сегментов;</w:t>
      </w:r>
    </w:p>
    <w:p>
      <w:pPr>
        <w:pStyle w:val="BodyText"/>
        <w:spacing w:line="240" w:lineRule="auto"/>
        <w:ind w:right="108"/>
        <w:jc w:val="both"/>
      </w:pPr>
      <w:r>
        <w:rPr/>
        <w:t>показателями активов и обязательств организации и совокупными показателями активов и обязательств отчетных</w:t>
      </w:r>
      <w:r>
        <w:rPr>
          <w:spacing w:val="-19"/>
        </w:rPr>
        <w:t> </w:t>
      </w:r>
      <w:r>
        <w:rPr/>
        <w:t>сегментов;</w:t>
      </w:r>
    </w:p>
    <w:p>
      <w:pPr>
        <w:pStyle w:val="BodyText"/>
        <w:spacing w:line="240" w:lineRule="auto"/>
        <w:ind w:right="104"/>
        <w:jc w:val="both"/>
      </w:pPr>
      <w:r>
        <w:rPr/>
        <w:t>в) характер изменений способов оценки  показателей,  используемых  для определения финансового результата (прибыли, убытка) отчетного сегмента, по сравнению с предшествующими периодами и влияние таких изменений на финансовый результат (прибыль, убыток) отчетного сегмента в отчетном</w:t>
      </w:r>
      <w:r>
        <w:rPr>
          <w:spacing w:val="-5"/>
        </w:rPr>
        <w:t> </w:t>
      </w:r>
      <w:r>
        <w:rPr/>
        <w:t>периоде;</w:t>
      </w:r>
    </w:p>
    <w:p>
      <w:pPr>
        <w:pStyle w:val="BodyText"/>
        <w:spacing w:line="240" w:lineRule="auto"/>
        <w:ind w:right="108"/>
        <w:jc w:val="both"/>
      </w:pPr>
      <w:r>
        <w:rPr/>
        <w:t>г) описание различий в распределении данных между отчетными сегментами и их влияние на показатели этих сегментов в случаях, когда способ распределения выручки и расходов отличается от способа распределения активов и обязательств, с которыми эти выручка и расходы связаны.</w:t>
      </w:r>
    </w:p>
    <w:p>
      <w:pPr>
        <w:spacing w:after="0" w:line="240" w:lineRule="auto"/>
        <w:jc w:val="both"/>
        <w:sectPr>
          <w:pgSz w:w="11900" w:h="16840"/>
          <w:pgMar w:header="792" w:footer="0" w:top="1020" w:bottom="280" w:left="1580" w:right="740"/>
        </w:sectPr>
      </w:pPr>
    </w:p>
    <w:p>
      <w:pPr>
        <w:pStyle w:val="ListParagraph"/>
        <w:numPr>
          <w:ilvl w:val="0"/>
          <w:numId w:val="2"/>
        </w:numPr>
        <w:tabs>
          <w:tab w:pos="1162" w:val="left" w:leader="none"/>
        </w:tabs>
        <w:spacing w:line="240" w:lineRule="auto" w:before="95" w:after="0"/>
        <w:ind w:left="139" w:right="147" w:firstLine="566"/>
        <w:jc w:val="both"/>
        <w:rPr>
          <w:rFonts w:ascii="Times New Roman" w:hAnsi="Times New Roman" w:cs="Times New Roman" w:eastAsia="Times New Roman" w:hint="default"/>
          <w:sz w:val="28"/>
          <w:szCs w:val="28"/>
        </w:rPr>
      </w:pPr>
      <w:r>
        <w:rPr>
          <w:rFonts w:ascii="Times New Roman" w:hAnsi="Times New Roman"/>
          <w:sz w:val="28"/>
        </w:rPr>
        <w:t>Организация раскрывает результаты сопоставления суммарной величины следующих существенных показателей отчетных сегментов, включая показатели прочих сегментов, с величиной соответствующей статьи бухгалтерской отчетности</w:t>
      </w:r>
      <w:r>
        <w:rPr>
          <w:rFonts w:ascii="Times New Roman" w:hAnsi="Times New Roman"/>
          <w:spacing w:val="-10"/>
          <w:sz w:val="28"/>
        </w:rPr>
        <w:t> </w:t>
      </w:r>
      <w:r>
        <w:rPr>
          <w:rFonts w:ascii="Times New Roman" w:hAnsi="Times New Roman"/>
          <w:sz w:val="28"/>
        </w:rPr>
        <w:t>организации:</w:t>
      </w:r>
    </w:p>
    <w:p>
      <w:pPr>
        <w:pStyle w:val="BodyText"/>
        <w:spacing w:line="240" w:lineRule="auto" w:before="124"/>
        <w:ind w:left="139" w:right="149"/>
        <w:jc w:val="both"/>
      </w:pPr>
      <w:r>
        <w:rPr/>
        <w:t>а) суммарной величины выручки всех отчетных сегментов  с  показателем выручки</w:t>
      </w:r>
      <w:r>
        <w:rPr>
          <w:spacing w:val="-13"/>
        </w:rPr>
        <w:t> </w:t>
      </w:r>
      <w:r>
        <w:rPr/>
        <w:t>организации;</w:t>
      </w:r>
    </w:p>
    <w:p>
      <w:pPr>
        <w:pStyle w:val="BodyText"/>
        <w:spacing w:line="240" w:lineRule="auto"/>
        <w:ind w:left="139" w:right="144"/>
        <w:jc w:val="both"/>
      </w:pPr>
      <w:r>
        <w:rPr/>
        <w:t>б) суммарной величины показателей прибыли (убытка) отчетных сегментов с показателем прибыли (убытка) до налогообложения либо показателем чистой прибыли (убытка) </w:t>
      </w:r>
      <w:r>
        <w:rPr>
          <w:spacing w:val="2"/>
        </w:rPr>
        <w:t>за </w:t>
      </w:r>
      <w:r>
        <w:rPr/>
        <w:t>отчетный период, если организация </w:t>
      </w:r>
      <w:r>
        <w:rPr/>
        <w:t>распределяет на отчетные сегменты налог на прибыль</w:t>
      </w:r>
      <w:r>
        <w:rPr>
          <w:spacing w:val="-20"/>
        </w:rPr>
        <w:t> </w:t>
      </w:r>
      <w:r>
        <w:rPr/>
        <w:t>организаций;</w:t>
      </w:r>
    </w:p>
    <w:p>
      <w:pPr>
        <w:pStyle w:val="BodyText"/>
        <w:spacing w:line="240" w:lineRule="auto"/>
        <w:ind w:left="139" w:right="147"/>
        <w:jc w:val="both"/>
      </w:pPr>
      <w:r>
        <w:rPr/>
        <w:t>в) суммарной величины активов отчетных сегментов с величиной активов</w:t>
      </w:r>
      <w:r>
        <w:rPr>
          <w:spacing w:val="-9"/>
        </w:rPr>
        <w:t> </w:t>
      </w:r>
      <w:r>
        <w:rPr/>
        <w:t>организации;</w:t>
      </w:r>
    </w:p>
    <w:p>
      <w:pPr>
        <w:pStyle w:val="BodyText"/>
        <w:spacing w:line="240" w:lineRule="auto" w:after="57"/>
        <w:ind w:left="139" w:right="148"/>
        <w:jc w:val="both"/>
      </w:pPr>
      <w:r>
        <w:rPr/>
        <w:t>г) суммарной величины обязательств отчетных сегментов с величиной обязательств</w:t>
      </w:r>
      <w:r>
        <w:rPr>
          <w:spacing w:val="-11"/>
        </w:rPr>
        <w:t> </w:t>
      </w:r>
      <w:r>
        <w:rPr/>
        <w:t>организации;</w:t>
      </w:r>
    </w:p>
    <w:tbl>
      <w:tblPr>
        <w:tblW w:w="0" w:type="auto"/>
        <w:jc w:val="left"/>
        <w:tblInd w:w="104" w:type="dxa"/>
        <w:tblLayout w:type="fixed"/>
        <w:tblCellMar>
          <w:top w:w="0" w:type="dxa"/>
          <w:left w:w="0" w:type="dxa"/>
          <w:bottom w:w="0" w:type="dxa"/>
          <w:right w:w="0" w:type="dxa"/>
        </w:tblCellMar>
        <w:tblLook w:val="01E0"/>
      </w:tblPr>
      <w:tblGrid>
        <w:gridCol w:w="2550"/>
        <w:gridCol w:w="1678"/>
        <w:gridCol w:w="3374"/>
        <w:gridCol w:w="273"/>
        <w:gridCol w:w="1547"/>
      </w:tblGrid>
      <w:tr>
        <w:trPr>
          <w:trHeight w:val="400" w:hRule="exact"/>
        </w:trPr>
        <w:tc>
          <w:tcPr>
            <w:tcW w:w="2550" w:type="dxa"/>
            <w:tcBorders>
              <w:top w:val="nil" w:sz="6" w:space="0" w:color="auto"/>
              <w:left w:val="nil" w:sz="6" w:space="0" w:color="auto"/>
              <w:bottom w:val="nil" w:sz="6" w:space="0" w:color="auto"/>
              <w:right w:val="nil" w:sz="6" w:space="0" w:color="auto"/>
            </w:tcBorders>
          </w:tcPr>
          <w:p>
            <w:pPr>
              <w:pStyle w:val="TableParagraph"/>
              <w:tabs>
                <w:tab w:pos="455" w:val="left" w:leader="none"/>
              </w:tabs>
              <w:spacing w:line="240" w:lineRule="auto" w:before="62"/>
              <w:ind w:right="170"/>
              <w:jc w:val="right"/>
              <w:rPr>
                <w:rFonts w:ascii="Times New Roman" w:hAnsi="Times New Roman" w:cs="Times New Roman" w:eastAsia="Times New Roman" w:hint="default"/>
                <w:sz w:val="28"/>
                <w:szCs w:val="28"/>
              </w:rPr>
            </w:pPr>
            <w:r>
              <w:rPr>
                <w:rFonts w:ascii="Times New Roman" w:hAnsi="Times New Roman"/>
                <w:sz w:val="28"/>
              </w:rPr>
              <w:t>д)</w:t>
              <w:tab/>
            </w:r>
            <w:r>
              <w:rPr>
                <w:rFonts w:ascii="Times New Roman" w:hAnsi="Times New Roman"/>
                <w:w w:val="95"/>
                <w:sz w:val="28"/>
              </w:rPr>
              <w:t>суммарной</w:t>
            </w:r>
            <w:r>
              <w:rPr>
                <w:rFonts w:ascii="Times New Roman" w:hAnsi="Times New Roman"/>
                <w:sz w:val="28"/>
              </w:rPr>
            </w:r>
          </w:p>
        </w:tc>
        <w:tc>
          <w:tcPr>
            <w:tcW w:w="1678" w:type="dxa"/>
            <w:tcBorders>
              <w:top w:val="nil" w:sz="6" w:space="0" w:color="auto"/>
              <w:left w:val="nil" w:sz="6" w:space="0" w:color="auto"/>
              <w:bottom w:val="nil" w:sz="6" w:space="0" w:color="auto"/>
              <w:right w:val="nil" w:sz="6" w:space="0" w:color="auto"/>
            </w:tcBorders>
          </w:tcPr>
          <w:p>
            <w:pPr>
              <w:pStyle w:val="TableParagraph"/>
              <w:spacing w:line="240" w:lineRule="auto" w:before="62"/>
              <w:ind w:left="128" w:right="142"/>
              <w:jc w:val="center"/>
              <w:rPr>
                <w:rFonts w:ascii="Times New Roman" w:hAnsi="Times New Roman" w:cs="Times New Roman" w:eastAsia="Times New Roman" w:hint="default"/>
                <w:sz w:val="28"/>
                <w:szCs w:val="28"/>
              </w:rPr>
            </w:pPr>
            <w:r>
              <w:rPr>
                <w:rFonts w:ascii="Times New Roman" w:hAnsi="Times New Roman"/>
                <w:sz w:val="28"/>
              </w:rPr>
              <w:t>величины</w:t>
            </w:r>
          </w:p>
        </w:tc>
        <w:tc>
          <w:tcPr>
            <w:tcW w:w="3374" w:type="dxa"/>
            <w:tcBorders>
              <w:top w:val="nil" w:sz="6" w:space="0" w:color="auto"/>
              <w:left w:val="nil" w:sz="6" w:space="0" w:color="auto"/>
              <w:bottom w:val="nil" w:sz="6" w:space="0" w:color="auto"/>
              <w:right w:val="nil" w:sz="6" w:space="0" w:color="auto"/>
            </w:tcBorders>
          </w:tcPr>
          <w:p>
            <w:pPr>
              <w:pStyle w:val="TableParagraph"/>
              <w:tabs>
                <w:tab w:pos="1567" w:val="left" w:leader="none"/>
              </w:tabs>
              <w:spacing w:line="240" w:lineRule="auto" w:before="62"/>
              <w:ind w:left="161" w:right="-15"/>
              <w:jc w:val="left"/>
              <w:rPr>
                <w:rFonts w:ascii="Times New Roman" w:hAnsi="Times New Roman" w:cs="Times New Roman" w:eastAsia="Times New Roman" w:hint="default"/>
                <w:sz w:val="28"/>
                <w:szCs w:val="28"/>
              </w:rPr>
            </w:pPr>
            <w:r>
              <w:rPr>
                <w:rFonts w:ascii="Times New Roman" w:hAnsi="Times New Roman"/>
                <w:sz w:val="28"/>
              </w:rPr>
              <w:t>каждого</w:t>
              <w:tab/>
              <w:t>существенного</w:t>
            </w:r>
          </w:p>
        </w:tc>
        <w:tc>
          <w:tcPr>
            <w:tcW w:w="273" w:type="dxa"/>
            <w:tcBorders>
              <w:top w:val="nil" w:sz="6" w:space="0" w:color="auto"/>
              <w:left w:val="nil" w:sz="6" w:space="0" w:color="auto"/>
              <w:bottom w:val="nil" w:sz="6" w:space="0" w:color="auto"/>
              <w:right w:val="nil" w:sz="6" w:space="0" w:color="auto"/>
            </w:tcBorders>
          </w:tcPr>
          <w:p>
            <w:pPr/>
          </w:p>
        </w:tc>
        <w:tc>
          <w:tcPr>
            <w:tcW w:w="1547" w:type="dxa"/>
            <w:tcBorders>
              <w:top w:val="nil" w:sz="6" w:space="0" w:color="auto"/>
              <w:left w:val="nil" w:sz="6" w:space="0" w:color="auto"/>
              <w:bottom w:val="nil" w:sz="6" w:space="0" w:color="auto"/>
              <w:right w:val="nil" w:sz="6" w:space="0" w:color="auto"/>
            </w:tcBorders>
          </w:tcPr>
          <w:p>
            <w:pPr>
              <w:pStyle w:val="TableParagraph"/>
              <w:spacing w:line="240" w:lineRule="auto" w:before="62"/>
              <w:ind w:right="33"/>
              <w:jc w:val="right"/>
              <w:rPr>
                <w:rFonts w:ascii="Times New Roman" w:hAnsi="Times New Roman" w:cs="Times New Roman" w:eastAsia="Times New Roman" w:hint="default"/>
                <w:sz w:val="28"/>
                <w:szCs w:val="28"/>
              </w:rPr>
            </w:pPr>
            <w:r>
              <w:rPr>
                <w:rFonts w:ascii="Times New Roman" w:hAnsi="Times New Roman"/>
                <w:w w:val="95"/>
                <w:sz w:val="28"/>
              </w:rPr>
              <w:t>показателя,</w:t>
            </w:r>
            <w:r>
              <w:rPr>
                <w:rFonts w:ascii="Times New Roman" w:hAnsi="Times New Roman"/>
                <w:sz w:val="28"/>
              </w:rPr>
            </w:r>
          </w:p>
        </w:tc>
      </w:tr>
      <w:tr>
        <w:trPr>
          <w:trHeight w:val="303" w:hRule="exact"/>
        </w:trPr>
        <w:tc>
          <w:tcPr>
            <w:tcW w:w="2550" w:type="dxa"/>
            <w:tcBorders>
              <w:top w:val="nil" w:sz="6" w:space="0" w:color="auto"/>
              <w:left w:val="nil" w:sz="6" w:space="0" w:color="auto"/>
              <w:bottom w:val="nil" w:sz="6" w:space="0" w:color="auto"/>
              <w:right w:val="nil" w:sz="6" w:space="0" w:color="auto"/>
            </w:tcBorders>
          </w:tcPr>
          <w:p>
            <w:pPr>
              <w:pStyle w:val="TableParagraph"/>
              <w:tabs>
                <w:tab w:pos="2178" w:val="left" w:leader="none"/>
              </w:tabs>
              <w:spacing w:line="306" w:lineRule="exact"/>
              <w:ind w:right="202"/>
              <w:jc w:val="right"/>
              <w:rPr>
                <w:rFonts w:ascii="Times New Roman" w:hAnsi="Times New Roman" w:cs="Times New Roman" w:eastAsia="Times New Roman" w:hint="default"/>
                <w:sz w:val="28"/>
                <w:szCs w:val="28"/>
              </w:rPr>
            </w:pPr>
            <w:r>
              <w:rPr>
                <w:rFonts w:ascii="Times New Roman" w:hAnsi="Times New Roman"/>
                <w:sz w:val="28"/>
              </w:rPr>
              <w:t>раскрываемого</w:t>
              <w:tab/>
            </w:r>
            <w:r>
              <w:rPr>
                <w:rFonts w:ascii="Times New Roman" w:hAnsi="Times New Roman"/>
                <w:w w:val="95"/>
                <w:sz w:val="28"/>
              </w:rPr>
              <w:t>в</w:t>
            </w:r>
            <w:r>
              <w:rPr>
                <w:rFonts w:ascii="Times New Roman" w:hAnsi="Times New Roman"/>
                <w:sz w:val="28"/>
              </w:rPr>
            </w:r>
          </w:p>
        </w:tc>
        <w:tc>
          <w:tcPr>
            <w:tcW w:w="1678" w:type="dxa"/>
            <w:tcBorders>
              <w:top w:val="nil" w:sz="6" w:space="0" w:color="auto"/>
              <w:left w:val="nil" w:sz="6" w:space="0" w:color="auto"/>
              <w:bottom w:val="nil" w:sz="6" w:space="0" w:color="auto"/>
              <w:right w:val="nil" w:sz="6" w:space="0" w:color="auto"/>
            </w:tcBorders>
          </w:tcPr>
          <w:p>
            <w:pPr>
              <w:pStyle w:val="TableParagraph"/>
              <w:spacing w:line="306" w:lineRule="exact"/>
              <w:ind w:left="153" w:right="142"/>
              <w:jc w:val="center"/>
              <w:rPr>
                <w:rFonts w:ascii="Times New Roman" w:hAnsi="Times New Roman" w:cs="Times New Roman" w:eastAsia="Times New Roman" w:hint="default"/>
                <w:sz w:val="28"/>
                <w:szCs w:val="28"/>
              </w:rPr>
            </w:pPr>
            <w:r>
              <w:rPr>
                <w:rFonts w:ascii="Times New Roman" w:hAnsi="Times New Roman"/>
                <w:sz w:val="28"/>
              </w:rPr>
              <w:t>отношении</w:t>
            </w:r>
          </w:p>
        </w:tc>
        <w:tc>
          <w:tcPr>
            <w:tcW w:w="3374" w:type="dxa"/>
            <w:tcBorders>
              <w:top w:val="nil" w:sz="6" w:space="0" w:color="auto"/>
              <w:left w:val="nil" w:sz="6" w:space="0" w:color="auto"/>
              <w:bottom w:val="nil" w:sz="6" w:space="0" w:color="auto"/>
              <w:right w:val="nil" w:sz="6" w:space="0" w:color="auto"/>
            </w:tcBorders>
          </w:tcPr>
          <w:p>
            <w:pPr>
              <w:pStyle w:val="TableParagraph"/>
              <w:tabs>
                <w:tab w:pos="1720" w:val="left" w:leader="none"/>
              </w:tabs>
              <w:spacing w:line="306" w:lineRule="exact"/>
              <w:ind w:left="218" w:right="-15"/>
              <w:jc w:val="left"/>
              <w:rPr>
                <w:rFonts w:ascii="Times New Roman" w:hAnsi="Times New Roman" w:cs="Times New Roman" w:eastAsia="Times New Roman" w:hint="default"/>
                <w:sz w:val="28"/>
                <w:szCs w:val="28"/>
              </w:rPr>
            </w:pPr>
            <w:r>
              <w:rPr>
                <w:rFonts w:ascii="Times New Roman" w:hAnsi="Times New Roman"/>
                <w:sz w:val="28"/>
              </w:rPr>
              <w:t>отчетных</w:t>
              <w:tab/>
              <w:t>сегментов,</w:t>
            </w:r>
          </w:p>
        </w:tc>
        <w:tc>
          <w:tcPr>
            <w:tcW w:w="273" w:type="dxa"/>
            <w:tcBorders>
              <w:top w:val="nil" w:sz="6" w:space="0" w:color="auto"/>
              <w:left w:val="nil" w:sz="6" w:space="0" w:color="auto"/>
              <w:bottom w:val="nil" w:sz="6" w:space="0" w:color="auto"/>
              <w:right w:val="nil" w:sz="6" w:space="0" w:color="auto"/>
            </w:tcBorders>
          </w:tcPr>
          <w:p>
            <w:pPr>
              <w:pStyle w:val="TableParagraph"/>
              <w:spacing w:line="306" w:lineRule="exact"/>
              <w:ind w:left="7" w:right="0"/>
              <w:jc w:val="left"/>
              <w:rPr>
                <w:rFonts w:ascii="Times New Roman" w:hAnsi="Times New Roman" w:cs="Times New Roman" w:eastAsia="Times New Roman" w:hint="default"/>
                <w:sz w:val="28"/>
                <w:szCs w:val="28"/>
              </w:rPr>
            </w:pPr>
            <w:r>
              <w:rPr>
                <w:rFonts w:ascii="Times New Roman" w:hAnsi="Times New Roman"/>
                <w:w w:val="99"/>
                <w:sz w:val="28"/>
              </w:rPr>
              <w:t>с</w:t>
            </w:r>
            <w:r>
              <w:rPr>
                <w:rFonts w:ascii="Times New Roman" w:hAnsi="Times New Roman"/>
                <w:sz w:val="28"/>
              </w:rPr>
            </w:r>
          </w:p>
        </w:tc>
        <w:tc>
          <w:tcPr>
            <w:tcW w:w="1547" w:type="dxa"/>
            <w:tcBorders>
              <w:top w:val="nil" w:sz="6" w:space="0" w:color="auto"/>
              <w:left w:val="nil" w:sz="6" w:space="0" w:color="auto"/>
              <w:bottom w:val="nil" w:sz="6" w:space="0" w:color="auto"/>
              <w:right w:val="nil" w:sz="6" w:space="0" w:color="auto"/>
            </w:tcBorders>
          </w:tcPr>
          <w:p>
            <w:pPr>
              <w:pStyle w:val="TableParagraph"/>
              <w:spacing w:line="306" w:lineRule="exact"/>
              <w:ind w:right="34"/>
              <w:jc w:val="right"/>
              <w:rPr>
                <w:rFonts w:ascii="Times New Roman" w:hAnsi="Times New Roman" w:cs="Times New Roman" w:eastAsia="Times New Roman" w:hint="default"/>
                <w:sz w:val="28"/>
                <w:szCs w:val="28"/>
              </w:rPr>
            </w:pPr>
            <w:r>
              <w:rPr>
                <w:rFonts w:ascii="Times New Roman" w:hAnsi="Times New Roman"/>
                <w:w w:val="95"/>
                <w:sz w:val="28"/>
              </w:rPr>
              <w:t>величиной</w:t>
            </w:r>
            <w:r>
              <w:rPr>
                <w:rFonts w:ascii="Times New Roman" w:hAnsi="Times New Roman"/>
                <w:sz w:val="28"/>
              </w:rPr>
            </w:r>
          </w:p>
        </w:tc>
      </w:tr>
    </w:tbl>
    <w:p>
      <w:pPr>
        <w:pStyle w:val="BodyText"/>
        <w:spacing w:line="240" w:lineRule="auto" w:before="2"/>
        <w:ind w:left="139" w:right="0" w:firstLine="0"/>
        <w:jc w:val="left"/>
      </w:pPr>
      <w:r>
        <w:rPr/>
        <w:t>соответствующей статьи бухгалтерской отчетности</w:t>
      </w:r>
      <w:r>
        <w:rPr>
          <w:spacing w:val="-23"/>
        </w:rPr>
        <w:t> </w:t>
      </w:r>
      <w:r>
        <w:rPr/>
        <w:t>организации.</w:t>
      </w:r>
    </w:p>
    <w:p>
      <w:pPr>
        <w:pStyle w:val="ListParagraph"/>
        <w:numPr>
          <w:ilvl w:val="0"/>
          <w:numId w:val="2"/>
        </w:numPr>
        <w:tabs>
          <w:tab w:pos="1162" w:val="left" w:leader="none"/>
        </w:tabs>
        <w:spacing w:line="240" w:lineRule="auto" w:before="124" w:after="0"/>
        <w:ind w:left="139" w:right="149" w:firstLine="566"/>
        <w:jc w:val="both"/>
        <w:rPr>
          <w:rFonts w:ascii="Times New Roman" w:hAnsi="Times New Roman" w:cs="Times New Roman" w:eastAsia="Times New Roman" w:hint="default"/>
          <w:sz w:val="28"/>
          <w:szCs w:val="28"/>
        </w:rPr>
      </w:pPr>
      <w:r>
        <w:rPr>
          <w:rFonts w:ascii="Times New Roman" w:hAnsi="Times New Roman"/>
          <w:sz w:val="28"/>
        </w:rPr>
        <w:t>Организация раскрывает выручку от продаж покупателям (заказчикам) организации по каждому виду продукции, товаров, работ, услуг или однородных групп продукции, товаров, работ,</w:t>
      </w:r>
      <w:r>
        <w:rPr>
          <w:rFonts w:ascii="Times New Roman" w:hAnsi="Times New Roman"/>
          <w:spacing w:val="-21"/>
          <w:sz w:val="28"/>
        </w:rPr>
        <w:t> </w:t>
      </w:r>
      <w:r>
        <w:rPr>
          <w:rFonts w:ascii="Times New Roman" w:hAnsi="Times New Roman"/>
          <w:sz w:val="28"/>
        </w:rPr>
        <w:t>услуг.</w:t>
      </w:r>
    </w:p>
    <w:p>
      <w:pPr>
        <w:pStyle w:val="ListParagraph"/>
        <w:numPr>
          <w:ilvl w:val="0"/>
          <w:numId w:val="2"/>
        </w:numPr>
        <w:tabs>
          <w:tab w:pos="1162" w:val="left" w:leader="none"/>
        </w:tabs>
        <w:spacing w:line="240" w:lineRule="auto" w:before="119" w:after="0"/>
        <w:ind w:left="139" w:right="145" w:firstLine="566"/>
        <w:jc w:val="both"/>
        <w:rPr>
          <w:rFonts w:ascii="Times New Roman" w:hAnsi="Times New Roman" w:cs="Times New Roman" w:eastAsia="Times New Roman" w:hint="default"/>
          <w:sz w:val="28"/>
          <w:szCs w:val="28"/>
        </w:rPr>
      </w:pPr>
      <w:r>
        <w:rPr>
          <w:rFonts w:ascii="Times New Roman" w:hAnsi="Times New Roman"/>
          <w:sz w:val="28"/>
        </w:rPr>
        <w:t>Организация раскрывает по каждому географическому региону деятельности следующую</w:t>
      </w:r>
      <w:r>
        <w:rPr>
          <w:rFonts w:ascii="Times New Roman" w:hAnsi="Times New Roman"/>
          <w:spacing w:val="-9"/>
          <w:sz w:val="28"/>
        </w:rPr>
        <w:t> </w:t>
      </w:r>
      <w:r>
        <w:rPr>
          <w:rFonts w:ascii="Times New Roman" w:hAnsi="Times New Roman"/>
          <w:sz w:val="28"/>
        </w:rPr>
        <w:t>информацию:</w:t>
      </w:r>
    </w:p>
    <w:p>
      <w:pPr>
        <w:pStyle w:val="BodyText"/>
        <w:spacing w:line="240" w:lineRule="auto"/>
        <w:ind w:left="139" w:right="146"/>
        <w:jc w:val="both"/>
      </w:pPr>
      <w:r>
        <w:rPr/>
        <w:t>а) величину выручки от продаж  покупателям  (заказчикам)  организации, в том числе отдельно от продаж в Российской Федерации и от продаж за</w:t>
      </w:r>
      <w:r>
        <w:rPr>
          <w:spacing w:val="-9"/>
        </w:rPr>
        <w:t> </w:t>
      </w:r>
      <w:r>
        <w:rPr/>
        <w:t>рубежом;</w:t>
      </w:r>
    </w:p>
    <w:p>
      <w:pPr>
        <w:pStyle w:val="BodyText"/>
        <w:spacing w:line="240" w:lineRule="auto"/>
        <w:ind w:left="139" w:right="146"/>
        <w:jc w:val="both"/>
      </w:pPr>
      <w:r>
        <w:rPr/>
        <w:t>б) стоимость внеоборотных активов по данным бухгалтерского баланса организации, в том числе размещенных на территории Российской Федерации, размещенных за</w:t>
      </w:r>
      <w:r>
        <w:rPr>
          <w:spacing w:val="-14"/>
        </w:rPr>
        <w:t> </w:t>
      </w:r>
      <w:r>
        <w:rPr/>
        <w:t>рубежом.</w:t>
      </w:r>
    </w:p>
    <w:p>
      <w:pPr>
        <w:pStyle w:val="BodyText"/>
        <w:spacing w:line="240" w:lineRule="auto"/>
        <w:ind w:left="139" w:right="148"/>
        <w:jc w:val="both"/>
      </w:pPr>
      <w:r>
        <w:rPr/>
        <w:t>Если величина выручки от продаж, полученной в отдельной стране, или стоимость внеоборотных активов по данным бухгалтерского баланса организации, размещенных на территории отдельной страны, является существенной, такой показатель раскрывается обособленно. При этом организация должна раскрыть правила отнесения выручки от продаж к отдельным</w:t>
      </w:r>
      <w:r>
        <w:rPr>
          <w:spacing w:val="-10"/>
        </w:rPr>
        <w:t> </w:t>
      </w:r>
      <w:r>
        <w:rPr/>
        <w:t>странам.</w:t>
      </w:r>
    </w:p>
    <w:p>
      <w:pPr>
        <w:pStyle w:val="ListParagraph"/>
        <w:numPr>
          <w:ilvl w:val="0"/>
          <w:numId w:val="2"/>
        </w:numPr>
        <w:tabs>
          <w:tab w:pos="1162" w:val="left" w:leader="none"/>
        </w:tabs>
        <w:spacing w:line="240" w:lineRule="auto" w:before="119" w:after="0"/>
        <w:ind w:left="139" w:right="142" w:firstLine="566"/>
        <w:jc w:val="both"/>
        <w:rPr>
          <w:rFonts w:ascii="Times New Roman" w:hAnsi="Times New Roman" w:cs="Times New Roman" w:eastAsia="Times New Roman" w:hint="default"/>
          <w:sz w:val="28"/>
          <w:szCs w:val="28"/>
        </w:rPr>
      </w:pPr>
      <w:r>
        <w:rPr>
          <w:rFonts w:ascii="Times New Roman" w:hAnsi="Times New Roman"/>
          <w:sz w:val="28"/>
        </w:rPr>
        <w:t>Организация раскрывает следующую информацию о покупателях (заказчиках), выручка от продаж которым составляет не менее 10 процентов общей выручки от продаж покупателям (заказчикам)</w:t>
      </w:r>
      <w:r>
        <w:rPr>
          <w:rFonts w:ascii="Times New Roman" w:hAnsi="Times New Roman"/>
          <w:spacing w:val="-18"/>
          <w:sz w:val="28"/>
        </w:rPr>
        <w:t> </w:t>
      </w:r>
      <w:r>
        <w:rPr>
          <w:rFonts w:ascii="Times New Roman" w:hAnsi="Times New Roman"/>
          <w:sz w:val="28"/>
        </w:rPr>
        <w:t>организации:</w:t>
      </w:r>
    </w:p>
    <w:p>
      <w:pPr>
        <w:pStyle w:val="BodyText"/>
        <w:tabs>
          <w:tab w:pos="1161" w:val="left" w:leader="none"/>
        </w:tabs>
        <w:spacing w:line="240" w:lineRule="auto"/>
        <w:ind w:left="705" w:right="0" w:firstLine="0"/>
        <w:jc w:val="left"/>
      </w:pPr>
      <w:r>
        <w:rPr/>
        <w:t>а)</w:t>
        <w:tab/>
        <w:t>наименование покупателя</w:t>
      </w:r>
      <w:r>
        <w:rPr>
          <w:spacing w:val="-11"/>
        </w:rPr>
        <w:t> </w:t>
      </w:r>
      <w:r>
        <w:rPr/>
        <w:t>(заказчика);</w:t>
      </w:r>
    </w:p>
    <w:p>
      <w:pPr>
        <w:pStyle w:val="BodyText"/>
        <w:tabs>
          <w:tab w:pos="1161" w:val="left" w:leader="none"/>
        </w:tabs>
        <w:spacing w:line="240" w:lineRule="auto"/>
        <w:ind w:left="705" w:right="0" w:firstLine="0"/>
        <w:jc w:val="left"/>
      </w:pPr>
      <w:r>
        <w:rPr/>
        <w:t>б)</w:t>
        <w:tab/>
        <w:t>общая величина выручки от продаж такому покупателю</w:t>
      </w:r>
      <w:r>
        <w:rPr>
          <w:spacing w:val="-23"/>
        </w:rPr>
        <w:t> </w:t>
      </w:r>
      <w:r>
        <w:rPr/>
        <w:t>(заказчику);</w:t>
      </w:r>
    </w:p>
    <w:p>
      <w:pPr>
        <w:spacing w:after="0" w:line="240" w:lineRule="auto"/>
        <w:jc w:val="left"/>
        <w:sectPr>
          <w:pgSz w:w="11900" w:h="16840"/>
          <w:pgMar w:header="792" w:footer="0" w:top="1020" w:bottom="280" w:left="1560" w:right="700"/>
        </w:sectPr>
      </w:pPr>
    </w:p>
    <w:p>
      <w:pPr>
        <w:pStyle w:val="BodyText"/>
        <w:spacing w:line="240" w:lineRule="auto" w:before="95"/>
        <w:ind w:right="103"/>
        <w:jc w:val="both"/>
      </w:pPr>
      <w:r>
        <w:rPr/>
        <w:t>в) наименование отчетного сегмента (отчетных сегментов), к которому относится данная</w:t>
      </w:r>
      <w:r>
        <w:rPr>
          <w:spacing w:val="-9"/>
        </w:rPr>
        <w:t> </w:t>
      </w:r>
      <w:r>
        <w:rPr/>
        <w:t>выручка.</w:t>
      </w:r>
    </w:p>
    <w:p>
      <w:pPr>
        <w:pStyle w:val="ListParagraph"/>
        <w:numPr>
          <w:ilvl w:val="0"/>
          <w:numId w:val="2"/>
        </w:numPr>
        <w:tabs>
          <w:tab w:pos="1142" w:val="left" w:leader="none"/>
        </w:tabs>
        <w:spacing w:line="240" w:lineRule="auto" w:before="119" w:after="0"/>
        <w:ind w:left="119" w:right="105" w:firstLine="566"/>
        <w:jc w:val="both"/>
        <w:rPr>
          <w:rFonts w:ascii="Times New Roman" w:hAnsi="Times New Roman" w:cs="Times New Roman" w:eastAsia="Times New Roman" w:hint="default"/>
          <w:sz w:val="28"/>
          <w:szCs w:val="28"/>
        </w:rPr>
      </w:pPr>
      <w:r>
        <w:rPr>
          <w:rFonts w:ascii="Times New Roman" w:hAnsi="Times New Roman"/>
          <w:sz w:val="28"/>
        </w:rPr>
        <w:t>При изменении в отчетном периоде структуры отчетных сегментов сравнительная информация за периоды, предшествующие отчетному, должна быть пересчитана в соответствии с новой структурой отчетных сегментов, </w:t>
      </w:r>
      <w:r>
        <w:rPr>
          <w:rFonts w:ascii="Times New Roman" w:hAnsi="Times New Roman"/>
          <w:spacing w:val="2"/>
          <w:sz w:val="28"/>
        </w:rPr>
        <w:t>за </w:t>
      </w:r>
      <w:r>
        <w:rPr>
          <w:rFonts w:ascii="Times New Roman" w:hAnsi="Times New Roman"/>
          <w:spacing w:val="2"/>
          <w:sz w:val="28"/>
        </w:rPr>
      </w:r>
      <w:r>
        <w:rPr>
          <w:rFonts w:ascii="Times New Roman" w:hAnsi="Times New Roman"/>
          <w:sz w:val="28"/>
        </w:rPr>
        <w:t>исключением случаев, когда такая информация отсутствует и такой пересчет </w:t>
      </w:r>
      <w:r>
        <w:rPr>
          <w:rFonts w:ascii="Times New Roman" w:hAnsi="Times New Roman"/>
          <w:sz w:val="28"/>
        </w:rPr>
        <w:t>противоречит требованию рациональности. При этом пересчету подлежит сравнительная информация по каждому показателю отчетного</w:t>
      </w:r>
      <w:r>
        <w:rPr>
          <w:rFonts w:ascii="Times New Roman" w:hAnsi="Times New Roman"/>
          <w:spacing w:val="-19"/>
          <w:sz w:val="28"/>
        </w:rPr>
        <w:t> </w:t>
      </w:r>
      <w:r>
        <w:rPr>
          <w:rFonts w:ascii="Times New Roman" w:hAnsi="Times New Roman"/>
          <w:sz w:val="28"/>
        </w:rPr>
        <w:t>сегмента.</w:t>
      </w:r>
    </w:p>
    <w:p>
      <w:pPr>
        <w:pStyle w:val="BodyText"/>
        <w:spacing w:line="240" w:lineRule="auto"/>
        <w:ind w:right="105"/>
        <w:jc w:val="both"/>
      </w:pPr>
      <w:r>
        <w:rPr/>
        <w:t>Случаи пересчета (невозможности такого пересчета) подлежат раскрытию в составе информации по отчетным</w:t>
      </w:r>
      <w:r>
        <w:rPr>
          <w:spacing w:val="-18"/>
        </w:rPr>
        <w:t> </w:t>
      </w:r>
      <w:r>
        <w:rPr/>
        <w:t>сегментам.</w:t>
      </w:r>
    </w:p>
    <w:p>
      <w:pPr>
        <w:pStyle w:val="BodyText"/>
        <w:spacing w:line="240" w:lineRule="auto"/>
        <w:ind w:right="107"/>
        <w:jc w:val="both"/>
      </w:pPr>
      <w:r>
        <w:rPr/>
        <w:t>Если сравнительная информация не пересчитана в соответствии с новой структурой отчетных сегментов, информация по сегментам за отчетный период должна быть представлена в разрезе как прежней, так и новой структуры</w:t>
      </w:r>
      <w:r>
        <w:rPr>
          <w:spacing w:val="-11"/>
        </w:rPr>
        <w:t> </w:t>
      </w:r>
      <w:r>
        <w:rPr/>
        <w:t>сегментов.</w:t>
      </w:r>
    </w:p>
    <w:sectPr>
      <w:pgSz w:w="11900" w:h="16840"/>
      <w:pgMar w:header="792" w:footer="0" w:top="1020" w:bottom="280" w:left="158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28pt;margin-top:38.623917pt;width:10pt;height:14pt;mso-position-horizontal-relative:page;mso-position-vertical-relative:page;z-index:-5272" type="#_x0000_t202" filled="false" stroked="false">
          <v:textbox inset="0,0,0,0">
            <w:txbxContent>
              <w:p>
                <w:pPr>
                  <w:spacing w:line="265" w:lineRule="exact" w:before="0"/>
                  <w:ind w:left="40" w:right="0" w:firstLine="0"/>
                  <w:jc w:val="left"/>
                  <w:rPr>
                    <w:rFonts w:ascii="Times New Roman" w:hAnsi="Times New Roman" w:cs="Times New Roman" w:eastAsia="Times New Roman" w:hint="default"/>
                    <w:sz w:val="24"/>
                    <w:szCs w:val="24"/>
                  </w:rPr>
                </w:pPr>
                <w:r>
                  <w:rPr>
                    <w:rFonts w:ascii="Times New Roman"/>
                    <w:sz w:val="24"/>
                  </w:rPr>
                </w:r>
                <w:r>
                  <w:rPr/>
                  <w:fldChar w:fldCharType="begin"/>
                </w:r>
                <w:r>
                  <w:rPr>
                    <w:rFonts w:ascii="Times New Roman"/>
                    <w:sz w:val="24"/>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9" w:hanging="456"/>
        <w:jc w:val="left"/>
      </w:pPr>
      <w:rPr>
        <w:rFonts w:hint="default" w:ascii="Times New Roman" w:hAnsi="Times New Roman" w:eastAsia="Times New Roman"/>
        <w:w w:val="99"/>
        <w:sz w:val="28"/>
        <w:szCs w:val="28"/>
      </w:rPr>
    </w:lvl>
    <w:lvl w:ilvl="1">
      <w:start w:val="1"/>
      <w:numFmt w:val="bullet"/>
      <w:lvlText w:val="•"/>
      <w:lvlJc w:val="left"/>
      <w:pPr>
        <w:ind w:left="1066" w:hanging="456"/>
      </w:pPr>
      <w:rPr>
        <w:rFonts w:hint="default"/>
      </w:rPr>
    </w:lvl>
    <w:lvl w:ilvl="2">
      <w:start w:val="1"/>
      <w:numFmt w:val="bullet"/>
      <w:lvlText w:val="•"/>
      <w:lvlJc w:val="left"/>
      <w:pPr>
        <w:ind w:left="2012" w:hanging="456"/>
      </w:pPr>
      <w:rPr>
        <w:rFonts w:hint="default"/>
      </w:rPr>
    </w:lvl>
    <w:lvl w:ilvl="3">
      <w:start w:val="1"/>
      <w:numFmt w:val="bullet"/>
      <w:lvlText w:val="•"/>
      <w:lvlJc w:val="left"/>
      <w:pPr>
        <w:ind w:left="2958" w:hanging="456"/>
      </w:pPr>
      <w:rPr>
        <w:rFonts w:hint="default"/>
      </w:rPr>
    </w:lvl>
    <w:lvl w:ilvl="4">
      <w:start w:val="1"/>
      <w:numFmt w:val="bullet"/>
      <w:lvlText w:val="•"/>
      <w:lvlJc w:val="left"/>
      <w:pPr>
        <w:ind w:left="3904" w:hanging="456"/>
      </w:pPr>
      <w:rPr>
        <w:rFonts w:hint="default"/>
      </w:rPr>
    </w:lvl>
    <w:lvl w:ilvl="5">
      <w:start w:val="1"/>
      <w:numFmt w:val="bullet"/>
      <w:lvlText w:val="•"/>
      <w:lvlJc w:val="left"/>
      <w:pPr>
        <w:ind w:left="4850" w:hanging="456"/>
      </w:pPr>
      <w:rPr>
        <w:rFonts w:hint="default"/>
      </w:rPr>
    </w:lvl>
    <w:lvl w:ilvl="6">
      <w:start w:val="1"/>
      <w:numFmt w:val="bullet"/>
      <w:lvlText w:val="•"/>
      <w:lvlJc w:val="left"/>
      <w:pPr>
        <w:ind w:left="5796" w:hanging="456"/>
      </w:pPr>
      <w:rPr>
        <w:rFonts w:hint="default"/>
      </w:rPr>
    </w:lvl>
    <w:lvl w:ilvl="7">
      <w:start w:val="1"/>
      <w:numFmt w:val="bullet"/>
      <w:lvlText w:val="•"/>
      <w:lvlJc w:val="left"/>
      <w:pPr>
        <w:ind w:left="6742" w:hanging="456"/>
      </w:pPr>
      <w:rPr>
        <w:rFonts w:hint="default"/>
      </w:rPr>
    </w:lvl>
    <w:lvl w:ilvl="8">
      <w:start w:val="1"/>
      <w:numFmt w:val="bullet"/>
      <w:lvlText w:val="•"/>
      <w:lvlJc w:val="left"/>
      <w:pPr>
        <w:ind w:left="7688" w:hanging="456"/>
      </w:pPr>
      <w:rPr>
        <w:rFonts w:hint="default"/>
      </w:rPr>
    </w:lvl>
  </w:abstractNum>
  <w:abstractNum w:abstractNumId="0">
    <w:multiLevelType w:val="hybridMultilevel"/>
    <w:lvl w:ilvl="0">
      <w:start w:val="1"/>
      <w:numFmt w:val="upperRoman"/>
      <w:lvlText w:val="%1."/>
      <w:lvlJc w:val="left"/>
      <w:pPr>
        <w:ind w:left="3906" w:hanging="567"/>
        <w:jc w:val="right"/>
      </w:pPr>
      <w:rPr>
        <w:rFonts w:hint="default" w:ascii="Times New Roman" w:hAnsi="Times New Roman" w:eastAsia="Times New Roman"/>
        <w:b/>
        <w:bCs/>
        <w:spacing w:val="0"/>
        <w:w w:val="99"/>
        <w:sz w:val="28"/>
        <w:szCs w:val="28"/>
      </w:rPr>
    </w:lvl>
    <w:lvl w:ilvl="1">
      <w:start w:val="1"/>
      <w:numFmt w:val="bullet"/>
      <w:lvlText w:val="•"/>
      <w:lvlJc w:val="left"/>
      <w:pPr>
        <w:ind w:left="4468" w:hanging="567"/>
      </w:pPr>
      <w:rPr>
        <w:rFonts w:hint="default"/>
      </w:rPr>
    </w:lvl>
    <w:lvl w:ilvl="2">
      <w:start w:val="1"/>
      <w:numFmt w:val="bullet"/>
      <w:lvlText w:val="•"/>
      <w:lvlJc w:val="left"/>
      <w:pPr>
        <w:ind w:left="5036" w:hanging="567"/>
      </w:pPr>
      <w:rPr>
        <w:rFonts w:hint="default"/>
      </w:rPr>
    </w:lvl>
    <w:lvl w:ilvl="3">
      <w:start w:val="1"/>
      <w:numFmt w:val="bullet"/>
      <w:lvlText w:val="•"/>
      <w:lvlJc w:val="left"/>
      <w:pPr>
        <w:ind w:left="5604" w:hanging="567"/>
      </w:pPr>
      <w:rPr>
        <w:rFonts w:hint="default"/>
      </w:rPr>
    </w:lvl>
    <w:lvl w:ilvl="4">
      <w:start w:val="1"/>
      <w:numFmt w:val="bullet"/>
      <w:lvlText w:val="•"/>
      <w:lvlJc w:val="left"/>
      <w:pPr>
        <w:ind w:left="6172" w:hanging="567"/>
      </w:pPr>
      <w:rPr>
        <w:rFonts w:hint="default"/>
      </w:rPr>
    </w:lvl>
    <w:lvl w:ilvl="5">
      <w:start w:val="1"/>
      <w:numFmt w:val="bullet"/>
      <w:lvlText w:val="•"/>
      <w:lvlJc w:val="left"/>
      <w:pPr>
        <w:ind w:left="6740" w:hanging="567"/>
      </w:pPr>
      <w:rPr>
        <w:rFonts w:hint="default"/>
      </w:rPr>
    </w:lvl>
    <w:lvl w:ilvl="6">
      <w:start w:val="1"/>
      <w:numFmt w:val="bullet"/>
      <w:lvlText w:val="•"/>
      <w:lvlJc w:val="left"/>
      <w:pPr>
        <w:ind w:left="7308" w:hanging="567"/>
      </w:pPr>
      <w:rPr>
        <w:rFonts w:hint="default"/>
      </w:rPr>
    </w:lvl>
    <w:lvl w:ilvl="7">
      <w:start w:val="1"/>
      <w:numFmt w:val="bullet"/>
      <w:lvlText w:val="•"/>
      <w:lvlJc w:val="left"/>
      <w:pPr>
        <w:ind w:left="7876" w:hanging="567"/>
      </w:pPr>
      <w:rPr>
        <w:rFonts w:hint="default"/>
      </w:rPr>
    </w:lvl>
    <w:lvl w:ilvl="8">
      <w:start w:val="1"/>
      <w:numFmt w:val="bullet"/>
      <w:lvlText w:val="•"/>
      <w:lvlJc w:val="left"/>
      <w:pPr>
        <w:ind w:left="8444" w:hanging="567"/>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19"/>
      <w:ind w:left="119" w:firstLine="566"/>
    </w:pPr>
    <w:rPr>
      <w:rFonts w:ascii="Times New Roman" w:hAnsi="Times New Roman" w:eastAsia="Times New Roman"/>
      <w:sz w:val="28"/>
      <w:szCs w:val="28"/>
    </w:rPr>
  </w:style>
  <w:style w:styleId="Heading1" w:type="paragraph">
    <w:name w:val="Heading 1"/>
    <w:basedOn w:val="Normal"/>
    <w:uiPriority w:val="1"/>
    <w:qFormat/>
    <w:pPr>
      <w:spacing w:before="244"/>
      <w:ind w:left="1986" w:hanging="566"/>
      <w:outlineLvl w:val="1"/>
    </w:pPr>
    <w:rPr>
      <w:rFonts w:ascii="Times New Roman" w:hAnsi="Times New Roman" w:eastAsia="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1280</dc:creator>
  <dc:title>Microsoft Word - ПБУ 12</dc:title>
  <dcterms:created xsi:type="dcterms:W3CDTF">2015-10-09T09:05:47Z</dcterms:created>
  <dcterms:modified xsi:type="dcterms:W3CDTF">2015-10-09T09:05:47Z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2010-12-21T00:00:00Z</vt:filetime>
  </property>
  <property fmtid="{D5CDD505-2E9C-101B-9397-08002B2CF9AE}" pid="3" name="Creator">
    <vt:lpwstr>Microsoft Word - ПБУ 12</vt:lpwstr>
  </property>
  <property fmtid="{D5CDD505-2E9C-101B-9397-08002B2CF9AE}" pid="4" name="LastSaved">
    <vt:filetime>2015-10-09T00:00:00Z</vt:filetime>
  </property>
</Properties>
</file>