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84" w:rsidRPr="001803B2" w:rsidRDefault="0043375C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03-01-РЗ/20100 от</w:t>
      </w:r>
      <w:r w:rsidRPr="001803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29.04.2014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Федеральная налоговая</w:t>
      </w:r>
      <w:r w:rsidRPr="001803B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служба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В связи с поступающими обращениями по вопросам</w:t>
      </w:r>
      <w:r w:rsidRPr="001803B2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страховщиками положений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раздела </w:t>
      </w:r>
      <w:r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Налогового кодекса</w:t>
      </w:r>
      <w:r w:rsidRPr="001803B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(далее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Кодекс) Министерство финансов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в соответствии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пунктом 1 статьи 34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следующее.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Разделом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одекса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установлены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целей налогообложения в связи с совершением сделок</w:t>
      </w:r>
      <w:r w:rsidRPr="001803B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взаимозависимыми лицами, которые предусматривают, в первую</w:t>
      </w:r>
      <w:r w:rsidRPr="001803B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очередь,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применение при определении доходов (расходов), полученных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результате сделок между взаимозависимыми лицами, общепринятого</w:t>
      </w:r>
      <w:r w:rsidRPr="001803B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мировой практике принципа «вытянутой руки» (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 1 статьи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Кодекса).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При этом правила, предусмотренные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разделом </w:t>
      </w:r>
      <w:r w:rsidR="001803B2"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распространяются, в частности, на сделки, осуществление которых</w:t>
      </w:r>
      <w:r w:rsidRPr="001803B2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влечет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необходимость учета хотя бы одной стороной таких сделок</w:t>
      </w:r>
      <w:r w:rsidRPr="001803B2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доходов,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расходов, что приводит к увеличению и (или) уменьшению налоговой</w:t>
      </w:r>
      <w:r w:rsidRPr="001803B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по налогам, предусмотренным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пунктом 4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Обращаем внимание, что в соответствии с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пунктом 1 статьи</w:t>
      </w:r>
      <w:r w:rsidRPr="001803B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учет доходов (прибыли, выручки) для целей</w:t>
      </w:r>
      <w:r w:rsidRPr="001803B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производится в случае, если это не приводит к уменьшению суммы</w:t>
      </w:r>
      <w:r w:rsidRPr="001803B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налога,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подлежащего уплате в бюджетную систему Российской Федерации</w:t>
      </w:r>
      <w:r w:rsidRPr="001803B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(за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когда налогоплательщик применяет</w:t>
      </w:r>
      <w:r w:rsidRPr="001803B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симметричную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корректировку в соответствии с</w:t>
      </w:r>
      <w:r w:rsidRPr="001803B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hyperlink r:id="rId7">
        <w:r w:rsidRPr="001803B2">
          <w:rPr>
            <w:rFonts w:ascii="Times New Roman" w:hAnsi="Times New Roman" w:cs="Times New Roman"/>
            <w:sz w:val="24"/>
            <w:szCs w:val="24"/>
            <w:lang w:val="ru-RU"/>
          </w:rPr>
          <w:t>Кодексом</w:t>
        </w:r>
      </w:hyperlink>
      <w:r w:rsidRPr="001803B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1803B2" w:rsidP="001803B2">
      <w:pPr>
        <w:ind w:left="680" w:right="680"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Порядок определения суммового критерия в целях</w:t>
      </w:r>
      <w:r w:rsidR="0043375C" w:rsidRPr="001803B2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признания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сделок контролируемыми для целей</w:t>
      </w:r>
      <w:r w:rsidR="0043375C" w:rsidRPr="001803B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Статьей 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14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 установлены условия признания</w:t>
      </w:r>
      <w:r w:rsidRPr="001803B2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контролируемыми. При этом сделки, предусмотренные подпунктами 2 и</w:t>
      </w:r>
      <w:r w:rsidRPr="001803B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пункта 1, пунктом 2 указанной статьи, признаются контролируемыми</w:t>
      </w:r>
      <w:r w:rsidRPr="001803B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случае, если сумма доходов по таким сделкам в календарном</w:t>
      </w:r>
      <w:r w:rsidRPr="001803B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превышает значение соответствующего суммового</w:t>
      </w:r>
      <w:r w:rsidRPr="001803B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критерия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Значения соответствующих суммовых критериев для целей</w:t>
      </w:r>
      <w:r w:rsidRPr="001803B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14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Кодекса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определены подпунктом 1 пункта 2, пунктами 3 и</w:t>
      </w:r>
      <w:r w:rsidRPr="001803B2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указанной</w:t>
      </w:r>
      <w:r w:rsidRPr="001803B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статьи.</w:t>
      </w:r>
      <w:r w:rsidRPr="001803B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803B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1803B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Pr="001803B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803B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14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Кодекса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применяется</w:t>
      </w:r>
      <w:r w:rsidRPr="001803B2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учетом переходных положений</w:t>
      </w:r>
      <w:r w:rsidRPr="001803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установленных пунктом 3 статьи</w:t>
      </w:r>
      <w:r w:rsidRPr="001803B2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803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18.07.2011</w:t>
      </w:r>
      <w:r w:rsidRPr="001803B2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803B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227</w:t>
      </w:r>
      <w:r w:rsidRPr="001803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ФЗ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803B2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r w:rsidRPr="001803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законодательные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овершенствованием принципов определения цен для</w:t>
      </w:r>
      <w:r w:rsidRPr="001803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налогообложения»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пункту 9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14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Кодекса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для целей указанной</w:t>
      </w:r>
      <w:r w:rsidRPr="001803B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сумма доходов по сделкам за календарный год определяется</w:t>
      </w:r>
      <w:r w:rsidRPr="001803B2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сложения сумм полученных доходов по таким сделкам с одним</w:t>
      </w:r>
      <w:r w:rsidRPr="001803B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лицом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(взаимозависимыми лицами) за календарный год с учетом</w:t>
      </w:r>
      <w:r w:rsidRPr="001803B2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ризнания доходов, установленных </w:t>
      </w:r>
      <w:hyperlink r:id="rId8">
        <w:r w:rsidRPr="001803B2">
          <w:rPr>
            <w:rFonts w:ascii="Times New Roman" w:hAnsi="Times New Roman" w:cs="Times New Roman"/>
            <w:sz w:val="24"/>
            <w:szCs w:val="24"/>
            <w:lang w:val="ru-RU"/>
          </w:rPr>
          <w:t>главой 25</w:t>
        </w:r>
      </w:hyperlink>
      <w:r w:rsidRPr="001803B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1803B2">
        <w:rPr>
          <w:rFonts w:ascii="Times New Roman" w:hAnsi="Times New Roman" w:cs="Times New Roman"/>
          <w:sz w:val="24"/>
          <w:szCs w:val="24"/>
          <w:lang w:val="ru-RU"/>
        </w:rPr>
        <w:t>татьей</w:t>
      </w:r>
      <w:proofErr w:type="spellEnd"/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248 Кодекса установлено, что в составе</w:t>
      </w:r>
      <w:r w:rsidRPr="001803B2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учитываются до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ходы от реализации и внереализационные</w:t>
      </w:r>
      <w:r w:rsidRPr="001803B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доходы,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определяемые в соответствии со статьями 249 и 250</w:t>
      </w:r>
      <w:r w:rsidRPr="001803B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К доходам страховой организации, кроме доходов,</w:t>
      </w:r>
      <w:r w:rsidRPr="001803B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hyperlink r:id="rId9">
        <w:r w:rsidRPr="001803B2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1803B2">
          <w:rPr>
            <w:rFonts w:ascii="Times New Roman" w:hAnsi="Times New Roman" w:cs="Times New Roman"/>
            <w:sz w:val="24"/>
            <w:szCs w:val="24"/>
            <w:lang w:val="ru-RU"/>
          </w:rPr>
          <w:t>статьями 249</w:t>
        </w:r>
      </w:hyperlink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10">
        <w:r w:rsidRPr="001803B2">
          <w:rPr>
            <w:rFonts w:ascii="Times New Roman" w:hAnsi="Times New Roman" w:cs="Times New Roman"/>
            <w:sz w:val="24"/>
            <w:szCs w:val="24"/>
            <w:lang w:val="ru-RU"/>
          </w:rPr>
          <w:t>250</w:t>
        </w:r>
      </w:hyperlink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Кодекса, которые определяются с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особенносте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й, предусмотренных статьей 293 Кодекса, относятся</w:t>
      </w:r>
      <w:r w:rsidRPr="001803B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доходы от страховой деятельности, указанные в пункте 2 статьи</w:t>
      </w:r>
      <w:r w:rsidRPr="001803B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293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При этом в ситуациях, когда доходы, учитываемые при</w:t>
      </w:r>
      <w:r w:rsidRPr="001803B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определении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налоговой базы по налогу на прибыль организаций, признаются не</w:t>
      </w:r>
      <w:r w:rsidRPr="001803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результате совершения сделок, указанные доходы не учитываются</w:t>
      </w:r>
      <w:r w:rsidRPr="001803B2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определении суммового критерия в целях признания</w:t>
      </w:r>
      <w:r w:rsidRPr="001803B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контролируемыми.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 таким доходам, по мнению Министерства</w:t>
      </w:r>
      <w:r w:rsidRPr="001803B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сийской Федерации, в частности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относятся суммы</w:t>
      </w:r>
      <w:r w:rsidRPr="001803B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уменьшения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(возврата) страховых резервов, образованных в предыдущие</w:t>
      </w:r>
      <w:r w:rsidRPr="001803B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отчетные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периоды с учетом изменения доли перестраховщиков в страховых</w:t>
      </w:r>
      <w:r w:rsidRPr="001803B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резервах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(подпункт</w:t>
      </w:r>
      <w:r w:rsidRPr="001803B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пункта</w:t>
      </w:r>
      <w:r w:rsidRPr="001803B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293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Кодекса)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3B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долевого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803B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1803B2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организациях,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дивидендов</w:t>
      </w:r>
      <w:r w:rsidRPr="001803B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(пункт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250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Кодекса)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Суммы возмещения убытков или ущерба (в частности,</w:t>
      </w:r>
      <w:r w:rsidRPr="001803B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страхового возмещения по договору страхования имущества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803B2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учитываются при определении суммового критерия в целях</w:t>
      </w:r>
      <w:r w:rsidRPr="001803B2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признания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 контролируемыми, если их установление не связано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искусственным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созданием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налогоплательщиками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условий,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которых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сделки не отвечают признакам контролируемой. Иначе в</w:t>
      </w:r>
      <w:r w:rsidRPr="001803B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указанных сделок возможно их признание контролируемыми на</w:t>
      </w:r>
      <w:r w:rsidRPr="001803B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положений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пункта 10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14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В составе дох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одов в целях главы 25 Кодекса не учитываются</w:t>
      </w:r>
      <w:r w:rsidRPr="001803B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доходы,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предусмотренные статьей 251 Кодекса. Такие доходы также</w:t>
      </w:r>
      <w:r w:rsidRPr="001803B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учитываются при определении суммового критерия в целях</w:t>
      </w:r>
      <w:r w:rsidRPr="001803B2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признания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</w:t>
      </w:r>
      <w:r w:rsidRPr="001803B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контролируемыми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Статья 251 Кодекса содержит закрытый перечень доходов,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учитываемых при определении налоговой базы по налогу на</w:t>
      </w:r>
      <w:r w:rsidRPr="001803B2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прибыль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655684" w:rsidRPr="001803B2" w:rsidRDefault="0043375C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Таким образом, в случае, если доходы, полученные в</w:t>
      </w:r>
      <w:r w:rsidRPr="001803B2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совершения сделок, в указанном перечне не поименованы, такие</w:t>
      </w:r>
      <w:r w:rsidRPr="001803B2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необходимо учитывать при определении суммового критерия в</w:t>
      </w:r>
      <w:r w:rsidRPr="001803B2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признания сделок</w:t>
      </w:r>
      <w:r w:rsidRPr="001803B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контролируемыми.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1803B2" w:rsidP="001803B2">
      <w:pPr>
        <w:ind w:left="680" w:right="680" w:firstLine="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Условия признания цен, примененных в сделках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взаимозависимыми лицами, рыночными для целей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В рамках гражданско</w:t>
      </w:r>
      <w:r w:rsidRPr="001803B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правовых отношений цены в сделках</w:t>
      </w:r>
      <w:r w:rsidRPr="001803B2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страхованию, </w:t>
      </w:r>
      <w:proofErr w:type="spellStart"/>
      <w:r w:rsidRPr="001803B2">
        <w:rPr>
          <w:rFonts w:ascii="Times New Roman" w:hAnsi="Times New Roman" w:cs="Times New Roman"/>
          <w:sz w:val="24"/>
          <w:szCs w:val="24"/>
          <w:lang w:val="ru-RU"/>
        </w:rPr>
        <w:t>состахованию</w:t>
      </w:r>
      <w:proofErr w:type="spellEnd"/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и перестрахованию определяются</w:t>
      </w:r>
      <w:r w:rsidRPr="001803B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соответствии с положениями Гражданского кодекса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Федерации и Закона Российской Федерации от 27 ноября 1992 г. №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4015</w:t>
      </w:r>
      <w:r w:rsidRPr="001803B2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 w:rsidR="001803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«Об организации страхового дела в Российской</w:t>
      </w:r>
      <w:r w:rsidRPr="001803B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Федерации»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В свою очередь, для целей налогообложения доходы</w:t>
      </w:r>
      <w:r w:rsidRPr="001803B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(прибыль,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выручка), полученные налогоплательщиком по сделкам</w:t>
      </w:r>
      <w:r w:rsidRPr="001803B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взаимозависимыми лицами (в том числе по страхованию, </w:t>
      </w:r>
      <w:proofErr w:type="spellStart"/>
      <w:r w:rsidRPr="001803B2">
        <w:rPr>
          <w:rFonts w:ascii="Times New Roman" w:hAnsi="Times New Roman" w:cs="Times New Roman"/>
          <w:sz w:val="24"/>
          <w:szCs w:val="24"/>
          <w:lang w:val="ru-RU"/>
        </w:rPr>
        <w:t>состахованию</w:t>
      </w:r>
      <w:proofErr w:type="spellEnd"/>
      <w:r w:rsidRPr="001803B2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перестрахованию), определяются в соответствии с положениями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раздела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При определении цен в сделках для целей</w:t>
      </w:r>
      <w:r w:rsidRPr="001803B2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положениями вышеуказанного раздела предусмотрено</w:t>
      </w:r>
      <w:r w:rsidRPr="001803B2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именение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общепринятого в мировой практике принципа «вытянутой</w:t>
      </w:r>
      <w:r w:rsidRPr="001803B2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руки»,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сформулированного в пункте 1 статьи 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Таким образом, цены в сделках между взаимозависимыми</w:t>
      </w:r>
      <w:r w:rsidRPr="001803B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принципу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«вытянутой руки». При этом цены в сделках между</w:t>
      </w:r>
      <w:r w:rsidRPr="001803B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взаимозависимыми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лицами, по мнению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Министерства финансов Российской</w:t>
      </w:r>
      <w:r w:rsidRPr="001803B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соответствуют принципу «вытянутой руки» в случае, если такие цены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признаются рыночными для целей</w:t>
      </w:r>
      <w:r w:rsidRPr="001803B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Особые условия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признания цен рыночными для</w:t>
      </w:r>
      <w:r w:rsidRPr="001803B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налогообложения установлены разделом </w:t>
      </w:r>
      <w:r w:rsidR="001803B2"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 отношении</w:t>
      </w:r>
      <w:r w:rsidRPr="001803B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пунктах 8, 9, 10 и 11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При этом особые условия признания цен, примененных в</w:t>
      </w:r>
      <w:r w:rsidRPr="001803B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сделках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между взаимозависимыми лицами по стра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хованию, </w:t>
      </w:r>
      <w:proofErr w:type="spellStart"/>
      <w:r w:rsidRPr="001803B2">
        <w:rPr>
          <w:rFonts w:ascii="Times New Roman" w:hAnsi="Times New Roman" w:cs="Times New Roman"/>
          <w:sz w:val="24"/>
          <w:szCs w:val="24"/>
          <w:lang w:val="ru-RU"/>
        </w:rPr>
        <w:t>сострахованию</w:t>
      </w:r>
      <w:proofErr w:type="spellEnd"/>
      <w:r w:rsidRPr="001803B2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перестрахованию, рыночными для целей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вышеуказанным разделом не</w:t>
      </w:r>
      <w:r w:rsidRPr="001803B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предусмотрены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Соответственно, в отношении таких сделок</w:t>
      </w:r>
      <w:r w:rsidRPr="001803B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взаимозависимыми лицами признание цены для целей</w:t>
      </w:r>
      <w:r w:rsidRPr="001803B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налогообложения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рыночной (то есть соответствующей принципу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lastRenderedPageBreak/>
        <w:t>«вытянутой</w:t>
      </w:r>
      <w:r w:rsidRPr="001803B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руки»,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сформулированному в пункте 1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) осуществляется</w:t>
      </w:r>
      <w:r w:rsidRPr="001803B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разделом </w:t>
      </w:r>
      <w:r w:rsidR="001803B2"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 в том числе с применением</w:t>
      </w:r>
      <w:r w:rsidRPr="001803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методов,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пункте 1 статьи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Одновременно об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ращаем внимание на возможность</w:t>
      </w:r>
      <w:r w:rsidRPr="001803B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страховщиком в соответствии со статьей 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 информации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ценах в сделках, заключенных в соответствии с разработанными</w:t>
      </w:r>
      <w:r w:rsidRPr="001803B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страховыми тарифами, при сопоставлении коммерческих и</w:t>
      </w:r>
      <w:r w:rsidRPr="001803B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финансовых условий ан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ализируемой сделки с условиями</w:t>
      </w:r>
      <w:r w:rsidRPr="001803B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сопоставимых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сделок.</w:t>
      </w:r>
    </w:p>
    <w:p w:rsidR="001803B2" w:rsidRDefault="001803B2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5684" w:rsidRPr="001803B2" w:rsidRDefault="001803B2" w:rsidP="001803B2">
      <w:pPr>
        <w:ind w:left="680" w:right="680" w:firstLine="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Особенности признания цен в сделках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взаимозависимыми лицами рыночными для целей налогообложения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случае, если такие сделки не относятся к основной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75C" w:rsidRPr="001803B2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Под разовой сделкой в целях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понимается</w:t>
      </w:r>
      <w:r w:rsidRPr="001803B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сделка,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экономическая суть которой отличается </w:t>
      </w:r>
      <w:proofErr w:type="gramStart"/>
      <w:r w:rsidRPr="001803B2">
        <w:rPr>
          <w:rFonts w:ascii="Times New Roman" w:hAnsi="Times New Roman" w:cs="Times New Roman"/>
          <w:sz w:val="24"/>
          <w:szCs w:val="24"/>
          <w:lang w:val="ru-RU"/>
        </w:rPr>
        <w:t>от основной</w:t>
      </w:r>
      <w:r w:rsidRPr="001803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proofErr w:type="gramEnd"/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и которая осуществляется на разовой</w:t>
      </w:r>
      <w:r w:rsidRPr="001803B2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основе.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Соответствие цены, примененной в разовой сделке, рыночной</w:t>
      </w:r>
      <w:r w:rsidRPr="001803B2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может б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ыть определено на основании пункта 9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из рыночной стоимости предмета сделки, устанавливаемой в</w:t>
      </w:r>
      <w:r w:rsidRPr="001803B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независимой оценки в соответствии с законодательством</w:t>
      </w:r>
      <w:r w:rsidRPr="001803B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Федерации или иностранных государств об оценочной деятельно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сти,</w:t>
      </w:r>
      <w:r w:rsidRPr="001803B2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случае, если методы, указанные в пункте 1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3B2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позволяют определить, соответствует ли цена товара (работы,</w:t>
      </w:r>
      <w:r w:rsidRPr="001803B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услуги),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примененная в разовой сделке, рыночной</w:t>
      </w:r>
      <w:r w:rsidRPr="001803B2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цене.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При этом, по мнению Министерства финансов</w:t>
      </w:r>
      <w:r w:rsidRPr="001803B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Федерации, разов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ые сделки следует разграничивать на</w:t>
      </w:r>
      <w:r w:rsidRPr="001803B2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сделки,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относящиеся и не относящиеся к основной деятельности организации.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Так,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разовые (единичные) сделки в зависимости от хозяйственной</w:t>
      </w:r>
      <w:r w:rsidRPr="001803B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могут быть неразрывно связаны с основной деятельностью</w:t>
      </w:r>
      <w:r w:rsidRPr="001803B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Исходя из вышеизложенного, использование</w:t>
      </w:r>
      <w:r w:rsidRPr="001803B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независимой оценки для обоснования соответствия цены, примененной</w:t>
      </w:r>
      <w:r w:rsidRPr="001803B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разовой сделке, рыночному уровню, возможно в случае, когда</w:t>
      </w:r>
      <w:r w:rsidRPr="001803B2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методы,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в пункте 1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 не позволяют определить</w:t>
      </w:r>
      <w:r w:rsidRPr="001803B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соответствие. При этом в ситуациях, когда сделки не относятся к</w:t>
      </w:r>
      <w:r w:rsidRPr="001803B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деятельности организации, но при этом осуществляются на</w:t>
      </w:r>
      <w:r w:rsidRPr="001803B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периодической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сделки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полученного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результате отказа страхователя о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 своих прав на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застрахованное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имущество при его утрате, гибели в пользу страховщика), в</w:t>
      </w:r>
      <w:r w:rsidRPr="001803B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первую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очередь,</w:t>
      </w:r>
      <w:r w:rsidRPr="001803B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Pr="001803B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803B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Pr="001803B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цены,</w:t>
      </w:r>
      <w:r w:rsidRPr="001803B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установленной</w:t>
      </w:r>
      <w:r w:rsidRPr="001803B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сделках, рыночной, необходимо руководствоваться методами,</w:t>
      </w:r>
      <w:r w:rsidRPr="001803B2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указанными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в пункте 1 статьи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В свою очередь, в случае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если методы, указанные в пункте 1</w:t>
      </w:r>
      <w:r w:rsidRPr="001803B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 не позволяют определить, соответствует ли цена</w:t>
      </w:r>
      <w:r w:rsidRPr="001803B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(работы, услуги), примененная в сделке, рыночной цене, по</w:t>
      </w:r>
      <w:r w:rsidRPr="001803B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мнению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Министерства финансов Российской Федерации,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налогоплательщики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могут применить иные методы и подходы к ценообразованию,</w:t>
      </w:r>
      <w:r w:rsidRPr="001803B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предусмотренные указанной статьей, при условии соблюдения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принципа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1803B2">
        <w:rPr>
          <w:rFonts w:ascii="Times New Roman" w:hAnsi="Times New Roman" w:cs="Times New Roman"/>
          <w:sz w:val="24"/>
          <w:szCs w:val="24"/>
          <w:lang w:val="ru-RU"/>
        </w:rPr>
        <w:t>«вытянутой</w:t>
      </w:r>
      <w:r w:rsidRPr="001803B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руки».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803B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1803B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1803B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отметить,</w:t>
      </w:r>
      <w:r w:rsidRPr="001803B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803B2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803B2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803B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пунктом</w:t>
      </w:r>
      <w:r w:rsidRPr="001803B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803B2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7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1803B2"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Федерально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й налоговая служба не вправе применять</w:t>
      </w:r>
      <w:r w:rsidRPr="001803B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рамках налогового контроля иные методы, не предусмотренные</w:t>
      </w:r>
      <w:r w:rsidRPr="001803B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разделом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</w:rPr>
        <w:t>V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Кодекса. В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 этим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проверка соответствия принципу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«вытянутой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>руки»</w:t>
      </w:r>
      <w:r w:rsid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исключительно</w:t>
      </w:r>
      <w:r w:rsid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</w:t>
      </w:r>
      <w:r w:rsidRPr="001803B2">
        <w:rPr>
          <w:rFonts w:ascii="Times New Roman" w:hAnsi="Times New Roman" w:cs="Times New Roman"/>
          <w:spacing w:val="-1"/>
          <w:sz w:val="24"/>
          <w:szCs w:val="24"/>
          <w:lang w:val="ru-RU"/>
        </w:rPr>
        <w:t>одов</w:t>
      </w:r>
      <w:r w:rsidRPr="001803B2">
        <w:rPr>
          <w:rFonts w:ascii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ценообразования, установленных</w:t>
      </w:r>
      <w:r w:rsidRPr="001803B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Кодексом.</w:t>
      </w:r>
    </w:p>
    <w:p w:rsidR="00655684" w:rsidRPr="001803B2" w:rsidRDefault="0043375C" w:rsidP="001803B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B2">
        <w:rPr>
          <w:rFonts w:ascii="Times New Roman" w:hAnsi="Times New Roman" w:cs="Times New Roman"/>
          <w:sz w:val="24"/>
          <w:szCs w:val="24"/>
          <w:lang w:val="ru-RU"/>
        </w:rPr>
        <w:t>Одновременно обращаем внимание на возможность</w:t>
      </w:r>
      <w:r w:rsidRPr="001803B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страховщиком при сопоставлении коммерческих и (или)</w:t>
      </w:r>
      <w:r w:rsidRPr="001803B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условий анализируемой сделки с условиями сопоставимых</w:t>
      </w:r>
      <w:r w:rsidRPr="001803B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сделок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результатов независимой оценки в качестве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предусмотренной статьей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1803B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6</w:t>
      </w:r>
      <w:r w:rsid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Кодекса, в случае соблюдения</w:t>
      </w:r>
      <w:r w:rsidRPr="001803B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установленных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указанной</w:t>
      </w:r>
      <w:r w:rsidRPr="001803B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803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655684" w:rsidP="001803B2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5684" w:rsidRPr="001803B2" w:rsidRDefault="0043375C" w:rsidP="001803B2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03B2">
        <w:rPr>
          <w:rFonts w:ascii="Times New Roman" w:hAnsi="Times New Roman" w:cs="Times New Roman"/>
          <w:spacing w:val="-1"/>
          <w:sz w:val="24"/>
          <w:szCs w:val="24"/>
        </w:rPr>
        <w:t>С.Д.Шаталов</w:t>
      </w:r>
      <w:proofErr w:type="spellEnd"/>
    </w:p>
    <w:sectPr w:rsidR="00655684" w:rsidRPr="001803B2" w:rsidSect="001803B2">
      <w:headerReference w:type="default" r:id="rId11"/>
      <w:pgSz w:w="11910" w:h="16840"/>
      <w:pgMar w:top="1440" w:right="1080" w:bottom="1440" w:left="1080" w:header="7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5C" w:rsidRDefault="0043375C">
      <w:r>
        <w:separator/>
      </w:r>
    </w:p>
  </w:endnote>
  <w:endnote w:type="continuationSeparator" w:id="0">
    <w:p w:rsidR="0043375C" w:rsidRDefault="0043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5C" w:rsidRDefault="0043375C">
      <w:r>
        <w:separator/>
      </w:r>
    </w:p>
  </w:footnote>
  <w:footnote w:type="continuationSeparator" w:id="0">
    <w:p w:rsidR="0043375C" w:rsidRDefault="0043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84" w:rsidRDefault="0065568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45"/>
    <w:multiLevelType w:val="hybridMultilevel"/>
    <w:tmpl w:val="6ECE3282"/>
    <w:lvl w:ilvl="0" w:tplc="0790780C">
      <w:start w:val="1"/>
      <w:numFmt w:val="decimal"/>
      <w:lvlText w:val="%1."/>
      <w:lvlJc w:val="left"/>
      <w:pPr>
        <w:ind w:left="118" w:hanging="302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DD720906">
      <w:start w:val="1"/>
      <w:numFmt w:val="bullet"/>
      <w:lvlText w:val="•"/>
      <w:lvlJc w:val="left"/>
      <w:pPr>
        <w:ind w:left="1038" w:hanging="302"/>
      </w:pPr>
      <w:rPr>
        <w:rFonts w:hint="default"/>
      </w:rPr>
    </w:lvl>
    <w:lvl w:ilvl="2" w:tplc="95AEC3C6">
      <w:start w:val="1"/>
      <w:numFmt w:val="bullet"/>
      <w:lvlText w:val="•"/>
      <w:lvlJc w:val="left"/>
      <w:pPr>
        <w:ind w:left="1957" w:hanging="302"/>
      </w:pPr>
      <w:rPr>
        <w:rFonts w:hint="default"/>
      </w:rPr>
    </w:lvl>
    <w:lvl w:ilvl="3" w:tplc="20942CFE">
      <w:start w:val="1"/>
      <w:numFmt w:val="bullet"/>
      <w:lvlText w:val="•"/>
      <w:lvlJc w:val="left"/>
      <w:pPr>
        <w:ind w:left="2875" w:hanging="302"/>
      </w:pPr>
      <w:rPr>
        <w:rFonts w:hint="default"/>
      </w:rPr>
    </w:lvl>
    <w:lvl w:ilvl="4" w:tplc="966E9FE0">
      <w:start w:val="1"/>
      <w:numFmt w:val="bullet"/>
      <w:lvlText w:val="•"/>
      <w:lvlJc w:val="left"/>
      <w:pPr>
        <w:ind w:left="3794" w:hanging="302"/>
      </w:pPr>
      <w:rPr>
        <w:rFonts w:hint="default"/>
      </w:rPr>
    </w:lvl>
    <w:lvl w:ilvl="5" w:tplc="064AA1EC">
      <w:start w:val="1"/>
      <w:numFmt w:val="bullet"/>
      <w:lvlText w:val="•"/>
      <w:lvlJc w:val="left"/>
      <w:pPr>
        <w:ind w:left="4713" w:hanging="302"/>
      </w:pPr>
      <w:rPr>
        <w:rFonts w:hint="default"/>
      </w:rPr>
    </w:lvl>
    <w:lvl w:ilvl="6" w:tplc="7D3E1E72">
      <w:start w:val="1"/>
      <w:numFmt w:val="bullet"/>
      <w:lvlText w:val="•"/>
      <w:lvlJc w:val="left"/>
      <w:pPr>
        <w:ind w:left="5631" w:hanging="302"/>
      </w:pPr>
      <w:rPr>
        <w:rFonts w:hint="default"/>
      </w:rPr>
    </w:lvl>
    <w:lvl w:ilvl="7" w:tplc="5FCE00D2">
      <w:start w:val="1"/>
      <w:numFmt w:val="bullet"/>
      <w:lvlText w:val="•"/>
      <w:lvlJc w:val="left"/>
      <w:pPr>
        <w:ind w:left="6550" w:hanging="302"/>
      </w:pPr>
      <w:rPr>
        <w:rFonts w:hint="default"/>
      </w:rPr>
    </w:lvl>
    <w:lvl w:ilvl="8" w:tplc="DCE49FC0">
      <w:start w:val="1"/>
      <w:numFmt w:val="bullet"/>
      <w:lvlText w:val="•"/>
      <w:lvlJc w:val="left"/>
      <w:pPr>
        <w:ind w:left="7469" w:hanging="3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5684"/>
    <w:rsid w:val="001803B2"/>
    <w:rsid w:val="0043375C"/>
    <w:rsid w:val="006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3FB08-F438-444D-A50E-8D7A0E7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 w:firstLine="7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B2"/>
  </w:style>
  <w:style w:type="paragraph" w:styleId="a7">
    <w:name w:val="footer"/>
    <w:basedOn w:val="a"/>
    <w:link w:val="a8"/>
    <w:uiPriority w:val="99"/>
    <w:unhideWhenUsed/>
    <w:rsid w:val="00180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F4D87223EE2C5EE65816078668F8F4248E81C4B372C298C1D633EA296439723CFDAEDE6291BD763BEu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0BF38899B29C03EFF80D40AC89FF1B2E4388C9EDF0BD9676726E6DBD2827C9B63309903110653i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546AB7938B180C6B6D5A3A2C5F973AAF31F2286530714FAB26CECCFC18909D84454EDDC0CE733BBBnF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46AB7938B180C6B6D5A3A2C5F973AAF31F2286530714FAB26CECCFC18909D84454EDDC0CE733BBBnFB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региональный союз потребительской кооперации</dc:title>
  <dc:creator>Admin</dc:creator>
  <cp:lastModifiedBy>Климова Маргарита Александровна</cp:lastModifiedBy>
  <cp:revision>2</cp:revision>
  <dcterms:created xsi:type="dcterms:W3CDTF">2015-07-16T16:47:00Z</dcterms:created>
  <dcterms:modified xsi:type="dcterms:W3CDTF">2015-07-16T15:56:00Z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