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1E" w:rsidRPr="00D45139" w:rsidRDefault="007E4E1E" w:rsidP="007E4E1E">
      <w:pPr>
        <w:pStyle w:val="Style16"/>
        <w:shd w:val="clear" w:color="auto" w:fill="auto"/>
        <w:spacing w:before="0" w:line="317" w:lineRule="exact"/>
        <w:ind w:left="580" w:right="56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17"/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</w:t>
      </w:r>
    </w:p>
    <w:p w:rsidR="007E4E1E" w:rsidRPr="00D45139" w:rsidRDefault="007E4E1E" w:rsidP="007E4E1E">
      <w:pPr>
        <w:pStyle w:val="Style10"/>
        <w:shd w:val="clear" w:color="auto" w:fill="auto"/>
        <w:ind w:left="1740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«Финансы, финансовая деятельность и финансовые рынки»</w:t>
      </w:r>
    </w:p>
    <w:p w:rsidR="007E4E1E" w:rsidRPr="00D45139" w:rsidRDefault="007E4E1E" w:rsidP="007E4E1E">
      <w:pPr>
        <w:pStyle w:val="Style16"/>
        <w:shd w:val="clear" w:color="auto" w:fill="auto"/>
        <w:spacing w:before="0" w:line="317" w:lineRule="exact"/>
        <w:ind w:left="2260" w:right="420"/>
        <w:jc w:val="left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17"/>
          <w:rFonts w:ascii="Times New Roman" w:hAnsi="Times New Roman" w:cs="Times New Roman"/>
          <w:color w:val="000000"/>
          <w:sz w:val="24"/>
          <w:szCs w:val="24"/>
        </w:rPr>
        <w:t>Перечень ключевых нормативных правовых актов по направлению профессиональной служебной деятельности</w:t>
      </w:r>
    </w:p>
    <w:p w:rsidR="007E4E1E" w:rsidRPr="00D45139" w:rsidRDefault="007E4E1E" w:rsidP="007E4E1E">
      <w:pPr>
        <w:pStyle w:val="Style10"/>
        <w:shd w:val="clear" w:color="auto" w:fill="auto"/>
        <w:ind w:left="1740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«Финансы, финансовая деятельность и финансовые рынки»</w:t>
      </w:r>
    </w:p>
    <w:p w:rsidR="007E4E1E" w:rsidRPr="00D45139" w:rsidRDefault="007E4E1E" w:rsidP="007E4E1E">
      <w:pPr>
        <w:pStyle w:val="Style10"/>
        <w:shd w:val="clear" w:color="auto" w:fill="auto"/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0.1</w:t>
      </w:r>
      <w:r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.</w:t>
      </w:r>
      <w:r w:rsidRPr="00D4513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П</w:t>
      </w:r>
      <w:r w:rsidRPr="00D4513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</w:t>
      </w:r>
      <w:r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ительства Российской Федерации».</w:t>
      </w:r>
      <w:r w:rsidRPr="00D45139">
        <w:rPr>
          <w:rFonts w:ascii="Times New Roman" w:hAnsi="Times New Roman" w:cs="Times New Roman"/>
          <w:sz w:val="24"/>
          <w:szCs w:val="24"/>
        </w:rPr>
        <w:br w:type="page"/>
      </w:r>
    </w:p>
    <w:p w:rsidR="007E4E1E" w:rsidRPr="00D45139" w:rsidRDefault="007E4E1E" w:rsidP="007E4E1E">
      <w:pPr>
        <w:pStyle w:val="Style18"/>
        <w:keepNext/>
        <w:keepLines/>
        <w:shd w:val="clear" w:color="auto" w:fill="auto"/>
        <w:spacing w:after="0" w:line="317" w:lineRule="exact"/>
        <w:ind w:left="2260" w:right="100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12"/>
      <w:r w:rsidRPr="00D45139">
        <w:rPr>
          <w:rStyle w:val="CharStyle19"/>
          <w:rFonts w:ascii="Times New Roman" w:hAnsi="Times New Roman" w:cs="Times New Roman"/>
          <w:color w:val="000000"/>
          <w:sz w:val="24"/>
          <w:szCs w:val="24"/>
        </w:rPr>
        <w:lastRenderedPageBreak/>
        <w:t>Перечень нормативных правовых актов по специализации профессиональной служебной деятельности</w:t>
      </w:r>
      <w:bookmarkEnd w:id="0"/>
    </w:p>
    <w:p w:rsidR="007E4E1E" w:rsidRPr="00D45139" w:rsidRDefault="007E4E1E" w:rsidP="007E4E1E">
      <w:pPr>
        <w:pStyle w:val="Style10"/>
        <w:shd w:val="clear" w:color="auto" w:fill="auto"/>
        <w:ind w:left="2840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«Регулирование страховой деятельности»</w:t>
      </w:r>
    </w:p>
    <w:p w:rsidR="007E4E1E" w:rsidRPr="00D45139" w:rsidRDefault="007E4E1E" w:rsidP="007E4E1E">
      <w:pPr>
        <w:pStyle w:val="Style10"/>
        <w:numPr>
          <w:ilvl w:val="0"/>
          <w:numId w:val="1"/>
        </w:numPr>
        <w:shd w:val="clear" w:color="auto" w:fill="auto"/>
        <w:spacing w:after="0"/>
        <w:ind w:lef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 Часть 1 и 2 Гражданского кодекса Российской Федерации;</w:t>
      </w:r>
    </w:p>
    <w:p w:rsidR="007E4E1E" w:rsidRPr="00323A47" w:rsidRDefault="007E4E1E" w:rsidP="007E4E1E">
      <w:pPr>
        <w:pStyle w:val="Style10"/>
        <w:numPr>
          <w:ilvl w:val="0"/>
          <w:numId w:val="1"/>
        </w:numPr>
        <w:shd w:val="clear" w:color="auto" w:fill="auto"/>
        <w:spacing w:after="0"/>
        <w:ind w:left="20" w:firstLine="580"/>
        <w:jc w:val="both"/>
        <w:rPr>
          <w:rStyle w:val="CharStyle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45139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Кодекс Российской Федерации об административных правонарушениях;</w:t>
      </w:r>
    </w:p>
    <w:p w:rsidR="007E4E1E" w:rsidRPr="00D45139" w:rsidRDefault="007E4E1E" w:rsidP="007E4E1E">
      <w:pPr>
        <w:pStyle w:val="Style10"/>
        <w:numPr>
          <w:ilvl w:val="0"/>
          <w:numId w:val="1"/>
        </w:numPr>
        <w:shd w:val="clear" w:color="auto" w:fill="auto"/>
        <w:spacing w:after="0"/>
        <w:ind w:lef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Кодекс ОЭСР о либерализации движения капиталов;</w:t>
      </w:r>
    </w:p>
    <w:p w:rsidR="007E4E1E" w:rsidRPr="00323A47" w:rsidRDefault="007E4E1E" w:rsidP="007E4E1E">
      <w:pPr>
        <w:pStyle w:val="Style10"/>
        <w:numPr>
          <w:ilvl w:val="0"/>
          <w:numId w:val="1"/>
        </w:numPr>
        <w:shd w:val="clear" w:color="auto" w:fill="auto"/>
        <w:spacing w:after="0"/>
        <w:ind w:left="20" w:firstLine="58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Кодекс ОЭСР о либерализации текущих невидимых операций;</w:t>
      </w:r>
    </w:p>
    <w:p w:rsidR="007E4E1E" w:rsidRDefault="007E4E1E" w:rsidP="007E4E1E">
      <w:pPr>
        <w:pStyle w:val="Style10"/>
        <w:numPr>
          <w:ilvl w:val="0"/>
          <w:numId w:val="1"/>
        </w:numPr>
        <w:shd w:val="clear" w:color="auto" w:fill="auto"/>
        <w:spacing w:after="0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7 февраля 1992 г. № 2300-1 «О защите прав потребителей»;</w:t>
      </w:r>
    </w:p>
    <w:p w:rsidR="007E4E1E" w:rsidRPr="004C255C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323A47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27 ноября 1993 г. № 4015-1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5C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организации страхового дела в Российской Федерации»;</w:t>
      </w:r>
    </w:p>
    <w:p w:rsidR="007E4E1E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28 марта 1998 г. №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системы»;</w:t>
      </w:r>
    </w:p>
    <w:p w:rsidR="007E4E1E" w:rsidRPr="004C255C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4C255C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средств»;</w:t>
      </w:r>
    </w:p>
    <w:p w:rsidR="007E4E1E" w:rsidRPr="004C255C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Федеральный закон от 29 ноября 2007 г. № 286-ФЗ «О взаимном страховании»;</w:t>
      </w:r>
    </w:p>
    <w:p w:rsidR="007E4E1E" w:rsidRPr="004C255C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Федеральный закон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7E4E1E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Федеральный закон от 29 ноября 2010 № 326-ФЗ «Об обязательном медицинском страховании в Российской Федерации»;</w:t>
      </w:r>
    </w:p>
    <w:p w:rsidR="007E4E1E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Style w:val="CharStyle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Федеральный закон от 25 июля 2011 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7E4E1E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4C255C"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>Федеральный закон от 14 июня 2012 г. № 67-ФЗ «Об обязательном страховании гражданской ответственности перевозчика за причинение вреда</w:t>
      </w:r>
      <w:r>
        <w:rPr>
          <w:rStyle w:val="CharStyle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жизни, здоровью, имуществу пассажиров и о порядке возмещения такого вреда, причиненного при перевозках пассажиров метрополитеном»; </w:t>
      </w:r>
    </w:p>
    <w:p w:rsidR="007E4E1E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Договор о Евразийском экономическом союзе (Подписан в г. Астане 29.05.2014);</w:t>
      </w:r>
    </w:p>
    <w:p w:rsidR="007E4E1E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Стратегия развития страховой деятельности в Российской Федерации до 2020 года, утвержденная распоряжением Правительства Российской Федерации от 22 июля 2013 г. № 1293-р;</w:t>
      </w:r>
    </w:p>
    <w:p w:rsidR="007E4E1E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Протокол от 16 декабря 2011 г. «О присоединении Российской Федерации к </w:t>
      </w:r>
      <w:proofErr w:type="spellStart"/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Марракешскому</w:t>
      </w:r>
      <w:proofErr w:type="spellEnd"/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 соглашению об учреждении Всемирной торговой организации от 15 апреля 1994 г.» (в частности специфические обязательства Российской Федерации по услугам);</w:t>
      </w:r>
    </w:p>
    <w:p w:rsidR="007E4E1E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Протокол о создании общего страхового рынка государств - членов Евразийского экономического сообщества (</w:t>
      </w:r>
      <w:proofErr w:type="spellStart"/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ЕврАзЭС</w:t>
      </w:r>
      <w:proofErr w:type="spellEnd"/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) (Федеральный закон от 5 мая 2014 г. № 89-ФЗ «О ратификации Протокола о создании общего страхового рынка государств - </w:t>
      </w: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lastRenderedPageBreak/>
        <w:t>членов Евразийского экономического сообщества»);</w:t>
      </w:r>
    </w:p>
    <w:p w:rsidR="007E4E1E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Доклад Рабочей группы по присоединению Российской Федерации к Всемирной торговой организации;</w:t>
      </w:r>
    </w:p>
    <w:p w:rsidR="007E4E1E" w:rsidRPr="004C255C" w:rsidRDefault="007E4E1E" w:rsidP="007E4E1E">
      <w:pPr>
        <w:pStyle w:val="Style10"/>
        <w:numPr>
          <w:ilvl w:val="0"/>
          <w:numId w:val="2"/>
        </w:numPr>
        <w:shd w:val="clear" w:color="auto" w:fill="auto"/>
        <w:spacing w:after="0"/>
        <w:ind w:left="20" w:right="20" w:firstLine="58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Ключевые принципы страхования» (</w:t>
      </w: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  <w:lang w:val="en-US"/>
        </w:rPr>
        <w:t>Insurance</w:t>
      </w: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  <w:lang w:val="en-US"/>
        </w:rPr>
        <w:t>core</w:t>
      </w: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  <w:lang w:val="en-US"/>
        </w:rPr>
        <w:t>principles</w:t>
      </w: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) Международно</w:t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й ассоциации страховых надзоров.</w:t>
      </w:r>
    </w:p>
    <w:p w:rsidR="007E4E1E" w:rsidRDefault="007E4E1E" w:rsidP="007E4E1E">
      <w:pPr>
        <w:pStyle w:val="Style26"/>
        <w:keepNext/>
        <w:keepLines/>
        <w:shd w:val="clear" w:color="auto" w:fill="auto"/>
        <w:spacing w:before="0"/>
        <w:ind w:left="2260" w:right="1000"/>
        <w:rPr>
          <w:rStyle w:val="CharStyle27"/>
          <w:rFonts w:ascii="Times New Roman" w:hAnsi="Times New Roman" w:cs="Times New Roman"/>
          <w:color w:val="000000"/>
          <w:sz w:val="24"/>
          <w:szCs w:val="24"/>
        </w:rPr>
      </w:pPr>
      <w:bookmarkStart w:id="1" w:name="bookmark13"/>
    </w:p>
    <w:p w:rsidR="007E4E1E" w:rsidRPr="00D45139" w:rsidRDefault="007E4E1E" w:rsidP="007E4E1E">
      <w:pPr>
        <w:pStyle w:val="Style26"/>
        <w:keepNext/>
        <w:keepLines/>
        <w:shd w:val="clear" w:color="auto" w:fill="auto"/>
        <w:spacing w:before="0"/>
        <w:ind w:left="2260" w:right="1000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27"/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 по специализации профессиональной служебной деятельности</w:t>
      </w:r>
      <w:bookmarkEnd w:id="1"/>
    </w:p>
    <w:p w:rsidR="007E4E1E" w:rsidRPr="00D45139" w:rsidRDefault="007E4E1E" w:rsidP="007E4E1E">
      <w:pPr>
        <w:pStyle w:val="Style10"/>
        <w:shd w:val="clear" w:color="auto" w:fill="auto"/>
        <w:spacing w:after="0"/>
        <w:ind w:left="3740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«Актуарная деятельность»</w:t>
      </w:r>
    </w:p>
    <w:p w:rsidR="007E4E1E" w:rsidRPr="00A515AA" w:rsidRDefault="007E4E1E" w:rsidP="007E4E1E">
      <w:pPr>
        <w:pStyle w:val="Style10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Закон Ро</w:t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ссийской Федерации от 27 ноября </w:t>
      </w: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1993</w:t>
      </w: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ab/>
        <w:t>г. № 4015-1</w:t>
      </w: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ab/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организации страхового дела в Российской Федерации».</w:t>
      </w:r>
    </w:p>
    <w:p w:rsidR="007E4E1E" w:rsidRDefault="007E4E1E" w:rsidP="007E4E1E">
      <w:pPr>
        <w:pStyle w:val="Style10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28 марта 1998 г. №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системы».</w:t>
      </w:r>
    </w:p>
    <w:p w:rsidR="007E4E1E" w:rsidRPr="00A515AA" w:rsidRDefault="007E4E1E" w:rsidP="007E4E1E">
      <w:pPr>
        <w:pStyle w:val="Style10"/>
        <w:numPr>
          <w:ilvl w:val="0"/>
          <w:numId w:val="3"/>
        </w:numPr>
        <w:shd w:val="clear" w:color="auto" w:fill="auto"/>
        <w:tabs>
          <w:tab w:val="left" w:pos="1345"/>
          <w:tab w:val="right" w:pos="7751"/>
          <w:tab w:val="left" w:pos="7901"/>
          <w:tab w:val="right" w:pos="9431"/>
          <w:tab w:val="right" w:pos="10065"/>
        </w:tabs>
        <w:spacing w:after="0"/>
        <w:ind w:left="20" w:firstLine="56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A515AA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Федеральный закон от 7 мая 1998 года № 75-ФЗ «О негосударственных пенсионных фондах».</w:t>
      </w:r>
    </w:p>
    <w:p w:rsidR="007E4E1E" w:rsidRPr="00A515AA" w:rsidRDefault="007E4E1E" w:rsidP="007E4E1E">
      <w:pPr>
        <w:pStyle w:val="Style10"/>
        <w:numPr>
          <w:ilvl w:val="0"/>
          <w:numId w:val="3"/>
        </w:numPr>
        <w:shd w:val="clear" w:color="auto" w:fill="auto"/>
        <w:tabs>
          <w:tab w:val="left" w:pos="1345"/>
          <w:tab w:val="right" w:pos="7751"/>
          <w:tab w:val="left" w:pos="7901"/>
          <w:tab w:val="right" w:pos="9431"/>
          <w:tab w:val="right" w:pos="10065"/>
        </w:tabs>
        <w:spacing w:after="0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</w:t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альный закон от 15 декабря 2001 года № </w:t>
      </w: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167-ФЗ</w:t>
      </w: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5AA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обязательном пенсионном страховании в Российской Федерации.</w:t>
      </w:r>
    </w:p>
    <w:p w:rsidR="007E4E1E" w:rsidRPr="00481143" w:rsidRDefault="007E4E1E" w:rsidP="007E4E1E">
      <w:pPr>
        <w:pStyle w:val="Style10"/>
        <w:numPr>
          <w:ilvl w:val="0"/>
          <w:numId w:val="3"/>
        </w:numPr>
        <w:shd w:val="clear" w:color="auto" w:fill="auto"/>
        <w:tabs>
          <w:tab w:val="left" w:pos="1345"/>
          <w:tab w:val="left" w:pos="7877"/>
          <w:tab w:val="right" w:pos="9431"/>
        </w:tabs>
        <w:spacing w:after="0"/>
        <w:ind w:left="20" w:firstLine="56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Федеральный зак</w:t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он от 25 апреля 2002 г. «40-ФЗ </w:t>
      </w: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«Об</w:t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обязательном</w:t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143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страховании гражданской ответственности владельцев транспортных средств».</w:t>
      </w:r>
    </w:p>
    <w:p w:rsidR="007E4E1E" w:rsidRPr="00481143" w:rsidRDefault="007E4E1E" w:rsidP="007E4E1E">
      <w:pPr>
        <w:pStyle w:val="Style10"/>
        <w:numPr>
          <w:ilvl w:val="0"/>
          <w:numId w:val="3"/>
        </w:numPr>
        <w:shd w:val="clear" w:color="auto" w:fill="auto"/>
        <w:tabs>
          <w:tab w:val="left" w:pos="1345"/>
          <w:tab w:val="left" w:pos="7877"/>
          <w:tab w:val="right" w:pos="9431"/>
        </w:tabs>
        <w:spacing w:after="0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C255C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Федеральный закон от 10 июля 2002 г. № 86-ФЗ «О Центральном банке Российской Федерации (Банке России)»</w:t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E4E1E" w:rsidRPr="00122298" w:rsidRDefault="007E4E1E" w:rsidP="007E4E1E">
      <w:pPr>
        <w:pStyle w:val="Style10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Федеральный закон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7E4E1E" w:rsidRDefault="007E4E1E" w:rsidP="007E4E1E">
      <w:pPr>
        <w:pStyle w:val="Style10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45139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Федеральный закон от 14 июня 2012 г.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</w:r>
    </w:p>
    <w:p w:rsidR="007E4E1E" w:rsidRPr="00122298" w:rsidRDefault="007E4E1E" w:rsidP="007E4E1E">
      <w:pPr>
        <w:pStyle w:val="Style10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 w:rsidRPr="00122298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Федеральный закон от 2 ноября 2013 г. № 293-ФЗ «Об актуарной деятельности в Российской Федерации».</w:t>
      </w:r>
    </w:p>
    <w:p w:rsidR="007E4E1E" w:rsidRPr="00122298" w:rsidRDefault="007E4E1E" w:rsidP="007E4E1E">
      <w:pPr>
        <w:pStyle w:val="Style10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  <w:rPr>
          <w:rStyle w:val="CharStyle25"/>
          <w:rFonts w:ascii="Times New Roman" w:hAnsi="Times New Roman" w:cs="Times New Roman"/>
          <w:sz w:val="24"/>
          <w:szCs w:val="24"/>
        </w:rPr>
      </w:pP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П</w:t>
      </w:r>
      <w:r w:rsidRPr="00122298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риказ Банка России от 19 августа 2014 года № ОД-2168 «О Совете по актуарной деятельности».</w:t>
      </w:r>
    </w:p>
    <w:p w:rsidR="007E4E1E" w:rsidRPr="007E4E1E" w:rsidRDefault="007E4E1E" w:rsidP="007E4E1E">
      <w:pPr>
        <w:pStyle w:val="Style10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  <w:rPr>
          <w:rStyle w:val="CharStyle25"/>
          <w:rFonts w:ascii="Times New Roman" w:hAnsi="Times New Roman" w:cs="Times New Roman"/>
          <w:sz w:val="24"/>
          <w:szCs w:val="24"/>
          <w:shd w:val="clear" w:color="auto" w:fill="auto"/>
        </w:rPr>
      </w:pPr>
      <w:proofErr w:type="gramStart"/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П</w:t>
      </w:r>
      <w:r w:rsidRPr="00122298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риказ Минфина России от 29 ноября 2013 г. № 1</w:t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10</w:t>
      </w:r>
      <w:r w:rsidRPr="00122298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н «Об утверждении Порядка определения размера </w:t>
      </w:r>
      <w:r w:rsidRPr="00122298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страхового тарифа по обязательному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298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в</w:t>
      </w:r>
      <w:proofErr w:type="gramEnd"/>
      <w:r w:rsidRPr="00122298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2298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 xml:space="preserve">том числе структуры страхового тарифа, порядка его применения при расчете страховой премии, перечня, порядка сбора и хранения статистических данных, применяемых при расчете размера страхового тарифа, </w:t>
      </w:r>
      <w:r w:rsidRPr="00122298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lastRenderedPageBreak/>
        <w:t>порядка обмена такими данными между страхователем и страховщиком, порядка уведомления страховщиком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страховой деятельности, о заключении договора обязательного государственного страхования»</w:t>
      </w:r>
      <w:r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351EC" w:rsidRPr="007E4E1E" w:rsidRDefault="007E4E1E" w:rsidP="007E4E1E">
      <w:pPr>
        <w:pStyle w:val="Style10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22298">
        <w:rPr>
          <w:rStyle w:val="CharStyle25"/>
          <w:rFonts w:ascii="Times New Roman" w:hAnsi="Times New Roman" w:cs="Times New Roman"/>
          <w:color w:val="000000"/>
          <w:sz w:val="24"/>
          <w:szCs w:val="24"/>
        </w:rPr>
        <w:t>Стратегия развития страховой деятельности в Российской Федерации до 2020 года, утвержденная распоряжением Правительства Российской Федерации от 22 июля 2013 г. № 1293-р.</w:t>
      </w:r>
    </w:p>
    <w:sectPr w:rsidR="006351EC" w:rsidRPr="007E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D"/>
    <w:multiLevelType w:val="multilevel"/>
    <w:tmpl w:val="0000000C"/>
    <w:lvl w:ilvl="0">
      <w:start w:val="6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1E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4E1E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1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basedOn w:val="a0"/>
    <w:link w:val="Style10"/>
    <w:uiPriority w:val="99"/>
    <w:rsid w:val="007E4E1E"/>
    <w:rPr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rsid w:val="007E4E1E"/>
    <w:rPr>
      <w:b/>
      <w:bCs/>
      <w:spacing w:val="10"/>
      <w:sz w:val="23"/>
      <w:szCs w:val="23"/>
      <w:shd w:val="clear" w:color="auto" w:fill="FFFFFF"/>
    </w:rPr>
  </w:style>
  <w:style w:type="character" w:customStyle="1" w:styleId="CharStyle19">
    <w:name w:val="Char Style 19"/>
    <w:basedOn w:val="a0"/>
    <w:link w:val="Style18"/>
    <w:uiPriority w:val="99"/>
    <w:rsid w:val="007E4E1E"/>
    <w:rPr>
      <w:b/>
      <w:bCs/>
      <w:spacing w:val="10"/>
      <w:sz w:val="23"/>
      <w:szCs w:val="23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7E4E1E"/>
    <w:rPr>
      <w:shd w:val="clear" w:color="auto" w:fill="FFFFFF"/>
    </w:rPr>
  </w:style>
  <w:style w:type="character" w:customStyle="1" w:styleId="CharStyle27">
    <w:name w:val="Char Style 27"/>
    <w:basedOn w:val="a0"/>
    <w:link w:val="Style26"/>
    <w:uiPriority w:val="99"/>
    <w:rsid w:val="007E4E1E"/>
    <w:rPr>
      <w:b/>
      <w:bCs/>
      <w:spacing w:val="10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7E4E1E"/>
    <w:pPr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6">
    <w:name w:val="Style 16"/>
    <w:basedOn w:val="a"/>
    <w:link w:val="CharStyle17"/>
    <w:uiPriority w:val="99"/>
    <w:rsid w:val="007E4E1E"/>
    <w:pPr>
      <w:shd w:val="clear" w:color="auto" w:fill="FFFFFF"/>
      <w:spacing w:before="300" w:line="298" w:lineRule="exact"/>
      <w:ind w:hanging="1300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23"/>
      <w:szCs w:val="23"/>
      <w:lang w:eastAsia="en-US"/>
    </w:rPr>
  </w:style>
  <w:style w:type="paragraph" w:customStyle="1" w:styleId="Style18">
    <w:name w:val="Style 18"/>
    <w:basedOn w:val="a"/>
    <w:link w:val="CharStyle19"/>
    <w:uiPriority w:val="99"/>
    <w:rsid w:val="007E4E1E"/>
    <w:pPr>
      <w:shd w:val="clear" w:color="auto" w:fill="FFFFFF"/>
      <w:spacing w:after="60" w:line="240" w:lineRule="atLeast"/>
      <w:ind w:hanging="72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pacing w:val="10"/>
      <w:sz w:val="23"/>
      <w:szCs w:val="23"/>
      <w:lang w:eastAsia="en-US"/>
    </w:rPr>
  </w:style>
  <w:style w:type="paragraph" w:customStyle="1" w:styleId="Style26">
    <w:name w:val="Style 26"/>
    <w:basedOn w:val="a"/>
    <w:link w:val="CharStyle27"/>
    <w:uiPriority w:val="99"/>
    <w:rsid w:val="007E4E1E"/>
    <w:pPr>
      <w:shd w:val="clear" w:color="auto" w:fill="FFFFFF"/>
      <w:spacing w:before="300" w:line="326" w:lineRule="exact"/>
      <w:ind w:hanging="700"/>
      <w:outlineLvl w:val="1"/>
    </w:pPr>
    <w:rPr>
      <w:rFonts w:asciiTheme="minorHAnsi" w:eastAsiaTheme="minorHAnsi" w:hAnsiTheme="minorHAnsi" w:cstheme="minorBidi"/>
      <w:b/>
      <w:bCs/>
      <w:color w:val="auto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1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basedOn w:val="a0"/>
    <w:link w:val="Style10"/>
    <w:uiPriority w:val="99"/>
    <w:rsid w:val="007E4E1E"/>
    <w:rPr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rsid w:val="007E4E1E"/>
    <w:rPr>
      <w:b/>
      <w:bCs/>
      <w:spacing w:val="10"/>
      <w:sz w:val="23"/>
      <w:szCs w:val="23"/>
      <w:shd w:val="clear" w:color="auto" w:fill="FFFFFF"/>
    </w:rPr>
  </w:style>
  <w:style w:type="character" w:customStyle="1" w:styleId="CharStyle19">
    <w:name w:val="Char Style 19"/>
    <w:basedOn w:val="a0"/>
    <w:link w:val="Style18"/>
    <w:uiPriority w:val="99"/>
    <w:rsid w:val="007E4E1E"/>
    <w:rPr>
      <w:b/>
      <w:bCs/>
      <w:spacing w:val="10"/>
      <w:sz w:val="23"/>
      <w:szCs w:val="23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7E4E1E"/>
    <w:rPr>
      <w:shd w:val="clear" w:color="auto" w:fill="FFFFFF"/>
    </w:rPr>
  </w:style>
  <w:style w:type="character" w:customStyle="1" w:styleId="CharStyle27">
    <w:name w:val="Char Style 27"/>
    <w:basedOn w:val="a0"/>
    <w:link w:val="Style26"/>
    <w:uiPriority w:val="99"/>
    <w:rsid w:val="007E4E1E"/>
    <w:rPr>
      <w:b/>
      <w:bCs/>
      <w:spacing w:val="10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7E4E1E"/>
    <w:pPr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6">
    <w:name w:val="Style 16"/>
    <w:basedOn w:val="a"/>
    <w:link w:val="CharStyle17"/>
    <w:uiPriority w:val="99"/>
    <w:rsid w:val="007E4E1E"/>
    <w:pPr>
      <w:shd w:val="clear" w:color="auto" w:fill="FFFFFF"/>
      <w:spacing w:before="300" w:line="298" w:lineRule="exact"/>
      <w:ind w:hanging="1300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23"/>
      <w:szCs w:val="23"/>
      <w:lang w:eastAsia="en-US"/>
    </w:rPr>
  </w:style>
  <w:style w:type="paragraph" w:customStyle="1" w:styleId="Style18">
    <w:name w:val="Style 18"/>
    <w:basedOn w:val="a"/>
    <w:link w:val="CharStyle19"/>
    <w:uiPriority w:val="99"/>
    <w:rsid w:val="007E4E1E"/>
    <w:pPr>
      <w:shd w:val="clear" w:color="auto" w:fill="FFFFFF"/>
      <w:spacing w:after="60" w:line="240" w:lineRule="atLeast"/>
      <w:ind w:hanging="72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pacing w:val="10"/>
      <w:sz w:val="23"/>
      <w:szCs w:val="23"/>
      <w:lang w:eastAsia="en-US"/>
    </w:rPr>
  </w:style>
  <w:style w:type="paragraph" w:customStyle="1" w:styleId="Style26">
    <w:name w:val="Style 26"/>
    <w:basedOn w:val="a"/>
    <w:link w:val="CharStyle27"/>
    <w:uiPriority w:val="99"/>
    <w:rsid w:val="007E4E1E"/>
    <w:pPr>
      <w:shd w:val="clear" w:color="auto" w:fill="FFFFFF"/>
      <w:spacing w:before="300" w:line="326" w:lineRule="exact"/>
      <w:ind w:hanging="700"/>
      <w:outlineLvl w:val="1"/>
    </w:pPr>
    <w:rPr>
      <w:rFonts w:asciiTheme="minorHAnsi" w:eastAsiaTheme="minorHAnsi" w:hAnsiTheme="minorHAnsi" w:cstheme="minorBidi"/>
      <w:b/>
      <w:bCs/>
      <w:color w:val="auto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1</cp:revision>
  <dcterms:created xsi:type="dcterms:W3CDTF">2015-02-16T12:44:00Z</dcterms:created>
  <dcterms:modified xsi:type="dcterms:W3CDTF">2015-02-16T12:46:00Z</dcterms:modified>
</cp:coreProperties>
</file>