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75" w:rsidRDefault="00FD577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D1B25" w:rsidRPr="000D1B25" w:rsidRDefault="000D1B2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D1B25" w:rsidRPr="000D1B25" w:rsidRDefault="000D1B25" w:rsidP="000D1B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Совета по аудиторской деятельности 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 </w:t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2013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D1B25" w:rsidRPr="000D1B25" w:rsidRDefault="000D1B25" w:rsidP="0033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проводились регулярно – од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три месяца.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осуществлялась в соответствии с планом работы на 2013 г., утвержденным Советом 20 декабря 2012 г. Кроме того, Совет рассмотрел ряд вопросов по инициативе Рабочего органа Совета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саморегулируемых организаций аудиторов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Минфина России. </w:t>
      </w:r>
    </w:p>
    <w:p w:rsidR="004307CA" w:rsidRDefault="004307CA" w:rsidP="00430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Рабочий орган)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Рабочем органе Совета утверждено приказом Минфина России от 29 декабря 2009 г. № 146н. </w:t>
      </w:r>
    </w:p>
    <w:p w:rsidR="00331EC4" w:rsidRPr="00331EC4" w:rsidRDefault="00331EC4" w:rsidP="00331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проведено 11 заседаний Рабочего органа. Заседания проводились ежемесячно (за исключением августа). Подготовка заседаний Рабочего органа велась, как правило, в постоянных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миссиях: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 заседаний),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</w:t>
      </w:r>
      <w:r>
        <w:rPr>
          <w:rFonts w:ascii="Times New Roman" w:hAnsi="Times New Roman" w:cs="Times New Roman"/>
          <w:sz w:val="28"/>
          <w:szCs w:val="28"/>
        </w:rPr>
        <w:t xml:space="preserve"> (7),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контролю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(7),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аттестации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(10), </w:t>
      </w:r>
      <w:r w:rsidRPr="00331EC4">
        <w:rPr>
          <w:rFonts w:ascii="Times New Roman" w:hAnsi="Times New Roman" w:cs="Times New Roman"/>
          <w:sz w:val="28"/>
          <w:szCs w:val="28"/>
        </w:rPr>
        <w:t>Комиссия по вопросам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(5).  </w:t>
      </w:r>
    </w:p>
    <w:p w:rsidR="00F43ABA" w:rsidRPr="000D1B25" w:rsidRDefault="00331EC4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31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Состав и основные функции Совета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утвержден приказом Минфина России от </w:t>
      </w:r>
      <w:r w:rsidR="00F4418C" w:rsidRPr="00F4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августа 2013 г. № 224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Среди членов Совета десять представителей пользователей бухгалтерской (финансовой) отчетности,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Центрального банка Российской Федерации и два представителя аудиторской профессии.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 и «ОПОРА РОССИИ», Ассоциацией российских банков. Среди пользователей бухгалтерской (финансовой) отчетности и аудиторских услуг по 30 % составляют представители инвестиционных институтов и составителей отчетности и по 20 % - представители финансовых институтов и рейтинговых агентств. Порядка 40 % членов Совета имеют в прошлом профессиональный опыт, связанный с аудиторской деятельностью.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всеми саморегулируемыми организациями аудиторов. В 2013 г. аудиторская профессия 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="0072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аудиторской организации и руководителем саморегулируемой организац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диторов. Ротация представителей аудиторской профессии в Совете проведена в плановом порядке в соответствии с Федеральным законом «Об аудиторской деятельности».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федеральных стандартов аудиторской деятельности и иных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оценка деятельности саморегулируемых организаций аудиторов; подготовка предложений по проведению внешних проверок качества работы аудиторских организаций.</w:t>
      </w:r>
      <w:proofErr w:type="gramEnd"/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Более 60 % членов Совета представляют пользователей бухгалтерской (финансовой) отчетности и аудиторских услуг. Председателем Совета не может быть представитель аудиторской профессии или представитель государственных органов.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утверждены приказом  Минфина России от </w:t>
      </w:r>
      <w:r w:rsidR="00F4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4418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bookmarkStart w:id="0" w:name="_GoBack"/>
      <w:bookmarkEnd w:id="0"/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5C1F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Представители аудиторской профессии в Рабочем органе составляют более 70 % общего числа членов. 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представителей всех саморегулируемых организаций аудиторов в Рабочий орган входит руководитель </w:t>
      </w:r>
      <w:r w:rsidR="0025002C" w:rsidRPr="004B3DD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</w:t>
      </w:r>
      <w:r w:rsidR="0025002C">
        <w:rPr>
          <w:rFonts w:ascii="Times New Roman" w:eastAsia="Times New Roman" w:hAnsi="Times New Roman" w:cs="Times New Roman"/>
          <w:sz w:val="28"/>
          <w:szCs w:val="28"/>
        </w:rPr>
        <w:t xml:space="preserve"> (далее – ЕАК)</w:t>
      </w:r>
      <w:r w:rsidR="00335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Вопросы регулирования аудиторской деятельности,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независимости и профессиональной этики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FAD" w:rsidRPr="004B3DD1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2012 г.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определил, что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совершенствования системы стандартов аудиторской деятельности 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международных стандартов аудита, одним из основных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выработка механизма введения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международных стандартов аудита в правовое поле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Рабочим органом подготовлены и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одобрены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перевода на русский язык международных стандартов, применяемых в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иторской деятельности (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Положения о признании документов международных стандартов аудита для применения на территории Российской Федерации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декабрь)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</w:t>
      </w:r>
      <w:r w:rsidR="004756D9" w:rsidRPr="0047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Думой Федерального Собрания Российской Федерации в октябре в первом 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федерального закона, предусматривающего переход к непосредственному применению международных стандартов аудита в российской практике, Совет продлил на 2014 г. </w:t>
      </w:r>
      <w:r w:rsidR="008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своего решения о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</w:t>
      </w:r>
      <w:r w:rsidR="008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программе разработки федеральных стандартов аудиторской деятельности на 2012-2014 гг. </w:t>
      </w:r>
    </w:p>
    <w:p w:rsidR="008A05FB" w:rsidRDefault="00925FAD" w:rsidP="00BF1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практики применения Федерального закона «Об аудиторской деятельности» </w:t>
      </w:r>
      <w:r w:rsidR="008A05FB"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A05FB"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8A05FB"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проектов федеральных законов, предусматривающих внесение изменений в отдельные статьи этого Федерального закона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одобрил подготовленные Рабочим органом законопроекты, дополняющие нормы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ивающие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организаций при аудите бухгалтерской (финансовой) отчетности кредитных организаций (июнь), 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уточняющие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аудиторской деятельности и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(сентябрь).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тем,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с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органа 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Федеральный закон "Об аудиторской  деятельности", предусматривающего снятие ограничения на участие аудиторов, имеющих действительные квалификационные аттестаты аудитора, выданные в соответствии с Федеральным законом от 7 августа 2001 г. № 119-ФЗ «Об аудиторской деятельности», в аудиторской деятельности, предусмотренной частью 3 статьи 5 Федерального закона от 30</w:t>
      </w:r>
      <w:proofErr w:type="gramEnd"/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307-ФЗ «Об аудиторской деятельности» (июнь).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Совет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поддержал законодательную инициативу по 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ограничению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аудиторских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иностранным участием </w:t>
      </w:r>
      <w:r w:rsidR="00B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="008A05FB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(декабрь).</w:t>
      </w:r>
    </w:p>
    <w:p w:rsidR="008A05FB" w:rsidRDefault="00BF19A0" w:rsidP="0092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Кодекс этики профессиональных бухгалтеров, принятый Международной федерацией бухгалтеров, Совет одобрил изменения Кодекса профессиональной этики аудиторов и Правил независимости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(июнь)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рекомендации Совета саморегулируемые организац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Кодекса и Правил в качестве обязательных для своих членов и ввели их в действие с 1 января 2014 г. </w:t>
      </w:r>
    </w:p>
    <w:p w:rsidR="008A05FB" w:rsidRDefault="00104206" w:rsidP="0092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2013 г. 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первым годом выпуска общественно значимыми организациями консолидированной финансовой отчетности по МСФО Совет одобрил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Рабочим органом </w:t>
      </w:r>
      <w:r w:rsidR="009F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проведению аудита консолидированной  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79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(март)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предложил аудиторским организациям, аудиторам</w:t>
      </w:r>
      <w:r w:rsidR="000E6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 организациям аудиторов, Федеральной службе финансово-бюджетного надзора руководствоваться указанными </w:t>
      </w:r>
      <w:r w:rsidR="009F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при проведен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консолидированной финансовой отчетности и иной аналогичной отчетности и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внешнего контроля качества работы аудиторских организаций, аудиторов.</w:t>
      </w:r>
    </w:p>
    <w:p w:rsidR="00925FAD" w:rsidRPr="00925FAD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саморегулируемых организаций аудиторов </w:t>
      </w:r>
      <w:r w:rsidR="0010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органом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</w:t>
      </w:r>
      <w:r w:rsidR="0010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0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одобрены </w:t>
      </w:r>
      <w:r w:rsidR="0056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 w:rsidR="001042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применения законодательства Российской Федерации и иных нормативных правовых актов,</w:t>
      </w:r>
      <w:r w:rsidR="0032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регулируют аудиторскую деятельность:</w:t>
      </w:r>
    </w:p>
    <w:p w:rsidR="00925FAD" w:rsidRPr="00925FAD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«Об исчислении стажа работы лиц, претендующих на получение квалификационного аттестата аудитора, за период нахождения в отпуске по уходу за ребенком» (</w:t>
      </w:r>
      <w:r w:rsidR="0056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5FAD" w:rsidRPr="00925FAD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«Об определении вида услуг, </w:t>
      </w:r>
      <w:proofErr w:type="gramStart"/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оказания которых определены федеральными стандартами аудиторской деятельности ФСАД 8/2011 «Особенности аудита отчетности, составленной по специальным правилам» и ФСАД 9/2011 «Особенности аудита отдельной части отчетности» (март);</w:t>
      </w:r>
    </w:p>
    <w:p w:rsidR="00925FAD" w:rsidRPr="00925FAD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«О порядке исчисления стажа работы аудитора в случае его нахождения в отпуске по уходу за ребенком» (июнь);</w:t>
      </w:r>
    </w:p>
    <w:p w:rsidR="00925FAD" w:rsidRDefault="00925FAD" w:rsidP="00925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«Определение вида услуг по проведению аудиторской организацией, индивидуальным аудитором экспертизы» (</w:t>
      </w:r>
      <w:r w:rsidR="0056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925F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806" w:rsidRDefault="002B1806" w:rsidP="000D1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75" w:rsidRPr="00FD5775" w:rsidRDefault="00FD5775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рынка аудиторских услуг</w:t>
      </w:r>
    </w:p>
    <w:p w:rsidR="00FD5775" w:rsidRPr="00FD5775" w:rsidRDefault="00FD5775" w:rsidP="00FD57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75" w:rsidRDefault="003E5DE0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одним из центральных вопросов повестки деятельности Совета в 2013 г. остава</w:t>
      </w:r>
      <w:r w:rsidR="003D3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</w:t>
      </w:r>
      <w:r w:rsidR="003D3B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ситуации на рынке аудиторских услуг в Российской Федерации.</w:t>
      </w:r>
      <w:r w:rsidR="003D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Совет исходил из результатов анализа состояния рынка аудиторских услуг, проведенного н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обобщенных данных о деятельности аудиторских организаций и индивидуальных аудиторов в 2012 г. (июнь). </w:t>
      </w:r>
    </w:p>
    <w:p w:rsidR="007274AA" w:rsidRPr="004B3DD1" w:rsidRDefault="003D3B20" w:rsidP="0072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этой работы 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исходил из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инфраструктуры корпоративной отчетности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2013 г. (декабрь)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отмечена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тенденция в развитии инфраструктуры корпоративной отчетности в таких областях, как нормативно-правовая база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кадровое обеспечение.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оценкой 2013 г. подтверждена высокая степень соответствия системы регулирования аудиторской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признанной практике. 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же вывод сделан </w:t>
      </w:r>
      <w:r w:rsidR="007274AA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 </w:t>
      </w:r>
      <w:r w:rsidR="007274AA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7274AA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</w:t>
      </w:r>
      <w:r w:rsid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4AA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переговоров о признании эквивалентности российской системы регулирования аудиторской деятельности системе, действующей в ЕС (декабрь).</w:t>
      </w:r>
    </w:p>
    <w:p w:rsidR="007274AA" w:rsidRPr="00AE2926" w:rsidRDefault="007274AA" w:rsidP="00727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функционирования рынка аудиторских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п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предложениями по расширению сферы обязательного аудита (сентябрь)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совершенствованию условий конкуренции на рынке аудиторских услуг,</w:t>
      </w:r>
      <w:r w:rsidRP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над мерами противодействия демпингу на этом рынке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7274A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2014 г. данная работа будет продолжена.</w:t>
      </w:r>
    </w:p>
    <w:p w:rsidR="00FD5775" w:rsidRPr="00FD5775" w:rsidRDefault="007274AA" w:rsidP="00FD57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предложений Рабочего органа Совет 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 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количества аудиторских организаций, способных оказывать услуги в сфере применения МСФО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эти рекомендации адресованы 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саморегулируемым организациям аудиторов и автономной некоммерческой организации «Единая 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аттестационная комиссия»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- совершенствование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по программам</w:t>
      </w:r>
      <w:proofErr w:type="gramEnd"/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квалификации, посвященным МСФО,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членам саморегулируем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по вопросам оказания услуг в сфере применения МСФО (сентябрь). </w:t>
      </w:r>
    </w:p>
    <w:p w:rsidR="00FD5775" w:rsidRPr="00FD5775" w:rsidRDefault="000A3329" w:rsidP="00F93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обсуждение целесообразности и обоснованности введения обязательной ротац</w:t>
      </w:r>
      <w:proofErr w:type="gramStart"/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диторских организаций. Совет 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Российским союзом промышленников и предпринимателей и </w:t>
      </w:r>
      <w:r w:rsidR="001B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организацией аудиторов - некоммерческим партнерством «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</w:t>
      </w:r>
      <w:r w:rsidR="001B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1B4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1B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«Обеспечение независимости аудиторских организаций» (март). По результатам круглого стола, а также широкого обсуждения данного вопроса деловой и профессиональной общественностью 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нецелесообразным введение в настоящее время обязательной  ротац</w:t>
      </w:r>
      <w:proofErr w:type="gramStart"/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организаций (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38EC" w:rsidRP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</w:t>
      </w:r>
      <w:r w:rsidR="00F93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укрепления независимости аудиторских организаций при проведен</w:t>
      </w:r>
      <w:proofErr w:type="gramStart"/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бухгалтерской (финансовой) отчетности 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рекомендовал</w:t>
      </w:r>
      <w:r w:rsidR="00FD5775"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хозяйствующим субъектам в части соблюдения кодекса корпоративного управления (поведения);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комитетов по аудиту советов директоров (наблюдательных советов);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огранич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внутренних аудиторов при проведен</w:t>
      </w:r>
      <w:proofErr w:type="gramStart"/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бухгалтерской (финансовой) отчетности;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услуг путем проведения открытых конкурсов;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организаций за соблюдение требований обязательной ротации руководителей и ключевых членов аудиторских групп;</w:t>
      </w:r>
    </w:p>
    <w:p w:rsidR="00FD5775" w:rsidRPr="00FD5775" w:rsidRDefault="00FD5775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усил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F93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аудиторов, </w:t>
      </w:r>
      <w:r w:rsidR="00BF46CF" w:rsidRPr="00BF4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</w:t>
      </w:r>
      <w:r w:rsidR="00BF46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46CF" w:rsidRPr="00BF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финансово-бюджетного надзора </w:t>
      </w:r>
      <w:r w:rsidRPr="00FD5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независимости аудиторских организаций, аудиторов.</w:t>
      </w:r>
    </w:p>
    <w:p w:rsidR="003E5DE0" w:rsidRPr="00CC2C46" w:rsidRDefault="003E5DE0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CC2C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CC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предложением Банка России по совершенствованию системы ответственности аудиторских организаций (аудиторов) за выдаваемые ими аудиторские заключения (сентябрь).</w:t>
      </w:r>
    </w:p>
    <w:p w:rsidR="003E5DE0" w:rsidRPr="004B3DD1" w:rsidRDefault="003E5DE0" w:rsidP="000D1B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D1" w:rsidRPr="004B3DD1" w:rsidRDefault="004B3DD1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саморегулирования</w:t>
      </w:r>
    </w:p>
    <w:p w:rsidR="004B3DD1" w:rsidRPr="004B3DD1" w:rsidRDefault="004B3DD1" w:rsidP="004B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82E" w:rsidRPr="0007582E" w:rsidRDefault="004B3DD1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проанализировал результаты деятельности саморегулируемых организаций аудиторов в 2012 г. (июнь). </w:t>
      </w:r>
      <w:r w:rsidR="0007582E" w:rsidRPr="000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определены основные направления работ по дальнейшему совершенствованию этой деятельности. </w:t>
      </w:r>
      <w:r w:rsidR="005E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направлений в 2013 г. стала работа по вопросам </w:t>
      </w:r>
      <w:r w:rsidR="0007582E" w:rsidRPr="000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5E41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582E" w:rsidRPr="0007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ответственности членов саморегулируемой организац</w:t>
      </w:r>
      <w:proofErr w:type="gramStart"/>
      <w:r w:rsidR="0007582E" w:rsidRPr="000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07582E" w:rsidRPr="00075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перед потребителями аудиторских услуг</w:t>
      </w:r>
      <w:r w:rsidR="005E4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1E8" w:rsidRDefault="005E41E8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2E" w:rsidRPr="00E0761A" w:rsidRDefault="0007582E" w:rsidP="0007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поддержал предложение аудиторской профессии в вопросе обеспечения имущественной ответственности членов саморегулируемых </w:t>
      </w:r>
      <w:r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аудиторов перед потребителями аудиторских услуг (декабрь). На основе этих предложений подготовлен проект федерального закона, предусматривающий  соответствующие изменения в Федеральный закон «Об аудиторской деятельности». </w:t>
      </w:r>
    </w:p>
    <w:p w:rsidR="004B3DD1" w:rsidRPr="004B3DD1" w:rsidRDefault="0007582E" w:rsidP="00E0761A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DD1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работа по вопросу консолидации профессиональной деятельности в сфере бухгалтерского учета и аудита (декабрь).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решил</w:t>
      </w:r>
      <w:r w:rsidR="004B3DD1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4B3DD1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</w:t>
      </w:r>
      <w:r w:rsidR="004B3DD1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3DD1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по данному вопросу</w:t>
      </w:r>
      <w:r w:rsidR="00C152F3" w:rsidRPr="00C15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участием</w:t>
      </w:r>
      <w:r w:rsidR="00C152F3" w:rsidRPr="00C1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52F3" w:rsidRPr="00C1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52F3" w:rsidRPr="00C1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аудиторов, </w:t>
      </w:r>
      <w:r w:rsidR="00E0761A"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бухгалтерских объединений, заинтересованных федеральных органов власти</w:t>
      </w:r>
      <w:r w:rsidR="00C152F3" w:rsidRP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Совет поддержал инициативу по установлению профессионального праздника специалистов в области бухгалтерского учета и аудита (декабрь).</w:t>
      </w:r>
    </w:p>
    <w:p w:rsidR="004B3DD1" w:rsidRPr="004B3DD1" w:rsidRDefault="004B3DD1" w:rsidP="004B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рассмотрена информация о результатах проведенных Минфином России проверок саморегулируемых организаций аудиторов – некоммерческих партнерств «Аудиторская Палата России» (март), «Аудиторская Ассоциация Содружество» (июнь, сентябрь), «Российская Коллегия аудиторов» (декабрь). </w:t>
      </w:r>
    </w:p>
    <w:p w:rsidR="004B3DD1" w:rsidRDefault="004B3DD1" w:rsidP="004B3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Саморегулируемые организац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- некоммерческие партнерства «Московская аудиторская палата» (март), «Аудиторская Палата России» (сентябрь),  «Аудиторская Ассоциация Содружество» (сентябрь) предоставили Совету информацию об устранении нарушений, выявленных по результатам проведенных Минфином России проверок. </w:t>
      </w:r>
    </w:p>
    <w:p w:rsidR="001B51C9" w:rsidRDefault="001B51C9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B7" w:rsidRDefault="002355BF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контроля качества работы </w:t>
      </w:r>
    </w:p>
    <w:p w:rsidR="002355BF" w:rsidRDefault="002355BF" w:rsidP="0032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аудиторских организаций, аудиторов</w:t>
      </w:r>
    </w:p>
    <w:p w:rsidR="002355BF" w:rsidRPr="002355BF" w:rsidRDefault="002355BF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BF" w:rsidRPr="004B3DD1" w:rsidRDefault="005E41E8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анализа, проведенного Рабочим органом, </w:t>
      </w:r>
      <w:r w:rsidR="002355BF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</w:t>
      </w:r>
      <w:r w:rsidR="002355BF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внешнего контроля качества работы аудиторских организаций, аудиторов в 201</w:t>
      </w:r>
      <w:r w:rsidR="0081547D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5BF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(июнь).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деятельность признана одним из важнейших направлений совершенствования работы саморегулируемых организаций аудиторов.</w:t>
      </w:r>
    </w:p>
    <w:p w:rsidR="005E41E8" w:rsidRDefault="005E41E8" w:rsidP="005E41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 разработку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необходимого для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деятельности саморегулируемых организаций аудиторов по осуществлению внешнего контроля качества работы аудиторских организаций,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 развитие принятого в 2012 г. порядка оценки указанной деятельности Совет одобрил т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иповую программу оценки</w:t>
      </w:r>
      <w:r w:rsidRPr="004B3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анкету самооценки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саморегулируемых организаций аудиторов по осуществлению внешнего контроля качества работы аудиторских организаций, аудиторов (март)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градацию оценок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Совет приступил к проведению указанной оценки </w:t>
      </w:r>
      <w:r w:rsidR="00EA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A4064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 организац</w:t>
      </w:r>
      <w:proofErr w:type="gramStart"/>
      <w:r w:rsidR="00EA4064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EA4064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-  некоммерческого партнерства «Российская Коллегия аудиторов»</w:t>
      </w:r>
      <w:r w:rsidR="00EA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064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(август, сентябрь, декабрь).</w:t>
      </w:r>
    </w:p>
    <w:p w:rsidR="00EA4064" w:rsidRPr="004B3DD1" w:rsidRDefault="00EA4064" w:rsidP="00EA4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рассмотрел результаты осуществления Федеральной службой финансово-бюджетного надзора внешнего контроля качества работы аудиторских организаций (июнь). Совет констатировал, что начатая в 2012 г. деятельность Федеральной службы финансово-бюджетного надзора по осуществлению внешнего контроля качества работы аудиторских организаций является одним из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важнейших элементов системы регулирования аудиторской деятельности, обеспечивающим независимый от аудиторской профессии контроль качества работы аудиторских организаций в общественных интересах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приняты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 формированию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финансово-бюджетного надзора </w:t>
      </w:r>
      <w:proofErr w:type="gramStart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проверок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аудиторских организаций</w:t>
      </w:r>
      <w:proofErr w:type="gramEnd"/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(март).</w:t>
      </w:r>
      <w:r w:rsidRPr="004B3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совершенствованию взаимодействия саморегулируемых организаций аудиторов и Федеральной службы финансово-бюджетного надзора по осуществлению внешнего контроля качества работы  (сентябрь).</w:t>
      </w:r>
    </w:p>
    <w:p w:rsidR="00EA4064" w:rsidRDefault="00EA4064" w:rsidP="00EA4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 внимание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саморегулируемы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и Федеральной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финансово-бюджетного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особо контролировать 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независимости аудиторов и аудиторских организаций и принципов профессиональной этики аудиторами,  являющимися работниками в нескольких аудиторских организациях  (сентябрь).</w:t>
      </w:r>
    </w:p>
    <w:p w:rsidR="005E41E8" w:rsidRPr="00EA4064" w:rsidRDefault="00EA4064" w:rsidP="005E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п</w:t>
      </w:r>
      <w:r w:rsidRPr="00EA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анализ выполнения саморегулируемыми организациями аудиторов рекомендации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A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унификации подходов к организации и осуществлению внешнего контроля качества работы своих членов (июнь).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с</w:t>
      </w:r>
      <w:r w:rsidRPr="00EA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 временная рабочая группа по унификации подходов к организации и осуществлению внешнего контроля качества работы членов саморегулируемых организаций аудиторов (октябрь).</w:t>
      </w:r>
    </w:p>
    <w:p w:rsidR="002355BF" w:rsidRPr="002355BF" w:rsidRDefault="002355BF" w:rsidP="0023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Вопросы аттестации и повышения квалификац</w:t>
      </w:r>
      <w:proofErr w:type="gramStart"/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диторов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B2794" w:rsidRPr="006B2794" w:rsidRDefault="0025002C" w:rsidP="006B27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мониторинга </w:t>
      </w:r>
      <w:r w:rsidRPr="004B3DD1">
        <w:rPr>
          <w:rFonts w:ascii="Times New Roman" w:eastAsia="Times New Roman" w:hAnsi="Times New Roman" w:cs="Times New Roman"/>
          <w:sz w:val="28"/>
          <w:szCs w:val="28"/>
        </w:rPr>
        <w:t>проведения квалификационного экзамена на получение квалификационного аттестата аудитора (далее – квалификационный экзамен)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ЕАК </w:t>
      </w:r>
      <w:r w:rsidR="000D1B25" w:rsidRPr="004B3D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 проанализировал </w:t>
      </w:r>
      <w:r w:rsidR="006A4DB4" w:rsidRPr="004B3DD1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сдачи квалификационного </w:t>
      </w:r>
      <w:r w:rsidR="00F44EB1" w:rsidRPr="004B3DD1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="00A878F6" w:rsidRPr="004B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4EB1" w:rsidRPr="004B3DD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4EB1"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 xml:space="preserve">(декабрь).  </w:t>
      </w:r>
      <w:r>
        <w:rPr>
          <w:rFonts w:ascii="Times New Roman" w:eastAsia="Times New Roman" w:hAnsi="Times New Roman" w:cs="Times New Roman"/>
          <w:sz w:val="28"/>
          <w:szCs w:val="28"/>
        </w:rPr>
        <w:t>По предложению Рабочего органа Совет признал д</w:t>
      </w:r>
      <w:r w:rsidR="006A4DB4" w:rsidRPr="004B3DD1">
        <w:rPr>
          <w:rFonts w:ascii="Times New Roman" w:eastAsia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ЕАК</w:t>
      </w:r>
      <w:r w:rsidR="006A4DB4" w:rsidRPr="004B3DD1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организационно-техническому и методическому обеспечению квалификационного экзамена в 201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4DB4"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B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DB4" w:rsidRPr="004B3DD1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ЕАК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 xml:space="preserve"> и саморегулируемым организациям аудиторов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предложено 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>принять меры, направленны</w:t>
      </w:r>
      <w:r w:rsidR="006B27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 xml:space="preserve"> на увеличение притока лиц, желающих заниматься аудиторской деятельностью</w:t>
      </w:r>
      <w:r w:rsidR="00EA058C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 xml:space="preserve">аморегулируемым организациям аудиторов </w:t>
      </w:r>
      <w:r w:rsidR="00EA058C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EA058C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 xml:space="preserve"> ротацию членов Совета </w:t>
      </w:r>
      <w:r w:rsidR="00EA058C">
        <w:rPr>
          <w:rFonts w:ascii="Times New Roman" w:eastAsia="Times New Roman" w:hAnsi="Times New Roman" w:cs="Times New Roman"/>
          <w:sz w:val="28"/>
          <w:szCs w:val="28"/>
        </w:rPr>
        <w:t>ЕАК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8C">
        <w:rPr>
          <w:rFonts w:ascii="Times New Roman" w:eastAsia="Times New Roman" w:hAnsi="Times New Roman" w:cs="Times New Roman"/>
          <w:sz w:val="28"/>
          <w:szCs w:val="28"/>
        </w:rPr>
        <w:t>Совет поддержал предложение ЕАК</w:t>
      </w:r>
      <w:r w:rsidR="00E42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D87" w:rsidRPr="004B3DD1">
        <w:rPr>
          <w:rFonts w:ascii="Times New Roman" w:eastAsia="Times New Roman" w:hAnsi="Times New Roman" w:cs="Times New Roman"/>
          <w:sz w:val="28"/>
          <w:szCs w:val="28"/>
        </w:rPr>
        <w:t xml:space="preserve">исчислять стаж работы, связанной </w:t>
      </w:r>
      <w:r w:rsidR="006B2794" w:rsidRPr="006B2794">
        <w:rPr>
          <w:rFonts w:ascii="Times New Roman" w:eastAsia="Times New Roman" w:hAnsi="Times New Roman" w:cs="Times New Roman"/>
          <w:sz w:val="28"/>
          <w:szCs w:val="28"/>
        </w:rPr>
        <w:t>с осуществлением аудиторской деятельности либо ведением бухгалтерского учета и составлением бухгалтерской (финансовой) отчетности, претендента на получение квалификационного аттестата аудитора по состоянию на дату получения им квалификационного аттестата аудитора.</w:t>
      </w:r>
    </w:p>
    <w:p w:rsidR="00AE7EED" w:rsidRDefault="00EA058C" w:rsidP="00EA05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анализа, проведенного Рабочим органом, </w:t>
      </w:r>
      <w:r w:rsidR="000D1B25" w:rsidRPr="004B3DD1">
        <w:rPr>
          <w:rFonts w:ascii="Times New Roman" w:eastAsia="Times New Roman" w:hAnsi="Times New Roman" w:cs="Times New Roman"/>
          <w:sz w:val="28"/>
          <w:szCs w:val="28"/>
        </w:rPr>
        <w:t xml:space="preserve">Совет рассмотрел результаты исполнения аудиторами требования о прохождении </w:t>
      </w:r>
      <w:proofErr w:type="gramStart"/>
      <w:r w:rsidR="000D1B25" w:rsidRPr="004B3DD1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0D1B25" w:rsidRPr="004B3DD1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квалификации, а также деятельности саморегулируемых организаций аудиторов по организации такого обучения в 201</w:t>
      </w:r>
      <w:r w:rsidR="00F44EB1" w:rsidRPr="004B3D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1B25" w:rsidRPr="004B3DD1">
        <w:rPr>
          <w:rFonts w:ascii="Times New Roman" w:eastAsia="Times New Roman" w:hAnsi="Times New Roman" w:cs="Times New Roman"/>
          <w:sz w:val="28"/>
          <w:szCs w:val="28"/>
        </w:rPr>
        <w:t xml:space="preserve"> г. (июнь). </w:t>
      </w:r>
      <w:r w:rsidR="00625D60" w:rsidRPr="004B3DD1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625D60" w:rsidRPr="004B3DD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E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</w:t>
      </w:r>
      <w:r w:rsidR="00E42E81" w:rsidRPr="00E42E81">
        <w:rPr>
          <w:rFonts w:ascii="Times New Roman" w:eastAsia="Times New Roman" w:hAnsi="Times New Roman" w:cs="Times New Roman"/>
          <w:sz w:val="28"/>
          <w:szCs w:val="28"/>
        </w:rPr>
        <w:t>екомендова</w:t>
      </w:r>
      <w:r w:rsidR="00E42E8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42E81" w:rsidRPr="00E42E81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саморегулируемым организациям аудиторов</w:t>
      </w:r>
      <w:r w:rsidR="00E42E8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5D60" w:rsidRPr="004B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EED" w:rsidRPr="004B3DD1">
        <w:rPr>
          <w:rFonts w:ascii="Times New Roman" w:eastAsia="Times New Roman" w:hAnsi="Times New Roman" w:cs="Times New Roman"/>
          <w:sz w:val="28"/>
          <w:szCs w:val="28"/>
        </w:rPr>
        <w:t>усилить координацию деятельности</w:t>
      </w:r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E7EED" w:rsidRPr="004B3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 xml:space="preserve">структурировать </w:t>
      </w:r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утверждаемые программы повышения квалификац</w:t>
      </w:r>
      <w:proofErr w:type="gramStart"/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>диторов с учетом их актуальности, нововведений, углубленного изучения определенных областей знаний, секторов экон</w:t>
      </w:r>
      <w:r w:rsidR="00E42E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 xml:space="preserve">мики; </w:t>
      </w:r>
      <w:r w:rsidR="00AE7EED" w:rsidRPr="004B3DD1">
        <w:rPr>
          <w:rFonts w:ascii="Times New Roman" w:eastAsia="Times New Roman" w:hAnsi="Times New Roman" w:cs="Times New Roman"/>
          <w:sz w:val="28"/>
          <w:szCs w:val="28"/>
        </w:rPr>
        <w:t>обеспечить создание единой базы выданных документов о повышении квалификации аудиторами,</w:t>
      </w:r>
      <w:r w:rsidR="00AE7EED" w:rsidRPr="004B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ED" w:rsidRPr="004B3DD1">
        <w:rPr>
          <w:rFonts w:ascii="Times New Roman" w:eastAsia="Times New Roman" w:hAnsi="Times New Roman" w:cs="Times New Roman"/>
          <w:sz w:val="28"/>
          <w:szCs w:val="28"/>
        </w:rPr>
        <w:t>активнее применять дистанционные формы обучения</w:t>
      </w:r>
      <w:r w:rsidR="008B7793" w:rsidRPr="004B3DD1">
        <w:rPr>
          <w:rFonts w:ascii="Times New Roman" w:eastAsia="Times New Roman" w:hAnsi="Times New Roman" w:cs="Times New Roman"/>
          <w:sz w:val="28"/>
          <w:szCs w:val="28"/>
        </w:rPr>
        <w:t xml:space="preserve"> (декабрь).</w:t>
      </w:r>
      <w:r w:rsidR="006B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8C" w:rsidRPr="00EA058C" w:rsidRDefault="00EA058C" w:rsidP="00EA058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н</w:t>
      </w:r>
      <w:r w:rsidRPr="00EA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ачато обсуждение вопроса  формирования профессиональных стандартов специалистов аудиторской деятельности (июль, сентябрь).</w:t>
      </w:r>
    </w:p>
    <w:p w:rsidR="00286930" w:rsidRPr="00286930" w:rsidRDefault="00286930" w:rsidP="00286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рассмотрел ходатайства саморегулируемых организаций аудиторов об одобрении случаев признания уважительными причин несоблюдения аудиторами требования о прохождении </w:t>
      </w:r>
      <w:proofErr w:type="gramStart"/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квалификации, установленного статьей 11 Федерального закона «Об аудиторской деятельности»  (март, июнь, сентябрь, декабрь).</w:t>
      </w:r>
      <w:r w:rsidR="007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поступило 37 ходатайств, удовлетворены 28 ходатайств, на рассмотрении Рабочего органа находится 4 ходатайства:</w:t>
      </w:r>
    </w:p>
    <w:p w:rsidR="00286930" w:rsidRPr="00286930" w:rsidRDefault="00286930" w:rsidP="002869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843"/>
        <w:gridCol w:w="1843"/>
      </w:tblGrid>
      <w:tr w:rsidR="00C8788F" w:rsidRPr="00286930" w:rsidTr="008A54C4">
        <w:trPr>
          <w:trHeight w:val="772"/>
        </w:trPr>
        <w:tc>
          <w:tcPr>
            <w:tcW w:w="4644" w:type="dxa"/>
            <w:vMerge w:val="restart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Саморегулируемая организация аудиторов, представившая ходатайство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788F" w:rsidRPr="00286930" w:rsidRDefault="00C8788F" w:rsidP="00286930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ходатайств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8788F" w:rsidRPr="00286930" w:rsidRDefault="00C8788F" w:rsidP="00286930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ходатайства</w:t>
            </w:r>
          </w:p>
        </w:tc>
      </w:tr>
      <w:tr w:rsidR="00C8788F" w:rsidRPr="00286930" w:rsidTr="008A54C4">
        <w:tc>
          <w:tcPr>
            <w:tcW w:w="4644" w:type="dxa"/>
            <w:vMerge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поддержано</w:t>
            </w:r>
          </w:p>
        </w:tc>
      </w:tr>
      <w:tr w:rsidR="00C8788F" w:rsidRPr="00286930" w:rsidTr="008A54C4">
        <w:tc>
          <w:tcPr>
            <w:tcW w:w="4644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Палата России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(1*)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1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788F" w:rsidRPr="00286930" w:rsidTr="008A54C4">
        <w:tc>
          <w:tcPr>
            <w:tcW w:w="4644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788F" w:rsidRPr="00286930" w:rsidTr="008A54C4">
        <w:tc>
          <w:tcPr>
            <w:tcW w:w="4644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аудиторская палата 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(1*)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8F" w:rsidRPr="00286930" w:rsidTr="008A54C4">
        <w:tc>
          <w:tcPr>
            <w:tcW w:w="4644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Ассоциация Содружество 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(2*)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8788F" w:rsidRPr="00286930" w:rsidRDefault="00C8788F" w:rsidP="0028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86930" w:rsidRPr="00286930" w:rsidRDefault="00C8788F" w:rsidP="002869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* На рассмотрении</w:t>
      </w:r>
      <w:r w:rsidR="00286930" w:rsidRPr="0028693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уважительным признавалось несоблюдение аудитором требования о прохождении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квалификации, установленного статьей 11 Федерального закона «Об аудиторской деятельности», в случае ухода за тяжело больным членом семьи.</w:t>
      </w:r>
    </w:p>
    <w:p w:rsidR="000D1B25" w:rsidRPr="000D1B25" w:rsidRDefault="000D1B25" w:rsidP="004B3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общедоступность сведений о деятельности Совета</w:t>
      </w: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общедоступность сведений о деятельности Совета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обеспечивалась, главным образом, путем размещения информации на официальном сайте Минфина России в сети «Интернет». Для этого в разделе «Аудиторская деятельность» сайта открыт подраздел «Совет по аудиторской деятельности». В этом подразделе </w:t>
      </w:r>
      <w:proofErr w:type="gramStart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7E3A" w:rsidRDefault="000D1B25" w:rsidP="00852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на 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2-2014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Совета за 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июль-декабрь 2011 г.,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Советом запросов по применению законодательства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A" w:rsidRP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аудиторской деятельности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2658" w:rsidRPr="00852658" w:rsidRDefault="00CA5F1B" w:rsidP="0085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регламент Рабочего органа,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иповое положение о постоянной рабочей группе (комиссии) Рабочего органа, перечень и 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постоянных комиссий Рабочего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 Рабочего органа на 2012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1B25"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Рабочего органа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июль-дек</w:t>
      </w:r>
      <w:r w:rsidR="008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абрь 2011 г., 2012 г., 2013 г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658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работ</w:t>
      </w:r>
      <w:r w:rsidR="000D4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E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объявлена благодарность Совета п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 Рабочего органа (20</w:t>
      </w:r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proofErr w:type="spellStart"/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Скобареву</w:t>
      </w:r>
      <w:proofErr w:type="spellEnd"/>
      <w:r w:rsidR="0085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(декабрь). 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открытых для этого страницах сайта.</w:t>
      </w:r>
    </w:p>
    <w:p w:rsidR="000D1B25" w:rsidRPr="000D1B25" w:rsidRDefault="000D1B25" w:rsidP="000D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Рабочего органа 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приглашением на заседания заинтересованных лиц, а также предоставлением информации о деятельности Совета</w:t>
      </w:r>
      <w:r w:rsidR="0011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Рабочего органа</w:t>
      </w:r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массовой информации.</w:t>
      </w: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1B25" w:rsidRPr="000D1B25" w:rsidRDefault="000D1B25" w:rsidP="000D1B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D1B25" w:rsidRPr="000D1B25" w:rsidRDefault="000D1B25" w:rsidP="005E7A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proofErr w:type="spellStart"/>
      <w:r w:rsidRPr="000D1B25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О.В.Вьюгин</w:t>
      </w:r>
      <w:proofErr w:type="spellEnd"/>
      <w:r w:rsidRPr="000D1B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4B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10263" w:rsidRPr="000D1B25" w:rsidRDefault="00310263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4C1899" w:rsidRPr="000D1B25" w:rsidRDefault="004C1899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 году</w:t>
      </w:r>
    </w:p>
    <w:p w:rsidR="000D1B25" w:rsidRPr="000D1B25" w:rsidRDefault="000D1B25" w:rsidP="0047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5"/>
        <w:gridCol w:w="5211"/>
        <w:gridCol w:w="2333"/>
      </w:tblGrid>
      <w:tr w:rsidR="000D1B25" w:rsidRPr="000D1B25" w:rsidTr="00476164">
        <w:trPr>
          <w:tblHeader/>
        </w:trPr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310263" w:rsidRPr="000D1B25" w:rsidRDefault="0031026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Вьюгин О.В.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 ОАО «МДМ банк»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Е.В.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ООО «Ренессанс Капитал - Финансовый Консультант»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992B96" w:rsidRPr="00992B96" w:rsidRDefault="00992B96" w:rsidP="004761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Долотенкова</w:t>
            </w:r>
            <w:r w:rsidR="00EE4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Д.К.</w:t>
            </w:r>
          </w:p>
          <w:p w:rsidR="000D1B25" w:rsidRPr="00EE4213" w:rsidRDefault="00EE4213" w:rsidP="00477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 </w:t>
            </w:r>
            <w:r w:rsidR="005A22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 августа</w:t>
            </w: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6E727E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92B96"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резидент некоммерческого партнерства «Институт Профессиональных Аудиторов»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213" w:rsidRPr="000D1B25" w:rsidTr="00476164">
        <w:tc>
          <w:tcPr>
            <w:tcW w:w="2735" w:type="dxa"/>
            <w:shd w:val="clear" w:color="auto" w:fill="auto"/>
          </w:tcPr>
          <w:p w:rsidR="00EE4213" w:rsidRDefault="00EE421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E4213" w:rsidRPr="00EE4213" w:rsidRDefault="00EE4213" w:rsidP="004779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</w:t>
            </w:r>
            <w:r w:rsidR="005A2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 августа</w:t>
            </w: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EE4213" w:rsidRPr="000D1B25" w:rsidRDefault="006E727E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E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Центрального Совета некоммерческого партнерства «Российская Коллегия аудиторов» </w:t>
            </w:r>
          </w:p>
        </w:tc>
        <w:tc>
          <w:tcPr>
            <w:tcW w:w="2333" w:type="dxa"/>
            <w:shd w:val="clear" w:color="auto" w:fill="auto"/>
          </w:tcPr>
          <w:p w:rsidR="00EE4213" w:rsidRPr="000D1B25" w:rsidRDefault="00EE421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</w:t>
            </w:r>
            <w:r w:rsidR="004C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улируемые организац</w:t>
            </w:r>
            <w:proofErr w:type="gramStart"/>
            <w:r w:rsidR="004C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="004C2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А.А.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финансам и экономике ОАО "МХК "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5211" w:type="dxa"/>
            <w:shd w:val="clear" w:color="auto" w:fill="auto"/>
          </w:tcPr>
          <w:p w:rsidR="00992B96" w:rsidRPr="004C2BA3" w:rsidRDefault="00992B96" w:rsidP="004761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4C2BA3" w:rsidRPr="000D1B25" w:rsidRDefault="004C2BA3" w:rsidP="004761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0D1B25" w:rsidRPr="000D1B25" w:rsidRDefault="000D1B25" w:rsidP="004761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НовСтрим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992B96" w:rsidRDefault="004C2BA3" w:rsidP="0047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4C2BA3" w:rsidRPr="00992B96" w:rsidRDefault="004C2BA3" w:rsidP="0047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 </w:t>
            </w:r>
            <w:r w:rsidR="005A22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 августа</w:t>
            </w:r>
            <w:r w:rsidRPr="00EE4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4C2BA3" w:rsidRDefault="004C2BA3" w:rsidP="0047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92B96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редседатель третейского суда некоммерческого партнерства «Аудиторская Палата России»</w:t>
            </w:r>
          </w:p>
        </w:tc>
        <w:tc>
          <w:tcPr>
            <w:tcW w:w="2333" w:type="dxa"/>
            <w:shd w:val="clear" w:color="auto" w:fill="auto"/>
          </w:tcPr>
          <w:p w:rsidR="004C2BA3" w:rsidRPr="00992B96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5211" w:type="dxa"/>
            <w:shd w:val="clear" w:color="auto" w:fill="auto"/>
          </w:tcPr>
          <w:p w:rsidR="00EE4213" w:rsidRPr="000D1B25" w:rsidRDefault="00992B96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Московского подразделения группы компаний Томсон Рейтер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992B96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213" w:rsidRPr="000D1B25" w:rsidTr="00476164">
        <w:tc>
          <w:tcPr>
            <w:tcW w:w="2735" w:type="dxa"/>
            <w:shd w:val="clear" w:color="auto" w:fill="auto"/>
          </w:tcPr>
          <w:p w:rsidR="00EE4213" w:rsidRDefault="00EE421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  <w:p w:rsidR="00EE4213" w:rsidRDefault="00EE4213" w:rsidP="004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A22C9"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5A2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 августа</w:t>
            </w: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EE4213" w:rsidRDefault="006E727E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E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Правления некоммерческого партнерства «Аудиторская </w:t>
            </w:r>
            <w:r w:rsidR="004C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ссоциация Содружество»</w:t>
            </w:r>
          </w:p>
        </w:tc>
        <w:tc>
          <w:tcPr>
            <w:tcW w:w="2333" w:type="dxa"/>
            <w:shd w:val="clear" w:color="auto" w:fill="auto"/>
          </w:tcPr>
          <w:p w:rsidR="00EE4213" w:rsidRDefault="00EE421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992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310263" w:rsidRDefault="0031026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Сажин А.Ф.</w:t>
            </w:r>
          </w:p>
        </w:tc>
        <w:tc>
          <w:tcPr>
            <w:tcW w:w="5211" w:type="dxa"/>
            <w:shd w:val="clear" w:color="auto" w:fill="auto"/>
          </w:tcPr>
          <w:p w:rsidR="00310263" w:rsidRDefault="0031026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 ООО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Европа»</w:t>
            </w:r>
          </w:p>
        </w:tc>
        <w:tc>
          <w:tcPr>
            <w:tcW w:w="2333" w:type="dxa"/>
            <w:shd w:val="clear" w:color="auto" w:fill="auto"/>
          </w:tcPr>
          <w:p w:rsidR="00310263" w:rsidRDefault="0031026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РСПП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Д.Б.</w:t>
            </w:r>
          </w:p>
        </w:tc>
        <w:tc>
          <w:tcPr>
            <w:tcW w:w="5211" w:type="dxa"/>
            <w:shd w:val="clear" w:color="auto" w:fill="auto"/>
          </w:tcPr>
          <w:p w:rsidR="00EE4213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</w:t>
            </w:r>
            <w:proofErr w:type="gram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«Инвестиционная компания Внешэкономбанка (ВЭБ Капитал)»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 Н.И.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Правления, заместитель генерального директора по экономике и финансам государственной корпорации по атомной энергии «</w:t>
            </w:r>
            <w:proofErr w:type="spellStart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В.В.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аудитор Банка России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России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213" w:rsidRPr="000D1B25" w:rsidTr="00476164">
        <w:tc>
          <w:tcPr>
            <w:tcW w:w="2735" w:type="dxa"/>
            <w:shd w:val="clear" w:color="auto" w:fill="auto"/>
          </w:tcPr>
          <w:p w:rsidR="00EE4213" w:rsidRDefault="00EE421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С.К.</w:t>
            </w:r>
          </w:p>
          <w:p w:rsidR="00EE4213" w:rsidRPr="004C2BA3" w:rsidRDefault="00EE4213" w:rsidP="00E40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5A22C9"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404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</w:t>
            </w:r>
            <w:r w:rsidR="005A22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августа</w:t>
            </w:r>
            <w:r w:rsidRPr="00EE4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EE4213" w:rsidRPr="000D1B25" w:rsidRDefault="006E727E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ФСФР России</w:t>
            </w:r>
          </w:p>
        </w:tc>
        <w:tc>
          <w:tcPr>
            <w:tcW w:w="2333" w:type="dxa"/>
            <w:shd w:val="clear" w:color="auto" w:fill="auto"/>
          </w:tcPr>
          <w:p w:rsidR="00EE4213" w:rsidRDefault="00EE421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ФСФР России</w:t>
            </w:r>
          </w:p>
          <w:p w:rsidR="00EE4213" w:rsidRPr="000D1B25" w:rsidRDefault="00EE421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Ю.А.</w:t>
            </w:r>
          </w:p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корпоративного упра</w:t>
            </w:r>
            <w:r w:rsidR="004C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Минэкономразвития России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4C2BA3" w:rsidRPr="000D1B25" w:rsidTr="00476164">
        <w:tc>
          <w:tcPr>
            <w:tcW w:w="2735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C2BA3" w:rsidRPr="000D1B25" w:rsidRDefault="004C2BA3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 С.Д.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5211" w:type="dxa"/>
            <w:shd w:val="clear" w:color="auto" w:fill="auto"/>
          </w:tcPr>
          <w:p w:rsidR="00992B96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финансов </w:t>
            </w:r>
          </w:p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B25" w:rsidRPr="000D1B25" w:rsidTr="00476164">
        <w:tc>
          <w:tcPr>
            <w:tcW w:w="2735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5211" w:type="dxa"/>
            <w:shd w:val="clear" w:color="auto" w:fill="auto"/>
          </w:tcPr>
          <w:p w:rsidR="000D1B25" w:rsidRPr="000D1B25" w:rsidRDefault="00992B96" w:rsidP="0047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2333" w:type="dxa"/>
            <w:shd w:val="clear" w:color="auto" w:fill="auto"/>
          </w:tcPr>
          <w:p w:rsidR="000D1B25" w:rsidRPr="000D1B25" w:rsidRDefault="000D1B25" w:rsidP="004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0D1B25" w:rsidRPr="000D1B25" w:rsidRDefault="000D1B25" w:rsidP="004761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Примечания: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4779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Ассоциация российских банков</w:t>
      </w:r>
    </w:p>
    <w:p w:rsidR="000D1B25" w:rsidRPr="000D1B25" w:rsidRDefault="000D1B25" w:rsidP="000D1B2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«Деловая Россия»</w:t>
      </w:r>
    </w:p>
    <w:p w:rsidR="000D1B25" w:rsidRPr="000D1B25" w:rsidRDefault="000D1B25" w:rsidP="000D1B2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«ОПОРА РОССИИ»</w:t>
      </w:r>
    </w:p>
    <w:p w:rsidR="000D1B25" w:rsidRPr="000D1B25" w:rsidRDefault="000D1B25" w:rsidP="000D1B2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0D1B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 промышленников и предпринимателей»</w:t>
      </w:r>
    </w:p>
    <w:p w:rsidR="00992B96" w:rsidRDefault="00992B96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451"/>
        <w:gridCol w:w="5776"/>
      </w:tblGrid>
      <w:tr w:rsidR="00992B96" w:rsidRPr="00992B96" w:rsidTr="0007582E">
        <w:tc>
          <w:tcPr>
            <w:tcW w:w="3626" w:type="dxa"/>
          </w:tcPr>
          <w:p w:rsidR="00992B96" w:rsidRPr="00992B96" w:rsidRDefault="00992B96" w:rsidP="00992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992B96" w:rsidRPr="00992B96" w:rsidRDefault="00992B96" w:rsidP="00992B96">
            <w:pPr>
              <w:ind w:left="36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992B96" w:rsidRPr="00992B96" w:rsidRDefault="00992B96" w:rsidP="00992B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27E" w:rsidRDefault="006E727E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7E" w:rsidRDefault="006E72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D1B25" w:rsidRPr="000D1B25" w:rsidRDefault="000D1B25" w:rsidP="000D1B2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4B3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D1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D1B25" w:rsidRPr="000D1B25" w:rsidRDefault="000D1B25" w:rsidP="000D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57084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Рабочего органа </w:t>
      </w:r>
      <w:r w:rsidRPr="000D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E57084" w:rsidRPr="000D1B25" w:rsidRDefault="00E57084" w:rsidP="00E5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 году</w:t>
      </w:r>
    </w:p>
    <w:p w:rsidR="000D1B25" w:rsidRDefault="000D1B25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3F" w:rsidRDefault="00CD2D3F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3F" w:rsidRPr="000D1B25" w:rsidRDefault="00CD2D3F" w:rsidP="000D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521"/>
      </w:tblGrid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секретарь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EE4213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Винокуров М.Д.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EE4213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А.Г.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  <w:p w:rsidR="00CD2D3F" w:rsidRDefault="00CD2D3F" w:rsidP="004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 2 августа)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М.Г.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Е.В.</w:t>
            </w:r>
          </w:p>
        </w:tc>
        <w:tc>
          <w:tcPr>
            <w:tcW w:w="6521" w:type="dxa"/>
            <w:shd w:val="clear" w:color="auto" w:fill="auto"/>
          </w:tcPr>
          <w:p w:rsidR="00CD2D3F" w:rsidRPr="004C2BA3" w:rsidRDefault="00CD2D3F" w:rsidP="007408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Аудиторская Палата России</w:t>
            </w:r>
            <w:r w:rsidRPr="0099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D2D3F" w:rsidRPr="000D1B25" w:rsidRDefault="00CD2D3F" w:rsidP="0074086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CD2D3F" w:rsidRPr="000D1B25" w:rsidRDefault="00CD2D3F" w:rsidP="00716E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председателя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16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992B96" w:rsidTr="00CD2D3F">
        <w:tc>
          <w:tcPr>
            <w:tcW w:w="3510" w:type="dxa"/>
            <w:shd w:val="clear" w:color="auto" w:fill="auto"/>
          </w:tcPr>
          <w:p w:rsidR="00CD2D3F" w:rsidRPr="00992B96" w:rsidRDefault="00CD2D3F" w:rsidP="0074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Каспина Р.Г.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Казанский государственный университет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CD2D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992B96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Т.В.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6521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Скобарев В.Ю.</w:t>
            </w:r>
          </w:p>
          <w:p w:rsidR="00CD2D3F" w:rsidRPr="00716E3B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(председатель Рабочего органа)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40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Профессиональных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4C2BA3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Коллегия аудиторов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О.А.</w:t>
            </w:r>
          </w:p>
          <w:p w:rsidR="00CD2D3F" w:rsidRPr="000D1B25" w:rsidRDefault="00CD2D3F" w:rsidP="004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758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по 1 августа</w:t>
            </w:r>
            <w:r w:rsidRPr="00C758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аудиторская палата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74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6521" w:type="dxa"/>
            <w:shd w:val="clear" w:color="auto" w:fill="auto"/>
          </w:tcPr>
          <w:p w:rsidR="00CD2D3F" w:rsidRPr="00992B96" w:rsidRDefault="00053AC9" w:rsidP="0005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</w:t>
            </w:r>
            <w:r w:rsidR="00CD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D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школа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Ассоциация Содружество</w:t>
            </w: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CD2D3F" w:rsidRPr="00992B96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3F" w:rsidRPr="000D1B25" w:rsidTr="00CD2D3F">
        <w:tc>
          <w:tcPr>
            <w:tcW w:w="3510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председателя Рабочего органа</w:t>
            </w:r>
            <w:r w:rsidRPr="000D1B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CD2D3F" w:rsidRPr="000D1B25" w:rsidRDefault="00CD2D3F" w:rsidP="00E5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AE2926" w:rsidRPr="001205BC" w:rsidRDefault="00AE2926" w:rsidP="00E570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25" w:rsidRPr="000D1B25" w:rsidRDefault="00AE2926" w:rsidP="00E5708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20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F9" w:rsidRDefault="00AB07F9"/>
    <w:sectPr w:rsidR="00AB07F9" w:rsidSect="00FD5775">
      <w:headerReference w:type="even" r:id="rId8"/>
      <w:headerReference w:type="default" r:id="rId9"/>
      <w:pgSz w:w="11906" w:h="16838"/>
      <w:pgMar w:top="1134" w:right="70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F8" w:rsidRDefault="00C441F8">
      <w:pPr>
        <w:spacing w:after="0" w:line="240" w:lineRule="auto"/>
      </w:pPr>
      <w:r>
        <w:separator/>
      </w:r>
    </w:p>
  </w:endnote>
  <w:endnote w:type="continuationSeparator" w:id="0">
    <w:p w:rsidR="00C441F8" w:rsidRDefault="00C4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F8" w:rsidRDefault="00C441F8">
      <w:pPr>
        <w:spacing w:after="0" w:line="240" w:lineRule="auto"/>
      </w:pPr>
      <w:r>
        <w:separator/>
      </w:r>
    </w:p>
  </w:footnote>
  <w:footnote w:type="continuationSeparator" w:id="0">
    <w:p w:rsidR="00C441F8" w:rsidRDefault="00C4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E" w:rsidRDefault="0007582E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82E" w:rsidRDefault="000758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2E" w:rsidRDefault="0007582E" w:rsidP="003D20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18C">
      <w:rPr>
        <w:rStyle w:val="a5"/>
        <w:noProof/>
      </w:rPr>
      <w:t>2</w:t>
    </w:r>
    <w:r>
      <w:rPr>
        <w:rStyle w:val="a5"/>
      </w:rPr>
      <w:fldChar w:fldCharType="end"/>
    </w:r>
  </w:p>
  <w:p w:rsidR="0007582E" w:rsidRDefault="00075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5"/>
    <w:rsid w:val="00000E55"/>
    <w:rsid w:val="0000307E"/>
    <w:rsid w:val="00003DFD"/>
    <w:rsid w:val="00005A6F"/>
    <w:rsid w:val="00006572"/>
    <w:rsid w:val="00012D57"/>
    <w:rsid w:val="000132E6"/>
    <w:rsid w:val="0001512C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3AC9"/>
    <w:rsid w:val="00060E86"/>
    <w:rsid w:val="000629EC"/>
    <w:rsid w:val="00063E70"/>
    <w:rsid w:val="0006572F"/>
    <w:rsid w:val="0006734D"/>
    <w:rsid w:val="00070EA9"/>
    <w:rsid w:val="0007582E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3329"/>
    <w:rsid w:val="000A6A83"/>
    <w:rsid w:val="000B4CD6"/>
    <w:rsid w:val="000B5871"/>
    <w:rsid w:val="000C29F2"/>
    <w:rsid w:val="000C6483"/>
    <w:rsid w:val="000C6C24"/>
    <w:rsid w:val="000D0423"/>
    <w:rsid w:val="000D1B25"/>
    <w:rsid w:val="000D49D9"/>
    <w:rsid w:val="000D506D"/>
    <w:rsid w:val="000E3B2D"/>
    <w:rsid w:val="000E69BB"/>
    <w:rsid w:val="000E7A36"/>
    <w:rsid w:val="000F2AE1"/>
    <w:rsid w:val="000F7905"/>
    <w:rsid w:val="000F7CFD"/>
    <w:rsid w:val="001032B9"/>
    <w:rsid w:val="00104206"/>
    <w:rsid w:val="0010511E"/>
    <w:rsid w:val="00114A32"/>
    <w:rsid w:val="0011541D"/>
    <w:rsid w:val="001164EB"/>
    <w:rsid w:val="00122831"/>
    <w:rsid w:val="00124F9B"/>
    <w:rsid w:val="00130D54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138C"/>
    <w:rsid w:val="001951BF"/>
    <w:rsid w:val="0019700E"/>
    <w:rsid w:val="00197810"/>
    <w:rsid w:val="00197C4C"/>
    <w:rsid w:val="001A0111"/>
    <w:rsid w:val="001A374A"/>
    <w:rsid w:val="001A598F"/>
    <w:rsid w:val="001B08BA"/>
    <w:rsid w:val="001B2963"/>
    <w:rsid w:val="001B46F5"/>
    <w:rsid w:val="001B51C9"/>
    <w:rsid w:val="001C12F2"/>
    <w:rsid w:val="001C6285"/>
    <w:rsid w:val="001C655A"/>
    <w:rsid w:val="001C7630"/>
    <w:rsid w:val="001D2D0F"/>
    <w:rsid w:val="001F0120"/>
    <w:rsid w:val="001F0698"/>
    <w:rsid w:val="001F09CC"/>
    <w:rsid w:val="00200B5C"/>
    <w:rsid w:val="00227E1B"/>
    <w:rsid w:val="00232767"/>
    <w:rsid w:val="002355BF"/>
    <w:rsid w:val="00235D1B"/>
    <w:rsid w:val="0023669B"/>
    <w:rsid w:val="0023705F"/>
    <w:rsid w:val="00241377"/>
    <w:rsid w:val="00244ED8"/>
    <w:rsid w:val="00246EDB"/>
    <w:rsid w:val="0025002C"/>
    <w:rsid w:val="00250F87"/>
    <w:rsid w:val="00252A5C"/>
    <w:rsid w:val="00260D40"/>
    <w:rsid w:val="00262175"/>
    <w:rsid w:val="00263305"/>
    <w:rsid w:val="00264616"/>
    <w:rsid w:val="00267F57"/>
    <w:rsid w:val="002727EB"/>
    <w:rsid w:val="00273A6B"/>
    <w:rsid w:val="00283954"/>
    <w:rsid w:val="00284CE9"/>
    <w:rsid w:val="00286930"/>
    <w:rsid w:val="00287F53"/>
    <w:rsid w:val="00293FDE"/>
    <w:rsid w:val="00296437"/>
    <w:rsid w:val="00296846"/>
    <w:rsid w:val="002A187C"/>
    <w:rsid w:val="002A373F"/>
    <w:rsid w:val="002A435B"/>
    <w:rsid w:val="002A49F5"/>
    <w:rsid w:val="002A66DB"/>
    <w:rsid w:val="002B1806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4162"/>
    <w:rsid w:val="002F2874"/>
    <w:rsid w:val="00301728"/>
    <w:rsid w:val="00302034"/>
    <w:rsid w:val="00302F5B"/>
    <w:rsid w:val="00303947"/>
    <w:rsid w:val="00305A82"/>
    <w:rsid w:val="00310263"/>
    <w:rsid w:val="00313D9E"/>
    <w:rsid w:val="0031489E"/>
    <w:rsid w:val="003213F7"/>
    <w:rsid w:val="00321EB7"/>
    <w:rsid w:val="0032669D"/>
    <w:rsid w:val="00326EC8"/>
    <w:rsid w:val="00331EC4"/>
    <w:rsid w:val="00335C1F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7D9"/>
    <w:rsid w:val="003A37F6"/>
    <w:rsid w:val="003A58A7"/>
    <w:rsid w:val="003A6EAB"/>
    <w:rsid w:val="003B5502"/>
    <w:rsid w:val="003C0779"/>
    <w:rsid w:val="003D2096"/>
    <w:rsid w:val="003D2F56"/>
    <w:rsid w:val="003D3B20"/>
    <w:rsid w:val="003D443B"/>
    <w:rsid w:val="003D7E88"/>
    <w:rsid w:val="003E2833"/>
    <w:rsid w:val="003E2C99"/>
    <w:rsid w:val="003E311F"/>
    <w:rsid w:val="003E5DE0"/>
    <w:rsid w:val="003E5F36"/>
    <w:rsid w:val="0040300A"/>
    <w:rsid w:val="00406F5F"/>
    <w:rsid w:val="0041064C"/>
    <w:rsid w:val="00411DC4"/>
    <w:rsid w:val="00422A7D"/>
    <w:rsid w:val="00422A8E"/>
    <w:rsid w:val="004243FA"/>
    <w:rsid w:val="00424634"/>
    <w:rsid w:val="00424B42"/>
    <w:rsid w:val="0042526A"/>
    <w:rsid w:val="004307CA"/>
    <w:rsid w:val="0043302D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56D9"/>
    <w:rsid w:val="00476164"/>
    <w:rsid w:val="00477992"/>
    <w:rsid w:val="00483295"/>
    <w:rsid w:val="004870D9"/>
    <w:rsid w:val="004943EA"/>
    <w:rsid w:val="00494C5F"/>
    <w:rsid w:val="004958B6"/>
    <w:rsid w:val="00495E11"/>
    <w:rsid w:val="00496E35"/>
    <w:rsid w:val="00497F8B"/>
    <w:rsid w:val="004A5BDC"/>
    <w:rsid w:val="004B0ECC"/>
    <w:rsid w:val="004B268D"/>
    <w:rsid w:val="004B3DD1"/>
    <w:rsid w:val="004B691F"/>
    <w:rsid w:val="004C1899"/>
    <w:rsid w:val="004C2BA3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01D8"/>
    <w:rsid w:val="00503151"/>
    <w:rsid w:val="0051463E"/>
    <w:rsid w:val="00514702"/>
    <w:rsid w:val="00516044"/>
    <w:rsid w:val="005166D5"/>
    <w:rsid w:val="00527C76"/>
    <w:rsid w:val="00527DCC"/>
    <w:rsid w:val="00532A17"/>
    <w:rsid w:val="005367B4"/>
    <w:rsid w:val="005444BA"/>
    <w:rsid w:val="00552757"/>
    <w:rsid w:val="005536FC"/>
    <w:rsid w:val="00560A93"/>
    <w:rsid w:val="005743BE"/>
    <w:rsid w:val="00575F57"/>
    <w:rsid w:val="00576551"/>
    <w:rsid w:val="00577EF9"/>
    <w:rsid w:val="00590E27"/>
    <w:rsid w:val="00591C22"/>
    <w:rsid w:val="005A114A"/>
    <w:rsid w:val="005A2295"/>
    <w:rsid w:val="005A22C9"/>
    <w:rsid w:val="005A6760"/>
    <w:rsid w:val="005B2121"/>
    <w:rsid w:val="005B293D"/>
    <w:rsid w:val="005B5F5F"/>
    <w:rsid w:val="005B6422"/>
    <w:rsid w:val="005C180B"/>
    <w:rsid w:val="005C22FC"/>
    <w:rsid w:val="005D1C34"/>
    <w:rsid w:val="005D46D2"/>
    <w:rsid w:val="005D5BEC"/>
    <w:rsid w:val="005E41E8"/>
    <w:rsid w:val="005E5AC9"/>
    <w:rsid w:val="005E7A3B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5D60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1E59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243A"/>
    <w:rsid w:val="006A4DB4"/>
    <w:rsid w:val="006A526E"/>
    <w:rsid w:val="006A6E37"/>
    <w:rsid w:val="006A7F0B"/>
    <w:rsid w:val="006B003F"/>
    <w:rsid w:val="006B2794"/>
    <w:rsid w:val="006B46B5"/>
    <w:rsid w:val="006B6FC0"/>
    <w:rsid w:val="006C0112"/>
    <w:rsid w:val="006C2B45"/>
    <w:rsid w:val="006C44F3"/>
    <w:rsid w:val="006C5157"/>
    <w:rsid w:val="006C71A5"/>
    <w:rsid w:val="006C7FC0"/>
    <w:rsid w:val="006D025F"/>
    <w:rsid w:val="006E3412"/>
    <w:rsid w:val="006E3716"/>
    <w:rsid w:val="006E4310"/>
    <w:rsid w:val="006E6704"/>
    <w:rsid w:val="006E727E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16E3B"/>
    <w:rsid w:val="00723904"/>
    <w:rsid w:val="00726D83"/>
    <w:rsid w:val="007274AA"/>
    <w:rsid w:val="007329D4"/>
    <w:rsid w:val="00736AEC"/>
    <w:rsid w:val="00737B3B"/>
    <w:rsid w:val="00751635"/>
    <w:rsid w:val="0075396B"/>
    <w:rsid w:val="007560DA"/>
    <w:rsid w:val="00756485"/>
    <w:rsid w:val="0076742D"/>
    <w:rsid w:val="00767D1F"/>
    <w:rsid w:val="00772DC4"/>
    <w:rsid w:val="00777430"/>
    <w:rsid w:val="0078345E"/>
    <w:rsid w:val="0078606B"/>
    <w:rsid w:val="00787FED"/>
    <w:rsid w:val="00790F69"/>
    <w:rsid w:val="00793107"/>
    <w:rsid w:val="007A009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4722"/>
    <w:rsid w:val="007E5992"/>
    <w:rsid w:val="007F01A9"/>
    <w:rsid w:val="007F6B63"/>
    <w:rsid w:val="0080089C"/>
    <w:rsid w:val="00807E8A"/>
    <w:rsid w:val="0081547D"/>
    <w:rsid w:val="0082040C"/>
    <w:rsid w:val="008224AB"/>
    <w:rsid w:val="00823796"/>
    <w:rsid w:val="00824265"/>
    <w:rsid w:val="00824535"/>
    <w:rsid w:val="00826F33"/>
    <w:rsid w:val="00827AD0"/>
    <w:rsid w:val="00834E41"/>
    <w:rsid w:val="00835709"/>
    <w:rsid w:val="00852658"/>
    <w:rsid w:val="00857E3A"/>
    <w:rsid w:val="008617DC"/>
    <w:rsid w:val="00865F26"/>
    <w:rsid w:val="00872BBB"/>
    <w:rsid w:val="008826BB"/>
    <w:rsid w:val="00882C76"/>
    <w:rsid w:val="00884711"/>
    <w:rsid w:val="008856CD"/>
    <w:rsid w:val="008952B9"/>
    <w:rsid w:val="008A05FB"/>
    <w:rsid w:val="008A54C4"/>
    <w:rsid w:val="008B2E35"/>
    <w:rsid w:val="008B7793"/>
    <w:rsid w:val="008C1F8C"/>
    <w:rsid w:val="008C26DC"/>
    <w:rsid w:val="008C3FE2"/>
    <w:rsid w:val="008C62AA"/>
    <w:rsid w:val="008C6642"/>
    <w:rsid w:val="008D038B"/>
    <w:rsid w:val="008D1717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210"/>
    <w:rsid w:val="008F76E5"/>
    <w:rsid w:val="0090217F"/>
    <w:rsid w:val="009030F7"/>
    <w:rsid w:val="00905C16"/>
    <w:rsid w:val="009128C1"/>
    <w:rsid w:val="009164FC"/>
    <w:rsid w:val="00917114"/>
    <w:rsid w:val="009239CD"/>
    <w:rsid w:val="00925EA7"/>
    <w:rsid w:val="00925FAD"/>
    <w:rsid w:val="00926F22"/>
    <w:rsid w:val="009339FB"/>
    <w:rsid w:val="009360B5"/>
    <w:rsid w:val="0094219E"/>
    <w:rsid w:val="009428DC"/>
    <w:rsid w:val="00943366"/>
    <w:rsid w:val="0094703F"/>
    <w:rsid w:val="00950899"/>
    <w:rsid w:val="00950A53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2B96"/>
    <w:rsid w:val="00993D55"/>
    <w:rsid w:val="009973DE"/>
    <w:rsid w:val="00997537"/>
    <w:rsid w:val="009A1387"/>
    <w:rsid w:val="009A1E2C"/>
    <w:rsid w:val="009A449F"/>
    <w:rsid w:val="009A5CCA"/>
    <w:rsid w:val="009A7F2F"/>
    <w:rsid w:val="009B0C94"/>
    <w:rsid w:val="009B1839"/>
    <w:rsid w:val="009B5BBE"/>
    <w:rsid w:val="009B64B7"/>
    <w:rsid w:val="009C03E0"/>
    <w:rsid w:val="009C7121"/>
    <w:rsid w:val="009D06AB"/>
    <w:rsid w:val="009D27E7"/>
    <w:rsid w:val="009D4417"/>
    <w:rsid w:val="009D6566"/>
    <w:rsid w:val="009D6B53"/>
    <w:rsid w:val="009E1947"/>
    <w:rsid w:val="009E272C"/>
    <w:rsid w:val="009E6C29"/>
    <w:rsid w:val="009F0D55"/>
    <w:rsid w:val="009F0E74"/>
    <w:rsid w:val="009F3C87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173D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878F6"/>
    <w:rsid w:val="00A91019"/>
    <w:rsid w:val="00A946C8"/>
    <w:rsid w:val="00AA26C4"/>
    <w:rsid w:val="00AA3D24"/>
    <w:rsid w:val="00AA6F32"/>
    <w:rsid w:val="00AB07F9"/>
    <w:rsid w:val="00AB117B"/>
    <w:rsid w:val="00AB32B7"/>
    <w:rsid w:val="00AC09E4"/>
    <w:rsid w:val="00AC314B"/>
    <w:rsid w:val="00AC49A0"/>
    <w:rsid w:val="00AC6E03"/>
    <w:rsid w:val="00AD56A8"/>
    <w:rsid w:val="00AD699B"/>
    <w:rsid w:val="00AE15E2"/>
    <w:rsid w:val="00AE2926"/>
    <w:rsid w:val="00AE2D48"/>
    <w:rsid w:val="00AE5011"/>
    <w:rsid w:val="00AE7EED"/>
    <w:rsid w:val="00AF18F3"/>
    <w:rsid w:val="00B02E31"/>
    <w:rsid w:val="00B0734F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0D87"/>
    <w:rsid w:val="00B53F31"/>
    <w:rsid w:val="00B5576B"/>
    <w:rsid w:val="00B55F24"/>
    <w:rsid w:val="00B5714D"/>
    <w:rsid w:val="00B6039E"/>
    <w:rsid w:val="00B614AB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29E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62D"/>
    <w:rsid w:val="00BE6BB0"/>
    <w:rsid w:val="00BF19A0"/>
    <w:rsid w:val="00BF303C"/>
    <w:rsid w:val="00BF46CF"/>
    <w:rsid w:val="00C049D4"/>
    <w:rsid w:val="00C05247"/>
    <w:rsid w:val="00C11DE9"/>
    <w:rsid w:val="00C152F3"/>
    <w:rsid w:val="00C15DF3"/>
    <w:rsid w:val="00C17E57"/>
    <w:rsid w:val="00C203E8"/>
    <w:rsid w:val="00C26CF5"/>
    <w:rsid w:val="00C32232"/>
    <w:rsid w:val="00C3514F"/>
    <w:rsid w:val="00C3542E"/>
    <w:rsid w:val="00C35793"/>
    <w:rsid w:val="00C441F8"/>
    <w:rsid w:val="00C45109"/>
    <w:rsid w:val="00C5467D"/>
    <w:rsid w:val="00C602C7"/>
    <w:rsid w:val="00C7588F"/>
    <w:rsid w:val="00C81E21"/>
    <w:rsid w:val="00C82545"/>
    <w:rsid w:val="00C83699"/>
    <w:rsid w:val="00C849E4"/>
    <w:rsid w:val="00C85AE5"/>
    <w:rsid w:val="00C869A8"/>
    <w:rsid w:val="00C8788F"/>
    <w:rsid w:val="00C90E3E"/>
    <w:rsid w:val="00C92D39"/>
    <w:rsid w:val="00C953C3"/>
    <w:rsid w:val="00C96906"/>
    <w:rsid w:val="00C96C5A"/>
    <w:rsid w:val="00C97FF4"/>
    <w:rsid w:val="00CA1D2D"/>
    <w:rsid w:val="00CA3710"/>
    <w:rsid w:val="00CA5F1B"/>
    <w:rsid w:val="00CB2529"/>
    <w:rsid w:val="00CB3352"/>
    <w:rsid w:val="00CB57EF"/>
    <w:rsid w:val="00CB61CA"/>
    <w:rsid w:val="00CC2C46"/>
    <w:rsid w:val="00CC4BD6"/>
    <w:rsid w:val="00CD15C5"/>
    <w:rsid w:val="00CD2CFC"/>
    <w:rsid w:val="00CD2D3F"/>
    <w:rsid w:val="00CD40A2"/>
    <w:rsid w:val="00CD54C3"/>
    <w:rsid w:val="00CE0C85"/>
    <w:rsid w:val="00CE0D5C"/>
    <w:rsid w:val="00CE6721"/>
    <w:rsid w:val="00CF1B1E"/>
    <w:rsid w:val="00CF30FF"/>
    <w:rsid w:val="00D0031E"/>
    <w:rsid w:val="00D02DD9"/>
    <w:rsid w:val="00D040E1"/>
    <w:rsid w:val="00D063BD"/>
    <w:rsid w:val="00D14C29"/>
    <w:rsid w:val="00D16E05"/>
    <w:rsid w:val="00D176ED"/>
    <w:rsid w:val="00D17D92"/>
    <w:rsid w:val="00D2278E"/>
    <w:rsid w:val="00D24E3D"/>
    <w:rsid w:val="00D258E2"/>
    <w:rsid w:val="00D32FFE"/>
    <w:rsid w:val="00D44A44"/>
    <w:rsid w:val="00D46FBA"/>
    <w:rsid w:val="00D52A8A"/>
    <w:rsid w:val="00D53536"/>
    <w:rsid w:val="00D53898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95BFA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38F"/>
    <w:rsid w:val="00DF4C92"/>
    <w:rsid w:val="00DF65EF"/>
    <w:rsid w:val="00E007C7"/>
    <w:rsid w:val="00E01248"/>
    <w:rsid w:val="00E03E71"/>
    <w:rsid w:val="00E047B8"/>
    <w:rsid w:val="00E0761A"/>
    <w:rsid w:val="00E0777C"/>
    <w:rsid w:val="00E217A8"/>
    <w:rsid w:val="00E248FC"/>
    <w:rsid w:val="00E27D92"/>
    <w:rsid w:val="00E30DF1"/>
    <w:rsid w:val="00E336F2"/>
    <w:rsid w:val="00E337E6"/>
    <w:rsid w:val="00E35BEB"/>
    <w:rsid w:val="00E404B4"/>
    <w:rsid w:val="00E42A6A"/>
    <w:rsid w:val="00E42E81"/>
    <w:rsid w:val="00E47E02"/>
    <w:rsid w:val="00E52541"/>
    <w:rsid w:val="00E5546E"/>
    <w:rsid w:val="00E56BB9"/>
    <w:rsid w:val="00E57084"/>
    <w:rsid w:val="00E613F4"/>
    <w:rsid w:val="00E635BD"/>
    <w:rsid w:val="00E657A7"/>
    <w:rsid w:val="00E65D9F"/>
    <w:rsid w:val="00E66B92"/>
    <w:rsid w:val="00E71456"/>
    <w:rsid w:val="00E716B6"/>
    <w:rsid w:val="00E764B7"/>
    <w:rsid w:val="00E778D8"/>
    <w:rsid w:val="00E8450D"/>
    <w:rsid w:val="00E84991"/>
    <w:rsid w:val="00E84D2A"/>
    <w:rsid w:val="00EA00D5"/>
    <w:rsid w:val="00EA058C"/>
    <w:rsid w:val="00EA3C7C"/>
    <w:rsid w:val="00EA4064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7DE3"/>
    <w:rsid w:val="00EE2196"/>
    <w:rsid w:val="00EE4213"/>
    <w:rsid w:val="00EF1F0F"/>
    <w:rsid w:val="00EF2081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3ABA"/>
    <w:rsid w:val="00F4418C"/>
    <w:rsid w:val="00F44E6C"/>
    <w:rsid w:val="00F44EB1"/>
    <w:rsid w:val="00F47409"/>
    <w:rsid w:val="00F5284B"/>
    <w:rsid w:val="00F609AF"/>
    <w:rsid w:val="00F62BCE"/>
    <w:rsid w:val="00F63297"/>
    <w:rsid w:val="00F6758D"/>
    <w:rsid w:val="00F71A85"/>
    <w:rsid w:val="00F721AD"/>
    <w:rsid w:val="00F750AF"/>
    <w:rsid w:val="00F77EFA"/>
    <w:rsid w:val="00F814F9"/>
    <w:rsid w:val="00F8187B"/>
    <w:rsid w:val="00F82C76"/>
    <w:rsid w:val="00F90467"/>
    <w:rsid w:val="00F938EC"/>
    <w:rsid w:val="00FA0F51"/>
    <w:rsid w:val="00FA2E48"/>
    <w:rsid w:val="00FA3D22"/>
    <w:rsid w:val="00FA4AF5"/>
    <w:rsid w:val="00FA54BF"/>
    <w:rsid w:val="00FA6F99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D5775"/>
    <w:rsid w:val="00FE0277"/>
    <w:rsid w:val="00FE51FB"/>
    <w:rsid w:val="00FE52CF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25"/>
  </w:style>
  <w:style w:type="character" w:styleId="a5">
    <w:name w:val="page number"/>
    <w:basedOn w:val="a0"/>
    <w:rsid w:val="000D1B25"/>
  </w:style>
  <w:style w:type="paragraph" w:styleId="a6">
    <w:name w:val="No Spacing"/>
    <w:uiPriority w:val="1"/>
    <w:qFormat/>
    <w:rsid w:val="007F01A9"/>
    <w:pPr>
      <w:spacing w:after="0" w:line="240" w:lineRule="auto"/>
    </w:pPr>
  </w:style>
  <w:style w:type="table" w:styleId="a7">
    <w:name w:val="Table Grid"/>
    <w:basedOn w:val="a1"/>
    <w:rsid w:val="00AE29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92B9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19AA-DC9F-49EC-AE00-901CBFE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50</cp:revision>
  <cp:lastPrinted>2014-01-16T05:48:00Z</cp:lastPrinted>
  <dcterms:created xsi:type="dcterms:W3CDTF">2014-01-16T09:53:00Z</dcterms:created>
  <dcterms:modified xsi:type="dcterms:W3CDTF">2014-02-06T10:15:00Z</dcterms:modified>
</cp:coreProperties>
</file>