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4E" w:rsidRPr="0054122A" w:rsidRDefault="000E2550" w:rsidP="0012274E">
      <w:pPr>
        <w:spacing w:after="0" w:line="360" w:lineRule="atLeast"/>
        <w:ind w:left="45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72</w:t>
      </w:r>
      <w:bookmarkStart w:id="0" w:name="_GoBack"/>
      <w:bookmarkEnd w:id="0"/>
    </w:p>
    <w:p w:rsidR="0054122A" w:rsidRPr="0054122A" w:rsidRDefault="0012274E" w:rsidP="0054122A">
      <w:pPr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 по формированию обоснований бюджетных ассигнований федерального бюджета</w:t>
      </w:r>
    </w:p>
    <w:p w:rsidR="0012274E" w:rsidRPr="0054122A" w:rsidRDefault="0012274E" w:rsidP="0054122A">
      <w:pPr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F9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</w:t>
      </w:r>
    </w:p>
    <w:p w:rsidR="0012274E" w:rsidRPr="0054122A" w:rsidRDefault="0012274E" w:rsidP="0012274E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F9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201</w:t>
      </w:r>
      <w:r w:rsidR="00F9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</w:p>
    <w:p w:rsidR="00C22B46" w:rsidRPr="00670A58" w:rsidRDefault="00C22B46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заполнению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главными распорядителями средств федерального бюджета </w:t>
      </w:r>
    </w:p>
    <w:p w:rsidR="003A5EB3" w:rsidRPr="00670A58" w:rsidRDefault="00726F8D" w:rsidP="00C500B0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обоснований бюджетных ассигнований </w:t>
      </w:r>
      <w:r w:rsidR="00C84F9A" w:rsidRPr="00C84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предоставление субвенции </w:t>
      </w:r>
      <w:r w:rsidR="00C500B0" w:rsidRPr="00C50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обеспечение жильем граждан, уволенных с военной службы (службы), и приравненных к ним лиц</w:t>
      </w:r>
      <w:r w:rsidR="00F55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C500B0" w:rsidRPr="00C50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5EB3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очередной финансовый год и плановый период</w:t>
      </w:r>
    </w:p>
    <w:p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</w:t>
      </w:r>
      <w:r w:rsidR="003A5EB3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орма по ОКУД </w:t>
      </w:r>
      <w:r w:rsidR="00C84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F8D" w:rsidRPr="00670A58" w:rsidRDefault="00726F8D" w:rsidP="0031415B">
      <w:pPr>
        <w:numPr>
          <w:ilvl w:val="0"/>
          <w:numId w:val="2"/>
        </w:numPr>
        <w:suppressAutoHyphens/>
        <w:spacing w:after="0" w:line="36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A5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726F8D" w:rsidRPr="00670A58" w:rsidRDefault="00726F8D" w:rsidP="0031415B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F8D" w:rsidRPr="00C500B0" w:rsidRDefault="00726F8D" w:rsidP="00C500B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бюджетных ассигнований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субвенции </w:t>
      </w:r>
      <w:r w:rsidR="00C500B0" w:rsidRP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жильем граждан, уволенных с военной службы (службы), и приравненных к ним лиц </w:t>
      </w:r>
      <w:r w:rsidR="00EE7294" w:rsidRP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субвенции)</w:t>
      </w:r>
      <w:r w:rsidR="00F553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7294" w:rsidRP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составляются на текущий финансовый год, очередной финансовый год, первый и второй год планового периода по форме </w:t>
      </w:r>
      <w:r w:rsidR="004C6084" w:rsidRP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C84F9A" w:rsidRP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 w:rsidRP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форма </w:t>
      </w:r>
      <w:r w:rsidR="004C6084" w:rsidRP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C84F9A" w:rsidRP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 w:rsidRP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A20F3" w:rsidRP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Приложению </w:t>
      </w:r>
      <w:r w:rsidR="00511E59" w:rsidRP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описывают структуру расходов федерального бюджета на предоставление </w:t>
      </w:r>
      <w:r w:rsidR="00EE7294" w:rsidRP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субвенций</w:t>
      </w:r>
      <w:r w:rsidR="004C6084" w:rsidRP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7294" w:rsidRP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осуществляемых</w:t>
      </w:r>
      <w:r w:rsidR="000A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B1D">
        <w:rPr>
          <w:rFonts w:ascii="Times New Roman" w:hAnsi="Times New Roman"/>
          <w:sz w:val="28"/>
          <w:szCs w:val="28"/>
        </w:rPr>
        <w:t>по виду расходов 530 «Увеличение стоимости акций и иных форм участия в капитале»</w:t>
      </w:r>
      <w:r w:rsidR="00EE7294" w:rsidRP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расходов</w:t>
      </w:r>
      <w:r w:rsidR="000A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54850</w:t>
      </w:r>
      <w:r w:rsidR="00EE7294" w:rsidRP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72EE7" w:rsidRP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</w:t>
      </w:r>
      <w:r w:rsidR="00C500B0" w:rsidRP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жильем граждан, уволенных с военной службы (службы), и приравненных к ним лиц</w:t>
      </w:r>
      <w:r w:rsidR="00EE7294" w:rsidRP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бюджетной классификации Российской Федерации.</w:t>
      </w:r>
    </w:p>
    <w:p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бюджетных ассигнований на предоставление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субвенций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и представляются главными распорядителями средств федерального бюджета путем заполнения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электронной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Министерства финансов Российской Федерации (далее</w:t>
      </w:r>
      <w:r w:rsidR="00F3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информационная система Минфина России).</w:t>
      </w:r>
    </w:p>
    <w:p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</w:t>
      </w:r>
      <w:r w:rsidR="003E76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заголовочная часть;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«</w:t>
      </w:r>
      <w:r w:rsidR="00EE7294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на предоставление субвенции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1);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E7294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объема субвенции между субъектами Российской Федерации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2);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3 «</w:t>
      </w:r>
      <w:r w:rsidR="00EE7294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нормативных правовых актах (проектах нормативных правовых актов), устанавливающих правила предоставления субвенций и (или) их распределения между субъектами Российской Федерации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3).</w:t>
      </w:r>
    </w:p>
    <w:p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F8D" w:rsidRPr="00EE7294" w:rsidRDefault="00726F8D" w:rsidP="00EE7294">
      <w:pPr>
        <w:numPr>
          <w:ilvl w:val="0"/>
          <w:numId w:val="2"/>
        </w:numPr>
        <w:suppressAutoHyphens/>
        <w:spacing w:after="0" w:line="36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2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заполнения заголовочной части </w:t>
      </w:r>
      <w:r w:rsidR="00003ACE" w:rsidRPr="00EE7294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по ОКУД </w:t>
      </w:r>
      <w:r w:rsidR="00C84F9A">
        <w:rPr>
          <w:rFonts w:ascii="Times New Roman" w:eastAsia="Times New Roman" w:hAnsi="Times New Roman" w:cs="Times New Roman"/>
          <w:b/>
          <w:sz w:val="28"/>
          <w:szCs w:val="28"/>
        </w:rPr>
        <w:t>0505</w:t>
      </w:r>
      <w:r w:rsidR="00F9526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C500B0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заголовочной части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:rsidR="00FE6488" w:rsidRPr="00670A58" w:rsidRDefault="00FE6488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утверждения (подписания) формы 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код главного распорядителя средств федерального бюджета по бюджетной классификации Российской Федерации;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</w:t>
      </w:r>
      <w:r w:rsidR="001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коды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раздела, подраздела, целевой статьи, вида расходов по бюджетной классификации Российской Федерации;</w:t>
      </w:r>
    </w:p>
    <w:p w:rsidR="00A126E4" w:rsidRPr="00670A58" w:rsidRDefault="00A126E4" w:rsidP="00A126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1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формируемого документа (основной документ; документ, содержащий изменения в основной документ);</w:t>
      </w:r>
    </w:p>
    <w:p w:rsidR="00726F8D" w:rsidRPr="00670A58" w:rsidRDefault="00186427" w:rsidP="00A126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измерения, используем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обоснований бюджетных ассигнований, по Общероссийскому классификатору единиц измерения</w:t>
      </w:r>
      <w:r w:rsidR="00726F8D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F9A" w:rsidRPr="000B4ADD" w:rsidRDefault="00C84F9A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наименования и кода целевой статьи расходов по бюджетной классификации Российской Федерации указываются наименования и коды государственной программы Российской Федерации, подпрограммы соответствующей государственной программы Российской Федерации, основного мероприятия соответствующей подпрограммы государственной </w:t>
      </w:r>
      <w:r w:rsidRPr="00635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Российской Федерации</w:t>
      </w:r>
      <w:r w:rsidR="00635EF6" w:rsidRPr="0063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F6" w:rsidRPr="00635EF6">
        <w:rPr>
          <w:rFonts w:ascii="Times New Roman" w:hAnsi="Times New Roman" w:cs="Times New Roman"/>
          <w:sz w:val="28"/>
          <w:szCs w:val="28"/>
        </w:rPr>
        <w:t>(</w:t>
      </w:r>
      <w:r w:rsidR="00635EF6" w:rsidRPr="00635EF6">
        <w:rPr>
          <w:rFonts w:ascii="Times New Roman" w:hAnsi="Times New Roman" w:cs="Times New Roman"/>
          <w:color w:val="000000"/>
          <w:sz w:val="28"/>
          <w:szCs w:val="28"/>
        </w:rPr>
        <w:t>направления деятельности, не входящего в государственные программы Российской Федерации)</w:t>
      </w:r>
      <w:r w:rsidRPr="00635EF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направления</w:t>
      </w:r>
      <w:r w:rsidRPr="000B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бюджетной классификации Российской Федерации.</w:t>
      </w:r>
    </w:p>
    <w:p w:rsidR="00726F8D" w:rsidRPr="00670A58" w:rsidRDefault="00726F8D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заголовочной части электронной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в информационной системе Минфина России автоматически на основании </w:t>
      </w:r>
      <w:r w:rsidR="003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сведений </w:t>
      </w:r>
      <w:r w:rsidR="002A4A35" w:rsidRPr="00F30F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формируемого обоснования бюджетных ассигнований по выбранному коду бюджетной классификации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и не подлежат изменению. </w:t>
      </w:r>
    </w:p>
    <w:p w:rsidR="00A126E4" w:rsidRPr="00670A58" w:rsidRDefault="00A126E4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формирования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изменений, вносимых в утвержденную форму, данные в форме указываются только в части вносимых изменений.</w:t>
      </w:r>
    </w:p>
    <w:p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75" w:rsidRPr="00670A58" w:rsidRDefault="00673175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1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по ОКУД </w:t>
      </w:r>
      <w:r w:rsidR="00C84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3A" w:rsidRPr="00C84F9A" w:rsidRDefault="00A05C3A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1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объем бюджетных ассигнований на представление субвенци</w:t>
      </w:r>
      <w:r w:rsidR="00C14D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год, очередной финансовый год, первый год планового периода и второй год планового периода. </w:t>
      </w:r>
    </w:p>
    <w:p w:rsidR="00031AF5" w:rsidRPr="00C84F9A" w:rsidRDefault="00031AF5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2-5 раздела 1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заполняются в информационной системе Минфина России автоматически на основании значений соответственно граф 3-6 подраздела 1.1 «</w:t>
      </w:r>
      <w:r w:rsidR="00A05C3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распределение объема бюджетных ассигнов</w:t>
      </w:r>
      <w:r w:rsid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на предоставление субвенции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«На предоставление </w:t>
      </w:r>
      <w:r w:rsidR="00A05C3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всего».</w:t>
      </w:r>
    </w:p>
    <w:p w:rsidR="00104039" w:rsidRPr="00104039" w:rsidRDefault="005E6FB0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 формы 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4039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подраздел 1.1 «</w:t>
      </w:r>
      <w:r w:rsidR="00A05C3A" w:rsidRP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распределение объема бюджетных ассигнов</w:t>
      </w:r>
      <w:r w:rsid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на предоставление субвенции</w:t>
      </w:r>
      <w:r w:rsidR="00104039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подраздел 1.1).</w:t>
      </w:r>
    </w:p>
    <w:p w:rsidR="00104039" w:rsidRPr="00104039" w:rsidRDefault="00104039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1.1 формы 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аналитическое распределение </w:t>
      </w:r>
      <w:r w:rsidR="005E6FB0"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бюджетных ассигнований на предоставление </w:t>
      </w:r>
      <w:r w:rsid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</w:t>
      </w:r>
      <w:r w:rsid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и второй год планового периода всего и в разрезе следующих показателей: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фонд оплаты труда, страховые взносы в государственные внебюджетные фонды и выплаты персоналу всего, из них: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гражданским служащим всего, в том числе на денежное содержание, выплаты, зависящие от размера денежного содержания государственных гражданских служащих</w:t>
      </w:r>
      <w:r w:rsidR="000B4A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начисления на выплаты по оплате труда,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федеральных государственных учреждений всего, в том числе на оплату труда, выплаты, зависящие от размера оплаты труда работников федеральных государственных учреждений, начисления на выплаты по оплате труда,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категориям работников всего, в том числе на денежное содержание, выплаты, зависящие от размера денежного содержания, начисления на выплаты по оплате труда,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расходы на фонд оплаты труда;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товаров, работ и услуг всего, в том числе: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услуги,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горюче-смазочные материалы,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расходы на закупку товаров, работ и услуг;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нормативные обязательства;</w:t>
      </w:r>
    </w:p>
    <w:p w:rsid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прочие обязательства;</w:t>
      </w:r>
    </w:p>
    <w:p w:rsidR="00B013B3" w:rsidRPr="00D03CB5" w:rsidRDefault="00B013B3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иные расходы.</w:t>
      </w:r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Графы 3-6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 предоставление субвенции, всего» рассчитываются в информационной системе Минфина России автоматически как сумма значений соответствующих граф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«на фонд оплаты труда, страховые взносы в государственные внебюджетные фонды и выплаты персоналу», «на закупку товаров, работ и услуг», «на публичные нормативные обязательс</w:t>
      </w:r>
      <w:r w:rsidR="00B013B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тва», «на прочие обязательства»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«на иные расходы».</w:t>
      </w:r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3-6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«на фонд оплаты труда, страховые взносы в государственные внебюджетные фонды и выплаты персоналу» рассчитываются в информационной системе Минфина России автоматически как сумма значений соответствующих граф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</w:t>
      </w:r>
      <w:r w:rsidR="00B013B3" w:rsidRPr="00B01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государственных гражданских служащих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B013B3" w:rsidRPr="00B01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работников федеральных государственных учреждений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B013B3" w:rsidRPr="00B01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других категорий работников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«иные расходы на фонд оплаты труда».</w:t>
      </w:r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3-6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</w:t>
      </w:r>
      <w:r w:rsidR="00B013B3" w:rsidRPr="00B01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государственных гражданских служащих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рассчитываются в информационной системе Минфина России автоматически как сумма значений соответствующих граф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«денежное содержание», «выплаты, зависящие от размера денежного содержания» и «начисления на выплаты по оплате труда» в части государственных гражданских служащих.</w:t>
      </w:r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3-6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</w:t>
      </w:r>
      <w:r w:rsidR="00B013B3" w:rsidRPr="00B01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работников федеральных государственных учреждений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рассчитываются в информационной системе Минфина России автоматически как сумма значений соответствующих граф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«оплата труда», «выплаты, зависящие от размера оплаты труда работников» и «начисления на выплаты по оплате труда» в части работников федеральных государственных учреждений.</w:t>
      </w:r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3-6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</w:t>
      </w:r>
      <w:r w:rsidR="00B013B3" w:rsidRPr="00B01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других категорий работников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рассчитываются в информационной системе Минфина России автоматически как сумма значений соответствующих граф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«денежное содержание», «выплаты, зависящие от размера денежного содержания» и «начисления на выплаты по оплате труда» в части других категорий работников.</w:t>
      </w:r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3-6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«на закупку товаров, работ и услуг» рассчитываются в информационной системе Минфина России автоматически как сумма значений соответствующих граф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«услуги связи», 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«транспортные услуги», «коммунальные услуги», «горюче-смазочные материалы» и «иные расходы на закупку товаров, работ и услуг».</w:t>
      </w:r>
    </w:p>
    <w:p w:rsidR="00D03CB5" w:rsidRPr="00670A58" w:rsidRDefault="00D03CB5" w:rsidP="003E763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75" w:rsidRPr="00670A58" w:rsidRDefault="00673175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2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по ОКУД </w:t>
      </w:r>
      <w:r w:rsidR="00C84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-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6BE" w:rsidRDefault="003156BE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 формы по ОКУД указывается объем бюджетных ассигнований на предоставление</w:t>
      </w:r>
      <w:r w:rsidR="005F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5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</w:t>
      </w:r>
      <w:r w:rsidR="005872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и второй год планового периода с распределением по субъектам Российской Федерации.</w:t>
      </w:r>
    </w:p>
    <w:p w:rsidR="00ED22BF" w:rsidRPr="00ED22BF" w:rsidRDefault="00ED22BF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654987" w:rsidRPr="00C9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формы 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4987" w:rsidRPr="00C9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одновременно с представлением главным распорядителем средств федерального бюджета 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приложений к федеральному закону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федеральном бюджете на очередной год и на плановый период по распределению межбюджетных трансфертов - в сроки, установленные Графиком подготовки и рассмотрения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период.</w:t>
      </w:r>
    </w:p>
    <w:p w:rsidR="00ED22BF" w:rsidRPr="00ED22BF" w:rsidRDefault="00175577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C9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формы по ОКУД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проектом закона о федеральном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предполагается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объема бюджетных ассигнований на предоставление субвенции между субъектами Российской Федерации хотя бы на один год из трехлетнего периода (очередной финансовый год, первый год планового периода и второй год планового периода).</w:t>
      </w:r>
    </w:p>
    <w:p w:rsidR="003156BE" w:rsidRPr="00C84F9A" w:rsidRDefault="003156BE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графах 1-6 раздела </w:t>
      </w:r>
      <w:r w:rsidR="00345A2B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в разрезе </w:t>
      </w:r>
      <w:r w:rsidR="00345A2B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56BE" w:rsidRPr="00670A58" w:rsidRDefault="003156BE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45A2B" w:rsidRPr="00670A58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670A58">
        <w:rPr>
          <w:rFonts w:ascii="Times New Roman" w:hAnsi="Times New Roman" w:cs="Times New Roman"/>
          <w:sz w:val="28"/>
          <w:szCs w:val="28"/>
        </w:rPr>
        <w:t xml:space="preserve"> (графа 1);</w:t>
      </w:r>
    </w:p>
    <w:p w:rsidR="003156BE" w:rsidRPr="00670A58" w:rsidRDefault="003156BE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58">
        <w:rPr>
          <w:rFonts w:ascii="Times New Roman" w:hAnsi="Times New Roman" w:cs="Times New Roman"/>
          <w:sz w:val="28"/>
          <w:szCs w:val="28"/>
        </w:rPr>
        <w:t>код строки (графа 2);</w:t>
      </w:r>
    </w:p>
    <w:p w:rsidR="003156BE" w:rsidRPr="00670A58" w:rsidRDefault="003156BE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345A2B" w:rsidRPr="00670A58">
        <w:rPr>
          <w:rFonts w:ascii="Times New Roman" w:hAnsi="Times New Roman" w:cs="Times New Roman"/>
          <w:sz w:val="28"/>
          <w:szCs w:val="28"/>
        </w:rPr>
        <w:t>предоставляем</w:t>
      </w:r>
      <w:r w:rsidR="00587284">
        <w:rPr>
          <w:rFonts w:ascii="Times New Roman" w:hAnsi="Times New Roman" w:cs="Times New Roman"/>
          <w:sz w:val="28"/>
          <w:szCs w:val="28"/>
        </w:rPr>
        <w:t>ой</w:t>
      </w:r>
      <w:r w:rsidR="00345A2B" w:rsidRPr="00670A58">
        <w:rPr>
          <w:rFonts w:ascii="Times New Roman" w:hAnsi="Times New Roman" w:cs="Times New Roman"/>
          <w:sz w:val="28"/>
          <w:szCs w:val="28"/>
        </w:rPr>
        <w:t xml:space="preserve"> </w:t>
      </w:r>
      <w:r w:rsidR="00E37576">
        <w:rPr>
          <w:rFonts w:ascii="Times New Roman" w:hAnsi="Times New Roman" w:cs="Times New Roman"/>
          <w:sz w:val="28"/>
          <w:szCs w:val="28"/>
        </w:rPr>
        <w:t>субвенци</w:t>
      </w:r>
      <w:r w:rsidR="00587284">
        <w:rPr>
          <w:rFonts w:ascii="Times New Roman" w:hAnsi="Times New Roman" w:cs="Times New Roman"/>
          <w:sz w:val="28"/>
          <w:szCs w:val="28"/>
        </w:rPr>
        <w:t>и</w:t>
      </w:r>
      <w:r w:rsidRPr="00670A58">
        <w:rPr>
          <w:rFonts w:ascii="Times New Roman" w:hAnsi="Times New Roman" w:cs="Times New Roman"/>
          <w:sz w:val="28"/>
          <w:szCs w:val="28"/>
        </w:rPr>
        <w:t xml:space="preserve"> на текущий финансовый год, на очередной финансовый год, на первый год планового периода, на второй год планового периода (графы 3-6).</w:t>
      </w:r>
    </w:p>
    <w:p w:rsidR="00E37576" w:rsidRPr="00C84F9A" w:rsidRDefault="00E37576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1 раздела 2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на основании справочника «Субъекты Российской Федерации», ведение которого осуществляется Министерством финансов Российской Федерации.</w:t>
      </w:r>
    </w:p>
    <w:p w:rsidR="005F16B9" w:rsidRPr="00C84F9A" w:rsidRDefault="005F16B9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2 раздела </w:t>
      </w:r>
      <w:r w:rsidR="005F4B5E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в информационной системе Минфина России и заполняется автоматически.</w:t>
      </w:r>
    </w:p>
    <w:p w:rsidR="003156BE" w:rsidRPr="00670A58" w:rsidRDefault="00670A58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3-6 раздела 2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</w:t>
      </w:r>
      <w:r w:rsidR="00F553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заполняются в информационной системе Минфина России автоматически на основании значений </w:t>
      </w:r>
      <w:r w:rsidR="005F4B5E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 </w:t>
      </w:r>
      <w:r w:rsidR="00031AF5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2-5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A58" w:rsidRPr="00670A58" w:rsidRDefault="00670A58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Графы 3-6 раздела 2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строке «Нераспределенный резерв»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информационной системе Минфина России </w:t>
      </w:r>
      <w:r w:rsidR="00654987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автоматически 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«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значений строк по всем </w:t>
      </w:r>
      <w:r w:rsidR="00ED22BF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Российской Федерации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987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4987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соответствующему периоду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2B9" w:rsidRPr="00654987" w:rsidRDefault="00A912B9" w:rsidP="0031415B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</w:t>
      </w:r>
      <w:r w:rsidR="00A912B9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по ОКУД </w:t>
      </w:r>
      <w:r w:rsidR="00C84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2B9" w:rsidRPr="007F6C5B" w:rsidRDefault="00A912B9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сведения о нормативных правовых актах (проектах нормативных правовых актов)</w:t>
      </w:r>
      <w:r w:rsidR="002A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устанавливающих правила предоставления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субвенций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их 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субъектами Российской Федерации.</w:t>
      </w:r>
    </w:p>
    <w:p w:rsidR="00A912B9" w:rsidRPr="00670A58" w:rsidRDefault="00A912B9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графах 1-4 раздела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указывается:</w:t>
      </w:r>
    </w:p>
    <w:p w:rsidR="00A912B9" w:rsidRPr="00670A58" w:rsidRDefault="00A912B9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нормативного правового акта (проекта нормативного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акта) (графа 1);</w:t>
      </w:r>
    </w:p>
    <w:p w:rsidR="00A912B9" w:rsidRPr="00670A58" w:rsidRDefault="00A912B9" w:rsidP="0031415B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принятия нормативного правового акта (проекта нормативного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акта) (графа 2);</w:t>
      </w:r>
    </w:p>
    <w:p w:rsidR="00A912B9" w:rsidRPr="00670A58" w:rsidRDefault="00A912B9" w:rsidP="0031415B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нормативного правового акта (проекта нормативного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акта) (графа 3);</w:t>
      </w:r>
    </w:p>
    <w:p w:rsidR="00A912B9" w:rsidRPr="00670A58" w:rsidRDefault="00A912B9" w:rsidP="0031415B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нормативного правового акта (проекта нормативного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акта) (графа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12B9" w:rsidRPr="00670A58" w:rsidRDefault="00A912B9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1 раздела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на основании справочника «Виды нормативных правовых (правовых) актов», ведение которого осуществляется Министерством финансов Российской Федерации.</w:t>
      </w:r>
    </w:p>
    <w:sectPr w:rsidR="00A912B9" w:rsidRPr="00670A58" w:rsidSect="001B7DA9">
      <w:headerReference w:type="default" r:id="rId9"/>
      <w:pgSz w:w="11900" w:h="16820" w:code="9"/>
      <w:pgMar w:top="1134" w:right="1134" w:bottom="1134" w:left="1134" w:header="568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29" w:rsidRDefault="00C57E29">
      <w:pPr>
        <w:spacing w:after="0" w:line="240" w:lineRule="auto"/>
      </w:pPr>
      <w:r>
        <w:separator/>
      </w:r>
    </w:p>
  </w:endnote>
  <w:endnote w:type="continuationSeparator" w:id="0">
    <w:p w:rsidR="00C57E29" w:rsidRDefault="00C5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29" w:rsidRDefault="00C57E29">
      <w:pPr>
        <w:spacing w:after="0" w:line="240" w:lineRule="auto"/>
      </w:pPr>
      <w:r>
        <w:separator/>
      </w:r>
    </w:p>
  </w:footnote>
  <w:footnote w:type="continuationSeparator" w:id="0">
    <w:p w:rsidR="00C57E29" w:rsidRDefault="00C5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755914"/>
      <w:docPartObj>
        <w:docPartGallery w:val="Page Numbers (Top of Page)"/>
        <w:docPartUnique/>
      </w:docPartObj>
    </w:sdtPr>
    <w:sdtEndPr/>
    <w:sdtContent>
      <w:p w:rsidR="00466512" w:rsidRDefault="008F32C8" w:rsidP="001B7D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55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324C"/>
    <w:multiLevelType w:val="hybridMultilevel"/>
    <w:tmpl w:val="6C9AAB9C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525C2C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065D8C"/>
    <w:multiLevelType w:val="hybridMultilevel"/>
    <w:tmpl w:val="BF3A8A76"/>
    <w:lvl w:ilvl="0" w:tplc="C76AC9F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C2C35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201D29"/>
    <w:multiLevelType w:val="hybridMultilevel"/>
    <w:tmpl w:val="D9201BEA"/>
    <w:lvl w:ilvl="0" w:tplc="5C9E91A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6ABF606D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3C063CE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17"/>
    <w:rsid w:val="00003ACE"/>
    <w:rsid w:val="00031AF5"/>
    <w:rsid w:val="0005737E"/>
    <w:rsid w:val="000612C5"/>
    <w:rsid w:val="00093F91"/>
    <w:rsid w:val="000A3B1D"/>
    <w:rsid w:val="000B4ADD"/>
    <w:rsid w:val="000E2550"/>
    <w:rsid w:val="00104039"/>
    <w:rsid w:val="00121580"/>
    <w:rsid w:val="0012274E"/>
    <w:rsid w:val="00175577"/>
    <w:rsid w:val="00186427"/>
    <w:rsid w:val="001A5100"/>
    <w:rsid w:val="001A5A27"/>
    <w:rsid w:val="001B7DA9"/>
    <w:rsid w:val="001C346C"/>
    <w:rsid w:val="001F095F"/>
    <w:rsid w:val="00203482"/>
    <w:rsid w:val="0027022B"/>
    <w:rsid w:val="002A4A35"/>
    <w:rsid w:val="002B7BB3"/>
    <w:rsid w:val="00310C30"/>
    <w:rsid w:val="0031415B"/>
    <w:rsid w:val="003156BE"/>
    <w:rsid w:val="00345A2B"/>
    <w:rsid w:val="003501EB"/>
    <w:rsid w:val="00363739"/>
    <w:rsid w:val="0038475F"/>
    <w:rsid w:val="00386A89"/>
    <w:rsid w:val="00387553"/>
    <w:rsid w:val="003A20F3"/>
    <w:rsid w:val="003A5EB3"/>
    <w:rsid w:val="003E763E"/>
    <w:rsid w:val="004334FB"/>
    <w:rsid w:val="00466512"/>
    <w:rsid w:val="00470D90"/>
    <w:rsid w:val="004A4C45"/>
    <w:rsid w:val="004C6084"/>
    <w:rsid w:val="00501831"/>
    <w:rsid w:val="00511E59"/>
    <w:rsid w:val="00537AA0"/>
    <w:rsid w:val="0054122A"/>
    <w:rsid w:val="00563CDD"/>
    <w:rsid w:val="005809E6"/>
    <w:rsid w:val="00587284"/>
    <w:rsid w:val="005B161C"/>
    <w:rsid w:val="005B1F1C"/>
    <w:rsid w:val="005C5C17"/>
    <w:rsid w:val="005D0C64"/>
    <w:rsid w:val="005D30B7"/>
    <w:rsid w:val="005E6FB0"/>
    <w:rsid w:val="005F16B9"/>
    <w:rsid w:val="005F4B5E"/>
    <w:rsid w:val="0060501F"/>
    <w:rsid w:val="0061588B"/>
    <w:rsid w:val="00635EF6"/>
    <w:rsid w:val="0063662C"/>
    <w:rsid w:val="00654987"/>
    <w:rsid w:val="00670A58"/>
    <w:rsid w:val="0067252C"/>
    <w:rsid w:val="00673175"/>
    <w:rsid w:val="00690B24"/>
    <w:rsid w:val="006A3247"/>
    <w:rsid w:val="006D00DB"/>
    <w:rsid w:val="006F7A14"/>
    <w:rsid w:val="00726F8D"/>
    <w:rsid w:val="00730819"/>
    <w:rsid w:val="00766D04"/>
    <w:rsid w:val="007A47F2"/>
    <w:rsid w:val="007D227E"/>
    <w:rsid w:val="007F6C5B"/>
    <w:rsid w:val="00853C4A"/>
    <w:rsid w:val="008A2F8D"/>
    <w:rsid w:val="008B0E70"/>
    <w:rsid w:val="008B422B"/>
    <w:rsid w:val="008C7AA6"/>
    <w:rsid w:val="008F32C8"/>
    <w:rsid w:val="009379FF"/>
    <w:rsid w:val="009439AC"/>
    <w:rsid w:val="009E13B5"/>
    <w:rsid w:val="00A05C3A"/>
    <w:rsid w:val="00A126E4"/>
    <w:rsid w:val="00A25C71"/>
    <w:rsid w:val="00A912B9"/>
    <w:rsid w:val="00AB67DE"/>
    <w:rsid w:val="00B013B3"/>
    <w:rsid w:val="00B642FD"/>
    <w:rsid w:val="00B8656E"/>
    <w:rsid w:val="00B936E2"/>
    <w:rsid w:val="00BB39DE"/>
    <w:rsid w:val="00C14D57"/>
    <w:rsid w:val="00C22B46"/>
    <w:rsid w:val="00C500B0"/>
    <w:rsid w:val="00C57E29"/>
    <w:rsid w:val="00C63C75"/>
    <w:rsid w:val="00C84F9A"/>
    <w:rsid w:val="00C91650"/>
    <w:rsid w:val="00CA08FF"/>
    <w:rsid w:val="00CA2FEF"/>
    <w:rsid w:val="00D03CB5"/>
    <w:rsid w:val="00D1103A"/>
    <w:rsid w:val="00D72EE7"/>
    <w:rsid w:val="00E003E9"/>
    <w:rsid w:val="00E10A86"/>
    <w:rsid w:val="00E37576"/>
    <w:rsid w:val="00EC7210"/>
    <w:rsid w:val="00ED0A60"/>
    <w:rsid w:val="00ED22BF"/>
    <w:rsid w:val="00EE6617"/>
    <w:rsid w:val="00EE7177"/>
    <w:rsid w:val="00EE7294"/>
    <w:rsid w:val="00EF5F1C"/>
    <w:rsid w:val="00F218E2"/>
    <w:rsid w:val="00F30F38"/>
    <w:rsid w:val="00F553A8"/>
    <w:rsid w:val="00F62531"/>
    <w:rsid w:val="00F85E1B"/>
    <w:rsid w:val="00F9526E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4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B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DA9"/>
  </w:style>
  <w:style w:type="character" w:styleId="aa">
    <w:name w:val="annotation reference"/>
    <w:basedOn w:val="a0"/>
    <w:uiPriority w:val="99"/>
    <w:semiHidden/>
    <w:unhideWhenUsed/>
    <w:rsid w:val="00F6253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253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6253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253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253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F625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4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B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DA9"/>
  </w:style>
  <w:style w:type="character" w:styleId="aa">
    <w:name w:val="annotation reference"/>
    <w:basedOn w:val="a0"/>
    <w:uiPriority w:val="99"/>
    <w:semiHidden/>
    <w:unhideWhenUsed/>
    <w:rsid w:val="00F6253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253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6253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253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253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F62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E514-EC10-47F4-80B3-84F583D4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ЗАПУСКАЛОВ АЛЕКСЕЙ ВАЛЕРИЕВИЧ</dc:creator>
  <cp:lastModifiedBy>ВИДЖЕТХУНГАГУНАРАТНА ДИПАНИ ПРИЯДАРШАНОВНА</cp:lastModifiedBy>
  <cp:revision>5</cp:revision>
  <dcterms:created xsi:type="dcterms:W3CDTF">2016-07-15T12:15:00Z</dcterms:created>
  <dcterms:modified xsi:type="dcterms:W3CDTF">2016-07-15T14:32:00Z</dcterms:modified>
</cp:coreProperties>
</file>