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E" w:rsidRPr="0054122A" w:rsidRDefault="00623C75" w:rsidP="0012274E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70</w:t>
      </w:r>
      <w:bookmarkStart w:id="0" w:name="_GoBack"/>
      <w:bookmarkEnd w:id="0"/>
    </w:p>
    <w:p w:rsidR="0054122A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 формированию обоснований бюджетных ассигнований федерального бюджета</w:t>
      </w:r>
    </w:p>
    <w:p w:rsidR="0012274E" w:rsidRPr="0054122A" w:rsidRDefault="0012274E" w:rsidP="0054122A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</w:t>
      </w:r>
    </w:p>
    <w:p w:rsidR="0012274E" w:rsidRPr="0054122A" w:rsidRDefault="0012274E" w:rsidP="0012274E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F95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3A5EB3" w:rsidRPr="00670A58" w:rsidRDefault="00726F8D" w:rsidP="00F62531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C84F9A" w:rsidRP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предоставление субвенции бюджетам Республики Крым и города федерального значения Севастополя </w:t>
      </w:r>
      <w:r w:rsidR="005D0C64" w:rsidRPr="005D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осуществление части переданных полномочий Российской Федерации в сфере охраны окружающей среды 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C84F9A" w:rsidRDefault="00726F8D" w:rsidP="00A661C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субвенции бюджетам Республики Крым и города федерального значения Севастополя </w:t>
      </w:r>
      <w:r w:rsidR="005D0C64" w:rsidRP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переданных полномочий Российской Федерации в сфере охраны окружающей среды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субвенции)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очередной финансовый год, первый и второй год планового периода по форме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 структуру расходов федерального бюджета на предоставление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4C608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по </w:t>
      </w:r>
      <w:r w:rsidR="00A6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расходов 530 «</w:t>
      </w:r>
      <w:r w:rsidR="000B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="00A6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расходов </w:t>
      </w:r>
      <w:r w:rsidR="00A661CF">
        <w:rPr>
          <w:rFonts w:ascii="Times New Roman" w:eastAsia="Times New Roman" w:hAnsi="Times New Roman" w:cs="Times New Roman"/>
          <w:sz w:val="28"/>
          <w:szCs w:val="28"/>
          <w:lang w:eastAsia="ru-RU"/>
        </w:rPr>
        <w:t>54860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61CF" w:rsidRPr="00A66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</w:t>
      </w:r>
      <w:r w:rsidR="00EE7294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бюджетной классификации Российской Федерации.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sz w:val="28"/>
          <w:szCs w:val="28"/>
        </w:rPr>
        <w:t>0505</w:t>
      </w:r>
      <w:r w:rsidR="00F9526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D0C6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F9A" w:rsidRPr="000B4ADD" w:rsidRDefault="00C84F9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</w:t>
      </w:r>
      <w:r w:rsidR="00635EF6"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F6" w:rsidRPr="00635EF6">
        <w:rPr>
          <w:rFonts w:ascii="Times New Roman" w:hAnsi="Times New Roman" w:cs="Times New Roman"/>
          <w:sz w:val="28"/>
          <w:szCs w:val="28"/>
        </w:rPr>
        <w:t>(</w:t>
      </w:r>
      <w:r w:rsidR="00635EF6" w:rsidRPr="00635EF6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не входящего в государственные программы Российской Федерации)</w:t>
      </w:r>
      <w:r w:rsidRPr="00635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направления</w:t>
      </w:r>
      <w:r w:rsidRP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бюджетной классификации Российской Федерации.</w:t>
      </w:r>
    </w:p>
    <w:p w:rsidR="00726F8D" w:rsidRPr="00670A58" w:rsidRDefault="00726F8D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 изменению. </w:t>
      </w:r>
    </w:p>
    <w:p w:rsidR="00A126E4" w:rsidRPr="00670A58" w:rsidRDefault="00A126E4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формирования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C84F9A" w:rsidRDefault="00A05C3A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ассигнований на представление субвенци</w:t>
      </w:r>
      <w:r w:rsidR="00C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год планового периода и второй год планового периода. </w:t>
      </w:r>
    </w:p>
    <w:p w:rsidR="00031AF5" w:rsidRPr="00C84F9A" w:rsidRDefault="00031AF5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2-5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в информационной системе Минфина России автоматически на основании значений соответственно граф 3-6 подраздела 1.1 «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предоставление </w:t>
      </w:r>
      <w:r w:rsidR="00A05C3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всего».</w:t>
      </w:r>
    </w:p>
    <w:p w:rsidR="00104039" w:rsidRPr="00104039" w:rsidRDefault="005E6FB0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на предоставление субвенции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 всего, из них: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всего, в том числе на денежное содержание, выплаты, зависящие от размера денежного содержания государственных гражданских служащих</w:t>
      </w:r>
      <w:r w:rsidR="000B4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федеральных государственных учреждений всего, в том числе на оплату труда, выплаты, зависящие от размера оплаты труда работников федеральных государственных учреждений,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категориям работников всего, в том числе на денежное содержание, выплаты, зависящие от размера денежного содержания, начисления на выплаты по оплате труда,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всего, в том числе: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горюче-смазочные материалы,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закупку товаров, работ и услуг;</w:t>
      </w:r>
    </w:p>
    <w:p w:rsidR="00D03CB5" w:rsidRP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обязательства;</w:t>
      </w:r>
    </w:p>
    <w:p w:rsidR="00D03CB5" w:rsidRDefault="00D03CB5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обязательства;</w:t>
      </w:r>
    </w:p>
    <w:p w:rsidR="00B013B3" w:rsidRPr="00D03CB5" w:rsidRDefault="00B013B3" w:rsidP="00D03CB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иные расходы.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«На предоставление субвенции, всего»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«на фонд оплаты труда, страховые взносы в государственные внебюджетные фонды и выплаты персоналу», «на закупку товаров, работ и услуг», «на публичные нормативные обязательс</w:t>
      </w:r>
      <w:r w:rsid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тва», «на прочие обязательства»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«на иные расходы».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фонд оплаты труда, страховые взносы в государственные внебюджетные фонды и выплаты персоналу»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«иные расходы на фонд оплаты труда».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государственных гражданских служащих.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«оплата труда», «выплаты, зависящие от размера оплаты труда работников» и «начисления на выплаты по оплате труда» в части работников федеральных государственных учреждений.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B013B3" w:rsidRP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рассчитываются в информационной системе Минфина России автоматически как сумма значений соответствующих граф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«денежное содержание», «выплаты, зависящие от размера денежного содержания» и «начисления на выплаты по оплате труда» в части других категорий работников.</w:t>
      </w:r>
    </w:p>
    <w:p w:rsidR="00D03CB5" w:rsidRPr="00D03CB5" w:rsidRDefault="00D03CB5" w:rsidP="00D03C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Графы 3-6 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«на закупку товаров, работ и услуг» рассчитываются в информационной системе Минфина России автоматически как сумма значений соответствующих граф 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подраздела 1.1 формы по ОКУД 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строкам «услуги связи», «транспортные услуги», «коммунальные услуги», «горюче-смазочные материалы» и «иные расходы на закупку товаров, работ и услуг».</w:t>
      </w:r>
    </w:p>
    <w:p w:rsidR="00D03CB5" w:rsidRPr="00670A58" w:rsidRDefault="00D03CB5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</w:p>
    <w:p w:rsidR="00ED22BF" w:rsidRPr="00ED22BF" w:rsidRDefault="00ED22BF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период.</w:t>
      </w:r>
    </w:p>
    <w:p w:rsidR="00ED22BF" w:rsidRPr="00ED22BF" w:rsidRDefault="00175577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 на предоставление субвенции между субъектами Российской Федерации хотя бы на один год из трехлетнего периода (очередной финансовый год, первый год планового периода и второй год планового периода).</w:t>
      </w:r>
    </w:p>
    <w:p w:rsidR="003156BE" w:rsidRPr="00C84F9A" w:rsidRDefault="003156BE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1-6 раздела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в разрезе </w:t>
      </w:r>
      <w:r w:rsidR="00345A2B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>предоставляем</w:t>
      </w:r>
      <w:r w:rsidR="00587284">
        <w:rPr>
          <w:rFonts w:ascii="Times New Roman" w:hAnsi="Times New Roman" w:cs="Times New Roman"/>
          <w:sz w:val="28"/>
          <w:szCs w:val="28"/>
        </w:rPr>
        <w:t>ой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="00E37576">
        <w:rPr>
          <w:rFonts w:ascii="Times New Roman" w:hAnsi="Times New Roman" w:cs="Times New Roman"/>
          <w:sz w:val="28"/>
          <w:szCs w:val="28"/>
        </w:rPr>
        <w:t>субвенци</w:t>
      </w:r>
      <w:r w:rsidR="00587284">
        <w:rPr>
          <w:rFonts w:ascii="Times New Roman" w:hAnsi="Times New Roman" w:cs="Times New Roman"/>
          <w:sz w:val="28"/>
          <w:szCs w:val="28"/>
        </w:rPr>
        <w:t>и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C84F9A" w:rsidRDefault="00E37576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C84F9A" w:rsidRDefault="005F16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2 раздела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информационной системе Минфина России и заполняется автоматически.</w:t>
      </w:r>
    </w:p>
    <w:p w:rsidR="003156BE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33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заполняются в информационной системе Минфина России автоматически на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значений </w:t>
      </w:r>
      <w:r w:rsidR="005F4B5E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="00031AF5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2-5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58" w:rsidRPr="00670A58" w:rsidRDefault="00670A58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3-6 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информационной системе Минфина России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C9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формы по ОКУД </w:t>
      </w:r>
      <w:r w:rsidR="00C84F9A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4987" w:rsidRP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C84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C84F9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C84F9A">
        <w:rPr>
          <w:rFonts w:ascii="Times New Roman" w:eastAsia="Times New Roman" w:hAnsi="Times New Roman" w:cs="Times New Roman"/>
          <w:sz w:val="28"/>
          <w:szCs w:val="28"/>
          <w:lang w:eastAsia="ru-RU"/>
        </w:rPr>
        <w:t>0505</w:t>
      </w:r>
      <w:r w:rsidR="00F95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D0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0E" w:rsidRDefault="00D2480E">
      <w:pPr>
        <w:spacing w:after="0" w:line="240" w:lineRule="auto"/>
      </w:pPr>
      <w:r>
        <w:separator/>
      </w:r>
    </w:p>
  </w:endnote>
  <w:endnote w:type="continuationSeparator" w:id="0">
    <w:p w:rsidR="00D2480E" w:rsidRDefault="00D2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0E" w:rsidRDefault="00D2480E">
      <w:pPr>
        <w:spacing w:after="0" w:line="240" w:lineRule="auto"/>
      </w:pPr>
      <w:r>
        <w:separator/>
      </w:r>
    </w:p>
  </w:footnote>
  <w:footnote w:type="continuationSeparator" w:id="0">
    <w:p w:rsidR="00D2480E" w:rsidRDefault="00D2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466512" w:rsidRDefault="007568CD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6C9AAB9C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ABF606D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093F91"/>
    <w:rsid w:val="000B4ADD"/>
    <w:rsid w:val="000B7FCC"/>
    <w:rsid w:val="00104039"/>
    <w:rsid w:val="00121580"/>
    <w:rsid w:val="0012274E"/>
    <w:rsid w:val="00175577"/>
    <w:rsid w:val="00186427"/>
    <w:rsid w:val="001A5A27"/>
    <w:rsid w:val="001B7DA9"/>
    <w:rsid w:val="001C346C"/>
    <w:rsid w:val="001F095F"/>
    <w:rsid w:val="00203482"/>
    <w:rsid w:val="0027022B"/>
    <w:rsid w:val="002A4A35"/>
    <w:rsid w:val="002B7BB3"/>
    <w:rsid w:val="00310C30"/>
    <w:rsid w:val="0031415B"/>
    <w:rsid w:val="003156BE"/>
    <w:rsid w:val="00332FF2"/>
    <w:rsid w:val="00345A2B"/>
    <w:rsid w:val="003501EB"/>
    <w:rsid w:val="00363739"/>
    <w:rsid w:val="0038475F"/>
    <w:rsid w:val="00386A89"/>
    <w:rsid w:val="00387553"/>
    <w:rsid w:val="003A20F3"/>
    <w:rsid w:val="003A5EB3"/>
    <w:rsid w:val="003E763E"/>
    <w:rsid w:val="004334FB"/>
    <w:rsid w:val="00466512"/>
    <w:rsid w:val="00470D90"/>
    <w:rsid w:val="004A4C45"/>
    <w:rsid w:val="004C6084"/>
    <w:rsid w:val="00501831"/>
    <w:rsid w:val="00511E59"/>
    <w:rsid w:val="00537AA0"/>
    <w:rsid w:val="0054122A"/>
    <w:rsid w:val="00563CDD"/>
    <w:rsid w:val="005809E6"/>
    <w:rsid w:val="00587284"/>
    <w:rsid w:val="005B161C"/>
    <w:rsid w:val="005B1F1C"/>
    <w:rsid w:val="005C5C17"/>
    <w:rsid w:val="005D0C64"/>
    <w:rsid w:val="005D30B7"/>
    <w:rsid w:val="005E6FB0"/>
    <w:rsid w:val="005F16B9"/>
    <w:rsid w:val="005F4B5E"/>
    <w:rsid w:val="0060501F"/>
    <w:rsid w:val="0061588B"/>
    <w:rsid w:val="00623C75"/>
    <w:rsid w:val="00635EF6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26F8D"/>
    <w:rsid w:val="00730819"/>
    <w:rsid w:val="007568CD"/>
    <w:rsid w:val="00766D04"/>
    <w:rsid w:val="007D227E"/>
    <w:rsid w:val="007F6C5B"/>
    <w:rsid w:val="00853C4A"/>
    <w:rsid w:val="008A2F8D"/>
    <w:rsid w:val="008B0E70"/>
    <w:rsid w:val="008B422B"/>
    <w:rsid w:val="008C6FFF"/>
    <w:rsid w:val="008C7AA6"/>
    <w:rsid w:val="009379FF"/>
    <w:rsid w:val="009439AC"/>
    <w:rsid w:val="009E13B5"/>
    <w:rsid w:val="00A05C3A"/>
    <w:rsid w:val="00A126E4"/>
    <w:rsid w:val="00A25C71"/>
    <w:rsid w:val="00A661CF"/>
    <w:rsid w:val="00A912B9"/>
    <w:rsid w:val="00AA6CA7"/>
    <w:rsid w:val="00AB67DE"/>
    <w:rsid w:val="00B013B3"/>
    <w:rsid w:val="00B642FD"/>
    <w:rsid w:val="00B8656E"/>
    <w:rsid w:val="00B936E2"/>
    <w:rsid w:val="00C14D57"/>
    <w:rsid w:val="00C22B46"/>
    <w:rsid w:val="00C63C75"/>
    <w:rsid w:val="00C84F9A"/>
    <w:rsid w:val="00C91650"/>
    <w:rsid w:val="00C93243"/>
    <w:rsid w:val="00CA08FF"/>
    <w:rsid w:val="00D03CB5"/>
    <w:rsid w:val="00D1103A"/>
    <w:rsid w:val="00D2480E"/>
    <w:rsid w:val="00D72EE7"/>
    <w:rsid w:val="00E003E9"/>
    <w:rsid w:val="00E10A86"/>
    <w:rsid w:val="00E37576"/>
    <w:rsid w:val="00EC7210"/>
    <w:rsid w:val="00ED0A60"/>
    <w:rsid w:val="00ED1EAC"/>
    <w:rsid w:val="00ED22BF"/>
    <w:rsid w:val="00EE6617"/>
    <w:rsid w:val="00EE7294"/>
    <w:rsid w:val="00EF5F1C"/>
    <w:rsid w:val="00F218E2"/>
    <w:rsid w:val="00F30F38"/>
    <w:rsid w:val="00F62531"/>
    <w:rsid w:val="00F85E1B"/>
    <w:rsid w:val="00F9526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character" w:styleId="aa">
    <w:name w:val="annotation reference"/>
    <w:basedOn w:val="a0"/>
    <w:uiPriority w:val="99"/>
    <w:semiHidden/>
    <w:unhideWhenUsed/>
    <w:rsid w:val="00F625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25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25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5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25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62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  <w:style w:type="character" w:styleId="aa">
    <w:name w:val="annotation reference"/>
    <w:basedOn w:val="a0"/>
    <w:uiPriority w:val="99"/>
    <w:semiHidden/>
    <w:unhideWhenUsed/>
    <w:rsid w:val="00F625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25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25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25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253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62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16C6-B4ED-4538-9FE8-D3820AD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ВИДЖЕТХУНГАГУНАРАТНА ДИПАНИ ПРИЯДАРШАНОВНА</cp:lastModifiedBy>
  <cp:revision>9</cp:revision>
  <dcterms:created xsi:type="dcterms:W3CDTF">2016-07-15T12:00:00Z</dcterms:created>
  <dcterms:modified xsi:type="dcterms:W3CDTF">2016-07-15T14:32:00Z</dcterms:modified>
</cp:coreProperties>
</file>